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8E7B82" w14:textId="7157B5E2" w:rsidR="00DA29AF" w:rsidRDefault="003B1EB3" w:rsidP="003B1EB3">
      <w:pPr>
        <w:tabs>
          <w:tab w:val="left" w:pos="2055"/>
        </w:tabs>
        <w:spacing w:line="240" w:lineRule="auto"/>
        <w:jc w:val="right"/>
        <w:rPr>
          <w:rFonts w:ascii="Times New Roman" w:hAnsi="Times New Roman" w:cs="Times New Roman"/>
          <w:sz w:val="24"/>
          <w:szCs w:val="24"/>
        </w:rPr>
      </w:pPr>
      <w:r>
        <w:tab/>
      </w:r>
      <w:r>
        <w:rPr>
          <w:rFonts w:ascii="Times New Roman" w:hAnsi="Times New Roman" w:cs="Times New Roman"/>
          <w:sz w:val="24"/>
          <w:szCs w:val="24"/>
        </w:rPr>
        <w:t>Laura Jane Evans</w:t>
      </w:r>
    </w:p>
    <w:p w14:paraId="7C24ED49" w14:textId="026E4CD7" w:rsidR="003B1EB3" w:rsidRDefault="003B1EB3" w:rsidP="003B1EB3">
      <w:pPr>
        <w:tabs>
          <w:tab w:val="left" w:pos="2055"/>
        </w:tabs>
        <w:spacing w:line="240" w:lineRule="auto"/>
        <w:jc w:val="right"/>
        <w:rPr>
          <w:rFonts w:ascii="Times New Roman" w:hAnsi="Times New Roman" w:cs="Times New Roman"/>
          <w:sz w:val="24"/>
          <w:szCs w:val="24"/>
        </w:rPr>
      </w:pPr>
      <w:r>
        <w:rPr>
          <w:rFonts w:ascii="Times New Roman" w:hAnsi="Times New Roman" w:cs="Times New Roman"/>
          <w:sz w:val="24"/>
          <w:szCs w:val="24"/>
        </w:rPr>
        <w:t>HPTR4002: Early Christian History Essay</w:t>
      </w:r>
    </w:p>
    <w:p w14:paraId="5C868256" w14:textId="15E8CCD4" w:rsidR="003B1EB3" w:rsidRDefault="001D6E4B"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 xml:space="preserve">What does this text </w:t>
      </w:r>
      <w:r w:rsidR="008352E8">
        <w:rPr>
          <w:rFonts w:ascii="Times New Roman" w:hAnsi="Times New Roman" w:cs="Times New Roman"/>
          <w:sz w:val="24"/>
          <w:szCs w:val="24"/>
        </w:rPr>
        <w:t xml:space="preserve">teach you about how early Christianity supported or subverted a </w:t>
      </w:r>
      <w:proofErr w:type="gramStart"/>
      <w:r w:rsidR="008352E8">
        <w:rPr>
          <w:rFonts w:ascii="Times New Roman" w:hAnsi="Times New Roman" w:cs="Times New Roman"/>
          <w:sz w:val="24"/>
          <w:szCs w:val="24"/>
        </w:rPr>
        <w:t>particular Roman</w:t>
      </w:r>
      <w:proofErr w:type="gramEnd"/>
      <w:r w:rsidR="008352E8">
        <w:rPr>
          <w:rFonts w:ascii="Times New Roman" w:hAnsi="Times New Roman" w:cs="Times New Roman"/>
          <w:sz w:val="24"/>
          <w:szCs w:val="24"/>
        </w:rPr>
        <w:t xml:space="preserve"> social value?</w:t>
      </w:r>
    </w:p>
    <w:p w14:paraId="2BC0ED59" w14:textId="235E26A2" w:rsidR="00E939F3" w:rsidRDefault="00E939F3" w:rsidP="003B1EB3">
      <w:pPr>
        <w:tabs>
          <w:tab w:val="left" w:pos="2055"/>
        </w:tabs>
        <w:spacing w:line="240" w:lineRule="auto"/>
        <w:rPr>
          <w:rFonts w:ascii="Times New Roman" w:hAnsi="Times New Roman" w:cs="Times New Roman"/>
          <w:sz w:val="24"/>
          <w:szCs w:val="24"/>
        </w:rPr>
      </w:pPr>
    </w:p>
    <w:p w14:paraId="6DFCCA46" w14:textId="0870BA74" w:rsidR="00E939F3" w:rsidRDefault="00203D88"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 xml:space="preserve">In this essay I will be analysing </w:t>
      </w:r>
      <w:r w:rsidR="00911768">
        <w:rPr>
          <w:rFonts w:ascii="Times New Roman" w:hAnsi="Times New Roman" w:cs="Times New Roman"/>
          <w:sz w:val="24"/>
          <w:szCs w:val="24"/>
        </w:rPr>
        <w:t>Tertullian’s</w:t>
      </w:r>
      <w:r>
        <w:rPr>
          <w:rFonts w:ascii="Times New Roman" w:hAnsi="Times New Roman" w:cs="Times New Roman"/>
          <w:sz w:val="24"/>
          <w:szCs w:val="24"/>
        </w:rPr>
        <w:t xml:space="preserve"> letter to his wife </w:t>
      </w:r>
      <w:r w:rsidR="00911768">
        <w:rPr>
          <w:rFonts w:ascii="Times New Roman" w:hAnsi="Times New Roman" w:cs="Times New Roman"/>
          <w:sz w:val="24"/>
          <w:szCs w:val="24"/>
        </w:rPr>
        <w:t>regarding</w:t>
      </w:r>
      <w:r>
        <w:rPr>
          <w:rFonts w:ascii="Times New Roman" w:hAnsi="Times New Roman" w:cs="Times New Roman"/>
          <w:sz w:val="24"/>
          <w:szCs w:val="24"/>
        </w:rPr>
        <w:t xml:space="preserve"> remarriage </w:t>
      </w:r>
      <w:r w:rsidR="00911768">
        <w:rPr>
          <w:rFonts w:ascii="Times New Roman" w:hAnsi="Times New Roman" w:cs="Times New Roman"/>
          <w:sz w:val="24"/>
          <w:szCs w:val="24"/>
        </w:rPr>
        <w:t xml:space="preserve">and what she should do when he passes. The Greco Roman social value I have chosen is purity and pollution. The reason I have chosen this text is because not only does this text support the social value purity but also compares the two crucial roles women played in the faith, virgins and widows. </w:t>
      </w:r>
      <w:r w:rsidR="007966FF">
        <w:rPr>
          <w:rFonts w:ascii="Times New Roman" w:hAnsi="Times New Roman" w:cs="Times New Roman"/>
          <w:sz w:val="24"/>
          <w:szCs w:val="24"/>
        </w:rPr>
        <w:t xml:space="preserve">During this essay I will be analysing how the social value influences Tertullian and the advice he gives in his letter. I will be comparing some of his thoughts on the positions and roles women play within the church and how where his advice fits in with his work. </w:t>
      </w:r>
    </w:p>
    <w:p w14:paraId="29DE69F0" w14:textId="6EF4F80A" w:rsidR="00F27A86" w:rsidRDefault="00F27A86"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r w:rsidR="007D4A24">
        <w:rPr>
          <w:rFonts w:ascii="Times New Roman" w:hAnsi="Times New Roman" w:cs="Times New Roman"/>
          <w:sz w:val="24"/>
          <w:szCs w:val="24"/>
        </w:rPr>
        <w:t>The social value purity and pollution is followed so that individuals seeking to come before the “throne of grace” was pure in mind, body and soul.</w:t>
      </w:r>
      <w:r w:rsidR="007D4A24">
        <w:rPr>
          <w:rStyle w:val="FootnoteReference"/>
          <w:rFonts w:ascii="Times New Roman" w:hAnsi="Times New Roman" w:cs="Times New Roman"/>
          <w:sz w:val="24"/>
          <w:szCs w:val="24"/>
        </w:rPr>
        <w:footnoteReference w:id="1"/>
      </w:r>
      <w:r w:rsidR="007D4A24">
        <w:rPr>
          <w:rFonts w:ascii="Times New Roman" w:hAnsi="Times New Roman" w:cs="Times New Roman"/>
          <w:sz w:val="24"/>
          <w:szCs w:val="24"/>
        </w:rPr>
        <w:t xml:space="preserve"> There were many ways in which the body would become polluted, giving birth, sexual intercourse and interacting with corpses are some of them.</w:t>
      </w:r>
      <w:r w:rsidR="007D4A24">
        <w:rPr>
          <w:rStyle w:val="FootnoteReference"/>
          <w:rFonts w:ascii="Times New Roman" w:hAnsi="Times New Roman" w:cs="Times New Roman"/>
          <w:sz w:val="24"/>
          <w:szCs w:val="24"/>
        </w:rPr>
        <w:footnoteReference w:id="2"/>
      </w:r>
      <w:r w:rsidR="007D4A24">
        <w:rPr>
          <w:rFonts w:ascii="Times New Roman" w:hAnsi="Times New Roman" w:cs="Times New Roman"/>
          <w:sz w:val="24"/>
          <w:szCs w:val="24"/>
        </w:rPr>
        <w:t xml:space="preserve"> Both genders were subject to pollution such as illness and </w:t>
      </w:r>
      <w:r w:rsidR="00256DD7">
        <w:rPr>
          <w:rFonts w:ascii="Times New Roman" w:hAnsi="Times New Roman" w:cs="Times New Roman"/>
          <w:sz w:val="24"/>
          <w:szCs w:val="24"/>
        </w:rPr>
        <w:t>dietary restrictions however, women seem to be the most restricted as their bodies are under constant change.</w:t>
      </w:r>
      <w:r w:rsidR="00256DD7">
        <w:rPr>
          <w:rStyle w:val="FootnoteReference"/>
          <w:rFonts w:ascii="Times New Roman" w:hAnsi="Times New Roman" w:cs="Times New Roman"/>
          <w:sz w:val="24"/>
          <w:szCs w:val="24"/>
        </w:rPr>
        <w:footnoteReference w:id="3"/>
      </w:r>
      <w:r w:rsidR="00256DD7">
        <w:rPr>
          <w:rFonts w:ascii="Times New Roman" w:hAnsi="Times New Roman" w:cs="Times New Roman"/>
          <w:sz w:val="24"/>
          <w:szCs w:val="24"/>
        </w:rPr>
        <w:t xml:space="preserve"> Sex and childbirth were prominent in the lives of women at the time but Christianity offered alternatives. </w:t>
      </w:r>
      <w:r w:rsidR="009C1558">
        <w:rPr>
          <w:rFonts w:ascii="Times New Roman" w:hAnsi="Times New Roman" w:cs="Times New Roman"/>
          <w:sz w:val="24"/>
          <w:szCs w:val="24"/>
        </w:rPr>
        <w:t xml:space="preserve"> </w:t>
      </w:r>
    </w:p>
    <w:p w14:paraId="7FBB6392" w14:textId="77777777" w:rsidR="009829EE" w:rsidRDefault="002524D6"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r w:rsidR="005F2F8E">
        <w:rPr>
          <w:rFonts w:ascii="Times New Roman" w:hAnsi="Times New Roman" w:cs="Times New Roman"/>
          <w:sz w:val="24"/>
          <w:szCs w:val="24"/>
        </w:rPr>
        <w:t>Tertullian, an influential Christian author, was converted to Christianity towards the end of the second century. His works have covered many topics such as heresy and the way women present themselves, in this letter to his wife Tertullian he raises ideas and theories on widows that are very interesting.</w:t>
      </w:r>
      <w:r w:rsidR="009342D1">
        <w:rPr>
          <w:rStyle w:val="FootnoteReference"/>
          <w:rFonts w:ascii="Times New Roman" w:hAnsi="Times New Roman" w:cs="Times New Roman"/>
          <w:sz w:val="24"/>
          <w:szCs w:val="24"/>
        </w:rPr>
        <w:footnoteReference w:id="4"/>
      </w:r>
      <w:r w:rsidR="009342D1">
        <w:rPr>
          <w:rFonts w:ascii="Times New Roman" w:hAnsi="Times New Roman" w:cs="Times New Roman"/>
          <w:sz w:val="24"/>
          <w:szCs w:val="24"/>
        </w:rPr>
        <w:t xml:space="preserve"> </w:t>
      </w:r>
      <w:r w:rsidR="00FC0F8E">
        <w:rPr>
          <w:rFonts w:ascii="Times New Roman" w:hAnsi="Times New Roman" w:cs="Times New Roman"/>
          <w:sz w:val="24"/>
          <w:szCs w:val="24"/>
        </w:rPr>
        <w:t xml:space="preserve">Many Christian authors have used iconic stories or individuals from the Holy Bible to draw </w:t>
      </w:r>
      <w:r w:rsidR="00074F13">
        <w:rPr>
          <w:rFonts w:ascii="Times New Roman" w:hAnsi="Times New Roman" w:cs="Times New Roman"/>
          <w:sz w:val="24"/>
          <w:szCs w:val="24"/>
        </w:rPr>
        <w:t>parallels between them and Christian followers. One of the most iconic is the Virgin Mary. The Virgin Mary represents an obedient virgin and provides women an opportunity to distinguish themselves from the sins of Eve.</w:t>
      </w:r>
      <w:r w:rsidR="00074F13">
        <w:rPr>
          <w:rStyle w:val="FootnoteReference"/>
          <w:rFonts w:ascii="Times New Roman" w:hAnsi="Times New Roman" w:cs="Times New Roman"/>
          <w:sz w:val="24"/>
          <w:szCs w:val="24"/>
        </w:rPr>
        <w:footnoteReference w:id="5"/>
      </w:r>
      <w:r w:rsidR="00074F13">
        <w:rPr>
          <w:rFonts w:ascii="Times New Roman" w:hAnsi="Times New Roman" w:cs="Times New Roman"/>
          <w:sz w:val="24"/>
          <w:szCs w:val="24"/>
        </w:rPr>
        <w:t xml:space="preserve"> </w:t>
      </w:r>
    </w:p>
    <w:p w14:paraId="1ECB3D76" w14:textId="293AB31E" w:rsidR="00AC4B1F" w:rsidRDefault="009829EE"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r w:rsidR="00074F13">
        <w:rPr>
          <w:rFonts w:ascii="Times New Roman" w:hAnsi="Times New Roman" w:cs="Times New Roman"/>
          <w:sz w:val="24"/>
          <w:szCs w:val="24"/>
        </w:rPr>
        <w:t xml:space="preserve">In his letter, Tertullian uses the marital bond between Adam and Eve as an example of the purity of having one spouse, “for Adam was the only husband that Eve </w:t>
      </w:r>
      <w:proofErr w:type="gramStart"/>
      <w:r w:rsidR="00074F13">
        <w:rPr>
          <w:rFonts w:ascii="Times New Roman" w:hAnsi="Times New Roman" w:cs="Times New Roman"/>
          <w:sz w:val="24"/>
          <w:szCs w:val="24"/>
        </w:rPr>
        <w:t>had</w:t>
      </w:r>
      <w:proofErr w:type="gramEnd"/>
      <w:r w:rsidR="00074F13">
        <w:rPr>
          <w:rFonts w:ascii="Times New Roman" w:hAnsi="Times New Roman" w:cs="Times New Roman"/>
          <w:sz w:val="24"/>
          <w:szCs w:val="24"/>
        </w:rPr>
        <w:t xml:space="preserve"> and Eve was his only wife”.</w:t>
      </w:r>
      <w:r w:rsidR="00074F13">
        <w:rPr>
          <w:rStyle w:val="FootnoteReference"/>
          <w:rFonts w:ascii="Times New Roman" w:hAnsi="Times New Roman" w:cs="Times New Roman"/>
          <w:sz w:val="24"/>
          <w:szCs w:val="24"/>
        </w:rPr>
        <w:footnoteReference w:id="6"/>
      </w:r>
      <w:r w:rsidR="00074F13">
        <w:rPr>
          <w:rFonts w:ascii="Times New Roman" w:hAnsi="Times New Roman" w:cs="Times New Roman"/>
          <w:sz w:val="24"/>
          <w:szCs w:val="24"/>
        </w:rPr>
        <w:t xml:space="preserve"> This is surprising as Tertullian has written about Eve and how through her all women are tainted. In his work “On </w:t>
      </w:r>
      <w:proofErr w:type="gramStart"/>
      <w:r w:rsidR="00074F13">
        <w:rPr>
          <w:rFonts w:ascii="Times New Roman" w:hAnsi="Times New Roman" w:cs="Times New Roman"/>
          <w:sz w:val="24"/>
          <w:szCs w:val="24"/>
        </w:rPr>
        <w:t>The</w:t>
      </w:r>
      <w:proofErr w:type="gramEnd"/>
      <w:r w:rsidR="00074F13">
        <w:rPr>
          <w:rFonts w:ascii="Times New Roman" w:hAnsi="Times New Roman" w:cs="Times New Roman"/>
          <w:sz w:val="24"/>
          <w:szCs w:val="24"/>
        </w:rPr>
        <w:t xml:space="preserve"> Apparel of Women” he explains how through Eves actions all women are the “devils gateway”.</w:t>
      </w:r>
      <w:r w:rsidR="00074F13">
        <w:rPr>
          <w:rStyle w:val="FootnoteReference"/>
          <w:rFonts w:ascii="Times New Roman" w:hAnsi="Times New Roman" w:cs="Times New Roman"/>
          <w:sz w:val="24"/>
          <w:szCs w:val="24"/>
        </w:rPr>
        <w:footnoteReference w:id="7"/>
      </w:r>
      <w:r w:rsidR="00074F13">
        <w:rPr>
          <w:rFonts w:ascii="Times New Roman" w:hAnsi="Times New Roman" w:cs="Times New Roman"/>
          <w:sz w:val="24"/>
          <w:szCs w:val="24"/>
        </w:rPr>
        <w:t xml:space="preserve"> Perhaps this shows that even though they were thrown from Paradise, Eve and Adams loyalty to marriage is their redeeming </w:t>
      </w:r>
      <w:proofErr w:type="spellStart"/>
      <w:r w:rsidR="00074F13">
        <w:rPr>
          <w:rFonts w:ascii="Times New Roman" w:hAnsi="Times New Roman" w:cs="Times New Roman"/>
          <w:sz w:val="24"/>
          <w:szCs w:val="24"/>
        </w:rPr>
        <w:t>quality.</w:t>
      </w:r>
      <w:r w:rsidR="008D5EE5">
        <w:rPr>
          <w:rFonts w:ascii="Times New Roman" w:hAnsi="Times New Roman" w:cs="Times New Roman"/>
          <w:sz w:val="24"/>
          <w:szCs w:val="24"/>
        </w:rPr>
        <w:t>Virgin</w:t>
      </w:r>
      <w:proofErr w:type="spellEnd"/>
      <w:r w:rsidR="008D5EE5">
        <w:rPr>
          <w:rFonts w:ascii="Times New Roman" w:hAnsi="Times New Roman" w:cs="Times New Roman"/>
          <w:sz w:val="24"/>
          <w:szCs w:val="24"/>
        </w:rPr>
        <w:t xml:space="preserve"> </w:t>
      </w:r>
      <w:r w:rsidR="00D019A4">
        <w:rPr>
          <w:rFonts w:ascii="Times New Roman" w:hAnsi="Times New Roman" w:cs="Times New Roman"/>
          <w:sz w:val="24"/>
          <w:szCs w:val="24"/>
        </w:rPr>
        <w:t>Mary is not the only icon virgins had to aspire to, Thecla is another pure example. Thecla was able to regain her purity and heightened her status through baptism and ascetism.</w:t>
      </w:r>
      <w:r w:rsidR="00D019A4">
        <w:rPr>
          <w:rStyle w:val="FootnoteReference"/>
          <w:rFonts w:ascii="Times New Roman" w:hAnsi="Times New Roman" w:cs="Times New Roman"/>
          <w:sz w:val="24"/>
          <w:szCs w:val="24"/>
        </w:rPr>
        <w:footnoteReference w:id="8"/>
      </w:r>
      <w:r w:rsidR="00D019A4">
        <w:rPr>
          <w:rFonts w:ascii="Times New Roman" w:hAnsi="Times New Roman" w:cs="Times New Roman"/>
          <w:sz w:val="24"/>
          <w:szCs w:val="24"/>
        </w:rPr>
        <w:t xml:space="preserve">Although Thecla and other virgins were highly regarded, Tertullian gives the impression that virgins should be limited in power and be treated as women and not a third </w:t>
      </w:r>
      <w:r w:rsidR="00D019A4">
        <w:rPr>
          <w:rFonts w:ascii="Times New Roman" w:hAnsi="Times New Roman" w:cs="Times New Roman"/>
          <w:sz w:val="24"/>
          <w:szCs w:val="24"/>
        </w:rPr>
        <w:lastRenderedPageBreak/>
        <w:t>gender.</w:t>
      </w:r>
      <w:r w:rsidR="00D019A4">
        <w:rPr>
          <w:rStyle w:val="FootnoteReference"/>
          <w:rFonts w:ascii="Times New Roman" w:hAnsi="Times New Roman" w:cs="Times New Roman"/>
          <w:sz w:val="24"/>
          <w:szCs w:val="24"/>
        </w:rPr>
        <w:footnoteReference w:id="9"/>
      </w:r>
      <w:r w:rsidR="000D308C">
        <w:rPr>
          <w:rFonts w:ascii="Times New Roman" w:hAnsi="Times New Roman" w:cs="Times New Roman"/>
          <w:sz w:val="24"/>
          <w:szCs w:val="24"/>
        </w:rPr>
        <w:t>It appears that Tertullian does not see virgins as equal to a widow, “how many are there who vow virginity from the very moment of their baptism”.</w:t>
      </w:r>
      <w:r w:rsidR="000D308C">
        <w:rPr>
          <w:rStyle w:val="FootnoteReference"/>
          <w:rFonts w:ascii="Times New Roman" w:hAnsi="Times New Roman" w:cs="Times New Roman"/>
          <w:sz w:val="24"/>
          <w:szCs w:val="24"/>
        </w:rPr>
        <w:footnoteReference w:id="10"/>
      </w:r>
      <w:r w:rsidR="000D308C">
        <w:rPr>
          <w:rFonts w:ascii="Times New Roman" w:hAnsi="Times New Roman" w:cs="Times New Roman"/>
          <w:sz w:val="24"/>
          <w:szCs w:val="24"/>
        </w:rPr>
        <w:t xml:space="preserve">Is this a slight towards Thecla who baptised herself? </w:t>
      </w:r>
    </w:p>
    <w:p w14:paraId="01F0E2BB" w14:textId="42F7E789" w:rsidR="00256DD7" w:rsidRDefault="00680723"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r w:rsidR="00E533C0">
        <w:rPr>
          <w:rFonts w:ascii="Times New Roman" w:hAnsi="Times New Roman" w:cs="Times New Roman"/>
          <w:sz w:val="24"/>
          <w:szCs w:val="24"/>
        </w:rPr>
        <w:t xml:space="preserve">It is clear that Tertullian favours the widow, “the life a widow leads </w:t>
      </w:r>
      <w:proofErr w:type="gramStart"/>
      <w:r w:rsidR="00E533C0">
        <w:rPr>
          <w:rFonts w:ascii="Times New Roman" w:hAnsi="Times New Roman" w:cs="Times New Roman"/>
          <w:sz w:val="24"/>
          <w:szCs w:val="24"/>
        </w:rPr>
        <w:t>is</w:t>
      </w:r>
      <w:proofErr w:type="gramEnd"/>
      <w:r w:rsidR="00E533C0">
        <w:rPr>
          <w:rFonts w:ascii="Times New Roman" w:hAnsi="Times New Roman" w:cs="Times New Roman"/>
          <w:sz w:val="24"/>
          <w:szCs w:val="24"/>
        </w:rPr>
        <w:t xml:space="preserve"> more difficult, </w:t>
      </w:r>
      <w:r w:rsidR="00ED3EB7">
        <w:rPr>
          <w:rFonts w:ascii="Times New Roman" w:hAnsi="Times New Roman" w:cs="Times New Roman"/>
          <w:sz w:val="24"/>
          <w:szCs w:val="24"/>
        </w:rPr>
        <w:t>since it is easy not to desire that of which you are ignorant”.</w:t>
      </w:r>
      <w:r w:rsidR="00ED3EB7">
        <w:rPr>
          <w:rStyle w:val="FootnoteReference"/>
          <w:rFonts w:ascii="Times New Roman" w:hAnsi="Times New Roman" w:cs="Times New Roman"/>
          <w:sz w:val="24"/>
          <w:szCs w:val="24"/>
        </w:rPr>
        <w:footnoteReference w:id="11"/>
      </w:r>
      <w:r w:rsidR="00ED3EB7">
        <w:rPr>
          <w:rFonts w:ascii="Times New Roman" w:hAnsi="Times New Roman" w:cs="Times New Roman"/>
          <w:sz w:val="24"/>
          <w:szCs w:val="24"/>
        </w:rPr>
        <w:t xml:space="preserve"> Tertullian here claims that the virgin will find chastity easier as she has no experience of being a wife or known childbirth whereas a wife must give up the comforts and securities that come with marriage.</w:t>
      </w:r>
      <w:r w:rsidR="00ED3EB7">
        <w:rPr>
          <w:rStyle w:val="FootnoteReference"/>
          <w:rFonts w:ascii="Times New Roman" w:hAnsi="Times New Roman" w:cs="Times New Roman"/>
          <w:sz w:val="24"/>
          <w:szCs w:val="24"/>
        </w:rPr>
        <w:footnoteReference w:id="12"/>
      </w:r>
      <w:r w:rsidR="00ED3EB7">
        <w:rPr>
          <w:rFonts w:ascii="Times New Roman" w:hAnsi="Times New Roman" w:cs="Times New Roman"/>
          <w:sz w:val="24"/>
          <w:szCs w:val="24"/>
        </w:rPr>
        <w:t xml:space="preserve"> By denying a second marriage and committing to a life of sexual continence the widow essentially regains her virginity.</w:t>
      </w:r>
      <w:r w:rsidR="00ED3EB7">
        <w:rPr>
          <w:rStyle w:val="FootnoteReference"/>
          <w:rFonts w:ascii="Times New Roman" w:hAnsi="Times New Roman" w:cs="Times New Roman"/>
          <w:sz w:val="24"/>
          <w:szCs w:val="24"/>
        </w:rPr>
        <w:footnoteReference w:id="13"/>
      </w:r>
      <w:r w:rsidR="00ED3EB7">
        <w:rPr>
          <w:rFonts w:ascii="Times New Roman" w:hAnsi="Times New Roman" w:cs="Times New Roman"/>
          <w:sz w:val="24"/>
          <w:szCs w:val="24"/>
        </w:rPr>
        <w:t xml:space="preserve"> As Charlotte Methuen writes in her article the term Virgin and Widow have a shared connotation of living a chaste life.</w:t>
      </w:r>
      <w:r w:rsidR="00ED3EB7">
        <w:rPr>
          <w:rStyle w:val="FootnoteReference"/>
          <w:rFonts w:ascii="Times New Roman" w:hAnsi="Times New Roman" w:cs="Times New Roman"/>
          <w:sz w:val="24"/>
          <w:szCs w:val="24"/>
        </w:rPr>
        <w:footnoteReference w:id="14"/>
      </w:r>
      <w:r w:rsidR="00ED3EB7">
        <w:rPr>
          <w:rFonts w:ascii="Times New Roman" w:hAnsi="Times New Roman" w:cs="Times New Roman"/>
          <w:sz w:val="24"/>
          <w:szCs w:val="24"/>
        </w:rPr>
        <w:t xml:space="preserve"> </w:t>
      </w:r>
      <w:r w:rsidR="006C651E">
        <w:rPr>
          <w:rFonts w:ascii="Times New Roman" w:hAnsi="Times New Roman" w:cs="Times New Roman"/>
          <w:sz w:val="24"/>
          <w:szCs w:val="24"/>
        </w:rPr>
        <w:t>However, this idea that giving up something that you have experienced presents some problems</w:t>
      </w:r>
      <w:r w:rsidR="00027A54">
        <w:rPr>
          <w:rFonts w:ascii="Times New Roman" w:hAnsi="Times New Roman" w:cs="Times New Roman"/>
          <w:sz w:val="24"/>
          <w:szCs w:val="24"/>
        </w:rPr>
        <w:t xml:space="preserve">. A Virgin is pure since they have not submitted to the desires of the flesh and is therefore unpolluted, in marriage sex is acceptable when done to procreate and is expected of wives. But what of the women who have sold their bodies like </w:t>
      </w:r>
      <w:proofErr w:type="spellStart"/>
      <w:r w:rsidR="00027A54">
        <w:rPr>
          <w:rFonts w:ascii="Times New Roman" w:hAnsi="Times New Roman" w:cs="Times New Roman"/>
          <w:sz w:val="24"/>
          <w:szCs w:val="24"/>
        </w:rPr>
        <w:t>Pelagia</w:t>
      </w:r>
      <w:proofErr w:type="spellEnd"/>
      <w:r w:rsidR="00027A54">
        <w:rPr>
          <w:rFonts w:ascii="Times New Roman" w:hAnsi="Times New Roman" w:cs="Times New Roman"/>
          <w:sz w:val="24"/>
          <w:szCs w:val="24"/>
        </w:rPr>
        <w:t>?</w:t>
      </w:r>
      <w:r w:rsidR="005E7DEC">
        <w:rPr>
          <w:rStyle w:val="FootnoteReference"/>
          <w:rFonts w:ascii="Times New Roman" w:hAnsi="Times New Roman" w:cs="Times New Roman"/>
          <w:sz w:val="24"/>
          <w:szCs w:val="24"/>
        </w:rPr>
        <w:footnoteReference w:id="15"/>
      </w:r>
      <w:r w:rsidR="00027A54">
        <w:rPr>
          <w:rFonts w:ascii="Times New Roman" w:hAnsi="Times New Roman" w:cs="Times New Roman"/>
          <w:sz w:val="24"/>
          <w:szCs w:val="24"/>
        </w:rPr>
        <w:t xml:space="preserve"> Where would she sit in </w:t>
      </w:r>
      <w:r w:rsidR="00217440">
        <w:rPr>
          <w:rFonts w:ascii="Times New Roman" w:hAnsi="Times New Roman" w:cs="Times New Roman"/>
          <w:sz w:val="24"/>
          <w:szCs w:val="24"/>
        </w:rPr>
        <w:t>Tertullian’s</w:t>
      </w:r>
      <w:r w:rsidR="00027A54">
        <w:rPr>
          <w:rFonts w:ascii="Times New Roman" w:hAnsi="Times New Roman" w:cs="Times New Roman"/>
          <w:sz w:val="24"/>
          <w:szCs w:val="24"/>
        </w:rPr>
        <w:t xml:space="preserve"> order of most pure? </w:t>
      </w:r>
    </w:p>
    <w:p w14:paraId="6ED56457" w14:textId="2F8A3588" w:rsidR="005E7DEC" w:rsidRDefault="005E7DEC"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r w:rsidR="005B0E7A">
        <w:rPr>
          <w:rFonts w:ascii="Times New Roman" w:hAnsi="Times New Roman" w:cs="Times New Roman"/>
          <w:sz w:val="24"/>
          <w:szCs w:val="24"/>
        </w:rPr>
        <w:t xml:space="preserve">There are many aspects of </w:t>
      </w:r>
      <w:r w:rsidR="00217440">
        <w:rPr>
          <w:rFonts w:ascii="Times New Roman" w:hAnsi="Times New Roman" w:cs="Times New Roman"/>
          <w:sz w:val="24"/>
          <w:szCs w:val="24"/>
        </w:rPr>
        <w:t>Tertullian’s</w:t>
      </w:r>
      <w:r w:rsidR="005B0E7A">
        <w:rPr>
          <w:rFonts w:ascii="Times New Roman" w:hAnsi="Times New Roman" w:cs="Times New Roman"/>
          <w:sz w:val="24"/>
          <w:szCs w:val="24"/>
        </w:rPr>
        <w:t xml:space="preserve"> letter that give the prostitute </w:t>
      </w:r>
      <w:proofErr w:type="spellStart"/>
      <w:r w:rsidR="0039127C">
        <w:rPr>
          <w:rFonts w:ascii="Times New Roman" w:hAnsi="Times New Roman" w:cs="Times New Roman"/>
          <w:sz w:val="24"/>
          <w:szCs w:val="24"/>
        </w:rPr>
        <w:t>Pelagia</w:t>
      </w:r>
      <w:proofErr w:type="spellEnd"/>
      <w:r w:rsidR="0039127C">
        <w:rPr>
          <w:rFonts w:ascii="Times New Roman" w:hAnsi="Times New Roman" w:cs="Times New Roman"/>
          <w:sz w:val="24"/>
          <w:szCs w:val="24"/>
        </w:rPr>
        <w:t xml:space="preserve"> the upper hand compared to the Virgin. He compares the spirit to heaven and the body to earth and comments on how the spirit must prevail over the body, “should not the things of earth yield to the things of heaven?”.</w:t>
      </w:r>
      <w:r w:rsidR="0039127C">
        <w:rPr>
          <w:rStyle w:val="FootnoteReference"/>
          <w:rFonts w:ascii="Times New Roman" w:hAnsi="Times New Roman" w:cs="Times New Roman"/>
          <w:sz w:val="24"/>
          <w:szCs w:val="24"/>
        </w:rPr>
        <w:footnoteReference w:id="16"/>
      </w:r>
      <w:r w:rsidR="0039127C">
        <w:rPr>
          <w:rFonts w:ascii="Times New Roman" w:hAnsi="Times New Roman" w:cs="Times New Roman"/>
          <w:sz w:val="24"/>
          <w:szCs w:val="24"/>
        </w:rPr>
        <w:t xml:space="preserve"> The Virgin has never yielded to her body and therefore remains unpolluted but, in </w:t>
      </w:r>
      <w:r w:rsidR="00217440">
        <w:rPr>
          <w:rFonts w:ascii="Times New Roman" w:hAnsi="Times New Roman" w:cs="Times New Roman"/>
          <w:sz w:val="24"/>
          <w:szCs w:val="24"/>
        </w:rPr>
        <w:t>Tertullian’s</w:t>
      </w:r>
      <w:r w:rsidR="0039127C">
        <w:rPr>
          <w:rFonts w:ascii="Times New Roman" w:hAnsi="Times New Roman" w:cs="Times New Roman"/>
          <w:sz w:val="24"/>
          <w:szCs w:val="24"/>
        </w:rPr>
        <w:t xml:space="preserve"> eyes the spirit of those who have chosen to give up or change their lives deserves more praise, “chastity is more praiseworthy when it is sensible of the right it has sacrificed and knows what it has experienced”.</w:t>
      </w:r>
      <w:r w:rsidR="0039127C">
        <w:rPr>
          <w:rStyle w:val="FootnoteReference"/>
          <w:rFonts w:ascii="Times New Roman" w:hAnsi="Times New Roman" w:cs="Times New Roman"/>
          <w:sz w:val="24"/>
          <w:szCs w:val="24"/>
        </w:rPr>
        <w:footnoteReference w:id="17"/>
      </w:r>
    </w:p>
    <w:p w14:paraId="7EC9BB30" w14:textId="0D0AD24D" w:rsidR="00DF7DD0" w:rsidRDefault="00DF7DD0"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r w:rsidR="00C644AD">
        <w:rPr>
          <w:rFonts w:ascii="Times New Roman" w:hAnsi="Times New Roman" w:cs="Times New Roman"/>
          <w:sz w:val="24"/>
          <w:szCs w:val="24"/>
        </w:rPr>
        <w:t>What sets the Prostitute and the Widow apart is that, in Tertullian’s eyes</w:t>
      </w:r>
      <w:r w:rsidR="00972D2F">
        <w:rPr>
          <w:rFonts w:ascii="Times New Roman" w:hAnsi="Times New Roman" w:cs="Times New Roman"/>
          <w:sz w:val="24"/>
          <w:szCs w:val="24"/>
        </w:rPr>
        <w:t>, a Widow is not just tested by her ability to control her sexual desires but through her life experiences. Widows may have raised children, cared for the sick and given others council and support.</w:t>
      </w:r>
      <w:r w:rsidR="00972D2F">
        <w:rPr>
          <w:rStyle w:val="FootnoteReference"/>
          <w:rFonts w:ascii="Times New Roman" w:hAnsi="Times New Roman" w:cs="Times New Roman"/>
          <w:sz w:val="24"/>
          <w:szCs w:val="24"/>
        </w:rPr>
        <w:footnoteReference w:id="18"/>
      </w:r>
      <w:r w:rsidR="00972D2F">
        <w:rPr>
          <w:rFonts w:ascii="Times New Roman" w:hAnsi="Times New Roman" w:cs="Times New Roman"/>
          <w:sz w:val="24"/>
          <w:szCs w:val="24"/>
        </w:rPr>
        <w:t xml:space="preserve"> Our two examples of a Virgin and a Prostitute dedicated their lives to chastity early in their lives and are unlikely to have had the same opportunity as Widows. </w:t>
      </w:r>
      <w:r w:rsidR="005B0682">
        <w:rPr>
          <w:rFonts w:ascii="Times New Roman" w:hAnsi="Times New Roman" w:cs="Times New Roman"/>
          <w:sz w:val="24"/>
          <w:szCs w:val="24"/>
        </w:rPr>
        <w:t xml:space="preserve">They also did not perform the same duties in the social structure of Christianity, Thecla and </w:t>
      </w:r>
      <w:proofErr w:type="spellStart"/>
      <w:r w:rsidR="005B0682">
        <w:rPr>
          <w:rFonts w:ascii="Times New Roman" w:hAnsi="Times New Roman" w:cs="Times New Roman"/>
          <w:sz w:val="24"/>
          <w:szCs w:val="24"/>
        </w:rPr>
        <w:t>Pelgia</w:t>
      </w:r>
      <w:proofErr w:type="spellEnd"/>
      <w:r w:rsidR="005B0682">
        <w:rPr>
          <w:rFonts w:ascii="Times New Roman" w:hAnsi="Times New Roman" w:cs="Times New Roman"/>
          <w:sz w:val="24"/>
          <w:szCs w:val="24"/>
        </w:rPr>
        <w:t xml:space="preserve"> lived ascetic lives away from the community so how are they to offer the same support as a widow? They provide women a different model to which they can live their lives. </w:t>
      </w:r>
      <w:r w:rsidR="00972D2F">
        <w:rPr>
          <w:rFonts w:ascii="Times New Roman" w:hAnsi="Times New Roman" w:cs="Times New Roman"/>
          <w:sz w:val="24"/>
          <w:szCs w:val="24"/>
        </w:rPr>
        <w:t>Tertullian believes that Widows would be favoured by God also, even calling them angels, “and remaining unmarries, they are reckoned even while still on earth, as belonging to the household of angels.”</w:t>
      </w:r>
      <w:r w:rsidR="00972D2F">
        <w:rPr>
          <w:rStyle w:val="FootnoteReference"/>
          <w:rFonts w:ascii="Times New Roman" w:hAnsi="Times New Roman" w:cs="Times New Roman"/>
          <w:sz w:val="24"/>
          <w:szCs w:val="24"/>
        </w:rPr>
        <w:footnoteReference w:id="19"/>
      </w:r>
      <w:r w:rsidR="00972D2F">
        <w:rPr>
          <w:rFonts w:ascii="Times New Roman" w:hAnsi="Times New Roman" w:cs="Times New Roman"/>
          <w:sz w:val="24"/>
          <w:szCs w:val="24"/>
        </w:rPr>
        <w:t xml:space="preserve">  </w:t>
      </w:r>
      <w:r w:rsidR="0023236A">
        <w:rPr>
          <w:rFonts w:ascii="Times New Roman" w:hAnsi="Times New Roman" w:cs="Times New Roman"/>
          <w:sz w:val="24"/>
          <w:szCs w:val="24"/>
        </w:rPr>
        <w:t>Therefore, Widows were women with rank that young, unmarried women could not achieve, and Tertullian believed that they should not aspire to the same status.</w:t>
      </w:r>
      <w:r w:rsidR="0023236A">
        <w:rPr>
          <w:rStyle w:val="FootnoteReference"/>
          <w:rFonts w:ascii="Times New Roman" w:hAnsi="Times New Roman" w:cs="Times New Roman"/>
          <w:sz w:val="24"/>
          <w:szCs w:val="24"/>
        </w:rPr>
        <w:footnoteReference w:id="20"/>
      </w:r>
    </w:p>
    <w:p w14:paraId="222FDF3F" w14:textId="43EDE159" w:rsidR="0023236A" w:rsidRDefault="0023236A"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lastRenderedPageBreak/>
        <w:tab/>
      </w:r>
      <w:r w:rsidR="00427446">
        <w:rPr>
          <w:rFonts w:ascii="Times New Roman" w:hAnsi="Times New Roman" w:cs="Times New Roman"/>
          <w:sz w:val="24"/>
          <w:szCs w:val="24"/>
        </w:rPr>
        <w:t xml:space="preserve">Tertullian moves on to discuss Gods plan and will. He describes Gods will in an effort to </w:t>
      </w:r>
      <w:r w:rsidR="006777A5">
        <w:rPr>
          <w:rFonts w:ascii="Times New Roman" w:hAnsi="Times New Roman" w:cs="Times New Roman"/>
          <w:sz w:val="24"/>
          <w:szCs w:val="24"/>
        </w:rPr>
        <w:t xml:space="preserve">convince his wife that should he pass, her remaining a Widow will bring her closer to God because she is following Gods will, “God wills that a woman </w:t>
      </w:r>
      <w:proofErr w:type="gramStart"/>
      <w:r w:rsidR="006777A5">
        <w:rPr>
          <w:rFonts w:ascii="Times New Roman" w:hAnsi="Times New Roman" w:cs="Times New Roman"/>
          <w:sz w:val="24"/>
          <w:szCs w:val="24"/>
        </w:rPr>
        <w:t>lose</w:t>
      </w:r>
      <w:proofErr w:type="gramEnd"/>
      <w:r w:rsidR="006777A5">
        <w:rPr>
          <w:rFonts w:ascii="Times New Roman" w:hAnsi="Times New Roman" w:cs="Times New Roman"/>
          <w:sz w:val="24"/>
          <w:szCs w:val="24"/>
        </w:rPr>
        <w:t xml:space="preserve"> her husband in death, he also wills that she should be done with marriage itself”.</w:t>
      </w:r>
      <w:r w:rsidR="006777A5">
        <w:rPr>
          <w:rStyle w:val="FootnoteReference"/>
          <w:rFonts w:ascii="Times New Roman" w:hAnsi="Times New Roman" w:cs="Times New Roman"/>
          <w:sz w:val="24"/>
          <w:szCs w:val="24"/>
        </w:rPr>
        <w:footnoteReference w:id="21"/>
      </w:r>
      <w:r w:rsidR="006777A5">
        <w:rPr>
          <w:rFonts w:ascii="Times New Roman" w:hAnsi="Times New Roman" w:cs="Times New Roman"/>
          <w:sz w:val="24"/>
          <w:szCs w:val="24"/>
        </w:rPr>
        <w:t xml:space="preserve"> Through out the Bible, Gods will is displayed and personified through stories such as Adam &amp; Eve and this can also be seen with the story of Noah. As noted by M. J. Geller the animals arriving on the ark travel in pairs of one female and one male by the will of God.</w:t>
      </w:r>
      <w:r w:rsidR="006777A5">
        <w:rPr>
          <w:rStyle w:val="FootnoteReference"/>
          <w:rFonts w:ascii="Times New Roman" w:hAnsi="Times New Roman" w:cs="Times New Roman"/>
          <w:sz w:val="24"/>
          <w:szCs w:val="24"/>
        </w:rPr>
        <w:footnoteReference w:id="22"/>
      </w:r>
      <w:r w:rsidR="005839FB">
        <w:rPr>
          <w:rFonts w:ascii="Times New Roman" w:hAnsi="Times New Roman" w:cs="Times New Roman"/>
          <w:sz w:val="24"/>
          <w:szCs w:val="24"/>
        </w:rPr>
        <w:t xml:space="preserve"> </w:t>
      </w:r>
      <w:r w:rsidR="00EE13EF">
        <w:rPr>
          <w:rFonts w:ascii="Times New Roman" w:hAnsi="Times New Roman" w:cs="Times New Roman"/>
          <w:sz w:val="24"/>
          <w:szCs w:val="24"/>
        </w:rPr>
        <w:t>It is not only the will of God or the stories in the Bible that influence the social rules of purity but also the teachings of Jesus. Throughout his life Jesus can be seen to challenge some of the social norms such as the pagans allowing remarriage.</w:t>
      </w:r>
      <w:r w:rsidR="00EE13EF">
        <w:rPr>
          <w:rStyle w:val="FootnoteReference"/>
          <w:rFonts w:ascii="Times New Roman" w:hAnsi="Times New Roman" w:cs="Times New Roman"/>
          <w:sz w:val="24"/>
          <w:szCs w:val="24"/>
        </w:rPr>
        <w:footnoteReference w:id="23"/>
      </w:r>
      <w:r w:rsidR="00EE13EF">
        <w:rPr>
          <w:rFonts w:ascii="Times New Roman" w:hAnsi="Times New Roman" w:cs="Times New Roman"/>
          <w:sz w:val="24"/>
          <w:szCs w:val="24"/>
        </w:rPr>
        <w:t xml:space="preserve"> In the eyes of Jesus and the church remarriage was sin, Jesus taught “whoever divorces his wife and marries another woman, commits adultery”.</w:t>
      </w:r>
      <w:r w:rsidR="00EE13EF">
        <w:rPr>
          <w:rStyle w:val="FootnoteReference"/>
          <w:rFonts w:ascii="Times New Roman" w:hAnsi="Times New Roman" w:cs="Times New Roman"/>
          <w:sz w:val="24"/>
          <w:szCs w:val="24"/>
        </w:rPr>
        <w:footnoteReference w:id="24"/>
      </w:r>
    </w:p>
    <w:p w14:paraId="17EAEAC7" w14:textId="366B7EB7" w:rsidR="00306F62" w:rsidRDefault="00306F62"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r w:rsidR="00EF2D24">
        <w:rPr>
          <w:rFonts w:ascii="Times New Roman" w:hAnsi="Times New Roman" w:cs="Times New Roman"/>
          <w:sz w:val="24"/>
          <w:szCs w:val="24"/>
        </w:rPr>
        <w:t xml:space="preserve">There are many parts to Tertullian’s letter that support this teaching. Tertullian has already spoken of how pure the </w:t>
      </w:r>
      <w:r w:rsidR="00634A88">
        <w:rPr>
          <w:rFonts w:ascii="Times New Roman" w:hAnsi="Times New Roman" w:cs="Times New Roman"/>
          <w:sz w:val="24"/>
          <w:szCs w:val="24"/>
        </w:rPr>
        <w:t>choice of rejecting second marriage and how there is no need to because there should be nothing else to want. An example of this is when Tertullian writes “I should think it quiet enough to have succumbed once to any one of them and to have satisfied all such wants as these in single marriage”.</w:t>
      </w:r>
      <w:r w:rsidR="00634A88">
        <w:rPr>
          <w:rStyle w:val="FootnoteReference"/>
          <w:rFonts w:ascii="Times New Roman" w:hAnsi="Times New Roman" w:cs="Times New Roman"/>
          <w:sz w:val="24"/>
          <w:szCs w:val="24"/>
        </w:rPr>
        <w:footnoteReference w:id="25"/>
      </w:r>
      <w:r w:rsidR="00634A88">
        <w:rPr>
          <w:rFonts w:ascii="Times New Roman" w:hAnsi="Times New Roman" w:cs="Times New Roman"/>
          <w:sz w:val="24"/>
          <w:szCs w:val="24"/>
        </w:rPr>
        <w:t xml:space="preserve">  This implies that any desires you may have for second marriage are desires of the body. As marriage is for procreation, the second marriage would be for impure reasons and therefore cause pollution.</w:t>
      </w:r>
    </w:p>
    <w:p w14:paraId="54E902F4" w14:textId="13F23267" w:rsidR="00634A88" w:rsidRDefault="00634A88"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r w:rsidR="00127123">
        <w:rPr>
          <w:rFonts w:ascii="Times New Roman" w:hAnsi="Times New Roman" w:cs="Times New Roman"/>
          <w:sz w:val="24"/>
          <w:szCs w:val="24"/>
        </w:rPr>
        <w:t xml:space="preserve">One of the most interesting points Tertullian makes is regarding the end of the world. The afterlife and coming before God played a major role in their lives and the social </w:t>
      </w:r>
      <w:r w:rsidR="00EC6C1B">
        <w:rPr>
          <w:rFonts w:ascii="Times New Roman" w:hAnsi="Times New Roman" w:cs="Times New Roman"/>
          <w:sz w:val="24"/>
          <w:szCs w:val="24"/>
        </w:rPr>
        <w:t>norms created were directly influenced by the judgement day. One must be pure and faithful to enter the kingdom of heaven. Tertullian describes how when the “angels trumpets” sound that his wife doesn’t want to be burdened with children, as they might prevent her entry, “with none of the heaving package of marriage in their wombs or at their breasts”.</w:t>
      </w:r>
      <w:r w:rsidR="00EC6C1B">
        <w:rPr>
          <w:rStyle w:val="FootnoteReference"/>
          <w:rFonts w:ascii="Times New Roman" w:hAnsi="Times New Roman" w:cs="Times New Roman"/>
          <w:sz w:val="24"/>
          <w:szCs w:val="24"/>
        </w:rPr>
        <w:footnoteReference w:id="26"/>
      </w:r>
    </w:p>
    <w:p w14:paraId="4D8455CF" w14:textId="7B5EB825" w:rsidR="00EC6C1B" w:rsidRDefault="00EC6C1B"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r w:rsidR="005B0682">
        <w:rPr>
          <w:rFonts w:ascii="Times New Roman" w:hAnsi="Times New Roman" w:cs="Times New Roman"/>
          <w:sz w:val="24"/>
          <w:szCs w:val="24"/>
        </w:rPr>
        <w:t xml:space="preserve">Overall, the social norm purity has a key part to play in the different choices women can make in their lifetimes and how the opposite sex may view them. In the case of Tertullian, he believes marriage and widows are to be praised more as they are far more beneficial to the community and his church as they have more life experiences. Thecla and </w:t>
      </w:r>
      <w:proofErr w:type="spellStart"/>
      <w:r w:rsidR="005B0682">
        <w:rPr>
          <w:rFonts w:ascii="Times New Roman" w:hAnsi="Times New Roman" w:cs="Times New Roman"/>
          <w:sz w:val="24"/>
          <w:szCs w:val="24"/>
        </w:rPr>
        <w:t>Pelagia</w:t>
      </w:r>
      <w:proofErr w:type="spellEnd"/>
      <w:r w:rsidR="005B0682">
        <w:rPr>
          <w:rFonts w:ascii="Times New Roman" w:hAnsi="Times New Roman" w:cs="Times New Roman"/>
          <w:sz w:val="24"/>
          <w:szCs w:val="24"/>
        </w:rPr>
        <w:t xml:space="preserve"> didn’t so much as serve the community but lived out ascetic lifestyles promoted isolation and purity through suffering. The widow’s decision to remain unmarried means she now become dependent on the church and therefore participates more in the church, colouring Tertullian’s views on their usefulness. </w:t>
      </w:r>
    </w:p>
    <w:p w14:paraId="44CD7826" w14:textId="00FE88D4" w:rsidR="005B0682" w:rsidRDefault="005B0682"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t xml:space="preserve">The purity law has shaped the lives of the virgin, widow and prostitute and offered them freedoms that were not accessible to them in their pagan lives. Through these extreme purity </w:t>
      </w:r>
      <w:r w:rsidR="00967B5E">
        <w:rPr>
          <w:rFonts w:ascii="Times New Roman" w:hAnsi="Times New Roman" w:cs="Times New Roman"/>
          <w:sz w:val="24"/>
          <w:szCs w:val="24"/>
        </w:rPr>
        <w:t>choices,</w:t>
      </w:r>
      <w:r>
        <w:rPr>
          <w:rFonts w:ascii="Times New Roman" w:hAnsi="Times New Roman" w:cs="Times New Roman"/>
          <w:sz w:val="24"/>
          <w:szCs w:val="24"/>
        </w:rPr>
        <w:t xml:space="preserve"> </w:t>
      </w:r>
      <w:r w:rsidR="00967B5E">
        <w:rPr>
          <w:rFonts w:ascii="Times New Roman" w:hAnsi="Times New Roman" w:cs="Times New Roman"/>
          <w:sz w:val="24"/>
          <w:szCs w:val="24"/>
        </w:rPr>
        <w:t>a woman</w:t>
      </w:r>
      <w:r>
        <w:rPr>
          <w:rFonts w:ascii="Times New Roman" w:hAnsi="Times New Roman" w:cs="Times New Roman"/>
          <w:sz w:val="24"/>
          <w:szCs w:val="24"/>
        </w:rPr>
        <w:t xml:space="preserve"> has the chance to gain control of not only her life but of her body </w:t>
      </w:r>
      <w:r w:rsidR="00967B5E">
        <w:rPr>
          <w:rFonts w:ascii="Times New Roman" w:hAnsi="Times New Roman" w:cs="Times New Roman"/>
          <w:sz w:val="24"/>
          <w:szCs w:val="24"/>
        </w:rPr>
        <w:t xml:space="preserve">which may be viewed as the property of their father or fiancés as can be seen in the story of Thecla. </w:t>
      </w:r>
      <w:r w:rsidR="00967B5E">
        <w:rPr>
          <w:rStyle w:val="FootnoteReference"/>
          <w:rFonts w:ascii="Times New Roman" w:hAnsi="Times New Roman" w:cs="Times New Roman"/>
          <w:sz w:val="24"/>
          <w:szCs w:val="24"/>
        </w:rPr>
        <w:footnoteReference w:id="27"/>
      </w:r>
      <w:r w:rsidR="00967B5E">
        <w:rPr>
          <w:rFonts w:ascii="Times New Roman" w:hAnsi="Times New Roman" w:cs="Times New Roman"/>
          <w:sz w:val="24"/>
          <w:szCs w:val="24"/>
        </w:rPr>
        <w:t xml:space="preserve"> By manipulating these opportunities presented by purity perhaps </w:t>
      </w:r>
      <w:r w:rsidR="00967B5E">
        <w:rPr>
          <w:rFonts w:ascii="Times New Roman" w:hAnsi="Times New Roman" w:cs="Times New Roman"/>
          <w:sz w:val="24"/>
          <w:szCs w:val="24"/>
        </w:rPr>
        <w:lastRenderedPageBreak/>
        <w:t xml:space="preserve">Tertullian is trying to influence his wife in becoming a widow so that she was not only looked after but an active part of her religion and community. </w:t>
      </w:r>
    </w:p>
    <w:p w14:paraId="3FD3D0C2" w14:textId="3BFC6E9B" w:rsidR="0066544B" w:rsidRDefault="0066544B" w:rsidP="003B1EB3">
      <w:pPr>
        <w:tabs>
          <w:tab w:val="left" w:pos="2055"/>
        </w:tabs>
        <w:spacing w:line="240" w:lineRule="auto"/>
        <w:rPr>
          <w:rFonts w:ascii="Times New Roman" w:hAnsi="Times New Roman" w:cs="Times New Roman"/>
          <w:sz w:val="24"/>
          <w:szCs w:val="24"/>
        </w:rPr>
      </w:pPr>
    </w:p>
    <w:sdt>
      <w:sdtPr>
        <w:id w:val="45884388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EC2D273" w14:textId="732740DF" w:rsidR="0066544B" w:rsidRDefault="0066544B">
          <w:pPr>
            <w:pStyle w:val="Heading1"/>
          </w:pPr>
          <w:r>
            <w:t>Bibliography</w:t>
          </w:r>
        </w:p>
        <w:sdt>
          <w:sdtPr>
            <w:id w:val="111145805"/>
            <w:bibliography/>
          </w:sdtPr>
          <w:sdtContent>
            <w:p w14:paraId="78ACF980" w14:textId="77777777" w:rsidR="0066544B" w:rsidRDefault="0066544B" w:rsidP="0066544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Clark, E. A. (2008). The Celibate Bridegroom and His Virginal Brides. </w:t>
              </w:r>
              <w:r>
                <w:rPr>
                  <w:i/>
                  <w:iCs/>
                  <w:noProof/>
                  <w:lang w:val="en-US"/>
                </w:rPr>
                <w:t>Church History</w:t>
              </w:r>
              <w:r>
                <w:rPr>
                  <w:noProof/>
                  <w:lang w:val="en-US"/>
                </w:rPr>
                <w:t>, 1-25.</w:t>
              </w:r>
            </w:p>
            <w:p w14:paraId="1EEC8F79" w14:textId="77777777" w:rsidR="0066544B" w:rsidRDefault="0066544B" w:rsidP="0066544B">
              <w:pPr>
                <w:pStyle w:val="Bibliography"/>
                <w:ind w:left="720" w:hanging="720"/>
                <w:rPr>
                  <w:noProof/>
                  <w:lang w:val="en-US"/>
                </w:rPr>
              </w:pPr>
              <w:r>
                <w:rPr>
                  <w:noProof/>
                  <w:lang w:val="en-US"/>
                </w:rPr>
                <w:t xml:space="preserve">Geller, M. J. (1994). Early Christianity and the Dead Sea Scrolls. </w:t>
              </w:r>
              <w:r>
                <w:rPr>
                  <w:i/>
                  <w:iCs/>
                  <w:noProof/>
                  <w:lang w:val="en-US"/>
                </w:rPr>
                <w:t>Bulletin of the School of Oriental and African Studies</w:t>
              </w:r>
              <w:r>
                <w:rPr>
                  <w:noProof/>
                  <w:lang w:val="en-US"/>
                </w:rPr>
                <w:t>, 82-86.</w:t>
              </w:r>
            </w:p>
            <w:p w14:paraId="7448E50D" w14:textId="77777777" w:rsidR="0066544B" w:rsidRDefault="0066544B" w:rsidP="0066544B">
              <w:pPr>
                <w:pStyle w:val="Bibliography"/>
                <w:ind w:left="720" w:hanging="720"/>
                <w:rPr>
                  <w:noProof/>
                  <w:lang w:val="en-US"/>
                </w:rPr>
              </w:pPr>
              <w:r>
                <w:rPr>
                  <w:noProof/>
                  <w:lang w:val="en-US"/>
                </w:rPr>
                <w:t xml:space="preserve">Harvey, S. B. (1998). </w:t>
              </w:r>
              <w:r>
                <w:rPr>
                  <w:i/>
                  <w:iCs/>
                  <w:noProof/>
                  <w:lang w:val="en-US"/>
                </w:rPr>
                <w:t>Holy Women of the Syrian Orient.</w:t>
              </w:r>
              <w:r>
                <w:rPr>
                  <w:noProof/>
                  <w:lang w:val="en-US"/>
                </w:rPr>
                <w:t xml:space="preserve"> Berkeley: University of California Press.</w:t>
              </w:r>
            </w:p>
            <w:p w14:paraId="2B882A98" w14:textId="77777777" w:rsidR="0066544B" w:rsidRDefault="0066544B" w:rsidP="0066544B">
              <w:pPr>
                <w:pStyle w:val="Bibliography"/>
                <w:ind w:left="720" w:hanging="720"/>
                <w:rPr>
                  <w:noProof/>
                  <w:lang w:val="en-US"/>
                </w:rPr>
              </w:pPr>
              <w:r>
                <w:rPr>
                  <w:noProof/>
                  <w:lang w:val="en-US"/>
                </w:rPr>
                <w:t xml:space="preserve">Kristen E. Kvam, L. S. (1999). </w:t>
              </w:r>
              <w:r>
                <w:rPr>
                  <w:i/>
                  <w:iCs/>
                  <w:noProof/>
                  <w:lang w:val="en-US"/>
                </w:rPr>
                <w:t>Eva &amp; Adam.</w:t>
              </w:r>
              <w:r>
                <w:rPr>
                  <w:noProof/>
                  <w:lang w:val="en-US"/>
                </w:rPr>
                <w:t xml:space="preserve"> Indiana: Inidana University Press.</w:t>
              </w:r>
            </w:p>
            <w:p w14:paraId="21D6E143" w14:textId="77777777" w:rsidR="0066544B" w:rsidRDefault="0066544B" w:rsidP="0066544B">
              <w:pPr>
                <w:pStyle w:val="Bibliography"/>
                <w:ind w:left="720" w:hanging="720"/>
                <w:rPr>
                  <w:noProof/>
                  <w:lang w:val="en-US"/>
                </w:rPr>
              </w:pPr>
              <w:r>
                <w:rPr>
                  <w:noProof/>
                  <w:lang w:val="en-US"/>
                </w:rPr>
                <w:t xml:space="preserve">Methuen, C. (1997). The "Virgin Widow": A Problematic Social Role for the Early Church. </w:t>
              </w:r>
              <w:r>
                <w:rPr>
                  <w:i/>
                  <w:iCs/>
                  <w:noProof/>
                  <w:lang w:val="en-US"/>
                </w:rPr>
                <w:t>The Harvard Theological Review</w:t>
              </w:r>
              <w:r>
                <w:rPr>
                  <w:noProof/>
                  <w:lang w:val="en-US"/>
                </w:rPr>
                <w:t>, 285-298.</w:t>
              </w:r>
            </w:p>
            <w:p w14:paraId="4B8C8B39" w14:textId="77777777" w:rsidR="0066544B" w:rsidRDefault="0066544B" w:rsidP="0066544B">
              <w:pPr>
                <w:pStyle w:val="Bibliography"/>
                <w:ind w:left="720" w:hanging="720"/>
                <w:rPr>
                  <w:noProof/>
                  <w:lang w:val="en-US"/>
                </w:rPr>
              </w:pPr>
              <w:r>
                <w:rPr>
                  <w:noProof/>
                  <w:lang w:val="en-US"/>
                </w:rPr>
                <w:t xml:space="preserve">Silva, D. A. (n.d.). The Cultural and Social World of the Early Church:Purity, Honour, Patronage and Kinship. In D. A. Silva, </w:t>
              </w:r>
              <w:r>
                <w:rPr>
                  <w:i/>
                  <w:iCs/>
                  <w:noProof/>
                  <w:lang w:val="en-US"/>
                </w:rPr>
                <w:t>An Introduction to the New Testament</w:t>
              </w:r>
              <w:r>
                <w:rPr>
                  <w:noProof/>
                  <w:lang w:val="en-US"/>
                </w:rPr>
                <w:t xml:space="preserve"> (pp. 111-144).</w:t>
              </w:r>
            </w:p>
            <w:p w14:paraId="69C5F946" w14:textId="77777777" w:rsidR="0066544B" w:rsidRDefault="0066544B" w:rsidP="0066544B">
              <w:pPr>
                <w:pStyle w:val="Bibliography"/>
                <w:ind w:left="720" w:hanging="720"/>
                <w:rPr>
                  <w:noProof/>
                  <w:lang w:val="en-US"/>
                </w:rPr>
              </w:pPr>
              <w:r>
                <w:rPr>
                  <w:noProof/>
                  <w:lang w:val="en-US"/>
                </w:rPr>
                <w:t xml:space="preserve">Stark, R. (1994). The role of women in Christian Growth. In </w:t>
              </w:r>
              <w:r>
                <w:rPr>
                  <w:i/>
                  <w:iCs/>
                  <w:noProof/>
                  <w:lang w:val="en-US"/>
                </w:rPr>
                <w:t xml:space="preserve">The Rise of Christianity </w:t>
              </w:r>
              <w:r>
                <w:rPr>
                  <w:noProof/>
                  <w:lang w:val="en-US"/>
                </w:rPr>
                <w:t>(pp. 95-128). Harper Collins Publishers.</w:t>
              </w:r>
            </w:p>
            <w:p w14:paraId="6AF8DE06" w14:textId="77777777" w:rsidR="0066544B" w:rsidRDefault="0066544B" w:rsidP="0066544B">
              <w:pPr>
                <w:pStyle w:val="Bibliography"/>
                <w:ind w:left="720" w:hanging="720"/>
                <w:rPr>
                  <w:noProof/>
                  <w:lang w:val="en-US"/>
                </w:rPr>
              </w:pPr>
              <w:r>
                <w:rPr>
                  <w:noProof/>
                  <w:lang w:val="en-US"/>
                </w:rPr>
                <w:t xml:space="preserve">Tertullian. (1999). Tertullian: To his Wife. In B. D. Ehrman, </w:t>
              </w:r>
              <w:r>
                <w:rPr>
                  <w:i/>
                  <w:iCs/>
                  <w:noProof/>
                  <w:lang w:val="en-US"/>
                </w:rPr>
                <w:t>After the New Testament</w:t>
              </w:r>
              <w:r>
                <w:rPr>
                  <w:noProof/>
                  <w:lang w:val="en-US"/>
                </w:rPr>
                <w:t xml:space="preserve"> (pp. 399-404). New York : Oxford University Press.</w:t>
              </w:r>
            </w:p>
            <w:p w14:paraId="53106576" w14:textId="59A6E836" w:rsidR="0066544B" w:rsidRDefault="0066544B" w:rsidP="0066544B">
              <w:r>
                <w:rPr>
                  <w:b/>
                  <w:bCs/>
                  <w:noProof/>
                </w:rPr>
                <w:fldChar w:fldCharType="end"/>
              </w:r>
            </w:p>
          </w:sdtContent>
        </w:sdt>
      </w:sdtContent>
    </w:sdt>
    <w:p w14:paraId="5E2C043A" w14:textId="77777777" w:rsidR="0066544B" w:rsidRDefault="0066544B" w:rsidP="003B1EB3">
      <w:pPr>
        <w:tabs>
          <w:tab w:val="left" w:pos="2055"/>
        </w:tabs>
        <w:spacing w:line="240" w:lineRule="auto"/>
        <w:rPr>
          <w:rFonts w:ascii="Times New Roman" w:hAnsi="Times New Roman" w:cs="Times New Roman"/>
          <w:sz w:val="24"/>
          <w:szCs w:val="24"/>
        </w:rPr>
      </w:pPr>
      <w:bookmarkStart w:id="0" w:name="_GoBack"/>
      <w:bookmarkEnd w:id="0"/>
    </w:p>
    <w:p w14:paraId="16704B5D" w14:textId="6D07FF7B" w:rsidR="00972D2F" w:rsidRPr="003B1EB3" w:rsidRDefault="00972D2F" w:rsidP="003B1EB3">
      <w:pPr>
        <w:tabs>
          <w:tab w:val="left" w:pos="2055"/>
        </w:tabs>
        <w:spacing w:line="240" w:lineRule="auto"/>
        <w:rPr>
          <w:rFonts w:ascii="Times New Roman" w:hAnsi="Times New Roman" w:cs="Times New Roman"/>
          <w:sz w:val="24"/>
          <w:szCs w:val="24"/>
        </w:rPr>
      </w:pPr>
      <w:r>
        <w:rPr>
          <w:rFonts w:ascii="Times New Roman" w:hAnsi="Times New Roman" w:cs="Times New Roman"/>
          <w:sz w:val="24"/>
          <w:szCs w:val="24"/>
        </w:rPr>
        <w:tab/>
      </w:r>
    </w:p>
    <w:sectPr w:rsidR="00972D2F" w:rsidRPr="003B1E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93E8BC" w14:textId="77777777" w:rsidR="00E671C5" w:rsidRDefault="00E671C5" w:rsidP="007D4A24">
      <w:pPr>
        <w:spacing w:after="0" w:line="240" w:lineRule="auto"/>
      </w:pPr>
      <w:r>
        <w:separator/>
      </w:r>
    </w:p>
  </w:endnote>
  <w:endnote w:type="continuationSeparator" w:id="0">
    <w:p w14:paraId="30357E2F" w14:textId="77777777" w:rsidR="00E671C5" w:rsidRDefault="00E671C5" w:rsidP="007D4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84D661" w14:textId="77777777" w:rsidR="00E671C5" w:rsidRDefault="00E671C5" w:rsidP="007D4A24">
      <w:pPr>
        <w:spacing w:after="0" w:line="240" w:lineRule="auto"/>
      </w:pPr>
      <w:r>
        <w:separator/>
      </w:r>
    </w:p>
  </w:footnote>
  <w:footnote w:type="continuationSeparator" w:id="0">
    <w:p w14:paraId="56323497" w14:textId="77777777" w:rsidR="00E671C5" w:rsidRDefault="00E671C5" w:rsidP="007D4A24">
      <w:pPr>
        <w:spacing w:after="0" w:line="240" w:lineRule="auto"/>
      </w:pPr>
      <w:r>
        <w:continuationSeparator/>
      </w:r>
    </w:p>
  </w:footnote>
  <w:footnote w:id="1">
    <w:p w14:paraId="0E4F7232" w14:textId="212EBA4E" w:rsidR="007D4A24" w:rsidRPr="007D4A24" w:rsidRDefault="007D4A24">
      <w:pPr>
        <w:pStyle w:val="FootnoteText"/>
      </w:pPr>
      <w:r>
        <w:rPr>
          <w:rStyle w:val="FootnoteReference"/>
        </w:rPr>
        <w:footnoteRef/>
      </w:r>
      <w:r>
        <w:t xml:space="preserve"> D. A. DeSilva, </w:t>
      </w:r>
      <w:r>
        <w:rPr>
          <w:i/>
        </w:rPr>
        <w:t xml:space="preserve">An Introduction to the New Testament. </w:t>
      </w:r>
      <w:r>
        <w:t>p.112.</w:t>
      </w:r>
    </w:p>
  </w:footnote>
  <w:footnote w:id="2">
    <w:p w14:paraId="020623EC" w14:textId="4928D4B0" w:rsidR="007D4A24" w:rsidRPr="007D4A24" w:rsidRDefault="007D4A24">
      <w:pPr>
        <w:pStyle w:val="FootnoteText"/>
      </w:pPr>
      <w:r>
        <w:rPr>
          <w:rStyle w:val="FootnoteReference"/>
        </w:rPr>
        <w:footnoteRef/>
      </w:r>
      <w:r>
        <w:t xml:space="preserve"> D. A. DeSilva, </w:t>
      </w:r>
      <w:r>
        <w:rPr>
          <w:i/>
        </w:rPr>
        <w:t xml:space="preserve">An introduction to the New Testament. </w:t>
      </w:r>
      <w:r>
        <w:t>p.116.</w:t>
      </w:r>
    </w:p>
  </w:footnote>
  <w:footnote w:id="3">
    <w:p w14:paraId="7D3751E7" w14:textId="74D5D5F9" w:rsidR="00256DD7" w:rsidRPr="00256DD7" w:rsidRDefault="00256DD7">
      <w:pPr>
        <w:pStyle w:val="FootnoteText"/>
      </w:pPr>
      <w:r>
        <w:rPr>
          <w:rStyle w:val="FootnoteReference"/>
        </w:rPr>
        <w:footnoteRef/>
      </w:r>
      <w:r>
        <w:t xml:space="preserve"> D. A. DeSilva, </w:t>
      </w:r>
      <w:r>
        <w:rPr>
          <w:i/>
        </w:rPr>
        <w:t xml:space="preserve">An Introduction to the New Testament. </w:t>
      </w:r>
      <w:r>
        <w:t>p.118.</w:t>
      </w:r>
    </w:p>
  </w:footnote>
  <w:footnote w:id="4">
    <w:p w14:paraId="075963B9" w14:textId="7DF5F794" w:rsidR="009342D1" w:rsidRPr="009342D1" w:rsidRDefault="009342D1">
      <w:pPr>
        <w:pStyle w:val="FootnoteText"/>
      </w:pPr>
      <w:r>
        <w:rPr>
          <w:rStyle w:val="FootnoteReference"/>
        </w:rPr>
        <w:footnoteRef/>
      </w:r>
      <w:r>
        <w:t xml:space="preserve"> Tertullian, To His Wife. In Bart D. </w:t>
      </w:r>
      <w:proofErr w:type="spellStart"/>
      <w:r>
        <w:t>Ehrman</w:t>
      </w:r>
      <w:proofErr w:type="spellEnd"/>
      <w:r>
        <w:t xml:space="preserve">, </w:t>
      </w:r>
      <w:r>
        <w:rPr>
          <w:i/>
        </w:rPr>
        <w:t>After the New Testament</w:t>
      </w:r>
      <w:r>
        <w:t xml:space="preserve">. (New York: Oxford University Press, 1999). p.75. </w:t>
      </w:r>
    </w:p>
  </w:footnote>
  <w:footnote w:id="5">
    <w:p w14:paraId="2D72F2D3" w14:textId="22411C08" w:rsidR="00074F13" w:rsidRPr="00074F13" w:rsidRDefault="00074F13">
      <w:pPr>
        <w:pStyle w:val="FootnoteText"/>
      </w:pPr>
      <w:r>
        <w:rPr>
          <w:rStyle w:val="FootnoteReference"/>
        </w:rPr>
        <w:footnoteRef/>
      </w:r>
      <w:r>
        <w:t xml:space="preserve"> Kristen E. </w:t>
      </w:r>
      <w:proofErr w:type="spellStart"/>
      <w:r>
        <w:t>Kvam</w:t>
      </w:r>
      <w:proofErr w:type="spellEnd"/>
      <w:r>
        <w:t xml:space="preserve">, </w:t>
      </w:r>
      <w:r>
        <w:rPr>
          <w:i/>
        </w:rPr>
        <w:t>Adam &amp; Eve</w:t>
      </w:r>
      <w:r>
        <w:t>. (Indiana: Indiana University Press, 1999). p. 113.</w:t>
      </w:r>
    </w:p>
  </w:footnote>
  <w:footnote w:id="6">
    <w:p w14:paraId="45CF83F9" w14:textId="67AD82A5" w:rsidR="00074F13" w:rsidRDefault="00074F13">
      <w:pPr>
        <w:pStyle w:val="FootnoteText"/>
      </w:pPr>
      <w:r>
        <w:rPr>
          <w:rStyle w:val="FootnoteReference"/>
        </w:rPr>
        <w:footnoteRef/>
      </w:r>
      <w:r>
        <w:t xml:space="preserve"> Tertullian, To His Wife. p.400.</w:t>
      </w:r>
    </w:p>
  </w:footnote>
  <w:footnote w:id="7">
    <w:p w14:paraId="75191B1B" w14:textId="6BFA71D1" w:rsidR="00074F13" w:rsidRPr="00074F13" w:rsidRDefault="00074F13">
      <w:pPr>
        <w:pStyle w:val="FootnoteText"/>
      </w:pPr>
      <w:r>
        <w:rPr>
          <w:rStyle w:val="FootnoteReference"/>
        </w:rPr>
        <w:footnoteRef/>
      </w:r>
      <w:r>
        <w:t xml:space="preserve"> Kristen E. </w:t>
      </w:r>
      <w:proofErr w:type="spellStart"/>
      <w:r>
        <w:t>Kvam</w:t>
      </w:r>
      <w:proofErr w:type="spellEnd"/>
      <w:r>
        <w:t xml:space="preserve">, </w:t>
      </w:r>
      <w:r>
        <w:rPr>
          <w:i/>
        </w:rPr>
        <w:t>Adam &amp; Eve.</w:t>
      </w:r>
      <w:r>
        <w:t xml:space="preserve"> p.132.</w:t>
      </w:r>
    </w:p>
  </w:footnote>
  <w:footnote w:id="8">
    <w:p w14:paraId="1688290E" w14:textId="3C8CE09D" w:rsidR="00D019A4" w:rsidRPr="00D019A4" w:rsidRDefault="00D019A4">
      <w:pPr>
        <w:pStyle w:val="FootnoteText"/>
      </w:pPr>
      <w:r>
        <w:rPr>
          <w:rStyle w:val="FootnoteReference"/>
        </w:rPr>
        <w:footnoteRef/>
      </w:r>
      <w:r>
        <w:t xml:space="preserve"> Kristen E. </w:t>
      </w:r>
      <w:proofErr w:type="spellStart"/>
      <w:r>
        <w:t>Kvam</w:t>
      </w:r>
      <w:proofErr w:type="spellEnd"/>
      <w:r>
        <w:t xml:space="preserve">, </w:t>
      </w:r>
      <w:r>
        <w:rPr>
          <w:i/>
        </w:rPr>
        <w:t>Adam &amp; Eve.</w:t>
      </w:r>
      <w:r>
        <w:t xml:space="preserve"> p.114</w:t>
      </w:r>
    </w:p>
  </w:footnote>
  <w:footnote w:id="9">
    <w:p w14:paraId="2A2119DE" w14:textId="3B94139C" w:rsidR="00D019A4" w:rsidRPr="000D308C" w:rsidRDefault="00D019A4">
      <w:pPr>
        <w:pStyle w:val="FootnoteText"/>
      </w:pPr>
      <w:r>
        <w:rPr>
          <w:rStyle w:val="FootnoteReference"/>
        </w:rPr>
        <w:footnoteRef/>
      </w:r>
      <w:r>
        <w:t xml:space="preserve"> Charlotte Methuen, ‘The “Virgin Widow”: A Problematic Social Role in the Early Church</w:t>
      </w:r>
      <w:proofErr w:type="gramStart"/>
      <w:r>
        <w:t>? ,</w:t>
      </w:r>
      <w:proofErr w:type="gramEnd"/>
      <w:r>
        <w:t xml:space="preserve"> </w:t>
      </w:r>
      <w:r w:rsidRPr="000D308C">
        <w:rPr>
          <w:i/>
        </w:rPr>
        <w:t>Cambridge University Press</w:t>
      </w:r>
      <w:r w:rsidR="000D308C">
        <w:rPr>
          <w:i/>
        </w:rPr>
        <w:t xml:space="preserve">, </w:t>
      </w:r>
      <w:r w:rsidR="000D308C">
        <w:t>90, 3 (1997), 285-298, p.292.</w:t>
      </w:r>
    </w:p>
  </w:footnote>
  <w:footnote w:id="10">
    <w:p w14:paraId="20AE2613" w14:textId="1C8CF3F2" w:rsidR="000D308C" w:rsidRDefault="000D308C">
      <w:pPr>
        <w:pStyle w:val="FootnoteText"/>
      </w:pPr>
      <w:r>
        <w:rPr>
          <w:rStyle w:val="FootnoteReference"/>
        </w:rPr>
        <w:footnoteRef/>
      </w:r>
      <w:r>
        <w:t xml:space="preserve"> Tertullian, To His Wife. p.403.</w:t>
      </w:r>
    </w:p>
  </w:footnote>
  <w:footnote w:id="11">
    <w:p w14:paraId="76A24E1D" w14:textId="6296264E" w:rsidR="00ED3EB7" w:rsidRDefault="00ED3EB7">
      <w:pPr>
        <w:pStyle w:val="FootnoteText"/>
      </w:pPr>
      <w:r>
        <w:rPr>
          <w:rStyle w:val="FootnoteReference"/>
        </w:rPr>
        <w:footnoteRef/>
      </w:r>
      <w:r>
        <w:t xml:space="preserve"> Tertullian, To His Wife. p.404.</w:t>
      </w:r>
    </w:p>
  </w:footnote>
  <w:footnote w:id="12">
    <w:p w14:paraId="122E2A4D" w14:textId="4B42E3CE" w:rsidR="00ED3EB7" w:rsidRDefault="00ED3EB7">
      <w:pPr>
        <w:pStyle w:val="FootnoteText"/>
      </w:pPr>
      <w:r>
        <w:rPr>
          <w:rStyle w:val="FootnoteReference"/>
        </w:rPr>
        <w:footnoteRef/>
      </w:r>
      <w:r>
        <w:t xml:space="preserve"> Tertullian, To His Wife. p.403.</w:t>
      </w:r>
    </w:p>
  </w:footnote>
  <w:footnote w:id="13">
    <w:p w14:paraId="67224A57" w14:textId="56242D69" w:rsidR="00ED3EB7" w:rsidRPr="00ED3EB7" w:rsidRDefault="00ED3EB7">
      <w:pPr>
        <w:pStyle w:val="FootnoteText"/>
      </w:pPr>
      <w:r>
        <w:rPr>
          <w:rStyle w:val="FootnoteReference"/>
        </w:rPr>
        <w:footnoteRef/>
      </w:r>
      <w:r>
        <w:t xml:space="preserve"> Charlotte Methuen, </w:t>
      </w:r>
      <w:r>
        <w:rPr>
          <w:i/>
        </w:rPr>
        <w:t>The “Virgin Widow”.</w:t>
      </w:r>
      <w:r>
        <w:t xml:space="preserve"> p.288.</w:t>
      </w:r>
    </w:p>
  </w:footnote>
  <w:footnote w:id="14">
    <w:p w14:paraId="676564CD" w14:textId="552E32B8" w:rsidR="00ED3EB7" w:rsidRPr="00ED3EB7" w:rsidRDefault="00ED3EB7">
      <w:pPr>
        <w:pStyle w:val="FootnoteText"/>
      </w:pPr>
      <w:r>
        <w:rPr>
          <w:rStyle w:val="FootnoteReference"/>
        </w:rPr>
        <w:footnoteRef/>
      </w:r>
      <w:r>
        <w:t xml:space="preserve"> Charlotte Methuen, </w:t>
      </w:r>
      <w:r>
        <w:rPr>
          <w:i/>
        </w:rPr>
        <w:t>The “Virgin Widow”</w:t>
      </w:r>
      <w:r>
        <w:t>. p.287.</w:t>
      </w:r>
    </w:p>
  </w:footnote>
  <w:footnote w:id="15">
    <w:p w14:paraId="7BF156C5" w14:textId="098E7A6B" w:rsidR="005E7DEC" w:rsidRPr="005E7DEC" w:rsidRDefault="005E7DEC">
      <w:pPr>
        <w:pStyle w:val="FootnoteText"/>
      </w:pPr>
      <w:r>
        <w:rPr>
          <w:rStyle w:val="FootnoteReference"/>
        </w:rPr>
        <w:footnoteRef/>
      </w:r>
      <w:r>
        <w:t xml:space="preserve"> Sebastian Brock, </w:t>
      </w:r>
      <w:r>
        <w:rPr>
          <w:i/>
        </w:rPr>
        <w:t xml:space="preserve">Holy Women of the Syrian Orient. </w:t>
      </w:r>
      <w:r>
        <w:t>(Berkeley: University of California Press, 1998).</w:t>
      </w:r>
    </w:p>
  </w:footnote>
  <w:footnote w:id="16">
    <w:p w14:paraId="1CD90CD8" w14:textId="2D035833" w:rsidR="0039127C" w:rsidRDefault="0039127C">
      <w:pPr>
        <w:pStyle w:val="FootnoteText"/>
      </w:pPr>
      <w:r>
        <w:rPr>
          <w:rStyle w:val="FootnoteReference"/>
        </w:rPr>
        <w:footnoteRef/>
      </w:r>
      <w:r>
        <w:t xml:space="preserve"> Tertullian, To His Wife. p.401.</w:t>
      </w:r>
    </w:p>
  </w:footnote>
  <w:footnote w:id="17">
    <w:p w14:paraId="08B8FD24" w14:textId="46637F3C" w:rsidR="0039127C" w:rsidRDefault="0039127C">
      <w:pPr>
        <w:pStyle w:val="FootnoteText"/>
      </w:pPr>
      <w:r>
        <w:rPr>
          <w:rStyle w:val="FootnoteReference"/>
        </w:rPr>
        <w:footnoteRef/>
      </w:r>
      <w:r>
        <w:t xml:space="preserve"> Tertullian, To His Wife. p.404.</w:t>
      </w:r>
    </w:p>
  </w:footnote>
  <w:footnote w:id="18">
    <w:p w14:paraId="0A7E45D8" w14:textId="4A8C2318" w:rsidR="00972D2F" w:rsidRPr="00972D2F" w:rsidRDefault="00972D2F">
      <w:pPr>
        <w:pStyle w:val="FootnoteText"/>
      </w:pPr>
      <w:r>
        <w:rPr>
          <w:rStyle w:val="FootnoteReference"/>
        </w:rPr>
        <w:footnoteRef/>
      </w:r>
      <w:r>
        <w:t xml:space="preserve"> Charlotte Methuen, </w:t>
      </w:r>
      <w:r>
        <w:rPr>
          <w:i/>
        </w:rPr>
        <w:t>The “Virgin Widow”.</w:t>
      </w:r>
      <w:r>
        <w:t xml:space="preserve"> p.289.</w:t>
      </w:r>
    </w:p>
  </w:footnote>
  <w:footnote w:id="19">
    <w:p w14:paraId="0B2BC331" w14:textId="45BF8153" w:rsidR="00972D2F" w:rsidRDefault="00972D2F">
      <w:pPr>
        <w:pStyle w:val="FootnoteText"/>
      </w:pPr>
      <w:r>
        <w:rPr>
          <w:rStyle w:val="FootnoteReference"/>
        </w:rPr>
        <w:footnoteRef/>
      </w:r>
      <w:r>
        <w:t xml:space="preserve"> Tertullian, To His Wife. p.402.</w:t>
      </w:r>
    </w:p>
  </w:footnote>
  <w:footnote w:id="20">
    <w:p w14:paraId="29B17009" w14:textId="4D3122CC" w:rsidR="0023236A" w:rsidRPr="0023236A" w:rsidRDefault="0023236A">
      <w:pPr>
        <w:pStyle w:val="FootnoteText"/>
      </w:pPr>
      <w:r>
        <w:rPr>
          <w:rStyle w:val="FootnoteReference"/>
        </w:rPr>
        <w:footnoteRef/>
      </w:r>
      <w:r>
        <w:t xml:space="preserve"> Charlotte Methuen, </w:t>
      </w:r>
      <w:r>
        <w:rPr>
          <w:i/>
        </w:rPr>
        <w:t>The “Virgin Widow”</w:t>
      </w:r>
      <w:r>
        <w:t>. p.293.</w:t>
      </w:r>
    </w:p>
  </w:footnote>
  <w:footnote w:id="21">
    <w:p w14:paraId="635DF966" w14:textId="168B8780" w:rsidR="006777A5" w:rsidRDefault="006777A5">
      <w:pPr>
        <w:pStyle w:val="FootnoteText"/>
      </w:pPr>
      <w:r>
        <w:rPr>
          <w:rStyle w:val="FootnoteReference"/>
        </w:rPr>
        <w:footnoteRef/>
      </w:r>
      <w:r>
        <w:t xml:space="preserve"> Tertullian, To His Wife. p.403.</w:t>
      </w:r>
    </w:p>
  </w:footnote>
  <w:footnote w:id="22">
    <w:p w14:paraId="184464C7" w14:textId="6433AF8F" w:rsidR="006777A5" w:rsidRDefault="006777A5">
      <w:pPr>
        <w:pStyle w:val="FootnoteText"/>
      </w:pPr>
      <w:r>
        <w:rPr>
          <w:rStyle w:val="FootnoteReference"/>
        </w:rPr>
        <w:footnoteRef/>
      </w:r>
      <w:r>
        <w:t xml:space="preserve"> M. J. Geller, ‘Early Christianity and the Dead Sea Scrolls’, </w:t>
      </w:r>
      <w:r>
        <w:rPr>
          <w:i/>
        </w:rPr>
        <w:t xml:space="preserve">Bulletin of the School of Oriental and African Studies, </w:t>
      </w:r>
      <w:r>
        <w:t xml:space="preserve">57, 1 (1994), 82-86, p. 84. </w:t>
      </w:r>
    </w:p>
  </w:footnote>
  <w:footnote w:id="23">
    <w:p w14:paraId="3FD32865" w14:textId="54876366" w:rsidR="00EE13EF" w:rsidRPr="00EE13EF" w:rsidRDefault="00EE13EF">
      <w:pPr>
        <w:pStyle w:val="FootnoteText"/>
      </w:pPr>
      <w:r>
        <w:rPr>
          <w:rStyle w:val="FootnoteReference"/>
        </w:rPr>
        <w:footnoteRef/>
      </w:r>
      <w:r>
        <w:t xml:space="preserve"> Rodney Stark, ‘The Role of Women in Christian Growth’, </w:t>
      </w:r>
      <w:r>
        <w:rPr>
          <w:i/>
        </w:rPr>
        <w:t xml:space="preserve">The Rise of Christianity, </w:t>
      </w:r>
      <w:r>
        <w:t>chapter 5 (1994), 95-128.</w:t>
      </w:r>
    </w:p>
  </w:footnote>
  <w:footnote w:id="24">
    <w:p w14:paraId="11429B80" w14:textId="377E9311" w:rsidR="00EE13EF" w:rsidRPr="00EE13EF" w:rsidRDefault="00EE13EF">
      <w:pPr>
        <w:pStyle w:val="FootnoteText"/>
      </w:pPr>
      <w:r>
        <w:rPr>
          <w:rStyle w:val="FootnoteReference"/>
        </w:rPr>
        <w:footnoteRef/>
      </w:r>
      <w:r>
        <w:t xml:space="preserve"> M. J. Geller, </w:t>
      </w:r>
      <w:r>
        <w:rPr>
          <w:i/>
        </w:rPr>
        <w:t xml:space="preserve">Early Christianity and the Dead Sea Scrolls. </w:t>
      </w:r>
      <w:r>
        <w:t>p.85.</w:t>
      </w:r>
    </w:p>
  </w:footnote>
  <w:footnote w:id="25">
    <w:p w14:paraId="177A47C9" w14:textId="64DA7658" w:rsidR="00634A88" w:rsidRDefault="00634A88">
      <w:pPr>
        <w:pStyle w:val="FootnoteText"/>
      </w:pPr>
      <w:r>
        <w:rPr>
          <w:rStyle w:val="FootnoteReference"/>
        </w:rPr>
        <w:footnoteRef/>
      </w:r>
      <w:r>
        <w:t xml:space="preserve"> Tertullian, To His Wife. p.402.</w:t>
      </w:r>
    </w:p>
  </w:footnote>
  <w:footnote w:id="26">
    <w:p w14:paraId="4B66F65E" w14:textId="34FAC8B2" w:rsidR="00EC6C1B" w:rsidRDefault="00EC6C1B">
      <w:pPr>
        <w:pStyle w:val="FootnoteText"/>
      </w:pPr>
      <w:r>
        <w:rPr>
          <w:rStyle w:val="FootnoteReference"/>
        </w:rPr>
        <w:footnoteRef/>
      </w:r>
      <w:r>
        <w:t xml:space="preserve"> Tertullian, To His Wife. p.402.</w:t>
      </w:r>
    </w:p>
  </w:footnote>
  <w:footnote w:id="27">
    <w:p w14:paraId="710BDA70" w14:textId="38526155" w:rsidR="00967B5E" w:rsidRPr="00967B5E" w:rsidRDefault="00967B5E">
      <w:pPr>
        <w:pStyle w:val="FootnoteText"/>
      </w:pPr>
      <w:r>
        <w:rPr>
          <w:rStyle w:val="FootnoteReference"/>
        </w:rPr>
        <w:footnoteRef/>
      </w:r>
      <w:r>
        <w:t xml:space="preserve"> Roney Stark, </w:t>
      </w:r>
      <w:r>
        <w:rPr>
          <w:i/>
        </w:rPr>
        <w:t xml:space="preserve">The Role of Women in Christian Growth. </w:t>
      </w:r>
      <w:r>
        <w:t>p.120.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EB3"/>
    <w:rsid w:val="000000E5"/>
    <w:rsid w:val="00027A54"/>
    <w:rsid w:val="00074F13"/>
    <w:rsid w:val="000C5D3B"/>
    <w:rsid w:val="000D308C"/>
    <w:rsid w:val="000F7551"/>
    <w:rsid w:val="00127123"/>
    <w:rsid w:val="001D6E4B"/>
    <w:rsid w:val="00203D88"/>
    <w:rsid w:val="00217440"/>
    <w:rsid w:val="0023236A"/>
    <w:rsid w:val="002524D6"/>
    <w:rsid w:val="00256DD7"/>
    <w:rsid w:val="00306F62"/>
    <w:rsid w:val="0039127C"/>
    <w:rsid w:val="003B1EB3"/>
    <w:rsid w:val="00427446"/>
    <w:rsid w:val="00486FF2"/>
    <w:rsid w:val="005839FB"/>
    <w:rsid w:val="005B0682"/>
    <w:rsid w:val="005B0E7A"/>
    <w:rsid w:val="005E7DEC"/>
    <w:rsid w:val="005F2F8E"/>
    <w:rsid w:val="00634A88"/>
    <w:rsid w:val="0066544B"/>
    <w:rsid w:val="006777A5"/>
    <w:rsid w:val="00680723"/>
    <w:rsid w:val="006C651E"/>
    <w:rsid w:val="006D239E"/>
    <w:rsid w:val="00794951"/>
    <w:rsid w:val="007966FF"/>
    <w:rsid w:val="007D4A24"/>
    <w:rsid w:val="00810DFB"/>
    <w:rsid w:val="008352E8"/>
    <w:rsid w:val="008D5EE5"/>
    <w:rsid w:val="00911768"/>
    <w:rsid w:val="009342D1"/>
    <w:rsid w:val="00967B5E"/>
    <w:rsid w:val="00972D2F"/>
    <w:rsid w:val="009829EE"/>
    <w:rsid w:val="009C1558"/>
    <w:rsid w:val="009E7847"/>
    <w:rsid w:val="00AC4B1F"/>
    <w:rsid w:val="00C644AD"/>
    <w:rsid w:val="00D019A4"/>
    <w:rsid w:val="00D358BB"/>
    <w:rsid w:val="00DA29AF"/>
    <w:rsid w:val="00DF7DD0"/>
    <w:rsid w:val="00E533C0"/>
    <w:rsid w:val="00E671C5"/>
    <w:rsid w:val="00E939F3"/>
    <w:rsid w:val="00EC6C1B"/>
    <w:rsid w:val="00ED3EB7"/>
    <w:rsid w:val="00EE13EF"/>
    <w:rsid w:val="00EF2D24"/>
    <w:rsid w:val="00F27A86"/>
    <w:rsid w:val="00FC0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8B20A"/>
  <w15:chartTrackingRefBased/>
  <w15:docId w15:val="{A090CA1C-EF72-447C-8373-37EA43DE5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4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D4A2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4A24"/>
    <w:rPr>
      <w:sz w:val="20"/>
      <w:szCs w:val="20"/>
    </w:rPr>
  </w:style>
  <w:style w:type="character" w:styleId="FootnoteReference">
    <w:name w:val="footnote reference"/>
    <w:basedOn w:val="DefaultParagraphFont"/>
    <w:uiPriority w:val="99"/>
    <w:semiHidden/>
    <w:unhideWhenUsed/>
    <w:rsid w:val="007D4A24"/>
    <w:rPr>
      <w:vertAlign w:val="superscript"/>
    </w:rPr>
  </w:style>
  <w:style w:type="character" w:customStyle="1" w:styleId="Heading1Char">
    <w:name w:val="Heading 1 Char"/>
    <w:basedOn w:val="DefaultParagraphFont"/>
    <w:link w:val="Heading1"/>
    <w:uiPriority w:val="9"/>
    <w:rsid w:val="0066544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654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3806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b:Tag>
    <b:SourceType>BookSection</b:SourceType>
    <b:Guid>{14E9E22A-D9A9-4BAA-8003-436F5DF173AB}</b:Guid>
    <b:Title>The Cultural and Social World of the Early Church:Purity, Honour, Patronage and Kinship</b:Title>
    <b:Author>
      <b:Author>
        <b:NameList>
          <b:Person>
            <b:Last>Silva</b:Last>
            <b:First>David</b:First>
            <b:Middle>A. De</b:Middle>
          </b:Person>
        </b:NameList>
      </b:Author>
      <b:BookAuthor>
        <b:NameList>
          <b:Person>
            <b:Last>Silva</b:Last>
            <b:First>David</b:First>
            <b:Middle>A. De</b:Middle>
          </b:Person>
        </b:NameList>
      </b:BookAuthor>
    </b:Author>
    <b:BookTitle>An Introduction to the New Testament</b:BookTitle>
    <b:Pages>111-144</b:Pages>
    <b:RefOrder>1</b:RefOrder>
  </b:Source>
  <b:Source>
    <b:Tag>Ter99</b:Tag>
    <b:SourceType>BookSection</b:SourceType>
    <b:Guid>{8C5D4BCB-1610-423A-884B-49F8F464F9B0}</b:Guid>
    <b:Author>
      <b:Author>
        <b:NameList>
          <b:Person>
            <b:Last>Tertullian</b:Last>
          </b:Person>
        </b:NameList>
      </b:Author>
      <b:BookAuthor>
        <b:NameList>
          <b:Person>
            <b:Last>Ehrman</b:Last>
            <b:First>Bart</b:First>
            <b:Middle>D.</b:Middle>
          </b:Person>
        </b:NameList>
      </b:BookAuthor>
    </b:Author>
    <b:Title>Tertullian: To his Wife</b:Title>
    <b:BookTitle>After the New Testament</b:BookTitle>
    <b:Year>1999</b:Year>
    <b:Pages>399-404</b:Pages>
    <b:City>New York </b:City>
    <b:Publisher>Oxford University Press</b:Publisher>
    <b:RefOrder>2</b:RefOrder>
  </b:Source>
  <b:Source>
    <b:Tag>Kri99</b:Tag>
    <b:SourceType>Book</b:SourceType>
    <b:Guid>{4A3C7435-2924-4BA7-9C97-D850B00DF2B6}</b:Guid>
    <b:Title>Eva &amp; Adam</b:Title>
    <b:Year>1999</b:Year>
    <b:City>Indiana</b:City>
    <b:Publisher>Inidana University Press</b:Publisher>
    <b:Author>
      <b:Author>
        <b:NameList>
          <b:Person>
            <b:Last>Kristen E. Kvam</b:Last>
            <b:First>Linda</b:First>
            <b:Middle>S. Schearing and Valarie H. Ziegler</b:Middle>
          </b:Person>
        </b:NameList>
      </b:Author>
    </b:Author>
    <b:RefOrder>3</b:RefOrder>
  </b:Source>
  <b:Source>
    <b:Tag>Cha97</b:Tag>
    <b:SourceType>JournalArticle</b:SourceType>
    <b:Guid>{13F9FB5D-DA06-4D27-93C3-4FC256AA573E}</b:Guid>
    <b:Title>The "Virgin Widow": A Problematic Social Role for the Early Church</b:Title>
    <b:Year>1997</b:Year>
    <b:Pages>285-298</b:Pages>
    <b:Author>
      <b:Author>
        <b:NameList>
          <b:Person>
            <b:Last>Methuen</b:Last>
            <b:First>Charlotte</b:First>
          </b:Person>
        </b:NameList>
      </b:Author>
    </b:Author>
    <b:JournalName>The Harvard Theological Review</b:JournalName>
    <b:RefOrder>4</b:RefOrder>
  </b:Source>
  <b:Source>
    <b:Tag>Eli08</b:Tag>
    <b:SourceType>JournalArticle</b:SourceType>
    <b:Guid>{220C9917-F9C8-405D-924F-A0D50795D9C9}</b:Guid>
    <b:Author>
      <b:Author>
        <b:NameList>
          <b:Person>
            <b:Last>Clark</b:Last>
            <b:First>Elizabeth</b:First>
            <b:Middle>A.</b:Middle>
          </b:Person>
        </b:NameList>
      </b:Author>
    </b:Author>
    <b:Title>The Celibate Bridegroom and His Virginal Brides</b:Title>
    <b:JournalName>Church History</b:JournalName>
    <b:Year>2008</b:Year>
    <b:Pages>1-25</b:Pages>
    <b:RefOrder>5</b:RefOrder>
  </b:Source>
  <b:Source>
    <b:Tag>MJG94</b:Tag>
    <b:SourceType>JournalArticle</b:SourceType>
    <b:Guid>{B8294A45-EBD0-44F8-90EC-DFB27AE24938}</b:Guid>
    <b:Author>
      <b:Author>
        <b:NameList>
          <b:Person>
            <b:Last>Geller</b:Last>
            <b:First>M.</b:First>
            <b:Middle>J.</b:Middle>
          </b:Person>
        </b:NameList>
      </b:Author>
    </b:Author>
    <b:Title>Early Christianity and the Dead Sea Scrolls</b:Title>
    <b:JournalName>Bulletin of the School of Oriental and African Studies</b:JournalName>
    <b:Year>1994</b:Year>
    <b:Pages>82-86</b:Pages>
    <b:RefOrder>6</b:RefOrder>
  </b:Source>
  <b:Source>
    <b:Tag>Seb98</b:Tag>
    <b:SourceType>Book</b:SourceType>
    <b:Guid>{787B9642-F3EE-4856-BBE6-0730CAB35ECA}</b:Guid>
    <b:Title>Holy Women of the Syrian Orient</b:Title>
    <b:Year>1998</b:Year>
    <b:City>Berkeley</b:City>
    <b:Publisher>University of California Press</b:Publisher>
    <b:Author>
      <b:Author>
        <b:NameList>
          <b:Person>
            <b:Last>Harvey</b:Last>
            <b:First>Sebastian</b:First>
            <b:Middle>Brock and Susan Ashbrook</b:Middle>
          </b:Person>
        </b:NameList>
      </b:Author>
    </b:Author>
    <b:RefOrder>7</b:RefOrder>
  </b:Source>
  <b:Source>
    <b:Tag>Sta94</b:Tag>
    <b:SourceType>BookSection</b:SourceType>
    <b:Guid>{AAF7B75B-4876-4EB7-9491-681AAB8052F7}</b:Guid>
    <b:Author>
      <b:Author>
        <b:NameList>
          <b:Person>
            <b:Last>Stark</b:Last>
            <b:First>Rodney</b:First>
          </b:Person>
        </b:NameList>
      </b:Author>
    </b:Author>
    <b:Title>The role of women in Christian Growth</b:Title>
    <b:BookTitle>The Rise of Christianity </b:BookTitle>
    <b:Year>1994</b:Year>
    <b:Pages>95-128</b:Pages>
    <b:Publisher>Harper Collins Publishers</b:Publisher>
    <b:RefOrder>8</b:RefOrder>
  </b:Source>
</b:Sources>
</file>

<file path=customXml/itemProps1.xml><?xml version="1.0" encoding="utf-8"?>
<ds:datastoreItem xmlns:ds="http://schemas.openxmlformats.org/officeDocument/2006/customXml" ds:itemID="{C10683E8-A363-43FA-B9F3-42346CD64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2744</TotalTime>
  <Pages>4</Pages>
  <Words>1520</Words>
  <Characters>8664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28</cp:revision>
  <dcterms:created xsi:type="dcterms:W3CDTF">2018-05-16T19:19:00Z</dcterms:created>
  <dcterms:modified xsi:type="dcterms:W3CDTF">2018-05-21T17:08:00Z</dcterms:modified>
</cp:coreProperties>
</file>