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2B8A4975">
      <w:r w:rsidR="292B4872">
        <w:rPr/>
        <w:t xml:space="preserve">This essay is a critical review of the article </w:t>
      </w:r>
      <w:r w:rsidR="71504C7F">
        <w:rPr/>
        <w:t>‘</w:t>
      </w:r>
      <w:r w:rsidR="292B4872">
        <w:rPr/>
        <w:t xml:space="preserve">Between Roundhouse and </w:t>
      </w:r>
      <w:r w:rsidR="26BCCB01">
        <w:rPr/>
        <w:t>Villa: Assessing Perinatal and Infant Burials from Piddington, Northamptonshire</w:t>
      </w:r>
      <w:r w:rsidR="10084919">
        <w:rPr/>
        <w:t>’</w:t>
      </w:r>
      <w:r w:rsidR="26BCCB01">
        <w:rPr/>
        <w:t xml:space="preserve"> by Claire M.</w:t>
      </w:r>
      <w:r w:rsidR="26BCCB01">
        <w:rPr/>
        <w:t xml:space="preserve"> Thompson (</w:t>
      </w:r>
      <w:r w:rsidR="5BEC0C4D">
        <w:rPr/>
        <w:t>Britannia</w:t>
      </w:r>
      <w:r w:rsidR="4F8548AA">
        <w:rPr/>
        <w:t xml:space="preserve"> vol. 48</w:t>
      </w:r>
      <w:r w:rsidR="5BEC0C4D">
        <w:rPr/>
        <w:t>,</w:t>
      </w:r>
      <w:r w:rsidR="180A3C09">
        <w:rPr/>
        <w:t xml:space="preserve"> published by the</w:t>
      </w:r>
      <w:r w:rsidR="5BEC0C4D">
        <w:rPr/>
        <w:t xml:space="preserve"> Society for the Promotion of Roman Studies). </w:t>
      </w:r>
      <w:r w:rsidR="3F55B69D">
        <w:rPr/>
        <w:t xml:space="preserve">In it, I shall summarise, criticise, </w:t>
      </w:r>
      <w:r w:rsidR="58DE3D32">
        <w:rPr/>
        <w:t>analyse,</w:t>
      </w:r>
      <w:r w:rsidR="3F55B69D">
        <w:rPr/>
        <w:t xml:space="preserve"> and engage with the scholarly debate</w:t>
      </w:r>
      <w:r w:rsidR="1204BCC3">
        <w:rPr/>
        <w:t xml:space="preserve"> </w:t>
      </w:r>
      <w:r w:rsidR="3F55B69D">
        <w:rPr/>
        <w:t xml:space="preserve">surrounding the </w:t>
      </w:r>
      <w:r w:rsidR="0CDCBF51">
        <w:rPr/>
        <w:t xml:space="preserve">article </w:t>
      </w:r>
      <w:r w:rsidR="3F55B69D">
        <w:rPr/>
        <w:t xml:space="preserve">itself, </w:t>
      </w:r>
      <w:r w:rsidR="40F186FE">
        <w:rPr/>
        <w:t xml:space="preserve">its arguments, </w:t>
      </w:r>
      <w:r w:rsidR="5D24F805">
        <w:rPr/>
        <w:t>themes,</w:t>
      </w:r>
      <w:r w:rsidR="40F186FE">
        <w:rPr/>
        <w:t xml:space="preserve"> and </w:t>
      </w:r>
      <w:r w:rsidR="4BCDC6DE">
        <w:rPr/>
        <w:t>conclusions,</w:t>
      </w:r>
      <w:r w:rsidR="2D8A4CB8">
        <w:rPr/>
        <w:t xml:space="preserve"> concluding with a</w:t>
      </w:r>
      <w:r w:rsidR="63A6DADD">
        <w:rPr/>
        <w:t xml:space="preserve">n overall </w:t>
      </w:r>
      <w:r w:rsidR="2D8A4CB8">
        <w:rPr/>
        <w:t>evaluation</w:t>
      </w:r>
      <w:r w:rsidR="7B06DAC1">
        <w:rPr/>
        <w:t xml:space="preserve"> of its merits and weaknesses</w:t>
      </w:r>
      <w:r w:rsidR="3B8B9475">
        <w:rPr/>
        <w:t xml:space="preserve">. </w:t>
      </w:r>
    </w:p>
    <w:p w:rsidR="79D74556" w:rsidP="5AC7BDE8" w:rsidRDefault="79D74556" w14:paraId="2D761296" w14:textId="120E20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79D74556">
        <w:rPr/>
        <w:t xml:space="preserve">The principal </w:t>
      </w:r>
      <w:r w:rsidR="5AB0BFD1">
        <w:rPr/>
        <w:t xml:space="preserve">argument </w:t>
      </w:r>
      <w:r w:rsidR="79D74556">
        <w:rPr/>
        <w:t xml:space="preserve">of the article</w:t>
      </w:r>
      <w:r w:rsidR="43C625FC">
        <w:rPr/>
        <w:t xml:space="preserve"> </w:t>
      </w:r>
      <w:r w:rsidR="79D74556">
        <w:rPr/>
        <w:t xml:space="preserve">is that </w:t>
      </w:r>
      <w:r w:rsidR="70C8B26F">
        <w:rPr/>
        <w:t xml:space="preserve">while evidence of perinatal and infant </w:t>
      </w:r>
      <w:r w:rsidR="70C8B26F">
        <w:rPr/>
        <w:t>remains</w:t>
      </w:r>
      <w:r w:rsidR="1FF13DF8">
        <w:rPr/>
        <w:t xml:space="preserve"> in Iron Age and Romano-British domestic sites</w:t>
      </w:r>
      <w:r w:rsidR="70C8B26F">
        <w:rPr/>
        <w:t xml:space="preserve"> (a historically neglected </w:t>
      </w:r>
      <w:r w:rsidR="6A621C0B">
        <w:rPr/>
        <w:t>subject)</w:t>
      </w:r>
      <w:r w:rsidR="70C8B26F">
        <w:rPr/>
        <w:t xml:space="preserve"> is receiving increasing attention</w:t>
      </w:r>
      <w:r w:rsidR="1572C372">
        <w:rPr/>
        <w:t xml:space="preserve"> from </w:t>
      </w:r>
      <w:r w:rsidR="67B2EF2A">
        <w:rPr/>
        <w:t>a “</w:t>
      </w:r>
      <w:r w:rsidR="064B4A14">
        <w:rPr/>
        <w:t xml:space="preserve">range </w:t>
      </w:r>
      <w:r w:rsidR="67B2EF2A">
        <w:rPr/>
        <w:t>of disciplines</w:t>
      </w:r>
      <w:r w:rsidR="67B2EF2A">
        <w:rPr/>
        <w:t>,”</w:t>
      </w:r>
      <w:r w:rsidRPr="7925CB14">
        <w:rPr>
          <w:rStyle w:val="FootnoteReference"/>
        </w:rPr>
        <w:footnoteReference w:id="30429"/>
      </w:r>
      <w:r w:rsidR="1129FD2A">
        <w:rPr/>
        <w:t xml:space="preserve"> </w:t>
      </w:r>
      <w:r w:rsidR="1572C372">
        <w:rPr/>
        <w:t xml:space="preserve">this attention </w:t>
      </w:r>
      <w:r w:rsidR="319F9B1C">
        <w:rPr/>
        <w:t xml:space="preserve">has </w:t>
      </w:r>
      <w:r w:rsidR="319F9B1C">
        <w:rPr/>
        <w:t>been</w:t>
      </w:r>
      <w:r w:rsidR="319F9B1C">
        <w:rPr/>
        <w:t xml:space="preserve"> concentrated </w:t>
      </w:r>
      <w:bookmarkStart w:name="_Int_dOBRcuLl" w:id="128246782"/>
      <w:r w:rsidR="319F9B1C">
        <w:rPr/>
        <w:t>largely on</w:t>
      </w:r>
      <w:bookmarkEnd w:id="128246782"/>
      <w:r w:rsidR="319F9B1C">
        <w:rPr/>
        <w:t xml:space="preserve"> </w:t>
      </w:r>
      <w:r w:rsidR="2657D45C">
        <w:rPr/>
        <w:t xml:space="preserve">what the data gathered </w:t>
      </w:r>
      <w:r w:rsidR="08607C92">
        <w:rPr/>
        <w:t>A) indicates about “</w:t>
      </w:r>
      <w:r w:rsidRPr="7925CB14" w:rsidR="08607C92">
        <w:rPr>
          <w:rFonts w:ascii="Calibri" w:hAnsi="Calibri" w:eastAsia="Calibri" w:cs="Calibri"/>
          <w:noProof w:val="0"/>
          <w:sz w:val="22"/>
          <w:szCs w:val="22"/>
          <w:lang w:val="en-GB"/>
        </w:rPr>
        <w:t>the funerary and social contexts of these burials</w:t>
      </w:r>
      <w:r w:rsidRPr="7925CB14" w:rsidR="22A77395">
        <w:rPr>
          <w:rFonts w:ascii="Calibri" w:hAnsi="Calibri" w:eastAsia="Calibri" w:cs="Calibri"/>
          <w:noProof w:val="0"/>
          <w:sz w:val="22"/>
          <w:szCs w:val="22"/>
          <w:lang w:val="en-GB"/>
        </w:rPr>
        <w:t>”</w:t>
      </w:r>
      <w:r w:rsidRPr="5AC7BDE8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16843"/>
      </w:r>
      <w:r w:rsidRPr="7925CB14" w:rsidR="22A773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925CB14" w:rsidR="0D5E8BF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while B) what skeletal analysis has been performed has </w:t>
      </w:r>
      <w:r w:rsidRPr="7925CB14" w:rsidR="3FBA76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“</w:t>
      </w:r>
      <w:r w:rsidRPr="5AC7BDE8" w:rsidR="0D5E8BF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often </w:t>
      </w:r>
      <w:r w:rsidRPr="5AC7BDE8" w:rsidR="6B0DEB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[been] </w:t>
      </w:r>
      <w:r w:rsidRPr="5AC7BDE8" w:rsidR="0D5E8BFE">
        <w:rPr>
          <w:rFonts w:ascii="Calibri" w:hAnsi="Calibri" w:eastAsia="Calibri" w:cs="Calibri"/>
          <w:noProof w:val="0"/>
          <w:sz w:val="22"/>
          <w:szCs w:val="22"/>
          <w:lang w:val="en-GB"/>
        </w:rPr>
        <w:t>concentrated on biological</w:t>
      </w:r>
      <w:r w:rsidRPr="5AC7BDE8" w:rsidR="6E0DA7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AC7BDE8" w:rsidR="0D5E8BFE">
        <w:rPr>
          <w:rFonts w:ascii="Calibri" w:hAnsi="Calibri" w:eastAsia="Calibri" w:cs="Calibri"/>
          <w:noProof w:val="0"/>
          <w:sz w:val="22"/>
          <w:szCs w:val="22"/>
          <w:lang w:val="en-GB"/>
        </w:rPr>
        <w:t>age and sex determination in support of theories of deliberate death and disposal</w:t>
      </w:r>
      <w:r w:rsidRPr="5AC7BDE8" w:rsidR="7DDDE741">
        <w:rPr>
          <w:rFonts w:ascii="Calibri" w:hAnsi="Calibri" w:eastAsia="Calibri" w:cs="Calibri"/>
          <w:noProof w:val="0"/>
          <w:sz w:val="22"/>
          <w:szCs w:val="22"/>
          <w:lang w:val="en-GB"/>
        </w:rPr>
        <w:t>”</w:t>
      </w:r>
      <w:r w:rsidRPr="5AC7BDE8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32692"/>
      </w:r>
      <w:r w:rsidRPr="5AC7BDE8" w:rsidR="0C4E445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AC7BDE8" w:rsidR="42CBFA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AC7BDE8" w:rsidR="350500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Thompson states that the purpose of the article is to broaden the field by promoting a </w:t>
      </w:r>
      <w:r w:rsidRPr="5AC7BDE8" w:rsidR="08D716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more </w:t>
      </w:r>
      <w:r w:rsidRPr="5AC7BDE8" w:rsidR="35050037">
        <w:rPr>
          <w:rFonts w:ascii="Calibri" w:hAnsi="Calibri" w:eastAsia="Calibri" w:cs="Calibri"/>
          <w:noProof w:val="0"/>
          <w:sz w:val="22"/>
          <w:szCs w:val="22"/>
          <w:lang w:val="en-GB"/>
        </w:rPr>
        <w:t>balanced and clinical approach t</w:t>
      </w:r>
      <w:r w:rsidRPr="5AC7BDE8" w:rsidR="2F229BF5">
        <w:rPr>
          <w:rFonts w:ascii="Calibri" w:hAnsi="Calibri" w:eastAsia="Calibri" w:cs="Calibri"/>
          <w:noProof w:val="0"/>
          <w:sz w:val="22"/>
          <w:szCs w:val="22"/>
          <w:lang w:val="en-GB"/>
        </w:rPr>
        <w:t>o the subject</w:t>
      </w:r>
      <w:r w:rsidRPr="5AC7BDE8" w:rsidR="6DC781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- “This research aims to highlight the value of palaeopathological evidence, in conjunction with funerary and</w:t>
      </w:r>
      <w:r w:rsidRPr="5AC7BDE8" w:rsidR="15CAA3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AC7BDE8" w:rsidR="6DC78126">
        <w:rPr>
          <w:rFonts w:ascii="Calibri" w:hAnsi="Calibri" w:eastAsia="Calibri" w:cs="Calibri"/>
          <w:noProof w:val="0"/>
          <w:sz w:val="22"/>
          <w:szCs w:val="22"/>
          <w:lang w:val="en-GB"/>
        </w:rPr>
        <w:t>other contextual evidence, when interpreting perinatal and infant remains from archaeological</w:t>
      </w:r>
      <w:r w:rsidRPr="5AC7BDE8" w:rsidR="79B071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AC7BDE8" w:rsidR="6DC78126">
        <w:rPr>
          <w:rFonts w:ascii="Calibri" w:hAnsi="Calibri" w:eastAsia="Calibri" w:cs="Calibri"/>
          <w:noProof w:val="0"/>
          <w:sz w:val="22"/>
          <w:szCs w:val="22"/>
          <w:lang w:val="en-GB"/>
        </w:rPr>
        <w:t>contexts”</w:t>
      </w:r>
      <w:r w:rsidRPr="5AC7BDE8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21840"/>
      </w:r>
      <w:r w:rsidRPr="5AC7BDE8" w:rsidR="5FC984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AC7BDE8" w:rsidR="78D948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79D74556" w:rsidP="5AC7BDE8" w:rsidRDefault="79D74556" w14:paraId="3B7843AF" w14:textId="0D5101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AC7BDE8" w:rsidR="78D948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Rather, she </w:t>
      </w:r>
      <w:r w:rsidRPr="5AC7BDE8" w:rsidR="5FC984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argues for the study of perinatal and infant </w:t>
      </w:r>
      <w:r w:rsidRPr="5AC7BDE8" w:rsidR="5FC984C9">
        <w:rPr>
          <w:rFonts w:ascii="Calibri" w:hAnsi="Calibri" w:eastAsia="Calibri" w:cs="Calibri"/>
          <w:noProof w:val="0"/>
          <w:sz w:val="22"/>
          <w:szCs w:val="22"/>
          <w:lang w:val="en-GB"/>
        </w:rPr>
        <w:t>remains</w:t>
      </w:r>
      <w:r w:rsidRPr="5AC7BDE8" w:rsidR="5FC984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AC7BDE8" w:rsidR="0985A5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 </w:t>
      </w:r>
      <w:r w:rsidRPr="5AC7BDE8" w:rsidR="1D3E3FC1">
        <w:rPr>
          <w:rFonts w:ascii="Calibri" w:hAnsi="Calibri" w:eastAsia="Calibri" w:cs="Calibri"/>
          <w:noProof w:val="0"/>
          <w:sz w:val="22"/>
          <w:szCs w:val="22"/>
          <w:lang w:val="en-GB"/>
        </w:rPr>
        <w:t>a useful source of data on the “the complex ways morbidity, mortality and lifestyle factors within past communities affected these perinatal and infant</w:t>
      </w:r>
      <w:r w:rsidRPr="5AC7BDE8" w:rsidR="557C8E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AC7BDE8" w:rsidR="1D3E3FC1">
        <w:rPr>
          <w:rFonts w:ascii="Calibri" w:hAnsi="Calibri" w:eastAsia="Calibri" w:cs="Calibri"/>
          <w:noProof w:val="0"/>
          <w:sz w:val="22"/>
          <w:szCs w:val="22"/>
          <w:lang w:val="en-GB"/>
        </w:rPr>
        <w:t>individuals</w:t>
      </w:r>
      <w:r w:rsidRPr="5AC7BDE8" w:rsidR="07BDAE67">
        <w:rPr>
          <w:rFonts w:ascii="Calibri" w:hAnsi="Calibri" w:eastAsia="Calibri" w:cs="Calibri"/>
          <w:noProof w:val="0"/>
          <w:sz w:val="22"/>
          <w:szCs w:val="22"/>
          <w:lang w:val="en-GB"/>
        </w:rPr>
        <w:t>”</w:t>
      </w:r>
      <w:r w:rsidRPr="5AC7BDE8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14797"/>
      </w:r>
      <w:r w:rsidRPr="5AC7BDE8" w:rsidR="5BE324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rather than</w:t>
      </w:r>
      <w:r w:rsidRPr="5AC7BDE8" w:rsidR="79DA7C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AC7BDE8" w:rsidR="5BE324F2">
        <w:rPr>
          <w:rFonts w:ascii="Calibri" w:hAnsi="Calibri" w:eastAsia="Calibri" w:cs="Calibri"/>
          <w:noProof w:val="0"/>
          <w:sz w:val="22"/>
          <w:szCs w:val="22"/>
          <w:lang w:val="en-GB"/>
        </w:rPr>
        <w:t>regarding</w:t>
      </w:r>
      <w:r w:rsidRPr="5AC7BDE8" w:rsidR="5BE324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them </w:t>
      </w:r>
      <w:r w:rsidRPr="5AC7BDE8" w:rsidR="5BE324F2">
        <w:rPr>
          <w:rFonts w:ascii="Calibri" w:hAnsi="Calibri" w:eastAsia="Calibri" w:cs="Calibri"/>
          <w:noProof w:val="0"/>
          <w:sz w:val="22"/>
          <w:szCs w:val="22"/>
          <w:lang w:val="en-GB"/>
        </w:rPr>
        <w:t>as</w:t>
      </w:r>
      <w:r w:rsidRPr="5AC7BDE8" w:rsidR="70397E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sources for theories supportive of the practice of infanticide in Iron Age</w:t>
      </w:r>
      <w:r w:rsidRPr="5AC7BDE8" w:rsidR="6473B3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/</w:t>
      </w:r>
      <w:r w:rsidRPr="5AC7BDE8" w:rsidR="70397E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Romano-British societies</w:t>
      </w:r>
      <w:r w:rsidRPr="5AC7BDE8" w:rsidR="6BA3C4C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</w:t>
      </w:r>
      <w:r w:rsidRPr="5AC7BDE8" w:rsidR="657353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AC7BDE8" w:rsidR="463F1E6C">
        <w:rPr>
          <w:rFonts w:ascii="Calibri" w:hAnsi="Calibri" w:eastAsia="Calibri" w:cs="Calibri"/>
          <w:noProof w:val="0"/>
          <w:sz w:val="22"/>
          <w:szCs w:val="22"/>
          <w:lang w:val="en-GB"/>
        </w:rPr>
        <w:t>Thompson</w:t>
      </w:r>
      <w:r w:rsidRPr="5AC7BDE8" w:rsidR="73E9DF60">
        <w:rPr>
          <w:rFonts w:ascii="Calibri" w:hAnsi="Calibri" w:eastAsia="Calibri" w:cs="Calibri"/>
          <w:noProof w:val="0"/>
          <w:sz w:val="22"/>
          <w:szCs w:val="22"/>
          <w:lang w:val="en-GB"/>
        </w:rPr>
        <w:t>, rejecting th</w:t>
      </w:r>
      <w:r w:rsidRPr="5AC7BDE8" w:rsidR="53C0841B">
        <w:rPr>
          <w:rFonts w:ascii="Calibri" w:hAnsi="Calibri" w:eastAsia="Calibri" w:cs="Calibri"/>
          <w:noProof w:val="0"/>
          <w:sz w:val="22"/>
          <w:szCs w:val="22"/>
          <w:lang w:val="en-GB"/>
        </w:rPr>
        <w:t>e ‘</w:t>
      </w:r>
      <w:r w:rsidRPr="5AC7BDE8" w:rsidR="53C0841B">
        <w:rPr>
          <w:rFonts w:ascii="Calibri" w:hAnsi="Calibri" w:eastAsia="Calibri" w:cs="Calibri"/>
          <w:noProof w:val="0"/>
          <w:sz w:val="22"/>
          <w:szCs w:val="22"/>
          <w:lang w:val="en-GB"/>
        </w:rPr>
        <w:t>dominant’</w:t>
      </w:r>
      <w:r w:rsidRPr="5AC7BDE8" w:rsidR="73E9DF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discourse in favour of infanticide as a common practise, states that “</w:t>
      </w:r>
      <w:r w:rsidRPr="5AC7BDE8" w:rsidR="0FE6E3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</w:t>
      </w:r>
      <w:r w:rsidRPr="5AC7BDE8" w:rsidR="746E11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 can be suggested that there is no </w:t>
      </w:r>
      <w:r w:rsidRPr="5AC7BDE8" w:rsidR="746E1182">
        <w:rPr>
          <w:rFonts w:ascii="Calibri" w:hAnsi="Calibri" w:eastAsia="Calibri" w:cs="Calibri"/>
          <w:noProof w:val="0"/>
          <w:sz w:val="22"/>
          <w:szCs w:val="22"/>
          <w:lang w:val="en-GB"/>
        </w:rPr>
        <w:t>indication</w:t>
      </w:r>
      <w:r w:rsidRPr="5AC7BDE8" w:rsidR="746E11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deliberate killing, thoughtless disposal or lack of care surrounding these burials. These individuals instead died weakened and ill, nothing more than the unlucky victims of chronic suffering</w:t>
      </w:r>
      <w:r w:rsidRPr="5AC7BDE8" w:rsidR="0BFED2E9">
        <w:rPr>
          <w:rFonts w:ascii="Calibri" w:hAnsi="Calibri" w:eastAsia="Calibri" w:cs="Calibri"/>
          <w:noProof w:val="0"/>
          <w:sz w:val="22"/>
          <w:szCs w:val="22"/>
          <w:lang w:val="en-GB"/>
        </w:rPr>
        <w:t>”</w:t>
      </w:r>
      <w:r w:rsidRPr="5AC7BDE8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24648"/>
      </w:r>
      <w:r w:rsidRPr="5AC7BDE8" w:rsidR="2AE5FBF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AC7BDE8" w:rsidR="45F68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925CB14" w:rsidP="7384C533" w:rsidRDefault="7925CB14" w14:paraId="5E342623" w14:textId="400198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84C533" w:rsidR="192CD829">
        <w:rPr>
          <w:rFonts w:ascii="Calibri" w:hAnsi="Calibri" w:eastAsia="Calibri" w:cs="Calibri"/>
          <w:noProof w:val="0"/>
          <w:sz w:val="22"/>
          <w:szCs w:val="22"/>
          <w:lang w:val="en-GB"/>
        </w:rPr>
        <w:t>Much of Th</w:t>
      </w:r>
      <w:r w:rsidRPr="7384C533" w:rsidR="054C778A">
        <w:rPr>
          <w:rFonts w:ascii="Calibri" w:hAnsi="Calibri" w:eastAsia="Calibri" w:cs="Calibri"/>
          <w:noProof w:val="0"/>
          <w:sz w:val="22"/>
          <w:szCs w:val="22"/>
          <w:lang w:val="en-GB"/>
        </w:rPr>
        <w:t>ompson’s thesis</w:t>
      </w:r>
      <w:r w:rsidRPr="7384C533" w:rsidR="75C915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rooted in the existence of </w:t>
      </w:r>
      <w:r w:rsidRPr="7384C533" w:rsidR="052140CB">
        <w:rPr>
          <w:rFonts w:ascii="Calibri" w:hAnsi="Calibri" w:eastAsia="Calibri" w:cs="Calibri"/>
          <w:noProof w:val="0"/>
          <w:sz w:val="22"/>
          <w:szCs w:val="22"/>
          <w:lang w:val="en-GB"/>
        </w:rPr>
        <w:t>an</w:t>
      </w:r>
      <w:r w:rsidRPr="7384C533" w:rsidR="75C915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academic cons</w:t>
      </w:r>
      <w:r w:rsidRPr="7384C533" w:rsidR="551B87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ensus </w:t>
      </w:r>
      <w:r w:rsidRPr="7384C533" w:rsidR="75ED35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favouring theories supporting the </w:t>
      </w:r>
      <w:r w:rsidRPr="7384C533" w:rsidR="75ED356F">
        <w:rPr>
          <w:rFonts w:ascii="Calibri" w:hAnsi="Calibri" w:eastAsia="Calibri" w:cs="Calibri"/>
          <w:noProof w:val="0"/>
          <w:sz w:val="22"/>
          <w:szCs w:val="22"/>
          <w:lang w:val="en-GB"/>
        </w:rPr>
        <w:t>practise of infanticide in Iron Age and Romano-British societ</w:t>
      </w:r>
      <w:r w:rsidRPr="7384C533" w:rsidR="2239A2DF">
        <w:rPr>
          <w:rFonts w:ascii="Calibri" w:hAnsi="Calibri" w:eastAsia="Calibri" w:cs="Calibri"/>
          <w:noProof w:val="0"/>
          <w:sz w:val="22"/>
          <w:szCs w:val="22"/>
          <w:lang w:val="en-GB"/>
        </w:rPr>
        <w:t>ies</w:t>
      </w:r>
      <w:r w:rsidRPr="7384C533" w:rsidR="75ED35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84C533" w:rsidR="256E73FC">
        <w:rPr>
          <w:rFonts w:ascii="Calibri" w:hAnsi="Calibri" w:eastAsia="Calibri" w:cs="Calibri"/>
          <w:noProof w:val="0"/>
          <w:sz w:val="22"/>
          <w:szCs w:val="22"/>
          <w:lang w:val="en-GB"/>
        </w:rPr>
        <w:t>(“in support of theories of deliberate death and disposal</w:t>
      </w:r>
      <w:r w:rsidRPr="7384C533" w:rsidR="291ED4C3">
        <w:rPr>
          <w:rFonts w:ascii="Calibri" w:hAnsi="Calibri" w:eastAsia="Calibri" w:cs="Calibri"/>
          <w:noProof w:val="0"/>
          <w:sz w:val="22"/>
          <w:szCs w:val="22"/>
          <w:lang w:val="en-GB"/>
        </w:rPr>
        <w:t>,”</w:t>
      </w:r>
      <w:r w:rsidRPr="7384C533" w:rsidR="256E73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quoted above). </w:t>
      </w:r>
      <w:r w:rsidRPr="7384C533" w:rsidR="7FB4D590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7384C533" w:rsidR="6A79EF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ngagement </w:t>
      </w:r>
      <w:r w:rsidRPr="7384C533" w:rsidR="0B277C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the scholarly debate surrounding the topic shows that while a predisposition to the subject </w:t>
      </w:r>
      <w:r w:rsidRPr="7384C533" w:rsidR="61BD7DC6">
        <w:rPr>
          <w:rFonts w:ascii="Calibri" w:hAnsi="Calibri" w:eastAsia="Calibri" w:cs="Calibri"/>
          <w:noProof w:val="0"/>
          <w:sz w:val="22"/>
          <w:szCs w:val="22"/>
          <w:lang w:val="en-GB"/>
        </w:rPr>
        <w:t>exists</w:t>
      </w:r>
      <w:r w:rsidRPr="7384C533" w:rsidR="0B277C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7384C533" w:rsidR="49CC62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is </w:t>
      </w:r>
      <w:r w:rsidRPr="7384C533" w:rsidR="49CC62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not </w:t>
      </w:r>
      <w:r w:rsidRPr="7384C533" w:rsidR="49CC622A">
        <w:rPr>
          <w:rFonts w:ascii="Calibri" w:hAnsi="Calibri" w:eastAsia="Calibri" w:cs="Calibri"/>
          <w:noProof w:val="0"/>
          <w:sz w:val="22"/>
          <w:szCs w:val="22"/>
          <w:lang w:val="en-GB"/>
        </w:rPr>
        <w:t>unnuanced. For</w:t>
      </w:r>
      <w:r w:rsidRPr="7384C533" w:rsidR="4D70B7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example, while Mays and Eyers’ </w:t>
      </w:r>
      <w:r w:rsidRPr="7384C533" w:rsidR="67C3B9F4">
        <w:rPr>
          <w:rFonts w:ascii="Calibri" w:hAnsi="Calibri" w:eastAsia="Calibri" w:cs="Calibri"/>
          <w:noProof w:val="0"/>
          <w:sz w:val="22"/>
          <w:szCs w:val="22"/>
          <w:lang w:val="en-GB"/>
        </w:rPr>
        <w:t>‘</w:t>
      </w:r>
      <w:r w:rsidRPr="7384C533" w:rsidR="4D70B7A4">
        <w:rPr>
          <w:rFonts w:ascii="Calibri" w:hAnsi="Calibri" w:eastAsia="Calibri" w:cs="Calibri"/>
          <w:noProof w:val="0"/>
          <w:sz w:val="22"/>
          <w:szCs w:val="22"/>
          <w:lang w:val="en-GB"/>
        </w:rPr>
        <w:t>Perinatal infant death at the Roman villa site at Hambleden,</w:t>
      </w:r>
      <w:r w:rsidRPr="7384C533" w:rsidR="527679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84C533" w:rsidR="4D70B7A4">
        <w:rPr>
          <w:rFonts w:ascii="Calibri" w:hAnsi="Calibri" w:eastAsia="Calibri" w:cs="Calibri"/>
          <w:noProof w:val="0"/>
          <w:sz w:val="22"/>
          <w:szCs w:val="22"/>
          <w:lang w:val="en-GB"/>
        </w:rPr>
        <w:t>Buckinghamshire, England</w:t>
      </w:r>
      <w:r w:rsidRPr="7384C533" w:rsidR="39CE7B67">
        <w:rPr>
          <w:rFonts w:ascii="Calibri" w:hAnsi="Calibri" w:eastAsia="Calibri" w:cs="Calibri"/>
          <w:noProof w:val="0"/>
          <w:sz w:val="22"/>
          <w:szCs w:val="22"/>
          <w:lang w:val="en-GB"/>
        </w:rPr>
        <w:t>’ is</w:t>
      </w:r>
      <w:r w:rsidRPr="7384C533" w:rsidR="39CE7B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grounded in </w:t>
      </w:r>
      <w:r w:rsidRPr="7384C533" w:rsidR="26689F26">
        <w:rPr>
          <w:rFonts w:ascii="Calibri" w:hAnsi="Calibri" w:eastAsia="Calibri" w:cs="Calibri"/>
          <w:noProof w:val="0"/>
          <w:sz w:val="22"/>
          <w:szCs w:val="22"/>
          <w:lang w:val="en-GB"/>
        </w:rPr>
        <w:t>the discourse of infanticide and concludes in favour of assumptions of such at the site of the authors (“</w:t>
      </w:r>
      <w:r w:rsidRPr="7384C533" w:rsidR="4C8DCA3C">
        <w:rPr>
          <w:rFonts w:ascii="Calibri" w:hAnsi="Calibri" w:eastAsia="Calibri" w:cs="Calibri"/>
          <w:noProof w:val="0"/>
          <w:sz w:val="22"/>
          <w:szCs w:val="22"/>
          <w:lang w:val="en-GB"/>
        </w:rPr>
        <w:t>The results of the current work support the interpretation made by the excavator (Cocks, 1921) that the Hambleden infant burials provide evidence for infanticide”</w:t>
      </w:r>
      <w:r w:rsidRPr="7384C533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24210"/>
      </w:r>
      <w:r w:rsidRPr="7384C533" w:rsidR="32FC13B6">
        <w:rPr>
          <w:rFonts w:ascii="Calibri" w:hAnsi="Calibri" w:eastAsia="Calibri" w:cs="Calibri"/>
          <w:noProof w:val="0"/>
          <w:sz w:val="22"/>
          <w:szCs w:val="22"/>
          <w:lang w:val="en-GB"/>
        </w:rPr>
        <w:t>).</w:t>
      </w:r>
      <w:r w:rsidRPr="7384C533" w:rsidR="461A6D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925CB14" w:rsidP="7384C533" w:rsidRDefault="7925CB14" w14:paraId="03E09A70" w14:textId="49B72F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84C533" w:rsidR="461A6D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However, </w:t>
      </w:r>
      <w:r w:rsidRPr="7384C533" w:rsidR="43C7F5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Millett and </w:t>
      </w:r>
      <w:bookmarkStart w:name="_Int_zZP4fGQb" w:id="1617385651"/>
      <w:r w:rsidRPr="7384C533" w:rsidR="43C7F5A4">
        <w:rPr>
          <w:rFonts w:ascii="Calibri" w:hAnsi="Calibri" w:eastAsia="Calibri" w:cs="Calibri"/>
          <w:noProof w:val="0"/>
          <w:sz w:val="22"/>
          <w:szCs w:val="22"/>
          <w:lang w:val="en-GB"/>
        </w:rPr>
        <w:t>G</w:t>
      </w:r>
      <w:r w:rsidRPr="7384C533" w:rsidR="78CB51BF">
        <w:rPr>
          <w:rFonts w:ascii="Calibri" w:hAnsi="Calibri" w:eastAsia="Calibri" w:cs="Calibri"/>
          <w:noProof w:val="0"/>
          <w:sz w:val="22"/>
          <w:szCs w:val="22"/>
          <w:lang w:val="en-GB"/>
        </w:rPr>
        <w:t>owland</w:t>
      </w:r>
      <w:r w:rsidRPr="7384C533" w:rsidR="492D5822">
        <w:rPr>
          <w:rFonts w:ascii="Calibri" w:hAnsi="Calibri" w:eastAsia="Calibri" w:cs="Calibri"/>
          <w:noProof w:val="0"/>
          <w:sz w:val="22"/>
          <w:szCs w:val="22"/>
          <w:lang w:val="en-GB"/>
        </w:rPr>
        <w:t>‘</w:t>
      </w:r>
      <w:bookmarkEnd w:id="1617385651"/>
      <w:r w:rsidRPr="7384C533" w:rsidR="6B9ABD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</w:t>
      </w:r>
      <w:r w:rsidRPr="7384C533" w:rsidR="492D58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Infant and Child Burial Rites in Roman Britain: </w:t>
      </w:r>
      <w:bookmarkStart w:name="_Int_CZBkXvZB" w:id="1448111180"/>
      <w:r w:rsidRPr="7384C533" w:rsidR="492D5822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bookmarkEnd w:id="1448111180"/>
      <w:r w:rsidRPr="7384C533" w:rsidR="492D58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Study from East Yorkshire</w:t>
      </w:r>
      <w:bookmarkStart w:name="_Int_RKdMj2Kb" w:id="1350467057"/>
      <w:r w:rsidRPr="7384C533" w:rsidR="492D5822">
        <w:rPr>
          <w:rFonts w:ascii="Calibri" w:hAnsi="Calibri" w:eastAsia="Calibri" w:cs="Calibri"/>
          <w:noProof w:val="0"/>
          <w:sz w:val="22"/>
          <w:szCs w:val="22"/>
          <w:lang w:val="en-GB"/>
        </w:rPr>
        <w:t>’</w:t>
      </w:r>
      <w:r w:rsidRPr="7384C533" w:rsidR="4774F3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- itself cited by Thompson -</w:t>
      </w:r>
      <w:r w:rsidRPr="7384C533" w:rsidR="492D58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84C533" w:rsidR="4D57578A">
        <w:rPr>
          <w:rFonts w:ascii="Calibri" w:hAnsi="Calibri" w:eastAsia="Calibri" w:cs="Calibri"/>
          <w:noProof w:val="0"/>
          <w:sz w:val="22"/>
          <w:szCs w:val="22"/>
          <w:lang w:val="en-GB"/>
        </w:rPr>
        <w:t>reaches similar conclusions</w:t>
      </w:r>
      <w:bookmarkEnd w:id="1350467057"/>
      <w:r w:rsidRPr="7384C533" w:rsidR="7A92FF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84C533" w:rsidR="26C8AA2A">
        <w:rPr>
          <w:rFonts w:ascii="Calibri" w:hAnsi="Calibri" w:eastAsia="Calibri" w:cs="Calibri"/>
          <w:noProof w:val="0"/>
          <w:sz w:val="22"/>
          <w:szCs w:val="22"/>
          <w:lang w:val="en-GB"/>
        </w:rPr>
        <w:t>- “</w:t>
      </w:r>
      <w:r w:rsidRPr="7384C533" w:rsidR="71B68A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different explanation for the widespread occurrence of infant burials lies in the likelihood of high infant mortality in Roman Britain and, especially, a peak in deaths around the time of birth. Natural infant mortality statistics </w:t>
      </w:r>
      <w:r w:rsidRPr="7384C533" w:rsidR="71B68A01">
        <w:rPr>
          <w:rFonts w:ascii="Calibri" w:hAnsi="Calibri" w:eastAsia="Calibri" w:cs="Calibri"/>
          <w:noProof w:val="0"/>
          <w:sz w:val="22"/>
          <w:szCs w:val="22"/>
          <w:lang w:val="en-GB"/>
        </w:rPr>
        <w:t>demonstrate</w:t>
      </w:r>
      <w:r w:rsidRPr="7384C533" w:rsidR="71B68A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this pattern is the norm</w:t>
      </w:r>
      <w:r w:rsidRPr="7384C533" w:rsidR="236C7652">
        <w:rPr>
          <w:rFonts w:ascii="Calibri" w:hAnsi="Calibri" w:eastAsia="Calibri" w:cs="Calibri"/>
          <w:noProof w:val="0"/>
          <w:sz w:val="22"/>
          <w:szCs w:val="22"/>
          <w:lang w:val="en-GB"/>
        </w:rPr>
        <w:t>...”</w:t>
      </w:r>
      <w:r w:rsidRPr="7384C533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31013"/>
      </w:r>
      <w:r w:rsidRPr="7384C533" w:rsidR="08912320">
        <w:rPr>
          <w:rFonts w:ascii="Calibri" w:hAnsi="Calibri" w:eastAsia="Calibri" w:cs="Calibri"/>
          <w:noProof w:val="0"/>
          <w:sz w:val="22"/>
          <w:szCs w:val="22"/>
          <w:lang w:val="en-GB"/>
        </w:rPr>
        <w:t>. I</w:t>
      </w:r>
      <w:r w:rsidRPr="7384C533" w:rsidR="5B56E762">
        <w:rPr>
          <w:rFonts w:ascii="Calibri" w:hAnsi="Calibri" w:eastAsia="Calibri" w:cs="Calibri"/>
          <w:noProof w:val="0"/>
          <w:sz w:val="22"/>
          <w:szCs w:val="22"/>
          <w:lang w:val="en-GB"/>
        </w:rPr>
        <w:t>f</w:t>
      </w:r>
      <w:r w:rsidRPr="7384C533" w:rsidR="537F02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compared with these two papers</w:t>
      </w:r>
      <w:r w:rsidRPr="7384C533" w:rsidR="537F02F7">
        <w:rPr>
          <w:rFonts w:ascii="Calibri" w:hAnsi="Calibri" w:eastAsia="Calibri" w:cs="Calibri"/>
          <w:noProof w:val="0"/>
          <w:sz w:val="22"/>
          <w:szCs w:val="22"/>
          <w:lang w:val="en-GB"/>
        </w:rPr>
        <w:t>, Thompson’s scepticism towards such a consensus</w:t>
      </w:r>
      <w:r w:rsidRPr="7384C533" w:rsidR="1223E8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the majority view.</w:t>
      </w:r>
      <w:r w:rsidRPr="7384C533" w:rsidR="155016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84C533" w:rsidR="5FB6C1E7">
        <w:rPr>
          <w:rFonts w:ascii="Calibri" w:hAnsi="Calibri" w:eastAsia="Calibri" w:cs="Calibri"/>
          <w:noProof w:val="0"/>
          <w:sz w:val="22"/>
          <w:szCs w:val="22"/>
          <w:lang w:val="en-GB"/>
        </w:rPr>
        <w:t>W</w:t>
      </w:r>
      <w:r w:rsidRPr="7384C533" w:rsidR="33476E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hile Thompson is the only of the three to display photographs of and point out formations on and flaws in the perinatal bones </w:t>
      </w:r>
      <w:r w:rsidRPr="7384C533" w:rsidR="794E3F2C">
        <w:rPr>
          <w:rFonts w:ascii="Calibri" w:hAnsi="Calibri" w:eastAsia="Calibri" w:cs="Calibri"/>
          <w:noProof w:val="0"/>
          <w:sz w:val="22"/>
          <w:szCs w:val="22"/>
          <w:lang w:val="en-GB"/>
        </w:rPr>
        <w:t>via captioning of these photographs</w:t>
      </w:r>
      <w:r w:rsidRPr="7384C533" w:rsidR="33476E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her use of graphs and </w:t>
      </w:r>
      <w:r w:rsidRPr="7384C533" w:rsidR="19007795">
        <w:rPr>
          <w:rFonts w:ascii="Calibri" w:hAnsi="Calibri" w:eastAsia="Calibri" w:cs="Calibri"/>
          <w:noProof w:val="0"/>
          <w:sz w:val="22"/>
          <w:szCs w:val="22"/>
          <w:lang w:val="en-GB"/>
        </w:rPr>
        <w:t>skeletal analys</w:t>
      </w:r>
      <w:r w:rsidRPr="7384C533" w:rsidR="6729E900">
        <w:rPr>
          <w:rFonts w:ascii="Calibri" w:hAnsi="Calibri" w:eastAsia="Calibri" w:cs="Calibri"/>
          <w:noProof w:val="0"/>
          <w:sz w:val="22"/>
          <w:szCs w:val="22"/>
          <w:lang w:val="en-GB"/>
        </w:rPr>
        <w:t>es</w:t>
      </w:r>
      <w:r w:rsidRPr="7384C533" w:rsidR="190077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practiced by both of her fellows, suggesting that this is a difference of style rather than substance</w:t>
      </w:r>
      <w:r w:rsidRPr="7384C533" w:rsidR="190077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7384C533" w:rsidR="4BFE6B6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Though </w:t>
      </w:r>
      <w:r w:rsidRPr="7384C533" w:rsidR="5D11C8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is a small sample size, </w:t>
      </w:r>
      <w:r w:rsidRPr="7384C533" w:rsidR="5C881D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</w:t>
      </w:r>
      <w:r w:rsidRPr="7384C533" w:rsidR="0DB2D1EE">
        <w:rPr>
          <w:rFonts w:ascii="Calibri" w:hAnsi="Calibri" w:eastAsia="Calibri" w:cs="Calibri"/>
          <w:noProof w:val="0"/>
          <w:sz w:val="22"/>
          <w:szCs w:val="22"/>
          <w:lang w:val="en-GB"/>
        </w:rPr>
        <w:t>suggests</w:t>
      </w:r>
      <w:r w:rsidRPr="7384C533" w:rsidR="5C881D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academic discourse on the subject is </w:t>
      </w:r>
      <w:r w:rsidRPr="7384C533" w:rsidR="6F37AEEE">
        <w:rPr>
          <w:rFonts w:ascii="Calibri" w:hAnsi="Calibri" w:eastAsia="Calibri" w:cs="Calibri"/>
          <w:noProof w:val="0"/>
          <w:sz w:val="22"/>
          <w:szCs w:val="22"/>
          <w:lang w:val="en-GB"/>
        </w:rPr>
        <w:t>less rigid than Thompson suggests.</w:t>
      </w:r>
    </w:p>
    <w:p w:rsidR="7925CB14" w:rsidP="7384C533" w:rsidRDefault="7925CB14" w14:paraId="3320B0D0" w14:textId="776702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37BFB098">
        <w:rPr/>
        <w:t xml:space="preserve">As the piece is </w:t>
      </w:r>
      <w:r w:rsidR="576C0A19">
        <w:rPr/>
        <w:t>primarily</w:t>
      </w:r>
      <w:r w:rsidR="37BFB098">
        <w:rPr/>
        <w:t xml:space="preserve"> a piece of archaeological research</w:t>
      </w:r>
      <w:r w:rsidR="4CFE2077">
        <w:rPr/>
        <w:t>, Thompson’s primary source is the Roman villa and Iron Age sites at Piddington</w:t>
      </w:r>
      <w:r w:rsidR="0812F2EE">
        <w:rPr/>
        <w:t xml:space="preserve">. </w:t>
      </w:r>
      <w:r w:rsidR="7D9A8467">
        <w:rPr/>
        <w:t xml:space="preserve">Beyond that, her bibliography is </w:t>
      </w:r>
      <w:r w:rsidR="3C3F6999">
        <w:rPr/>
        <w:t>several pages long</w:t>
      </w:r>
      <w:r w:rsidRPr="7384C533">
        <w:rPr>
          <w:rStyle w:val="FootnoteReference"/>
        </w:rPr>
        <w:footnoteReference w:id="31225"/>
      </w:r>
      <w:r w:rsidR="276BDFB9">
        <w:rPr/>
        <w:t xml:space="preserve">, and rarely references any one academic </w:t>
      </w:r>
      <w:r w:rsidR="63B60D59">
        <w:rPr/>
        <w:t>more than once</w:t>
      </w:r>
      <w:r w:rsidR="350A8395">
        <w:rPr/>
        <w:t>. Notably, the greatest exception to this rule – Rebecca L. Gowland, having contributed five</w:t>
      </w:r>
      <w:r w:rsidR="5EC6A3E3">
        <w:rPr/>
        <w:t xml:space="preserve"> of the entries of Thompson’s bibliography</w:t>
      </w:r>
      <w:r w:rsidR="7A4DDF97">
        <w:rPr/>
        <w:t xml:space="preserve">, one </w:t>
      </w:r>
      <w:r w:rsidR="0EB27259">
        <w:rPr/>
        <w:t>of</w:t>
      </w:r>
      <w:r w:rsidR="7A4DDF97">
        <w:rPr/>
        <w:t xml:space="preserve"> </w:t>
      </w:r>
      <w:r w:rsidR="0EB27259">
        <w:rPr/>
        <w:t xml:space="preserve">which being </w:t>
      </w:r>
      <w:r w:rsidR="7A4DDF97">
        <w:rPr/>
        <w:t>cited by myself as part of the scholarly debate surrounding the subject</w:t>
      </w:r>
      <w:r w:rsidR="5EC6A3E3">
        <w:rPr/>
        <w:t xml:space="preserve"> </w:t>
      </w:r>
      <w:r w:rsidR="5EC6A3E3">
        <w:rPr/>
        <w:t xml:space="preserve">– is also thanked in the </w:t>
      </w:r>
      <w:r w:rsidR="5301DB5F">
        <w:rPr/>
        <w:t xml:space="preserve">Acknowledgements section of the article using a </w:t>
      </w:r>
      <w:r w:rsidR="70F93329">
        <w:rPr/>
        <w:t>diminutive</w:t>
      </w:r>
      <w:r w:rsidR="5301DB5F">
        <w:rPr/>
        <w:t xml:space="preserve"> of her name</w:t>
      </w:r>
      <w:r w:rsidR="2F9E185B">
        <w:rPr/>
        <w:t xml:space="preserve">, </w:t>
      </w:r>
      <w:r w:rsidR="2F9E185B">
        <w:rPr/>
        <w:t>and</w:t>
      </w:r>
      <w:r w:rsidR="2F9E185B">
        <w:rPr/>
        <w:t xml:space="preserve"> credited for </w:t>
      </w:r>
      <w:r w:rsidR="2F9E185B">
        <w:rPr/>
        <w:t>providing</w:t>
      </w:r>
      <w:r w:rsidR="2F9E185B">
        <w:rPr/>
        <w:t xml:space="preserve"> advice in the refinement of the </w:t>
      </w:r>
      <w:r w:rsidR="221E6D6B">
        <w:rPr/>
        <w:t xml:space="preserve">article </w:t>
      </w:r>
      <w:r w:rsidR="2F9E185B">
        <w:rPr/>
        <w:t>(“</w:t>
      </w:r>
      <w:r w:rsidRPr="7384C533" w:rsidR="7F12B9EF">
        <w:rPr>
          <w:rFonts w:ascii="Calibri" w:hAnsi="Calibri" w:eastAsia="Calibri" w:cs="Calibri"/>
          <w:noProof w:val="0"/>
          <w:sz w:val="22"/>
          <w:szCs w:val="22"/>
          <w:lang w:val="en-GB"/>
        </w:rPr>
        <w:t>I wish to thank Dr Becky Gowland and Professor Charlotte Roberts for their guidance and constructive comments on an earlier version of this article...”</w:t>
      </w:r>
      <w:r w:rsidRPr="7384C533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18324"/>
      </w:r>
      <w:r w:rsidRPr="7384C533" w:rsidR="16A37B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). While the provision of </w:t>
      </w:r>
      <w:r w:rsidRPr="7384C533" w:rsidR="16A37B56">
        <w:rPr>
          <w:rFonts w:ascii="Calibri" w:hAnsi="Calibri" w:eastAsia="Calibri" w:cs="Calibri"/>
          <w:noProof w:val="0"/>
          <w:sz w:val="22"/>
          <w:szCs w:val="22"/>
          <w:lang w:val="en-GB"/>
        </w:rPr>
        <w:t>assistance</w:t>
      </w:r>
      <w:r w:rsidRPr="7384C533" w:rsidR="16A37B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the part of Dr. Gowland is </w:t>
      </w:r>
      <w:r w:rsidRPr="7384C533" w:rsidR="5BAEF6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admirable, the singularly common referencing of her work on the part of Thompson – coupled with Gowland’s </w:t>
      </w:r>
      <w:r w:rsidRPr="7384C533" w:rsidR="5BAEF6EB">
        <w:rPr>
          <w:rFonts w:ascii="Calibri" w:hAnsi="Calibri" w:eastAsia="Calibri" w:cs="Calibri"/>
          <w:noProof w:val="0"/>
          <w:sz w:val="22"/>
          <w:szCs w:val="22"/>
          <w:lang w:val="en-GB"/>
        </w:rPr>
        <w:t>assistance</w:t>
      </w:r>
      <w:r w:rsidRPr="7384C533" w:rsidR="5BAEF6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</w:t>
      </w:r>
      <w:bookmarkStart w:name="_Int_UeUQ53d4" w:id="1584455375"/>
      <w:r w:rsidRPr="7384C533" w:rsidR="79A64EB5">
        <w:rPr>
          <w:rFonts w:ascii="Calibri" w:hAnsi="Calibri" w:eastAsia="Calibri" w:cs="Calibri"/>
          <w:noProof w:val="0"/>
          <w:sz w:val="22"/>
          <w:szCs w:val="22"/>
          <w:lang w:val="en-GB"/>
        </w:rPr>
        <w:t>the ”earlier</w:t>
      </w:r>
      <w:bookmarkEnd w:id="1584455375"/>
      <w:r w:rsidRPr="7384C533" w:rsidR="5BAEF6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version” of it</w:t>
      </w:r>
      <w:r w:rsidRPr="7384C533" w:rsidR="5BAEF6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84C533" w:rsidR="5BAEF6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– </w:t>
      </w:r>
      <w:r w:rsidRPr="7384C533" w:rsidR="419BD5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implicitly </w:t>
      </w:r>
      <w:r w:rsidRPr="7384C533" w:rsidR="4C2B94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lessens </w:t>
      </w:r>
      <w:r w:rsidRPr="7384C533" w:rsidR="4C2B9486">
        <w:rPr>
          <w:rFonts w:ascii="Calibri" w:hAnsi="Calibri" w:eastAsia="Calibri" w:cs="Calibri"/>
          <w:noProof w:val="0"/>
          <w:sz w:val="22"/>
          <w:szCs w:val="22"/>
          <w:lang w:val="en-GB"/>
        </w:rPr>
        <w:t>the article</w:t>
      </w:r>
      <w:r w:rsidRPr="7384C533" w:rsidR="14C6B3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’s </w:t>
      </w:r>
      <w:proofErr w:type="gramStart"/>
      <w:r w:rsidRPr="7384C533" w:rsidR="14C6B329">
        <w:rPr>
          <w:rFonts w:ascii="Calibri" w:hAnsi="Calibri" w:eastAsia="Calibri" w:cs="Calibri"/>
          <w:noProof w:val="0"/>
          <w:sz w:val="22"/>
          <w:szCs w:val="22"/>
          <w:lang w:val="en-GB"/>
        </w:rPr>
        <w:t>objectivity</w:t>
      </w:r>
      <w:r w:rsidRPr="7384C533" w:rsidR="3BA8FA66">
        <w:rPr>
          <w:rFonts w:ascii="Calibri" w:hAnsi="Calibri" w:eastAsia="Calibri" w:cs="Calibri"/>
          <w:noProof w:val="0"/>
          <w:sz w:val="22"/>
          <w:szCs w:val="22"/>
          <w:lang w:val="en-GB"/>
        </w:rPr>
        <w:t>, and</w:t>
      </w:r>
      <w:proofErr w:type="gramEnd"/>
      <w:r w:rsidRPr="7384C533" w:rsidR="3BA8FA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suggests a promotion of Gowland’s conclusions at the expense of ind</w:t>
      </w:r>
      <w:r w:rsidRPr="7384C533" w:rsidR="3BA8FA66">
        <w:rPr>
          <w:rFonts w:ascii="Calibri" w:hAnsi="Calibri" w:eastAsia="Calibri" w:cs="Calibri"/>
          <w:noProof w:val="0"/>
          <w:sz w:val="22"/>
          <w:szCs w:val="22"/>
          <w:lang w:val="en-GB"/>
        </w:rPr>
        <w:t>ependent research.</w:t>
      </w:r>
    </w:p>
    <w:p w:rsidR="7925CB14" w:rsidP="7384C533" w:rsidRDefault="7925CB14" w14:paraId="579F84F9" w14:textId="3D79F9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84C533" w:rsidR="4392FA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and of itself, the article </w:t>
      </w:r>
      <w:r w:rsidRPr="7384C533" w:rsidR="241A2472">
        <w:rPr>
          <w:rFonts w:ascii="Calibri" w:hAnsi="Calibri" w:eastAsia="Calibri" w:cs="Calibri"/>
          <w:noProof w:val="0"/>
          <w:sz w:val="22"/>
          <w:szCs w:val="22"/>
          <w:lang w:val="en-GB"/>
        </w:rPr>
        <w:t>is well composed and persuasive. Thompson, having argued for</w:t>
      </w:r>
      <w:r w:rsidRPr="7384C533" w:rsidR="5C5873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more detached and empirical approach to the subject of perinatal and infant </w:t>
      </w:r>
      <w:r w:rsidRPr="7384C533" w:rsidR="5C58733F">
        <w:rPr>
          <w:rFonts w:ascii="Calibri" w:hAnsi="Calibri" w:eastAsia="Calibri" w:cs="Calibri"/>
          <w:noProof w:val="0"/>
          <w:sz w:val="22"/>
          <w:szCs w:val="22"/>
          <w:lang w:val="en-GB"/>
        </w:rPr>
        <w:t>remains</w:t>
      </w:r>
      <w:r w:rsidRPr="7384C533" w:rsidR="5C5873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Romano-British and Iron Age contexts, </w:t>
      </w:r>
      <w:r w:rsidRPr="7384C533" w:rsidR="1D01A3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effective in conveying such to the reader. She makes </w:t>
      </w:r>
      <w:r w:rsidRPr="7384C533" w:rsidR="2631A4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consistent </w:t>
      </w:r>
      <w:r w:rsidRPr="7384C533" w:rsidR="1D01A37A">
        <w:rPr>
          <w:rFonts w:ascii="Calibri" w:hAnsi="Calibri" w:eastAsia="Calibri" w:cs="Calibri"/>
          <w:noProof w:val="0"/>
          <w:sz w:val="22"/>
          <w:szCs w:val="22"/>
          <w:lang w:val="en-GB"/>
        </w:rPr>
        <w:t>use of graphs, analyses, and</w:t>
      </w:r>
      <w:r w:rsidRPr="7384C533" w:rsidR="77F50A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other diagrams as visual aids, and seldom makes a point without </w:t>
      </w:r>
      <w:r w:rsidRPr="7384C533" w:rsidR="4599203A">
        <w:rPr>
          <w:rFonts w:ascii="Calibri" w:hAnsi="Calibri" w:eastAsia="Calibri" w:cs="Calibri"/>
          <w:noProof w:val="0"/>
          <w:sz w:val="22"/>
          <w:szCs w:val="22"/>
          <w:lang w:val="en-GB"/>
        </w:rPr>
        <w:t>citing another article or research to back it up</w:t>
      </w:r>
      <w:r w:rsidRPr="7384C533" w:rsidR="4A8889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Her work is marked by conciseness throughout, </w:t>
      </w:r>
      <w:r w:rsidRPr="7384C533" w:rsidR="7D6175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and, as such, it is difficult for a reader not to </w:t>
      </w:r>
      <w:r w:rsidRPr="7384C533" w:rsidR="7D6175FF">
        <w:rPr>
          <w:rFonts w:ascii="Calibri" w:hAnsi="Calibri" w:eastAsia="Calibri" w:cs="Calibri"/>
          <w:noProof w:val="0"/>
          <w:sz w:val="22"/>
          <w:szCs w:val="22"/>
          <w:lang w:val="en-GB"/>
        </w:rPr>
        <w:t>emerge</w:t>
      </w:r>
      <w:r w:rsidRPr="7384C533" w:rsidR="7D6175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an impression of a research as </w:t>
      </w:r>
      <w:r w:rsidRPr="7384C533" w:rsidR="7527E5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uniquely </w:t>
      </w:r>
      <w:r w:rsidRPr="7384C533" w:rsidR="7D6175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scientific as she claims her </w:t>
      </w:r>
      <w:r w:rsidRPr="7384C533" w:rsidR="7452E3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approach </w:t>
      </w:r>
      <w:r w:rsidRPr="7384C533" w:rsidR="7D6175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be. </w:t>
      </w:r>
    </w:p>
    <w:p w:rsidR="7925CB14" w:rsidP="7384C533" w:rsidRDefault="7925CB14" w14:paraId="1EF3EB52" w14:textId="636049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84C533" w:rsidR="1AAED1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However, this impression </w:t>
      </w:r>
      <w:r w:rsidRPr="7384C533" w:rsidR="60C352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not </w:t>
      </w:r>
      <w:r w:rsidRPr="7384C533" w:rsidR="60C3529C">
        <w:rPr>
          <w:rFonts w:ascii="Calibri" w:hAnsi="Calibri" w:eastAsia="Calibri" w:cs="Calibri"/>
          <w:noProof w:val="0"/>
          <w:sz w:val="22"/>
          <w:szCs w:val="22"/>
          <w:lang w:val="en-GB"/>
        </w:rPr>
        <w:t>viable</w:t>
      </w:r>
      <w:r w:rsidRPr="7384C533" w:rsidR="1AAED1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face of sustained comparison to other such pieces.</w:t>
      </w:r>
      <w:r w:rsidRPr="7384C533" w:rsidR="4E3FF3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Skeletal analysis, visual aids, and even her </w:t>
      </w:r>
      <w:bookmarkStart w:name="_Int_inDdWVns" w:id="307890204"/>
      <w:r w:rsidRPr="7384C533" w:rsidR="4E3FF333">
        <w:rPr>
          <w:rFonts w:ascii="Calibri" w:hAnsi="Calibri" w:eastAsia="Calibri" w:cs="Calibri"/>
          <w:noProof w:val="0"/>
          <w:sz w:val="22"/>
          <w:szCs w:val="22"/>
          <w:lang w:val="en-GB"/>
        </w:rPr>
        <w:t>ostensibly new</w:t>
      </w:r>
      <w:bookmarkEnd w:id="307890204"/>
      <w:r w:rsidRPr="7384C533" w:rsidR="4E3FF3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form of empirical </w:t>
      </w:r>
      <w:r w:rsidRPr="7384C533" w:rsidR="30489B69">
        <w:rPr>
          <w:rFonts w:ascii="Calibri" w:hAnsi="Calibri" w:eastAsia="Calibri" w:cs="Calibri"/>
          <w:noProof w:val="0"/>
          <w:sz w:val="22"/>
          <w:szCs w:val="22"/>
          <w:lang w:val="en-GB"/>
        </w:rPr>
        <w:t>ar</w:t>
      </w:r>
      <w:r w:rsidRPr="7384C533" w:rsidR="655ABB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gument </w:t>
      </w:r>
      <w:r w:rsidRPr="7384C533" w:rsidR="30489B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– all are found in </w:t>
      </w:r>
      <w:r w:rsidRPr="7384C533" w:rsidR="1EB042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either or </w:t>
      </w:r>
      <w:r w:rsidRPr="7384C533" w:rsidR="30489B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both </w:t>
      </w:r>
      <w:r w:rsidRPr="7384C533" w:rsidR="077EA4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</w:t>
      </w:r>
      <w:r w:rsidRPr="7384C533" w:rsidR="30489B69">
        <w:rPr>
          <w:rFonts w:ascii="Calibri" w:hAnsi="Calibri" w:eastAsia="Calibri" w:cs="Calibri"/>
          <w:noProof w:val="0"/>
          <w:sz w:val="22"/>
          <w:szCs w:val="22"/>
          <w:lang w:val="en-GB"/>
        </w:rPr>
        <w:t>Mays and Eyers’ and Milett and G</w:t>
      </w:r>
      <w:r w:rsidRPr="7384C533" w:rsidR="70BB1A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owland’s </w:t>
      </w:r>
      <w:r w:rsidRPr="7384C533" w:rsidR="30489B69">
        <w:rPr>
          <w:rFonts w:ascii="Calibri" w:hAnsi="Calibri" w:eastAsia="Calibri" w:cs="Calibri"/>
          <w:noProof w:val="0"/>
          <w:sz w:val="22"/>
          <w:szCs w:val="22"/>
          <w:lang w:val="en-GB"/>
        </w:rPr>
        <w:t>articles</w:t>
      </w:r>
      <w:r w:rsidRPr="7384C533" w:rsidR="477BFC04">
        <w:rPr>
          <w:rFonts w:ascii="Calibri" w:hAnsi="Calibri" w:eastAsia="Calibri" w:cs="Calibri"/>
          <w:noProof w:val="0"/>
          <w:sz w:val="22"/>
          <w:szCs w:val="22"/>
          <w:lang w:val="en-GB"/>
        </w:rPr>
        <w:t>, and conspicuously similar conclusions to the latter are hard to ignore</w:t>
      </w:r>
      <w:r w:rsidRPr="7384C533" w:rsidR="42D887E8">
        <w:rPr>
          <w:rFonts w:ascii="Calibri" w:hAnsi="Calibri" w:eastAsia="Calibri" w:cs="Calibri"/>
          <w:noProof w:val="0"/>
          <w:sz w:val="22"/>
          <w:szCs w:val="22"/>
          <w:lang w:val="en-GB"/>
        </w:rPr>
        <w:t>. As such</w:t>
      </w:r>
      <w:r w:rsidRPr="7384C533" w:rsidR="4180FF85">
        <w:rPr>
          <w:rFonts w:ascii="Calibri" w:hAnsi="Calibri" w:eastAsia="Calibri" w:cs="Calibri"/>
          <w:noProof w:val="0"/>
          <w:sz w:val="22"/>
          <w:szCs w:val="22"/>
          <w:lang w:val="en-GB"/>
        </w:rPr>
        <w:t>, when the reviewer factors in the d</w:t>
      </w:r>
      <w:r w:rsidRPr="7384C533" w:rsidR="2C983AA2">
        <w:rPr>
          <w:rFonts w:ascii="Calibri" w:hAnsi="Calibri" w:eastAsia="Calibri" w:cs="Calibri"/>
          <w:noProof w:val="0"/>
          <w:sz w:val="22"/>
          <w:szCs w:val="22"/>
          <w:lang w:val="en-GB"/>
        </w:rPr>
        <w:t>evaluation of objectivity implicit to Gowland’s influence on the piece</w:t>
      </w:r>
      <w:r w:rsidRPr="7384C533" w:rsidR="56DE117C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7384C533" w:rsidR="2C983A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84C533" w:rsidR="2C983A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 well as </w:t>
      </w:r>
      <w:r w:rsidRPr="7384C533" w:rsidR="3D5886DC">
        <w:rPr>
          <w:rFonts w:ascii="Calibri" w:hAnsi="Calibri" w:eastAsia="Calibri" w:cs="Calibri"/>
          <w:noProof w:val="0"/>
          <w:sz w:val="22"/>
          <w:szCs w:val="22"/>
          <w:lang w:val="en-GB"/>
        </w:rPr>
        <w:t>the comparative uncertainty and doubt comparison to other pieces</w:t>
      </w:r>
      <w:r w:rsidRPr="7384C533" w:rsidR="44C5C6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in particular Gowland’s work</w:t>
      </w:r>
      <w:r w:rsidRPr="7384C533" w:rsidR="3D5886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84C533" w:rsidR="3D5886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casts the piece’s central theses in, it becomes difficult to </w:t>
      </w:r>
      <w:r w:rsidRPr="7384C533" w:rsidR="6A4F0EE9">
        <w:rPr>
          <w:rFonts w:ascii="Calibri" w:hAnsi="Calibri" w:eastAsia="Calibri" w:cs="Calibri"/>
          <w:noProof w:val="0"/>
          <w:sz w:val="22"/>
          <w:szCs w:val="22"/>
          <w:lang w:val="en-GB"/>
        </w:rPr>
        <w:t>reach any other conclusion than that the flaws of Thompson’s article outweigh its merits.</w:t>
      </w:r>
    </w:p>
    <w:p w:rsidR="6A4F0EE9" w:rsidP="7384C533" w:rsidRDefault="6A4F0EE9" w14:paraId="0291958D" w14:textId="76D64D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84C533" w:rsidR="6A4F0EE9">
        <w:rPr>
          <w:rFonts w:ascii="Calibri" w:hAnsi="Calibri" w:eastAsia="Calibri" w:cs="Calibri"/>
          <w:noProof w:val="0"/>
          <w:sz w:val="22"/>
          <w:szCs w:val="22"/>
          <w:lang w:val="en-GB"/>
        </w:rPr>
        <w:t>Reference List</w:t>
      </w:r>
    </w:p>
    <w:p w:rsidR="63798839" w:rsidP="7384C533" w:rsidRDefault="63798839" w14:paraId="098FACF2" w14:textId="411F87BB">
      <w:pPr>
        <w:pStyle w:val="FootnoteText"/>
        <w:bidi w:val="0"/>
      </w:pPr>
      <w:r w:rsidRPr="7384C533" w:rsidR="637988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1. </w:t>
      </w:r>
      <w:r w:rsidR="63798839">
        <w:rPr/>
        <w:t xml:space="preserve">Thompson, C.M. (2017) ‘Between Roundhouse and Villa: Assessing Perinatal and Infant Burials from Piddington, Northamptonshire’, </w:t>
      </w:r>
      <w:r w:rsidRPr="7384C533" w:rsidR="63798839">
        <w:rPr>
          <w:i w:val="1"/>
          <w:iCs w:val="1"/>
        </w:rPr>
        <w:t>Britannia</w:t>
      </w:r>
      <w:r w:rsidR="63798839">
        <w:rPr/>
        <w:t>, vol. 48, pp. 195-219.</w:t>
      </w:r>
      <w:r w:rsidR="35A72A73">
        <w:rPr/>
        <w:t xml:space="preserve"> Available at: </w:t>
      </w:r>
      <w:hyperlink r:id="R7f43a2b373a8475e">
        <w:r w:rsidRPr="7384C533" w:rsidR="4B0CF11A">
          <w:rPr>
            <w:rStyle w:val="Hyperlink"/>
          </w:rPr>
          <w:t>https://moodle.uwtsd.ac.uk/pluginfile.php/637389/mod_resource/content/3/Hodson%2C%20C.M.%202017%20Between%20Roundhouse%20and%20Villa.pdf</w:t>
        </w:r>
      </w:hyperlink>
      <w:r w:rsidR="4B0CF11A">
        <w:rPr/>
        <w:t xml:space="preserve"> (</w:t>
      </w:r>
      <w:bookmarkStart w:name="_Int_RP8j4RHm" w:id="877483299"/>
      <w:r w:rsidR="0B75111D">
        <w:rPr/>
        <w:t>accessed</w:t>
      </w:r>
      <w:bookmarkEnd w:id="877483299"/>
      <w:r w:rsidR="4B0CF11A">
        <w:rPr/>
        <w:t>: 16th October 2022).</w:t>
      </w:r>
    </w:p>
    <w:p w:rsidR="63798839" w:rsidP="7384C533" w:rsidRDefault="63798839" w14:paraId="2D162700" w14:textId="4DAB65B8">
      <w:pPr>
        <w:pStyle w:val="FootnoteText"/>
        <w:bidi w:val="0"/>
      </w:pPr>
      <w:r w:rsidRPr="7384C533" w:rsidR="63798839">
        <w:rPr>
          <w:rFonts w:ascii="Calibri" w:hAnsi="Calibri" w:eastAsia="Calibri" w:cs="Calibri"/>
          <w:noProof w:val="0"/>
          <w:sz w:val="22"/>
          <w:szCs w:val="22"/>
          <w:lang w:val="en-GB"/>
        </w:rPr>
        <w:t>2.</w:t>
      </w:r>
      <w:r w:rsidR="63798839">
        <w:rPr/>
        <w:t xml:space="preserve"> </w:t>
      </w:r>
      <w:r w:rsidR="0C680BE9">
        <w:rPr/>
        <w:t xml:space="preserve">Thompson, C.M. (2017) ‘Between Roundhouse and Villa: Assessing Perinatal and Infant Burials from Piddington, Northamptonshire’, </w:t>
      </w:r>
      <w:r w:rsidRPr="7384C533" w:rsidR="0C680BE9">
        <w:rPr>
          <w:i w:val="1"/>
          <w:iCs w:val="1"/>
        </w:rPr>
        <w:t>Britannia</w:t>
      </w:r>
      <w:r w:rsidR="0C680BE9">
        <w:rPr/>
        <w:t xml:space="preserve">, vol. 48, pp. 195-219. Available at: </w:t>
      </w:r>
      <w:hyperlink r:id="Rc5a5ef03627b4bc8">
        <w:r w:rsidRPr="7384C533" w:rsidR="0C680BE9">
          <w:rPr>
            <w:rStyle w:val="Hyperlink"/>
          </w:rPr>
          <w:t>https://moodle.uwtsd.ac.uk/pluginfile.php/637389/mod_resource/content/3/Hodson%2C%20C.M.%202017%20Between%20Roundhouse%20and%20Villa.pdf</w:t>
        </w:r>
      </w:hyperlink>
      <w:r w:rsidR="0C680BE9">
        <w:rPr/>
        <w:t xml:space="preserve"> (</w:t>
      </w:r>
      <w:bookmarkStart w:name="_Int_UuMIelYN" w:id="1974680543"/>
      <w:r w:rsidR="0C680BE9">
        <w:rPr/>
        <w:t>accessed</w:t>
      </w:r>
      <w:bookmarkEnd w:id="1974680543"/>
      <w:r w:rsidR="0C680BE9">
        <w:rPr/>
        <w:t>: 16th October 2022).</w:t>
      </w:r>
    </w:p>
    <w:p w:rsidR="63798839" w:rsidP="7384C533" w:rsidRDefault="63798839" w14:paraId="01784C13" w14:textId="458F3AAF">
      <w:pPr>
        <w:pStyle w:val="FootnoteText"/>
        <w:bidi w:val="0"/>
      </w:pPr>
      <w:r w:rsidRPr="7384C533" w:rsidR="63798839">
        <w:rPr>
          <w:rFonts w:ascii="Calibri" w:hAnsi="Calibri" w:eastAsia="Calibri" w:cs="Calibri"/>
          <w:noProof w:val="0"/>
          <w:sz w:val="22"/>
          <w:szCs w:val="22"/>
          <w:lang w:val="en-GB"/>
        </w:rPr>
        <w:t>3.</w:t>
      </w:r>
      <w:r w:rsidR="63798839">
        <w:rPr/>
        <w:t xml:space="preserve"> </w:t>
      </w:r>
      <w:r w:rsidR="33785D3E">
        <w:rPr/>
        <w:t xml:space="preserve">Thompson, C.M. (2017) ‘Between Roundhouse and Villa: Assessing Perinatal and Infant Burials from Piddington, Northamptonshire’, </w:t>
      </w:r>
      <w:r w:rsidRPr="7384C533" w:rsidR="33785D3E">
        <w:rPr>
          <w:i w:val="1"/>
          <w:iCs w:val="1"/>
        </w:rPr>
        <w:t>Britannia</w:t>
      </w:r>
      <w:r w:rsidR="33785D3E">
        <w:rPr/>
        <w:t xml:space="preserve">, vol. 48, pp. 195-219. Available at: </w:t>
      </w:r>
      <w:hyperlink r:id="R394f386ec11449e7">
        <w:r w:rsidRPr="7384C533" w:rsidR="33785D3E">
          <w:rPr>
            <w:rStyle w:val="Hyperlink"/>
          </w:rPr>
          <w:t>https://moodle.uwtsd.ac.uk/pluginfile.php/637389/mod_resource/content/3/Hodson%2C%20C.M.%202017%20Between%20Roundhouse%20and%20Villa.pdf</w:t>
        </w:r>
      </w:hyperlink>
      <w:r w:rsidR="33785D3E">
        <w:rPr/>
        <w:t xml:space="preserve"> (</w:t>
      </w:r>
      <w:bookmarkStart w:name="_Int_Z9zaO5o6" w:id="26263521"/>
      <w:r w:rsidR="33785D3E">
        <w:rPr/>
        <w:t>accessed</w:t>
      </w:r>
      <w:bookmarkEnd w:id="26263521"/>
      <w:r w:rsidR="33785D3E">
        <w:rPr/>
        <w:t>: 16th October 2022).</w:t>
      </w:r>
    </w:p>
    <w:p w:rsidR="63798839" w:rsidP="7384C533" w:rsidRDefault="63798839" w14:paraId="3F28D135" w14:textId="0790E11C">
      <w:pPr>
        <w:pStyle w:val="FootnoteText"/>
        <w:bidi w:val="0"/>
      </w:pPr>
      <w:r w:rsidRPr="7384C533" w:rsidR="63798839">
        <w:rPr>
          <w:rFonts w:ascii="Calibri" w:hAnsi="Calibri" w:eastAsia="Calibri" w:cs="Calibri"/>
          <w:noProof w:val="0"/>
          <w:sz w:val="22"/>
          <w:szCs w:val="22"/>
          <w:lang w:val="en-GB"/>
        </w:rPr>
        <w:t>4.</w:t>
      </w:r>
      <w:r w:rsidR="63798839">
        <w:rPr/>
        <w:t xml:space="preserve"> </w:t>
      </w:r>
      <w:r w:rsidR="2D159950">
        <w:rPr/>
        <w:t xml:space="preserve">Thompson, C.M. (2017) ‘Between Roundhouse and Villa: Assessing Perinatal and Infant Burials from Piddington, Northamptonshire’, </w:t>
      </w:r>
      <w:r w:rsidRPr="7384C533" w:rsidR="2D159950">
        <w:rPr>
          <w:i w:val="1"/>
          <w:iCs w:val="1"/>
        </w:rPr>
        <w:t>Britannia</w:t>
      </w:r>
      <w:r w:rsidR="2D159950">
        <w:rPr/>
        <w:t xml:space="preserve">, vol. 48, pp. 195-219. Available at: </w:t>
      </w:r>
      <w:hyperlink r:id="R6c0af731bf604fe7">
        <w:r w:rsidRPr="7384C533" w:rsidR="2D159950">
          <w:rPr>
            <w:rStyle w:val="Hyperlink"/>
          </w:rPr>
          <w:t>https://moodle.uwtsd.ac.uk/pluginfile.php/637389/mod_resource/content/3/Hodson%2C%20C.M.%202017%20Between%20Roundhouse%20and%20Villa.pdf</w:t>
        </w:r>
      </w:hyperlink>
      <w:r w:rsidR="2D159950">
        <w:rPr/>
        <w:t xml:space="preserve"> (</w:t>
      </w:r>
      <w:bookmarkStart w:name="_Int_Vh40Rv7Q" w:id="936051209"/>
      <w:r w:rsidR="2D159950">
        <w:rPr/>
        <w:t>accessed</w:t>
      </w:r>
      <w:bookmarkEnd w:id="936051209"/>
      <w:r w:rsidR="2D159950">
        <w:rPr/>
        <w:t>: 16th October 2022).</w:t>
      </w:r>
    </w:p>
    <w:p w:rsidR="63798839" w:rsidP="7384C533" w:rsidRDefault="63798839" w14:paraId="584059D3" w14:textId="672E87EE">
      <w:pPr>
        <w:pStyle w:val="FootnoteText"/>
        <w:bidi w:val="0"/>
      </w:pPr>
      <w:r w:rsidRPr="7384C533" w:rsidR="63798839">
        <w:rPr>
          <w:rFonts w:ascii="Calibri" w:hAnsi="Calibri" w:eastAsia="Calibri" w:cs="Calibri"/>
          <w:noProof w:val="0"/>
          <w:sz w:val="22"/>
          <w:szCs w:val="22"/>
          <w:lang w:val="en-GB"/>
        </w:rPr>
        <w:t>5.</w:t>
      </w:r>
      <w:r w:rsidR="63798839">
        <w:rPr/>
        <w:t xml:space="preserve"> </w:t>
      </w:r>
      <w:r w:rsidR="688E4FDC">
        <w:rPr/>
        <w:t xml:space="preserve">Thompson, C.M. (2017) ‘Between Roundhouse and Villa: Assessing Perinatal and Infant Burials from Piddington, Northamptonshire’, </w:t>
      </w:r>
      <w:r w:rsidRPr="7384C533" w:rsidR="688E4FDC">
        <w:rPr>
          <w:i w:val="1"/>
          <w:iCs w:val="1"/>
        </w:rPr>
        <w:t>Britannia</w:t>
      </w:r>
      <w:r w:rsidR="688E4FDC">
        <w:rPr/>
        <w:t xml:space="preserve">, vol. 48, pp. 195-219. Available at: </w:t>
      </w:r>
      <w:hyperlink r:id="R55ab631599054c4a">
        <w:r w:rsidRPr="7384C533" w:rsidR="688E4FDC">
          <w:rPr>
            <w:rStyle w:val="Hyperlink"/>
          </w:rPr>
          <w:t>https://moodle.uwtsd.ac.uk/pluginfile.php/637389/mod_resource/content/3/Hodson%2C%20C.M.%202017%20Between%20Roundhouse%20and%20Villa.pdf</w:t>
        </w:r>
      </w:hyperlink>
      <w:r w:rsidR="688E4FDC">
        <w:rPr/>
        <w:t xml:space="preserve"> (</w:t>
      </w:r>
      <w:bookmarkStart w:name="_Int_jPmHBUYy" w:id="1371321750"/>
      <w:r w:rsidR="688E4FDC">
        <w:rPr/>
        <w:t>accessed</w:t>
      </w:r>
      <w:bookmarkEnd w:id="1371321750"/>
      <w:r w:rsidR="688E4FDC">
        <w:rPr/>
        <w:t>: 16th October 2022).</w:t>
      </w:r>
    </w:p>
    <w:p w:rsidR="63798839" w:rsidP="7384C533" w:rsidRDefault="63798839" w14:paraId="22C58500" w14:textId="5F8DAC33">
      <w:pPr>
        <w:pStyle w:val="FootnoteText"/>
        <w:bidi w:val="0"/>
      </w:pPr>
      <w:r w:rsidRPr="7384C533" w:rsidR="637988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6. </w:t>
      </w:r>
      <w:r w:rsidR="4155FF97">
        <w:rPr/>
        <w:t xml:space="preserve">Thompson, C.M. (2017) ‘Between Roundhouse and Villa: Assessing Perinatal and Infant Burials from Piddington, Northamptonshire’, </w:t>
      </w:r>
      <w:r w:rsidRPr="7384C533" w:rsidR="4155FF97">
        <w:rPr>
          <w:i w:val="1"/>
          <w:iCs w:val="1"/>
        </w:rPr>
        <w:t>Britannia</w:t>
      </w:r>
      <w:r w:rsidR="4155FF97">
        <w:rPr/>
        <w:t xml:space="preserve">, vol. 48, pp. 195-219. Available at: </w:t>
      </w:r>
      <w:hyperlink r:id="Rab40c5d402294705">
        <w:r w:rsidRPr="7384C533" w:rsidR="4155FF97">
          <w:rPr>
            <w:rStyle w:val="Hyperlink"/>
          </w:rPr>
          <w:t>https://moodle.uwtsd.ac.uk/pluginfile.php/637389/mod_resource/content/3/Hodson%2C%20C.M.%202017%20Between%20Roundhouse%20and%20Villa.pdf</w:t>
        </w:r>
      </w:hyperlink>
      <w:r w:rsidR="4155FF97">
        <w:rPr/>
        <w:t xml:space="preserve"> (</w:t>
      </w:r>
      <w:bookmarkStart w:name="_Int_JrWlwZfS" w:id="1799751746"/>
      <w:r w:rsidR="4155FF97">
        <w:rPr/>
        <w:t>accessed</w:t>
      </w:r>
      <w:bookmarkEnd w:id="1799751746"/>
      <w:r w:rsidR="4155FF97">
        <w:rPr/>
        <w:t>: 16th October 2022).</w:t>
      </w:r>
    </w:p>
    <w:p w:rsidR="321BA34D" w:rsidP="7384C533" w:rsidRDefault="321BA34D" w14:paraId="0232B8F2" w14:textId="2DA525BB">
      <w:pPr>
        <w:pStyle w:val="FootnoteText"/>
        <w:bidi w:val="0"/>
        <w:rPr>
          <w:i w:val="0"/>
          <w:iCs w:val="0"/>
        </w:rPr>
      </w:pPr>
      <w:r w:rsidRPr="7384C533" w:rsidR="321BA3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7. </w:t>
      </w:r>
      <w:r w:rsidR="321BA34D">
        <w:rPr/>
        <w:t xml:space="preserve">(2011) ‘Perinatal infant death at the Roman villa site at Hambleden, Buckinghamshire, England’ </w:t>
      </w:r>
      <w:r w:rsidRPr="7384C533" w:rsidR="321BA34D">
        <w:rPr>
          <w:i w:val="1"/>
          <w:iCs w:val="1"/>
        </w:rPr>
        <w:t>Journal of Archaeological Science</w:t>
      </w:r>
      <w:r w:rsidRPr="7384C533" w:rsidR="321BA34D">
        <w:rPr>
          <w:i w:val="0"/>
          <w:iCs w:val="0"/>
        </w:rPr>
        <w:t>, 38, pp. 1931-1938, DOI</w:t>
      </w:r>
      <w:r w:rsidRPr="7384C533" w:rsidR="321BA34D">
        <w:rPr>
          <w:noProof w:val="0"/>
          <w:sz w:val="19"/>
          <w:szCs w:val="19"/>
          <w:lang w:val="en-GB"/>
        </w:rPr>
        <w:t>: 10.1016/j.jas.2011.04.002</w:t>
      </w:r>
    </w:p>
    <w:p w:rsidR="37FE078F" w:rsidP="7384C533" w:rsidRDefault="37FE078F" w14:paraId="703A7AE4" w14:textId="58C383DB">
      <w:pPr>
        <w:pStyle w:val="FootnoteText"/>
        <w:bidi w:val="0"/>
        <w:rPr>
          <w:noProof w:val="0"/>
          <w:sz w:val="19"/>
          <w:szCs w:val="19"/>
          <w:lang w:val="en-GB"/>
        </w:rPr>
      </w:pPr>
      <w:r w:rsidRPr="7384C533" w:rsidR="37FE078F">
        <w:rPr>
          <w:noProof w:val="0"/>
          <w:sz w:val="19"/>
          <w:szCs w:val="19"/>
          <w:lang w:val="en-GB"/>
        </w:rPr>
        <w:t xml:space="preserve">8. </w:t>
      </w:r>
      <w:r w:rsidR="37FE078F">
        <w:rPr/>
        <w:t xml:space="preserve">(2015) ‘Infant and Child Burial Rites in Roman Britain: </w:t>
      </w:r>
      <w:bookmarkStart w:name="_Int_syMutiAx" w:id="1702310681"/>
      <w:r w:rsidR="37FE078F">
        <w:rPr/>
        <w:t>a</w:t>
      </w:r>
      <w:bookmarkEnd w:id="1702310681"/>
      <w:r w:rsidR="37FE078F">
        <w:rPr/>
        <w:t xml:space="preserve"> Study from East Yorkshire’, </w:t>
      </w:r>
      <w:r w:rsidRPr="7384C533" w:rsidR="37FE078F">
        <w:rPr>
          <w:i w:val="1"/>
          <w:iCs w:val="1"/>
        </w:rPr>
        <w:t>Britannia</w:t>
      </w:r>
      <w:r w:rsidR="37FE078F">
        <w:rPr/>
        <w:t>, 46, 171-189</w:t>
      </w:r>
    </w:p>
    <w:p w:rsidR="7959225D" w:rsidP="7384C533" w:rsidRDefault="7959225D" w14:paraId="1084B9AA" w14:textId="59FE3B89">
      <w:pPr>
        <w:pStyle w:val="FootnoteText"/>
        <w:bidi w:val="0"/>
      </w:pPr>
      <w:r w:rsidRPr="7384C533" w:rsidR="7959225D">
        <w:rPr>
          <w:noProof w:val="0"/>
          <w:sz w:val="19"/>
          <w:szCs w:val="19"/>
          <w:lang w:val="en-GB"/>
        </w:rPr>
        <w:t>9.</w:t>
      </w:r>
      <w:r w:rsidR="668B5386">
        <w:rPr/>
        <w:t xml:space="preserve"> Thompson, C.M. (2017) ‘Between Roundhouse and Villa: Assessing Perinatal and Infant Burials from Piddington, Northamptonshire’, </w:t>
      </w:r>
      <w:r w:rsidRPr="7384C533" w:rsidR="668B5386">
        <w:rPr>
          <w:i w:val="1"/>
          <w:iCs w:val="1"/>
        </w:rPr>
        <w:t>Britannia</w:t>
      </w:r>
      <w:r w:rsidR="668B5386">
        <w:rPr/>
        <w:t xml:space="preserve">, vol. 48, pp. 195-219. Available at: </w:t>
      </w:r>
      <w:hyperlink r:id="R1487f05d556443cd">
        <w:r w:rsidRPr="7384C533" w:rsidR="668B5386">
          <w:rPr>
            <w:rStyle w:val="Hyperlink"/>
          </w:rPr>
          <w:t>https://moodle.uwtsd.ac.uk/pluginfile.php/637389/mod_resource/content/3/Hodson%2C%20C.M.%202017%20Between%20Roundhouse%20and%20Villa.pdf</w:t>
        </w:r>
      </w:hyperlink>
      <w:r w:rsidR="668B5386">
        <w:rPr/>
        <w:t xml:space="preserve"> (</w:t>
      </w:r>
      <w:bookmarkStart w:name="_Int_xuoZI3b3" w:id="174765443"/>
      <w:r w:rsidR="668B5386">
        <w:rPr/>
        <w:t>accessed</w:t>
      </w:r>
      <w:bookmarkEnd w:id="174765443"/>
      <w:r w:rsidR="668B5386">
        <w:rPr/>
        <w:t>: 16th October 2022).</w:t>
      </w:r>
    </w:p>
    <w:p w:rsidR="3BC14FB5" w:rsidP="7384C533" w:rsidRDefault="3BC14FB5" w14:paraId="4FEF6427" w14:textId="027FDC2A">
      <w:pPr>
        <w:pStyle w:val="FootnoteText"/>
        <w:bidi w:val="0"/>
      </w:pPr>
      <w:r w:rsidR="3BC14FB5">
        <w:rPr/>
        <w:t xml:space="preserve">10. </w:t>
      </w:r>
      <w:r w:rsidR="1DA07005">
        <w:rPr/>
        <w:t xml:space="preserve">Thompson, C.M. (2017) ‘Between Roundhouse and Villa: Assessing Perinatal and Infant Burials from Piddington, Northamptonshire’, </w:t>
      </w:r>
      <w:r w:rsidRPr="7384C533" w:rsidR="1DA07005">
        <w:rPr>
          <w:i w:val="1"/>
          <w:iCs w:val="1"/>
        </w:rPr>
        <w:t>Britannia</w:t>
      </w:r>
      <w:r w:rsidR="1DA07005">
        <w:rPr/>
        <w:t xml:space="preserve">, vol. 48, pp. 195-219. Available at: </w:t>
      </w:r>
      <w:hyperlink r:id="R50789cf90757415d">
        <w:r w:rsidRPr="7384C533" w:rsidR="1DA07005">
          <w:rPr>
            <w:rStyle w:val="Hyperlink"/>
          </w:rPr>
          <w:t>https://moodle.uwtsd.ac.uk/pluginfile.php/637389/mod_resource/content/3/Hodson%2C%20C.M.%202017%20Between%20Roundhouse%20and%20Villa.pdf</w:t>
        </w:r>
      </w:hyperlink>
      <w:r w:rsidR="1DA07005">
        <w:rPr/>
        <w:t xml:space="preserve"> (</w:t>
      </w:r>
      <w:bookmarkStart w:name="_Int_eHsuBzFi" w:id="1079111118"/>
      <w:r w:rsidR="1DA07005">
        <w:rPr/>
        <w:t>accessed</w:t>
      </w:r>
      <w:bookmarkEnd w:id="1079111118"/>
      <w:r w:rsidR="1DA07005">
        <w:rPr/>
        <w:t>: 16th October 2022).</w:t>
      </w:r>
    </w:p>
    <w:p w:rsidR="7384C533" w:rsidP="7384C533" w:rsidRDefault="7384C533" w14:paraId="16DC11A4" w14:textId="3669DC8F">
      <w:pPr>
        <w:pStyle w:val="FootnoteText"/>
        <w:bidi w:val="0"/>
      </w:pPr>
    </w:p>
    <w:p w:rsidR="7384C533" w:rsidP="7384C533" w:rsidRDefault="7384C533" w14:paraId="1370693B" w14:textId="0DD22BE9">
      <w:pPr>
        <w:pStyle w:val="FootnoteText"/>
        <w:bidi w:val="0"/>
      </w:pPr>
    </w:p>
    <w:p w:rsidR="7384C533" w:rsidP="7384C533" w:rsidRDefault="7384C533" w14:paraId="00F4D1CA" w14:textId="695422C5">
      <w:pPr>
        <w:pStyle w:val="FootnoteText"/>
        <w:bidi w:val="0"/>
      </w:pPr>
    </w:p>
    <w:p w:rsidR="7384C533" w:rsidP="7384C533" w:rsidRDefault="7384C533" w14:paraId="6B7FA79C" w14:textId="0B4E1377">
      <w:pPr>
        <w:pStyle w:val="FootnoteText"/>
        <w:bidi w:val="0"/>
        <w:rPr>
          <w:noProof w:val="0"/>
          <w:sz w:val="19"/>
          <w:szCs w:val="19"/>
          <w:lang w:val="en-GB"/>
        </w:rPr>
      </w:pPr>
    </w:p>
    <w:p w:rsidR="7384C533" w:rsidP="7384C533" w:rsidRDefault="7384C533" w14:paraId="76A0AE3B" w14:textId="6E3A82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925CB14" w:rsidP="7925CB14" w:rsidRDefault="7925CB14" w14:paraId="20D18DAB" w14:textId="258CFA4A">
      <w:pPr>
        <w:pStyle w:val="Normal"/>
      </w:pPr>
    </w:p>
    <w:p w:rsidR="7925CB14" w:rsidP="7925CB14" w:rsidRDefault="7925CB14" w14:paraId="266369F8" w14:textId="451F538C">
      <w:pPr>
        <w:pStyle w:val="Normal"/>
      </w:pPr>
    </w:p>
    <w:p w:rsidR="7925CB14" w:rsidP="7925CB14" w:rsidRDefault="7925CB14" w14:paraId="7B38070D" w14:textId="0885D33C">
      <w:pPr>
        <w:pStyle w:val="Normal"/>
      </w:pPr>
    </w:p>
    <w:p w:rsidR="7925CB14" w:rsidP="7925CB14" w:rsidRDefault="7925CB14" w14:paraId="13CC7FD8" w14:textId="488B448C">
      <w:pPr>
        <w:pStyle w:val="Normal"/>
      </w:pPr>
    </w:p>
    <w:p w:rsidR="7925CB14" w:rsidP="7925CB14" w:rsidRDefault="7925CB14" w14:paraId="40707FBF" w14:textId="6389686F">
      <w:pPr>
        <w:pStyle w:val="Normal"/>
      </w:pPr>
    </w:p>
    <w:p w:rsidR="7925CB14" w:rsidP="7925CB14" w:rsidRDefault="7925CB14" w14:paraId="3F05A5B9" w14:textId="05E97302">
      <w:pPr>
        <w:pStyle w:val="Normal"/>
      </w:pPr>
    </w:p>
    <w:p w:rsidR="7925CB14" w:rsidP="7925CB14" w:rsidRDefault="7925CB14" w14:paraId="49D3A421" w14:textId="2B840462">
      <w:pPr>
        <w:pStyle w:val="Normal"/>
      </w:pPr>
    </w:p>
    <w:p w:rsidR="7925CB14" w:rsidP="7925CB14" w:rsidRDefault="7925CB14" w14:paraId="4BA21B4C" w14:textId="4BECCEE5">
      <w:pPr>
        <w:pStyle w:val="Normal"/>
      </w:pPr>
    </w:p>
    <w:p w:rsidR="7925CB14" w:rsidP="7925CB14" w:rsidRDefault="7925CB14" w14:paraId="39A22893" w14:textId="7675C38C">
      <w:pPr>
        <w:pStyle w:val="Normal"/>
      </w:pPr>
    </w:p>
    <w:p w:rsidR="7925CB14" w:rsidP="7925CB14" w:rsidRDefault="7925CB14" w14:paraId="0C72D3D0" w14:textId="0AE1E699">
      <w:pPr>
        <w:pStyle w:val="Normal"/>
      </w:pPr>
    </w:p>
    <w:p w:rsidR="7925CB14" w:rsidP="7925CB14" w:rsidRDefault="7925CB14" w14:paraId="4F844555" w14:textId="0A33B20B">
      <w:pPr>
        <w:pStyle w:val="Normal"/>
      </w:pPr>
    </w:p>
    <w:p w:rsidR="7925CB14" w:rsidP="7925CB14" w:rsidRDefault="7925CB14" w14:paraId="01680154" w14:textId="551ED357">
      <w:pPr>
        <w:pStyle w:val="Normal"/>
      </w:pPr>
    </w:p>
    <w:p w:rsidR="7925CB14" w:rsidP="7925CB14" w:rsidRDefault="7925CB14" w14:paraId="0585DFE0" w14:textId="72C5C645">
      <w:pPr>
        <w:pStyle w:val="Normal"/>
      </w:pPr>
    </w:p>
    <w:p w:rsidR="7925CB14" w:rsidP="7925CB14" w:rsidRDefault="7925CB14" w14:paraId="50F9CCF5" w14:textId="0F498A6F">
      <w:pPr>
        <w:pStyle w:val="Normal"/>
      </w:pPr>
    </w:p>
    <w:p w:rsidR="7925CB14" w:rsidP="7925CB14" w:rsidRDefault="7925CB14" w14:paraId="0A32D179" w14:textId="6198C0DB">
      <w:pPr>
        <w:pStyle w:val="Normal"/>
      </w:pPr>
    </w:p>
    <w:p w:rsidR="7925CB14" w:rsidP="7925CB14" w:rsidRDefault="7925CB14" w14:paraId="5CF3B1C0" w14:textId="170D000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7925CB14" w:rsidRDefault="7925CB14" w14:paraId="71AA678C" w14:textId="30113D11">
      <w:pPr>
        <w:spacing w:after="0" w:line="240" w:lineRule="auto"/>
      </w:pPr>
      <w:r>
        <w:separator/>
      </w:r>
    </w:p>
  </w:footnote>
  <w:footnote w:type="continuationSeparator" w:id="0">
    <w:p w:rsidR="7925CB14" w:rsidRDefault="7925CB14" w14:paraId="52BE754A" w14:textId="72C330B0">
      <w:pPr>
        <w:spacing w:after="0" w:line="240" w:lineRule="auto"/>
      </w:pPr>
      <w:r>
        <w:continuationSeparator/>
      </w:r>
    </w:p>
  </w:footnote>
  <w:footnote w:id="30429">
    <w:p w:rsidR="7925CB14" w:rsidP="7384C533" w:rsidRDefault="7925CB14" w14:paraId="614061DD" w14:textId="1106B9DA">
      <w:pPr>
        <w:pStyle w:val="FootnoteText"/>
        <w:spacing w:before="0" w:beforeAutospacing="off" w:after="0" w:afterAutospacing="off" w:line="240" w:lineRule="auto"/>
        <w:ind w:left="0" w:right="0"/>
        <w:jc w:val="left"/>
        <w:rPr>
          <w:i w:val="0"/>
          <w:iCs w:val="0"/>
        </w:rPr>
      </w:pPr>
      <w:r w:rsidRPr="7925CB14">
        <w:rPr>
          <w:rStyle w:val="FootnoteReference"/>
        </w:rPr>
        <w:footnoteRef/>
      </w:r>
      <w:r w:rsidR="7384C533">
        <w:rPr/>
        <w:t xml:space="preserve"> </w:t>
      </w:r>
      <w:r w:rsidR="7384C533">
        <w:rPr/>
        <w:t>(Thompson, 2017, p.195)</w:t>
      </w:r>
    </w:p>
    <w:p w:rsidR="7925CB14" w:rsidP="7925CB14" w:rsidRDefault="7925CB14" w14:paraId="74CEB790" w14:textId="67B9A4D8">
      <w:pPr>
        <w:pStyle w:val="FootnoteText"/>
        <w:bidi w:val="0"/>
      </w:pPr>
    </w:p>
  </w:footnote>
  <w:footnote w:id="16843">
    <w:p w:rsidR="5AC7BDE8" w:rsidP="7384C533" w:rsidRDefault="5AC7BDE8" w14:paraId="25F43119" w14:textId="4BAAFDEF">
      <w:pPr>
        <w:pStyle w:val="FootnoteText"/>
        <w:spacing w:before="0" w:beforeAutospacing="off" w:after="0" w:afterAutospacing="off" w:line="240" w:lineRule="auto"/>
        <w:ind w:left="0" w:right="0"/>
        <w:jc w:val="left"/>
        <w:rPr>
          <w:i w:val="0"/>
          <w:iCs w:val="0"/>
        </w:rPr>
      </w:pPr>
      <w:r w:rsidRPr="5AC7BDE8">
        <w:rPr>
          <w:rStyle w:val="FootnoteReference"/>
        </w:rPr>
        <w:footnoteRef/>
      </w:r>
      <w:r w:rsidR="7384C533">
        <w:rPr/>
        <w:t xml:space="preserve"> </w:t>
      </w:r>
      <w:r w:rsidR="7384C533">
        <w:rPr/>
        <w:t>(Thompson, 2017, p. 196)</w:t>
      </w:r>
    </w:p>
  </w:footnote>
  <w:footnote w:id="32692">
    <w:p w:rsidR="5AC7BDE8" w:rsidP="5AC7BDE8" w:rsidRDefault="5AC7BDE8" w14:paraId="2FB7F7DE" w14:textId="62632233">
      <w:pPr>
        <w:pStyle w:val="FootnoteText"/>
        <w:bidi w:val="0"/>
      </w:pPr>
      <w:r w:rsidRPr="5AC7BDE8">
        <w:rPr>
          <w:rStyle w:val="FootnoteReference"/>
        </w:rPr>
        <w:footnoteRef/>
      </w:r>
      <w:r w:rsidR="7384C533">
        <w:rPr/>
        <w:t xml:space="preserve">  (Thompson, 2017, p. </w:t>
      </w:r>
    </w:p>
    <w:p w:rsidR="5AC7BDE8" w:rsidP="5AC7BDE8" w:rsidRDefault="5AC7BDE8" w14:paraId="269480CD" w14:textId="44010255">
      <w:pPr>
        <w:pStyle w:val="FootnoteText"/>
        <w:bidi w:val="0"/>
      </w:pPr>
      <w:r w:rsidR="7384C533">
        <w:rPr/>
        <w:t>196)</w:t>
      </w:r>
    </w:p>
  </w:footnote>
  <w:footnote w:id="21840">
    <w:p w:rsidR="5AC7BDE8" w:rsidP="7384C533" w:rsidRDefault="5AC7BDE8" w14:paraId="5E599010" w14:textId="789DA6C2">
      <w:pPr>
        <w:pStyle w:val="FootnoteText"/>
        <w:spacing w:before="0" w:beforeAutospacing="off" w:after="0" w:afterAutospacing="off" w:line="240" w:lineRule="auto"/>
        <w:ind w:left="0" w:right="0"/>
        <w:jc w:val="left"/>
        <w:rPr>
          <w:i w:val="0"/>
          <w:iCs w:val="0"/>
        </w:rPr>
      </w:pPr>
      <w:r w:rsidRPr="5AC7BDE8">
        <w:rPr>
          <w:rStyle w:val="FootnoteReference"/>
        </w:rPr>
        <w:footnoteRef/>
      </w:r>
      <w:r w:rsidR="7384C533">
        <w:rPr/>
        <w:t xml:space="preserve"> </w:t>
      </w:r>
      <w:r w:rsidR="7384C533">
        <w:rPr/>
        <w:t>(Thompson, 2017, p. 196)</w:t>
      </w:r>
    </w:p>
  </w:footnote>
  <w:footnote w:id="14797">
    <w:p w:rsidR="5AC7BDE8" w:rsidP="5AC7BDE8" w:rsidRDefault="5AC7BDE8" w14:paraId="2836CE65" w14:textId="27C10239">
      <w:pPr>
        <w:pStyle w:val="FootnoteText"/>
        <w:bidi w:val="0"/>
      </w:pPr>
      <w:r w:rsidRPr="5AC7BDE8">
        <w:rPr>
          <w:rStyle w:val="FootnoteReference"/>
        </w:rPr>
        <w:footnoteRef/>
      </w:r>
      <w:r w:rsidR="7384C533">
        <w:rPr/>
        <w:t xml:space="preserve"> </w:t>
      </w:r>
      <w:r w:rsidR="7384C533">
        <w:rPr/>
        <w:t xml:space="preserve">(Thompson, 2017, p. 196)</w:t>
      </w:r>
    </w:p>
  </w:footnote>
  <w:footnote w:id="24648">
    <w:p w:rsidR="5AC7BDE8" w:rsidP="5AC7BDE8" w:rsidRDefault="5AC7BDE8" w14:paraId="3B4FFE8A" w14:textId="2AD3FFCF">
      <w:pPr>
        <w:pStyle w:val="FootnoteText"/>
        <w:bidi w:val="0"/>
      </w:pPr>
      <w:r w:rsidRPr="5AC7BDE8">
        <w:rPr>
          <w:rStyle w:val="FootnoteReference"/>
        </w:rPr>
        <w:footnoteRef/>
      </w:r>
      <w:r w:rsidR="7384C533">
        <w:rPr/>
        <w:t xml:space="preserve"> </w:t>
      </w:r>
      <w:r w:rsidR="7384C533">
        <w:rPr/>
        <w:t xml:space="preserve">(Thompson, 2017, p. 216)</w:t>
      </w:r>
    </w:p>
  </w:footnote>
  <w:footnote w:id="24210">
    <w:p w:rsidR="7384C533" w:rsidP="7384C533" w:rsidRDefault="7384C533" w14:paraId="0F088B2D" w14:textId="34A924CC">
      <w:pPr>
        <w:pStyle w:val="FootnoteText"/>
        <w:bidi w:val="0"/>
        <w:spacing w:before="0" w:beforeAutospacing="off" w:after="0" w:afterAutospacing="off" w:line="240" w:lineRule="auto"/>
        <w:ind w:left="0" w:right="0"/>
        <w:jc w:val="left"/>
        <w:rPr>
          <w:i w:val="0"/>
          <w:iCs w:val="0"/>
        </w:rPr>
      </w:pPr>
      <w:r w:rsidRPr="7384C533">
        <w:rPr>
          <w:rStyle w:val="FootnoteReference"/>
        </w:rPr>
        <w:footnoteRef/>
      </w:r>
      <w:r w:rsidR="7384C533">
        <w:rPr/>
        <w:t xml:space="preserve"> </w:t>
      </w:r>
      <w:r w:rsidR="7384C533">
        <w:rPr/>
        <w:t>(2011, p. 1937)</w:t>
      </w:r>
    </w:p>
  </w:footnote>
  <w:footnote w:id="31013">
    <w:p w:rsidR="7384C533" w:rsidP="7384C533" w:rsidRDefault="7384C533" w14:paraId="49B51B2B" w14:textId="68130C05">
      <w:pPr>
        <w:pStyle w:val="FootnoteText"/>
        <w:bidi w:val="0"/>
      </w:pPr>
      <w:r w:rsidRPr="7384C533">
        <w:rPr>
          <w:rStyle w:val="FootnoteReference"/>
        </w:rPr>
        <w:footnoteRef/>
      </w:r>
      <w:r w:rsidR="7384C533">
        <w:rPr/>
        <w:t xml:space="preserve"> (2015</w:t>
      </w:r>
      <w:r w:rsidR="7384C533">
        <w:rPr/>
        <w:t>, p. 187)</w:t>
      </w:r>
    </w:p>
  </w:footnote>
  <w:footnote w:id="31225">
    <w:p w:rsidR="7384C533" w:rsidP="7384C533" w:rsidRDefault="7384C533" w14:paraId="170F5E93" w14:textId="05BFAFE2">
      <w:pPr>
        <w:pStyle w:val="FootnoteText"/>
        <w:bidi w:val="0"/>
      </w:pPr>
      <w:r w:rsidRPr="7384C533">
        <w:rPr>
          <w:rStyle w:val="FootnoteReference"/>
        </w:rPr>
        <w:footnoteRef/>
      </w:r>
      <w:r w:rsidR="7384C533">
        <w:rPr/>
        <w:t xml:space="preserve"> (Thompson, 2017, p. 216-219)</w:t>
      </w:r>
    </w:p>
  </w:footnote>
  <w:footnote w:id="18324">
    <w:p w:rsidR="7384C533" w:rsidP="7384C533" w:rsidRDefault="7384C533" w14:paraId="0AA00BD1" w14:textId="26EE0208">
      <w:pPr>
        <w:pStyle w:val="FootnoteText"/>
        <w:bidi w:val="0"/>
      </w:pPr>
      <w:r w:rsidRPr="7384C533">
        <w:rPr>
          <w:rStyle w:val="FootnoteReference"/>
        </w:rPr>
        <w:footnoteRef/>
      </w:r>
      <w:r w:rsidR="7384C533">
        <w:rPr/>
        <w:t xml:space="preserve"> (Thompson, 2017, p. 217)</w:t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oJ5Bgp+hdxLAfO" int2:id="iNleotxx">
      <int2:state int2:type="LegacyProofing" int2:value="Rejected"/>
    </int2:textHash>
    <int2:textHash int2:hashCode="xcgb3EeIup7nN2" int2:id="7G94zklb">
      <int2:state int2:type="LegacyProofing" int2:value="Rejected"/>
    </int2:textHash>
    <int2:textHash int2:hashCode="OenCvx1q9bwJWA" int2:id="zA9LTY0X">
      <int2:state int2:type="LegacyProofing" int2:value="Rejected"/>
    </int2:textHash>
    <int2:textHash int2:hashCode="CXEiDBYZHdzk0x" int2:id="N7z4yRkG">
      <int2:state int2:type="LegacyProofing" int2:value="Rejected"/>
    </int2:textHash>
    <int2:textHash int2:hashCode="ZsSVoklr1usIES" int2:id="vGyjmdo3">
      <int2:state int2:type="LegacyProofing" int2:value="Rejected"/>
    </int2:textHash>
    <int2:bookmark int2:bookmarkName="_Int_zZP4fGQb" int2:invalidationBookmarkName="" int2:hashCode="AEdE4V+CtebHN3" int2:id="bFfYzMR1">
      <int2:state int2:type="LegacyProofing" int2:value="Rejected"/>
    </int2:bookmark>
    <int2:bookmark int2:bookmarkName="_Int_syMutiAx" int2:invalidationBookmarkName="" int2:hashCode="hvfkN/qlp/zhXR" int2:id="Jc35OaGC">
      <int2:state int2:type="LegacyProofing" int2:value="Rejected"/>
    </int2:bookmark>
    <int2:bookmark int2:bookmarkName="_Int_eHsuBzFi" int2:invalidationBookmarkName="" int2:hashCode="KgMi1YJWa8vij+" int2:id="v7JHOSyu">
      <int2:state int2:type="LegacyProofing" int2:value="Rejected"/>
    </int2:bookmark>
    <int2:bookmark int2:bookmarkName="_Int_UuMIelYN" int2:invalidationBookmarkName="" int2:hashCode="KgMi1YJWa8vij+" int2:id="epgTJUQA">
      <int2:state int2:type="LegacyProofing" int2:value="Rejected"/>
    </int2:bookmark>
    <int2:bookmark int2:bookmarkName="_Int_Z9zaO5o6" int2:invalidationBookmarkName="" int2:hashCode="KgMi1YJWa8vij+" int2:id="syTJ2M53">
      <int2:state int2:type="LegacyProofing" int2:value="Rejected"/>
    </int2:bookmark>
    <int2:bookmark int2:bookmarkName="_Int_jPmHBUYy" int2:invalidationBookmarkName="" int2:hashCode="KgMi1YJWa8vij+" int2:id="nt9DvUlX">
      <int2:state int2:type="LegacyProofing" int2:value="Rejected"/>
    </int2:bookmark>
    <int2:bookmark int2:bookmarkName="_Int_Vh40Rv7Q" int2:invalidationBookmarkName="" int2:hashCode="KgMi1YJWa8vij+" int2:id="7i22WQsD">
      <int2:state int2:type="LegacyProofing" int2:value="Rejected"/>
    </int2:bookmark>
    <int2:bookmark int2:bookmarkName="_Int_JrWlwZfS" int2:invalidationBookmarkName="" int2:hashCode="KgMi1YJWa8vij+" int2:id="FA8cPIQF">
      <int2:state int2:type="LegacyProofing" int2:value="Rejected"/>
    </int2:bookmark>
    <int2:bookmark int2:bookmarkName="_Int_xuoZI3b3" int2:invalidationBookmarkName="" int2:hashCode="KgMi1YJWa8vij+" int2:id="i7LLkdVN">
      <int2:state int2:type="LegacyProofing" int2:value="Rejected"/>
    </int2:bookmark>
    <int2:bookmark int2:bookmarkName="_Int_RP8j4RHm" int2:invalidationBookmarkName="" int2:hashCode="KgMi1YJWa8vij+" int2:id="i4BOvR7g">
      <int2:state int2:type="LegacyProofing" int2:value="Rejected"/>
    </int2:bookmark>
    <int2:bookmark int2:bookmarkName="_Int_inDdWVns" int2:invalidationBookmarkName="" int2:hashCode="B6Lb2zzJLdux2u" int2:id="HHnojV8A">
      <int2:state int2:type="AugLoop_Text_Critique" int2:value="Rejected"/>
    </int2:bookmark>
    <int2:bookmark int2:bookmarkName="_Int_UeUQ53d4" int2:invalidationBookmarkName="" int2:hashCode="u4zLXuUzalFphI" int2:id="quF1IhaR">
      <int2:state int2:type="LegacyProofing" int2:value="Rejected"/>
    </int2:bookmark>
    <int2:bookmark int2:bookmarkName="_Int_L5OlGdia" int2:invalidationBookmarkName="" int2:hashCode="YODQwb/goIQCyz" int2:id="BkgKLLq7">
      <int2:state int2:type="AugLoop_Text_Critique" int2:value="Rejected"/>
    </int2:bookmark>
    <int2:bookmark int2:bookmarkName="_Int_CZBkXvZB" int2:invalidationBookmarkName="" int2:hashCode="hvfkN/qlp/zhXR" int2:id="X45hNjXS">
      <int2:state int2:type="LegacyProofing" int2:value="Rejected"/>
    </int2:bookmark>
    <int2:bookmark int2:bookmarkName="_Int_RKdMj2Kb" int2:invalidationBookmarkName="" int2:hashCode="NkPdJ9i9g1wpGP" int2:id="xGcGvCVx">
      <int2:state int2:type="AugLoop_Text_Critique" int2:value="Rejected"/>
    </int2:bookmark>
    <int2:bookmark int2:bookmarkName="_Int_dOBRcuLl" int2:invalidationBookmarkName="" int2:hashCode="utcRtgfLMjUW7D" int2:id="62XTIjp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D30EBE"/>
    <w:rsid w:val="0025DDED"/>
    <w:rsid w:val="0052C898"/>
    <w:rsid w:val="009B6B29"/>
    <w:rsid w:val="00AA3C25"/>
    <w:rsid w:val="010C7907"/>
    <w:rsid w:val="01322C0E"/>
    <w:rsid w:val="01AF4487"/>
    <w:rsid w:val="01C1AE4E"/>
    <w:rsid w:val="01FDDB92"/>
    <w:rsid w:val="02A84968"/>
    <w:rsid w:val="02CDFC6F"/>
    <w:rsid w:val="032AFE7D"/>
    <w:rsid w:val="0409DD7F"/>
    <w:rsid w:val="0441BFFD"/>
    <w:rsid w:val="04CFC66F"/>
    <w:rsid w:val="052140CB"/>
    <w:rsid w:val="054C778A"/>
    <w:rsid w:val="064B4A14"/>
    <w:rsid w:val="06629F3F"/>
    <w:rsid w:val="0710F167"/>
    <w:rsid w:val="072E2149"/>
    <w:rsid w:val="077BBA8B"/>
    <w:rsid w:val="077EA432"/>
    <w:rsid w:val="078FACF5"/>
    <w:rsid w:val="07BDAE67"/>
    <w:rsid w:val="07E55DCA"/>
    <w:rsid w:val="0812F2EE"/>
    <w:rsid w:val="085DDA7D"/>
    <w:rsid w:val="08607C92"/>
    <w:rsid w:val="08912320"/>
    <w:rsid w:val="08A513F2"/>
    <w:rsid w:val="08D716D3"/>
    <w:rsid w:val="091B0CFA"/>
    <w:rsid w:val="0985A518"/>
    <w:rsid w:val="09F9AADE"/>
    <w:rsid w:val="0A2CF4E5"/>
    <w:rsid w:val="0A5BC8C1"/>
    <w:rsid w:val="0B277CF9"/>
    <w:rsid w:val="0B75111D"/>
    <w:rsid w:val="0BACAB5E"/>
    <w:rsid w:val="0BF79922"/>
    <w:rsid w:val="0BFED2E9"/>
    <w:rsid w:val="0C37C731"/>
    <w:rsid w:val="0C4E445B"/>
    <w:rsid w:val="0C4F2BAE"/>
    <w:rsid w:val="0C633F37"/>
    <w:rsid w:val="0C680BE9"/>
    <w:rsid w:val="0C68540B"/>
    <w:rsid w:val="0CDCBF51"/>
    <w:rsid w:val="0D184EFF"/>
    <w:rsid w:val="0D314BA0"/>
    <w:rsid w:val="0D5E8BFE"/>
    <w:rsid w:val="0D936983"/>
    <w:rsid w:val="0D97630A"/>
    <w:rsid w:val="0DB2D1EE"/>
    <w:rsid w:val="0E749F32"/>
    <w:rsid w:val="0EA33112"/>
    <w:rsid w:val="0EB27259"/>
    <w:rsid w:val="0F33336B"/>
    <w:rsid w:val="0F7CE7F1"/>
    <w:rsid w:val="0F9ADFF9"/>
    <w:rsid w:val="0FE6E349"/>
    <w:rsid w:val="0FF06FAF"/>
    <w:rsid w:val="1005E07B"/>
    <w:rsid w:val="10084919"/>
    <w:rsid w:val="1029E5A3"/>
    <w:rsid w:val="104AED4A"/>
    <w:rsid w:val="104C3413"/>
    <w:rsid w:val="10C05FEF"/>
    <w:rsid w:val="10CB0A45"/>
    <w:rsid w:val="1129FD2A"/>
    <w:rsid w:val="11A551E6"/>
    <w:rsid w:val="12010DBF"/>
    <w:rsid w:val="1204BCC3"/>
    <w:rsid w:val="1223E829"/>
    <w:rsid w:val="1237D8FB"/>
    <w:rsid w:val="1251439F"/>
    <w:rsid w:val="131F3D28"/>
    <w:rsid w:val="13320425"/>
    <w:rsid w:val="136DCA09"/>
    <w:rsid w:val="13C0908B"/>
    <w:rsid w:val="13D30EBE"/>
    <w:rsid w:val="14B93581"/>
    <w:rsid w:val="14C6B329"/>
    <w:rsid w:val="14FA9BDF"/>
    <w:rsid w:val="155016CE"/>
    <w:rsid w:val="1572C372"/>
    <w:rsid w:val="15766988"/>
    <w:rsid w:val="15933256"/>
    <w:rsid w:val="15CAA337"/>
    <w:rsid w:val="161C4B53"/>
    <w:rsid w:val="16A37B56"/>
    <w:rsid w:val="16B261BC"/>
    <w:rsid w:val="16EFA2B2"/>
    <w:rsid w:val="172F02B7"/>
    <w:rsid w:val="1785DDD1"/>
    <w:rsid w:val="179DA680"/>
    <w:rsid w:val="17F0D643"/>
    <w:rsid w:val="180A3C09"/>
    <w:rsid w:val="18681C28"/>
    <w:rsid w:val="18A2982D"/>
    <w:rsid w:val="19007795"/>
    <w:rsid w:val="192CD829"/>
    <w:rsid w:val="195B4F43"/>
    <w:rsid w:val="1971DC53"/>
    <w:rsid w:val="19D8B56F"/>
    <w:rsid w:val="19EA027E"/>
    <w:rsid w:val="1A03EC89"/>
    <w:rsid w:val="1A66A379"/>
    <w:rsid w:val="1A7E07F6"/>
    <w:rsid w:val="1A880A24"/>
    <w:rsid w:val="1AAED1A2"/>
    <w:rsid w:val="1B287705"/>
    <w:rsid w:val="1B419F62"/>
    <w:rsid w:val="1B9FBCEA"/>
    <w:rsid w:val="1BB6AD32"/>
    <w:rsid w:val="1BF19A56"/>
    <w:rsid w:val="1C0DBCEC"/>
    <w:rsid w:val="1C4E88EE"/>
    <w:rsid w:val="1C5414A1"/>
    <w:rsid w:val="1C787894"/>
    <w:rsid w:val="1CA26C3D"/>
    <w:rsid w:val="1CC44766"/>
    <w:rsid w:val="1D01A37A"/>
    <w:rsid w:val="1D0935D8"/>
    <w:rsid w:val="1D105631"/>
    <w:rsid w:val="1D3B8D4B"/>
    <w:rsid w:val="1D3E3FC1"/>
    <w:rsid w:val="1D64FC9A"/>
    <w:rsid w:val="1DA07005"/>
    <w:rsid w:val="1DA98D4D"/>
    <w:rsid w:val="1E4811CF"/>
    <w:rsid w:val="1E79CAE5"/>
    <w:rsid w:val="1EB04294"/>
    <w:rsid w:val="1F0A44E3"/>
    <w:rsid w:val="1F9FC8EC"/>
    <w:rsid w:val="1FB1686A"/>
    <w:rsid w:val="1FF13DF8"/>
    <w:rsid w:val="2047F6F3"/>
    <w:rsid w:val="20732E0D"/>
    <w:rsid w:val="20AF385F"/>
    <w:rsid w:val="221E6D6B"/>
    <w:rsid w:val="2239A2DF"/>
    <w:rsid w:val="22632D5E"/>
    <w:rsid w:val="2278C03C"/>
    <w:rsid w:val="227CFE70"/>
    <w:rsid w:val="22A77395"/>
    <w:rsid w:val="22CDA8A0"/>
    <w:rsid w:val="236C7652"/>
    <w:rsid w:val="23AACECF"/>
    <w:rsid w:val="241A2472"/>
    <w:rsid w:val="24B0FB89"/>
    <w:rsid w:val="24CF594B"/>
    <w:rsid w:val="254A2C00"/>
    <w:rsid w:val="2552E979"/>
    <w:rsid w:val="256E73FC"/>
    <w:rsid w:val="25737F86"/>
    <w:rsid w:val="25B49F32"/>
    <w:rsid w:val="2631A43E"/>
    <w:rsid w:val="2657D45C"/>
    <w:rsid w:val="26689F26"/>
    <w:rsid w:val="2695FD1A"/>
    <w:rsid w:val="26BCCB01"/>
    <w:rsid w:val="26C8AA2A"/>
    <w:rsid w:val="27369E81"/>
    <w:rsid w:val="276BDFB9"/>
    <w:rsid w:val="288A8A3B"/>
    <w:rsid w:val="28920F97"/>
    <w:rsid w:val="291ED4C3"/>
    <w:rsid w:val="292B4872"/>
    <w:rsid w:val="294BC006"/>
    <w:rsid w:val="2962C469"/>
    <w:rsid w:val="297BECC6"/>
    <w:rsid w:val="2991871A"/>
    <w:rsid w:val="29A2CA6E"/>
    <w:rsid w:val="29AE814C"/>
    <w:rsid w:val="2AE5FBF0"/>
    <w:rsid w:val="2B3E9ACF"/>
    <w:rsid w:val="2B3ED838"/>
    <w:rsid w:val="2B66A472"/>
    <w:rsid w:val="2BBDCE3A"/>
    <w:rsid w:val="2BF0B571"/>
    <w:rsid w:val="2C983AA2"/>
    <w:rsid w:val="2C9A652B"/>
    <w:rsid w:val="2CECED80"/>
    <w:rsid w:val="2D159950"/>
    <w:rsid w:val="2D1D0785"/>
    <w:rsid w:val="2D8A4CB8"/>
    <w:rsid w:val="2E343CBC"/>
    <w:rsid w:val="2E7E2917"/>
    <w:rsid w:val="2EE44245"/>
    <w:rsid w:val="2F229BF5"/>
    <w:rsid w:val="2F9E185B"/>
    <w:rsid w:val="2FD13F27"/>
    <w:rsid w:val="2FF746CB"/>
    <w:rsid w:val="30489B69"/>
    <w:rsid w:val="30BAAEAC"/>
    <w:rsid w:val="31295BEF"/>
    <w:rsid w:val="316DD64E"/>
    <w:rsid w:val="3177BC12"/>
    <w:rsid w:val="319F9B1C"/>
    <w:rsid w:val="31E49D83"/>
    <w:rsid w:val="321BA34D"/>
    <w:rsid w:val="323FCCE7"/>
    <w:rsid w:val="32ED8D78"/>
    <w:rsid w:val="32FC13B6"/>
    <w:rsid w:val="3308DFE9"/>
    <w:rsid w:val="3309A6AF"/>
    <w:rsid w:val="3332A405"/>
    <w:rsid w:val="33476E98"/>
    <w:rsid w:val="33785D3E"/>
    <w:rsid w:val="33DF918C"/>
    <w:rsid w:val="33E12F4C"/>
    <w:rsid w:val="34EDA804"/>
    <w:rsid w:val="35050037"/>
    <w:rsid w:val="350A8395"/>
    <w:rsid w:val="35A72A73"/>
    <w:rsid w:val="35E12D8E"/>
    <w:rsid w:val="36414771"/>
    <w:rsid w:val="366A44C7"/>
    <w:rsid w:val="3695C729"/>
    <w:rsid w:val="36CD4064"/>
    <w:rsid w:val="371E1503"/>
    <w:rsid w:val="373B8774"/>
    <w:rsid w:val="37468E1D"/>
    <w:rsid w:val="37BFB098"/>
    <w:rsid w:val="37F3245E"/>
    <w:rsid w:val="37FE078F"/>
    <w:rsid w:val="38250B5D"/>
    <w:rsid w:val="38D757D5"/>
    <w:rsid w:val="38E19232"/>
    <w:rsid w:val="3923631A"/>
    <w:rsid w:val="392A5128"/>
    <w:rsid w:val="3978E833"/>
    <w:rsid w:val="39CE7B67"/>
    <w:rsid w:val="39DA6590"/>
    <w:rsid w:val="3B6E5730"/>
    <w:rsid w:val="3B8B9475"/>
    <w:rsid w:val="3BA8FA66"/>
    <w:rsid w:val="3BC14FB5"/>
    <w:rsid w:val="3C087B87"/>
    <w:rsid w:val="3C3F6999"/>
    <w:rsid w:val="3C66EC76"/>
    <w:rsid w:val="3C7B67FA"/>
    <w:rsid w:val="3C9DB66A"/>
    <w:rsid w:val="3CADB2BC"/>
    <w:rsid w:val="3CB8767B"/>
    <w:rsid w:val="3CBA6EB9"/>
    <w:rsid w:val="3CF87C80"/>
    <w:rsid w:val="3D5886DC"/>
    <w:rsid w:val="3DB9E63C"/>
    <w:rsid w:val="3E563F1A"/>
    <w:rsid w:val="3E69D03B"/>
    <w:rsid w:val="3F55B69D"/>
    <w:rsid w:val="3FBA7689"/>
    <w:rsid w:val="3FF0173D"/>
    <w:rsid w:val="4095CA1E"/>
    <w:rsid w:val="40F186FE"/>
    <w:rsid w:val="40FF1B9D"/>
    <w:rsid w:val="4123E035"/>
    <w:rsid w:val="4155FF97"/>
    <w:rsid w:val="4180FF85"/>
    <w:rsid w:val="419BD5D9"/>
    <w:rsid w:val="42117C3C"/>
    <w:rsid w:val="425C93B2"/>
    <w:rsid w:val="42CBFAD2"/>
    <w:rsid w:val="42D887E8"/>
    <w:rsid w:val="431DCE1E"/>
    <w:rsid w:val="4392FAA7"/>
    <w:rsid w:val="43B22EC3"/>
    <w:rsid w:val="43C625FC"/>
    <w:rsid w:val="43C728AE"/>
    <w:rsid w:val="43C7F5A4"/>
    <w:rsid w:val="43CE316A"/>
    <w:rsid w:val="4442589A"/>
    <w:rsid w:val="44C5C667"/>
    <w:rsid w:val="457A3CD2"/>
    <w:rsid w:val="4599203A"/>
    <w:rsid w:val="45F68646"/>
    <w:rsid w:val="4615A2F0"/>
    <w:rsid w:val="461A6D6A"/>
    <w:rsid w:val="463F1E6C"/>
    <w:rsid w:val="4774F348"/>
    <w:rsid w:val="477BFC04"/>
    <w:rsid w:val="47977613"/>
    <w:rsid w:val="49284C0D"/>
    <w:rsid w:val="492D5822"/>
    <w:rsid w:val="496E0DBC"/>
    <w:rsid w:val="49988945"/>
    <w:rsid w:val="49AFBC3E"/>
    <w:rsid w:val="49CC622A"/>
    <w:rsid w:val="4A1BE79E"/>
    <w:rsid w:val="4A8889B0"/>
    <w:rsid w:val="4ACAFFE4"/>
    <w:rsid w:val="4B0CF11A"/>
    <w:rsid w:val="4BCDC6DE"/>
    <w:rsid w:val="4BFE6B65"/>
    <w:rsid w:val="4C0F5CB8"/>
    <w:rsid w:val="4C2B9486"/>
    <w:rsid w:val="4C4DA7E8"/>
    <w:rsid w:val="4C7DF5F1"/>
    <w:rsid w:val="4C8DCA3C"/>
    <w:rsid w:val="4CC4B064"/>
    <w:rsid w:val="4CCE9A45"/>
    <w:rsid w:val="4CFE2077"/>
    <w:rsid w:val="4D57578A"/>
    <w:rsid w:val="4D70B7A4"/>
    <w:rsid w:val="4DB08F87"/>
    <w:rsid w:val="4E20776C"/>
    <w:rsid w:val="4E3FF333"/>
    <w:rsid w:val="4E6AAF53"/>
    <w:rsid w:val="4E9367FC"/>
    <w:rsid w:val="4EEE80AB"/>
    <w:rsid w:val="4F00EA72"/>
    <w:rsid w:val="4F8548AA"/>
    <w:rsid w:val="4FB596B3"/>
    <w:rsid w:val="4FC773A0"/>
    <w:rsid w:val="4FD82110"/>
    <w:rsid w:val="4FFB9915"/>
    <w:rsid w:val="500BE97F"/>
    <w:rsid w:val="51881C45"/>
    <w:rsid w:val="51C2103A"/>
    <w:rsid w:val="5201E355"/>
    <w:rsid w:val="52060B02"/>
    <w:rsid w:val="52767993"/>
    <w:rsid w:val="5301DB5F"/>
    <w:rsid w:val="533339D7"/>
    <w:rsid w:val="5333F1E8"/>
    <w:rsid w:val="536EF87B"/>
    <w:rsid w:val="537F02F7"/>
    <w:rsid w:val="539DB3B6"/>
    <w:rsid w:val="53A1DB63"/>
    <w:rsid w:val="53C0841B"/>
    <w:rsid w:val="5458B9CD"/>
    <w:rsid w:val="54DC0C92"/>
    <w:rsid w:val="550AC8DC"/>
    <w:rsid w:val="5519E620"/>
    <w:rsid w:val="551B87BD"/>
    <w:rsid w:val="557C8E8E"/>
    <w:rsid w:val="566ADA99"/>
    <w:rsid w:val="566FEF6D"/>
    <w:rsid w:val="56A6993D"/>
    <w:rsid w:val="56D97C25"/>
    <w:rsid w:val="56DE117C"/>
    <w:rsid w:val="576C0A19"/>
    <w:rsid w:val="5806AAFA"/>
    <w:rsid w:val="586AB7BC"/>
    <w:rsid w:val="58BBBAC2"/>
    <w:rsid w:val="58CFCE4B"/>
    <w:rsid w:val="58D12771"/>
    <w:rsid w:val="58DE3D32"/>
    <w:rsid w:val="59A27B5B"/>
    <w:rsid w:val="59A7902F"/>
    <w:rsid w:val="5A48B541"/>
    <w:rsid w:val="5AB0BFD1"/>
    <w:rsid w:val="5AC7BDE8"/>
    <w:rsid w:val="5AC7FB51"/>
    <w:rsid w:val="5B56E762"/>
    <w:rsid w:val="5BACED48"/>
    <w:rsid w:val="5BAEF6EB"/>
    <w:rsid w:val="5BE324F2"/>
    <w:rsid w:val="5BEC0C4D"/>
    <w:rsid w:val="5C58733F"/>
    <w:rsid w:val="5C881DE4"/>
    <w:rsid w:val="5CDF30F1"/>
    <w:rsid w:val="5D11C800"/>
    <w:rsid w:val="5D24F805"/>
    <w:rsid w:val="5D7F8F3D"/>
    <w:rsid w:val="5D805603"/>
    <w:rsid w:val="5DC93E69"/>
    <w:rsid w:val="5DCE9721"/>
    <w:rsid w:val="5E11E0FA"/>
    <w:rsid w:val="5E962329"/>
    <w:rsid w:val="5EB1AB22"/>
    <w:rsid w:val="5EC6A3E3"/>
    <w:rsid w:val="5F1B5F9E"/>
    <w:rsid w:val="5F1C2664"/>
    <w:rsid w:val="5F37551A"/>
    <w:rsid w:val="5F3786F0"/>
    <w:rsid w:val="5F84265C"/>
    <w:rsid w:val="5FB3F615"/>
    <w:rsid w:val="5FB6C1E7"/>
    <w:rsid w:val="5FC984C9"/>
    <w:rsid w:val="601EBF39"/>
    <w:rsid w:val="60C3529C"/>
    <w:rsid w:val="61373CD5"/>
    <w:rsid w:val="61BA8F9A"/>
    <w:rsid w:val="61BD7DC6"/>
    <w:rsid w:val="61C5CB30"/>
    <w:rsid w:val="62152248"/>
    <w:rsid w:val="622A10A5"/>
    <w:rsid w:val="62530060"/>
    <w:rsid w:val="629CAF8C"/>
    <w:rsid w:val="62CB5281"/>
    <w:rsid w:val="63798839"/>
    <w:rsid w:val="63A6DADD"/>
    <w:rsid w:val="63B60D59"/>
    <w:rsid w:val="6473B363"/>
    <w:rsid w:val="647987ED"/>
    <w:rsid w:val="654150ED"/>
    <w:rsid w:val="655ABB91"/>
    <w:rsid w:val="655BBD14"/>
    <w:rsid w:val="657353CE"/>
    <w:rsid w:val="65B797FF"/>
    <w:rsid w:val="65CAAF37"/>
    <w:rsid w:val="6602F343"/>
    <w:rsid w:val="6628B51A"/>
    <w:rsid w:val="6674D860"/>
    <w:rsid w:val="668B5386"/>
    <w:rsid w:val="66932839"/>
    <w:rsid w:val="669E59F7"/>
    <w:rsid w:val="6715F1C7"/>
    <w:rsid w:val="67293EA2"/>
    <w:rsid w:val="6729E900"/>
    <w:rsid w:val="67536860"/>
    <w:rsid w:val="677020AF"/>
    <w:rsid w:val="6797579D"/>
    <w:rsid w:val="679EC3A4"/>
    <w:rsid w:val="67B2EF2A"/>
    <w:rsid w:val="67C3B9F4"/>
    <w:rsid w:val="67C612D8"/>
    <w:rsid w:val="688E4FDC"/>
    <w:rsid w:val="68F1B1B4"/>
    <w:rsid w:val="694CF910"/>
    <w:rsid w:val="69C08CAB"/>
    <w:rsid w:val="69C5A17F"/>
    <w:rsid w:val="6A4F0EE9"/>
    <w:rsid w:val="6A621C0B"/>
    <w:rsid w:val="6A79EF91"/>
    <w:rsid w:val="6AE8C971"/>
    <w:rsid w:val="6B0DEB99"/>
    <w:rsid w:val="6B66995C"/>
    <w:rsid w:val="6B9ABD9E"/>
    <w:rsid w:val="6BA3C4C6"/>
    <w:rsid w:val="6BEC01CE"/>
    <w:rsid w:val="6BF2B8C4"/>
    <w:rsid w:val="6C8499D2"/>
    <w:rsid w:val="6D35EEE7"/>
    <w:rsid w:val="6DBB8D4C"/>
    <w:rsid w:val="6DC78126"/>
    <w:rsid w:val="6E0DA792"/>
    <w:rsid w:val="6EA59D4C"/>
    <w:rsid w:val="6EACF35A"/>
    <w:rsid w:val="6F029F5A"/>
    <w:rsid w:val="6F37AEEE"/>
    <w:rsid w:val="6F5E7A45"/>
    <w:rsid w:val="6FC4281A"/>
    <w:rsid w:val="702FAD10"/>
    <w:rsid w:val="702FCE2F"/>
    <w:rsid w:val="70397E99"/>
    <w:rsid w:val="7048C3BB"/>
    <w:rsid w:val="708C2AD4"/>
    <w:rsid w:val="70A55DC9"/>
    <w:rsid w:val="70BB1A8E"/>
    <w:rsid w:val="70C8B26F"/>
    <w:rsid w:val="70F93329"/>
    <w:rsid w:val="70FA4AA6"/>
    <w:rsid w:val="713E39E3"/>
    <w:rsid w:val="71504C7F"/>
    <w:rsid w:val="71580AF5"/>
    <w:rsid w:val="719C444D"/>
    <w:rsid w:val="71B68A01"/>
    <w:rsid w:val="71EC5DC9"/>
    <w:rsid w:val="72961B07"/>
    <w:rsid w:val="72DA0A44"/>
    <w:rsid w:val="7384C533"/>
    <w:rsid w:val="73CDC9A3"/>
    <w:rsid w:val="73E9DF60"/>
    <w:rsid w:val="73F6749B"/>
    <w:rsid w:val="740CE30F"/>
    <w:rsid w:val="743A3C9A"/>
    <w:rsid w:val="7452E318"/>
    <w:rsid w:val="746E1182"/>
    <w:rsid w:val="74D7C74C"/>
    <w:rsid w:val="75033F52"/>
    <w:rsid w:val="75085426"/>
    <w:rsid w:val="7527E55D"/>
    <w:rsid w:val="754BFDEA"/>
    <w:rsid w:val="75579878"/>
    <w:rsid w:val="755F9BF7"/>
    <w:rsid w:val="75A8B272"/>
    <w:rsid w:val="75AD702F"/>
    <w:rsid w:val="75C91524"/>
    <w:rsid w:val="75ED356F"/>
    <w:rsid w:val="7611AB06"/>
    <w:rsid w:val="76210493"/>
    <w:rsid w:val="762B7C18"/>
    <w:rsid w:val="7633699E"/>
    <w:rsid w:val="76659E63"/>
    <w:rsid w:val="76A42487"/>
    <w:rsid w:val="76E101F6"/>
    <w:rsid w:val="76FB6C58"/>
    <w:rsid w:val="770CDA00"/>
    <w:rsid w:val="77835D29"/>
    <w:rsid w:val="77D08539"/>
    <w:rsid w:val="77EC268A"/>
    <w:rsid w:val="77F50AC5"/>
    <w:rsid w:val="783AE014"/>
    <w:rsid w:val="7877EBEE"/>
    <w:rsid w:val="78906FCA"/>
    <w:rsid w:val="78973CB9"/>
    <w:rsid w:val="789F2A3F"/>
    <w:rsid w:val="78C44EEB"/>
    <w:rsid w:val="78C72AD7"/>
    <w:rsid w:val="78CB51BF"/>
    <w:rsid w:val="78D2BB97"/>
    <w:rsid w:val="78D948D6"/>
    <w:rsid w:val="7925CB14"/>
    <w:rsid w:val="794E3F2C"/>
    <w:rsid w:val="7958A555"/>
    <w:rsid w:val="7959225D"/>
    <w:rsid w:val="79631CDA"/>
    <w:rsid w:val="7982D8F0"/>
    <w:rsid w:val="79A64EB5"/>
    <w:rsid w:val="79B07123"/>
    <w:rsid w:val="79D74556"/>
    <w:rsid w:val="79DA7CBC"/>
    <w:rsid w:val="7A422E49"/>
    <w:rsid w:val="7A4DDF97"/>
    <w:rsid w:val="7A7C2395"/>
    <w:rsid w:val="7A92FF11"/>
    <w:rsid w:val="7ADB726B"/>
    <w:rsid w:val="7AE51C29"/>
    <w:rsid w:val="7B06DAC1"/>
    <w:rsid w:val="7B2E622C"/>
    <w:rsid w:val="7B44A6D3"/>
    <w:rsid w:val="7BB79763"/>
    <w:rsid w:val="7BDD8158"/>
    <w:rsid w:val="7C17F3F6"/>
    <w:rsid w:val="7C80EC8A"/>
    <w:rsid w:val="7CBBBCF8"/>
    <w:rsid w:val="7D6175FF"/>
    <w:rsid w:val="7D6AADDC"/>
    <w:rsid w:val="7D725DF9"/>
    <w:rsid w:val="7D9A8467"/>
    <w:rsid w:val="7DBF5567"/>
    <w:rsid w:val="7DD4D844"/>
    <w:rsid w:val="7DDDE741"/>
    <w:rsid w:val="7E89F97B"/>
    <w:rsid w:val="7F12B9EF"/>
    <w:rsid w:val="7F15221A"/>
    <w:rsid w:val="7FB4D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30EBE"/>
  <w15:chartTrackingRefBased/>
  <w15:docId w15:val="{E39C3CB9-C503-4760-90B6-CE4548B9B6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925CB1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7925CB1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925CB1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925CB14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925CB1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925CB1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925CB14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925CB1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925CB14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925CB1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925CB14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7925CB14"/>
    <w:rPr>
      <w:rFonts w:eastAsia="" w:eastAsiaTheme="minorEastAsia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7925CB14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925CB14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925CB14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7925CB1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925CB14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925CB14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925CB14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925CB14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925CB14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925CB14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925CB14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925CB14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925CB14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7925CB1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7925CB14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7925CB14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19665f8e426e4447" /><Relationship Type="http://schemas.microsoft.com/office/2020/10/relationships/intelligence" Target="intelligence2.xml" Id="Rb84ef9470b174b08" /><Relationship Type="http://schemas.openxmlformats.org/officeDocument/2006/relationships/hyperlink" Target="https://moodle.uwtsd.ac.uk/pluginfile.php/637389/mod_resource/content/3/Hodson%2C%20C.M.%202017%20Between%20Roundhouse%20and%20Villa.pdf" TargetMode="External" Id="R7f43a2b373a8475e" /><Relationship Type="http://schemas.openxmlformats.org/officeDocument/2006/relationships/hyperlink" Target="https://moodle.uwtsd.ac.uk/pluginfile.php/637389/mod_resource/content/3/Hodson%2C%20C.M.%202017%20Between%20Roundhouse%20and%20Villa.pdf" TargetMode="External" Id="Rc5a5ef03627b4bc8" /><Relationship Type="http://schemas.openxmlformats.org/officeDocument/2006/relationships/hyperlink" Target="https://moodle.uwtsd.ac.uk/pluginfile.php/637389/mod_resource/content/3/Hodson%2C%20C.M.%202017%20Between%20Roundhouse%20and%20Villa.pdf" TargetMode="External" Id="R394f386ec11449e7" /><Relationship Type="http://schemas.openxmlformats.org/officeDocument/2006/relationships/hyperlink" Target="https://moodle.uwtsd.ac.uk/pluginfile.php/637389/mod_resource/content/3/Hodson%2C%20C.M.%202017%20Between%20Roundhouse%20and%20Villa.pdf" TargetMode="External" Id="R6c0af731bf604fe7" /><Relationship Type="http://schemas.openxmlformats.org/officeDocument/2006/relationships/hyperlink" Target="https://moodle.uwtsd.ac.uk/pluginfile.php/637389/mod_resource/content/3/Hodson%2C%20C.M.%202017%20Between%20Roundhouse%20and%20Villa.pdf" TargetMode="External" Id="R55ab631599054c4a" /><Relationship Type="http://schemas.openxmlformats.org/officeDocument/2006/relationships/hyperlink" Target="https://moodle.uwtsd.ac.uk/pluginfile.php/637389/mod_resource/content/3/Hodson%2C%20C.M.%202017%20Between%20Roundhouse%20and%20Villa.pdf" TargetMode="External" Id="Rab40c5d402294705" /><Relationship Type="http://schemas.openxmlformats.org/officeDocument/2006/relationships/hyperlink" Target="https://moodle.uwtsd.ac.uk/pluginfile.php/637389/mod_resource/content/3/Hodson%2C%20C.M.%202017%20Between%20Roundhouse%20and%20Villa.pdf" TargetMode="External" Id="R1487f05d556443cd" /><Relationship Type="http://schemas.openxmlformats.org/officeDocument/2006/relationships/hyperlink" Target="https://moodle.uwtsd.ac.uk/pluginfile.php/637389/mod_resource/content/3/Hodson%2C%20C.M.%202017%20Between%20Roundhouse%20and%20Villa.pdf" TargetMode="External" Id="R50789cf9075741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2022-10-15T17:15:25.5446112Z</dcterms:created>
  <dcterms:modified xsi:type="dcterms:W3CDTF">2022-10-16T22:02:12.6166854Z</dcterms:modified>
  <dc:creator>Alex Mackay (2204888)</dc:creator>
  <lastModifiedBy>Alex Mackay (2204888)</lastModifiedBy>
</coreProperties>
</file>