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before="0" w:beforeAutospacing="0"/>
        <w:rPr>
          <w:rFonts w:ascii="Times New Roman" w:hAnsi="Times New Roman" w:eastAsia="Times New Roman" w:cs="Times New Roman"/>
          <w:sz w:val="44"/>
          <w:szCs w:val="44"/>
          <w:u w:val="single"/>
        </w:rPr>
      </w:pPr>
      <w:r>
        <w:rPr>
          <w:rFonts w:ascii="Times New Roman" w:hAnsi="Times New Roman" w:eastAsia="Times New Roman" w:cs="Times New Roman"/>
          <w:sz w:val="52"/>
          <w:szCs w:val="52"/>
        </w:rPr>
        <w:t xml:space="preserve">Is there a link between childhood obesity and Poverty? A Literature review. </w:t>
      </w:r>
    </w:p>
    <w:p>
      <w:pPr>
        <w:spacing w:before="0" w:beforeAutospacing="0"/>
        <w:rPr>
          <w:rFonts w:ascii="Times New Roman" w:hAnsi="Times New Roman" w:eastAsia="Times New Roman" w:cs="Times New Roman"/>
          <w:sz w:val="44"/>
          <w:szCs w:val="44"/>
          <w:u w:val="single"/>
        </w:rPr>
      </w:pPr>
    </w:p>
    <w:p>
      <w:pPr>
        <w:spacing w:before="0" w:beforeAutospacing="0"/>
        <w:rPr>
          <w:rFonts w:ascii="Times New Roman" w:hAnsi="Times New Roman" w:eastAsia="Times New Roman" w:cs="Times New Roman"/>
          <w:sz w:val="44"/>
          <w:szCs w:val="44"/>
          <w:u w:val="single"/>
        </w:rPr>
      </w:pPr>
    </w:p>
    <w:p>
      <w:pPr>
        <w:spacing w:before="0" w:beforeAutospacing="0"/>
        <w:rPr>
          <w:rFonts w:ascii="Times New Roman" w:hAnsi="Times New Roman" w:eastAsia="Times New Roman" w:cs="Times New Roman"/>
          <w:sz w:val="44"/>
          <w:szCs w:val="44"/>
          <w:u w:val="single"/>
        </w:rPr>
      </w:pPr>
    </w:p>
    <w:p>
      <w:pPr>
        <w:spacing w:before="0" w:beforeAutospacing="0"/>
        <w:rPr>
          <w:rFonts w:ascii="Times New Roman" w:hAnsi="Times New Roman" w:eastAsia="Times New Roman" w:cs="Times New Roman"/>
          <w:sz w:val="44"/>
          <w:szCs w:val="44"/>
          <w:u w:val="single"/>
        </w:rPr>
      </w:pPr>
    </w:p>
    <w:p>
      <w:pPr>
        <w:spacing w:before="0" w:beforeAutospacing="0"/>
        <w:rPr>
          <w:rFonts w:ascii="Times New Roman" w:hAnsi="Times New Roman" w:eastAsia="Times New Roman" w:cs="Times New Roman"/>
          <w:sz w:val="44"/>
          <w:szCs w:val="44"/>
          <w:u w:val="single"/>
        </w:rPr>
      </w:pPr>
    </w:p>
    <w:p>
      <w:pPr>
        <w:spacing w:before="0" w:beforeAutospacing="0"/>
        <w:rPr>
          <w:rFonts w:ascii="Times New Roman" w:hAnsi="Times New Roman" w:eastAsia="Times New Roman" w:cs="Times New Roman"/>
          <w:sz w:val="44"/>
          <w:szCs w:val="44"/>
          <w:u w:val="single"/>
        </w:rPr>
      </w:pPr>
      <w:r>
        <w:rPr>
          <w:rFonts w:ascii="Times New Roman" w:hAnsi="Times New Roman" w:eastAsia="Times New Roman" w:cs="Times New Roman"/>
          <w:sz w:val="36"/>
          <w:szCs w:val="36"/>
          <w:u w:val="single"/>
        </w:rPr>
        <w:t>By Rachel Jenkins</w:t>
      </w:r>
    </w:p>
    <w:p>
      <w:pPr>
        <w:spacing w:before="0" w:beforeAutospacing="0"/>
        <w:rPr>
          <w:rFonts w:ascii="Times New Roman" w:hAnsi="Times New Roman" w:eastAsia="Times New Roman" w:cs="Times New Roman"/>
          <w:sz w:val="36"/>
          <w:szCs w:val="36"/>
          <w:u w:val="single"/>
        </w:rPr>
      </w:pPr>
      <w:r>
        <w:rPr>
          <w:rFonts w:ascii="Times New Roman" w:hAnsi="Times New Roman" w:eastAsia="Times New Roman" w:cs="Times New Roman"/>
          <w:sz w:val="36"/>
          <w:szCs w:val="36"/>
          <w:u w:val="single"/>
        </w:rPr>
        <w:t xml:space="preserve">Student number: 2005748 </w:t>
      </w: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spacing w:before="0" w:beforeAutospacing="0"/>
        <w:rPr>
          <w:rFonts w:ascii="Times New Roman" w:hAnsi="Times New Roman" w:eastAsia="Times New Roman" w:cs="Times New Roman"/>
          <w:sz w:val="22"/>
          <w:szCs w:val="22"/>
        </w:rPr>
      </w:pPr>
    </w:p>
    <w:p>
      <w:pPr>
        <w:pStyle w:val="2"/>
        <w:keepNext w:val="0"/>
        <w:keepLines w:val="0"/>
        <w:spacing w:before="0" w:beforeAutospacing="0" w:line="240" w:lineRule="auto"/>
        <w:rPr>
          <w:sz w:val="32"/>
          <w:szCs w:val="32"/>
        </w:rPr>
      </w:pPr>
    </w:p>
    <w:p>
      <w:pPr>
        <w:pStyle w:val="2"/>
        <w:keepNext w:val="0"/>
        <w:keepLines w:val="0"/>
        <w:spacing w:before="0" w:beforeAutospacing="0" w:line="240" w:lineRule="auto"/>
        <w:rPr>
          <w:sz w:val="32"/>
          <w:szCs w:val="32"/>
        </w:rPr>
      </w:pPr>
    </w:p>
    <w:p>
      <w:pPr>
        <w:pStyle w:val="2"/>
        <w:keepNext w:val="0"/>
        <w:keepLines w:val="0"/>
        <w:spacing w:before="0" w:beforeAutospacing="0" w:line="240" w:lineRule="auto"/>
        <w:rPr>
          <w:sz w:val="32"/>
          <w:szCs w:val="32"/>
        </w:rPr>
      </w:pPr>
    </w:p>
    <w:p>
      <w:pPr>
        <w:pStyle w:val="2"/>
        <w:keepNext w:val="0"/>
        <w:keepLines w:val="0"/>
        <w:spacing w:before="0" w:beforeAutospacing="0" w:line="240" w:lineRule="auto"/>
        <w:rPr>
          <w:sz w:val="32"/>
          <w:szCs w:val="32"/>
        </w:rPr>
      </w:pPr>
    </w:p>
    <w:p>
      <w:pPr>
        <w:pStyle w:val="2"/>
        <w:keepNext w:val="0"/>
        <w:keepLines w:val="0"/>
        <w:spacing w:before="0" w:beforeAutospacing="0" w:line="240" w:lineRule="auto"/>
        <w:jc w:val="both"/>
        <w:rPr>
          <w:sz w:val="32"/>
          <w:szCs w:val="32"/>
        </w:rPr>
      </w:pPr>
      <w:r>
        <w:rPr>
          <w:sz w:val="32"/>
          <w:szCs w:val="32"/>
        </w:rPr>
        <w:t>Abstract</w:t>
      </w:r>
    </w:p>
    <w:p>
      <w:pPr>
        <w:keepNext w:val="0"/>
        <w:keepLines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literature review was conducted to see if there was a link between childhood obesity and poverty and the reason this research is being conducted as this is a current topic and there is plenty of evidence out there to suggest that there is a link between obesity and poverty. The literature review will be exploring the link between childhood obesity and how it links in with childhood poverty. The methodology used for this literature review was secondary research and a selection of peer reviewed articles were selected using the CRAAP method. The articles were then analysed and were then used to write the main body of this literature review and provided any evidence needed for the research to be conducted. The findings in this literature review were that children living in poverty were more likely to be obese than of the children who were not living in poverty, and the main themes that reoccurred were poor diet and lack of exercise. Another finding that was made was that children in poverty could also be underweight due to not eating enough food, as families could not always afford meals. In conclusion, there is a link between childhood and obesity and the main factors are a poor diet due to the fact they cannot afford to buy fresh foods, and lack of exercise due to the fact that families cannot afford to take their children out. Four recommendations were made  to help families in poverty, and they were: To check if children are </w:t>
      </w:r>
      <w:r>
        <w:rPr>
          <w:rFonts w:ascii="Times New Roman" w:hAnsi="Times New Roman" w:eastAsia="Times New Roman" w:cs="Times New Roman"/>
          <w:sz w:val="24"/>
          <w:szCs w:val="24"/>
          <w:lang w:val="en-GB"/>
        </w:rPr>
        <w:t>entitled</w:t>
      </w:r>
      <w:bookmarkStart w:id="15" w:name="_GoBack"/>
      <w:bookmarkEnd w:id="15"/>
      <w:r>
        <w:rPr>
          <w:rFonts w:ascii="Times New Roman" w:hAnsi="Times New Roman" w:eastAsia="Times New Roman" w:cs="Times New Roman"/>
          <w:sz w:val="24"/>
          <w:szCs w:val="24"/>
        </w:rPr>
        <w:t xml:space="preserve"> to free school meals, to try to grow fruit and vegetables, to see how the government can provide support and to do a free activity like going for a walk in a park to be more active.          </w:t>
      </w: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rFonts w:ascii="Times New Roman" w:hAnsi="Times New Roman" w:eastAsia="Times New Roman" w:cs="Times New Roman"/>
          <w:sz w:val="28"/>
          <w:szCs w:val="28"/>
          <w:u w:val="single"/>
        </w:rPr>
      </w:pPr>
      <w:r>
        <w:rPr>
          <w:sz w:val="32"/>
          <w:szCs w:val="32"/>
        </w:rPr>
        <w:t>Introduction</w:t>
      </w:r>
    </w:p>
    <w:p>
      <w:pPr>
        <w:keepNext w:val="0"/>
        <w:keepLines w:val="0"/>
        <w:spacing w:before="0" w:beforeAutospacing="0" w:line="240" w:lineRule="auto"/>
        <w:jc w:val="both"/>
        <w:rPr>
          <w:rFonts w:ascii="Times New Roman" w:hAnsi="Times New Roman" w:eastAsia="Times New Roman" w:cs="Times New Roman"/>
          <w:color w:val="4472C4" w:themeColor="accent1" w:themeTint="FF"/>
          <w:sz w:val="32"/>
          <w:szCs w:val="32"/>
          <w:u w:val="single"/>
          <w14:textFill>
            <w14:solidFill>
              <w14:schemeClr w14:val="accent1">
                <w14:lumMod w14:val="100000"/>
                <w14:lumOff w14:val="0"/>
              </w14:schemeClr>
            </w14:solidFill>
          </w14:textFill>
        </w:rPr>
      </w:pPr>
      <w:r>
        <w:rPr>
          <w:rFonts w:ascii="Times New Roman" w:hAnsi="Times New Roman" w:eastAsia="Times New Roman" w:cs="Times New Roman"/>
          <w:sz w:val="24"/>
          <w:szCs w:val="24"/>
        </w:rPr>
        <w:t xml:space="preserve">Childhood obesity has been a concern in the United Kingdom (UK) for several years, and this has put a huge strain on the NHS as more and more children have been diagnosed with type two diabetes. Poverty is also another growing concern across the UK and with the cost-of-living crisis being one of the main contributory factors, more and more families with young children are facing poverty. This literature review will look at possible links between childhood obesity and childhood poverty to see if there is an actual link between the two themes, and it will research the causes of poverty and how poverty might be linked to childhood obesity in the UK. </w:t>
      </w:r>
    </w:p>
    <w:p>
      <w:pPr>
        <w:keepNext w:val="0"/>
        <w:keepLines w:val="0"/>
        <w:spacing w:before="0" w:beforeAutospacing="0" w:line="240" w:lineRule="auto"/>
        <w:jc w:val="both"/>
        <w:rPr>
          <w:rFonts w:ascii="Times New Roman" w:hAnsi="Times New Roman" w:eastAsia="Times New Roman" w:cs="Times New Roman"/>
          <w:color w:val="4472C4" w:themeColor="accent1" w:themeTint="FF"/>
          <w:sz w:val="32"/>
          <w:szCs w:val="32"/>
          <w:u w:val="single"/>
          <w14:textFill>
            <w14:solidFill>
              <w14:schemeClr w14:val="accent1">
                <w14:lumMod w14:val="100000"/>
                <w14:lumOff w14:val="0"/>
              </w14:schemeClr>
            </w14:solidFill>
          </w14:textFill>
        </w:rPr>
      </w:pPr>
      <w:r>
        <w:rPr>
          <w:rFonts w:ascii="Times New Roman" w:hAnsi="Times New Roman" w:eastAsia="Times New Roman" w:cs="Times New Roman"/>
          <w:color w:val="4472C4" w:themeColor="accent1" w:themeTint="FF"/>
          <w:sz w:val="24"/>
          <w:szCs w:val="24"/>
          <w14:textFill>
            <w14:solidFill>
              <w14:schemeClr w14:val="accent1">
                <w14:lumMod w14:val="100000"/>
                <w14:lumOff w14:val="0"/>
              </w14:schemeClr>
            </w14:solidFill>
          </w14:textFill>
        </w:rPr>
        <w:t xml:space="preserve">  </w:t>
      </w:r>
      <w:r>
        <w:rPr>
          <w:rFonts w:asciiTheme="minorAscii" w:hAnsiTheme="minorAscii" w:eastAsiaTheme="minorAscii" w:cstheme="minorAscii"/>
          <w:color w:val="4472C4" w:themeColor="accent1" w:themeTint="FF"/>
          <w:sz w:val="24"/>
          <w:szCs w:val="24"/>
          <w14:textFill>
            <w14:solidFill>
              <w14:schemeClr w14:val="accent1">
                <w14:lumMod w14:val="100000"/>
                <w14:lumOff w14:val="0"/>
              </w14:schemeClr>
            </w14:solidFill>
          </w14:textFill>
        </w:rPr>
        <w:t>W</w:t>
      </w:r>
      <w:r>
        <w:rPr>
          <w:color w:val="4472C4" w:themeColor="accent1" w:themeTint="FF"/>
          <w:sz w:val="28"/>
          <w:szCs w:val="28"/>
          <w14:textFill>
            <w14:solidFill>
              <w14:schemeClr w14:val="accent1">
                <w14:lumMod w14:val="100000"/>
                <w14:lumOff w14:val="0"/>
              </w14:schemeClr>
            </w14:solidFill>
          </w14:textFill>
        </w:rPr>
        <w:t>hat is obesity?</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Obesity is when a person is carrying extra weight caused by an increase of excess fat in their body, which could cause a risk to their health (The World Health Organisation {WHO},2023). In general, the main tool for an adult to check to see if they are overweight or obese, is to check their body mass index BMI which is calculated by their height and weight. If an adult has a BMI between 18.5- 24.9 they are a healthy weight, between 25- 29.9 is overweight, if an adult is 30- 30.9 they are obese and if they are over 40, they would then be classed as severely obese (NHS, 2022). Children have different BMI readings as they are still developing, however obesity in children is the same as in adults, as it means that a child is carrying excess body fat for their height and age that could possibly lead them to develop a health condition such as type 2 diabetes (Bupa, 2023).</w:t>
      </w:r>
    </w:p>
    <w:p>
      <w:pPr>
        <w:pStyle w:val="3"/>
        <w:keepNext w:val="0"/>
        <w:keepLines w:val="0"/>
        <w:spacing w:before="0" w:beforeAutospacing="0" w:line="240" w:lineRule="auto"/>
        <w:jc w:val="both"/>
        <w:rPr>
          <w:sz w:val="28"/>
          <w:szCs w:val="28"/>
        </w:rPr>
      </w:pPr>
    </w:p>
    <w:p>
      <w:pPr>
        <w:pStyle w:val="3"/>
        <w:keepNext w:val="0"/>
        <w:keepLines w:val="0"/>
        <w:spacing w:before="0" w:beforeAutospacing="0" w:line="240" w:lineRule="auto"/>
        <w:jc w:val="both"/>
        <w:rPr>
          <w:rFonts w:asciiTheme="minorAscii" w:hAnsiTheme="minorAscii" w:eastAsiaTheme="minorAscii" w:cstheme="minorAscii"/>
          <w:sz w:val="24"/>
          <w:szCs w:val="24"/>
        </w:rPr>
      </w:pPr>
      <w:r>
        <w:rPr>
          <w:rFonts w:asciiTheme="minorAscii" w:hAnsiTheme="minorAscii" w:eastAsiaTheme="minorAscii" w:cstheme="minorAscii"/>
          <w:sz w:val="28"/>
          <w:szCs w:val="28"/>
        </w:rPr>
        <w:t>Statistics</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Childhood obesity has been a growing concern in the United Kingdom and has increased over recent years. It is believed that at least 14.4% of children aged between four to five years of age are obese and 13.3% are overweight. For the children aged between ten to eleven it is believed that 25.5% are obese and 15.4% are overweight (Baker, 2023). In Wales it is believed that around 12% of children who are just starting primary school are obese (NHS Wales, 2022).  </w:t>
      </w:r>
    </w:p>
    <w:p>
      <w:pPr>
        <w:pStyle w:val="3"/>
        <w:keepNext w:val="0"/>
        <w:keepLines w:val="0"/>
        <w:spacing w:before="0" w:beforeAutospacing="0" w:line="240" w:lineRule="auto"/>
        <w:jc w:val="both"/>
        <w:rPr>
          <w:rFonts w:asciiTheme="minorAscii" w:hAnsiTheme="minorAscii" w:eastAsiaTheme="minorAscii" w:cstheme="minorAscii"/>
          <w:sz w:val="32"/>
          <w:szCs w:val="32"/>
        </w:rPr>
      </w:pPr>
      <w:r>
        <w:rPr>
          <w:rFonts w:asciiTheme="minorAscii" w:hAnsiTheme="minorAscii" w:eastAsiaTheme="minorAscii" w:cstheme="minorAscii"/>
          <w:sz w:val="28"/>
          <w:szCs w:val="28"/>
        </w:rPr>
        <w:t>What is Poverty?</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Poverty is when someone is not earning enough income to pay for the things they need in life, for </w:t>
      </w:r>
      <w:bookmarkStart w:id="0" w:name="_Int_f02I6zN9"/>
      <w:r>
        <w:rPr>
          <w:rFonts w:ascii="Times New Roman" w:hAnsi="Times New Roman" w:eastAsia="Times New Roman" w:cs="Times New Roman"/>
          <w:sz w:val="24"/>
          <w:szCs w:val="24"/>
        </w:rPr>
        <w:t xml:space="preserve">example a person in poverty might struggle to pay rent and could be at risk of being evicted from their property, or might not be able to afford food </w:t>
      </w:r>
      <w:bookmarkStart w:id="1" w:name="_Int_EoNo1U7Z"/>
      <w:r>
        <w:rPr>
          <w:rFonts w:ascii="Times New Roman" w:hAnsi="Times New Roman" w:eastAsia="Times New Roman" w:cs="Times New Roman"/>
          <w:sz w:val="24"/>
          <w:szCs w:val="24"/>
        </w:rPr>
        <w:t>therefore</w:t>
      </w:r>
      <w:bookmarkEnd w:id="1"/>
      <w:r>
        <w:rPr>
          <w:rFonts w:ascii="Times New Roman" w:hAnsi="Times New Roman" w:eastAsia="Times New Roman" w:cs="Times New Roman"/>
          <w:sz w:val="24"/>
          <w:szCs w:val="24"/>
        </w:rPr>
        <w:t xml:space="preserve"> they could end up skipping meals just so they can pay their bills (Joseph Roundtree Foundation, 2023).</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At least one in five of the population in the UK are in </w:t>
      </w:r>
      <w:bookmarkStart w:id="2" w:name="_Int_h3WiUi24"/>
      <w:r>
        <w:rPr>
          <w:rFonts w:ascii="Times New Roman" w:hAnsi="Times New Roman" w:eastAsia="Times New Roman" w:cs="Times New Roman"/>
          <w:sz w:val="24"/>
          <w:szCs w:val="24"/>
        </w:rPr>
        <w:t>poverty</w:t>
      </w:r>
      <w:bookmarkEnd w:id="2"/>
      <w:r>
        <w:rPr>
          <w:rFonts w:ascii="Times New Roman" w:hAnsi="Times New Roman" w:eastAsia="Times New Roman" w:cs="Times New Roman"/>
          <w:sz w:val="24"/>
          <w:szCs w:val="24"/>
        </w:rPr>
        <w:t xml:space="preserve"> which </w:t>
      </w:r>
      <w:bookmarkStart w:id="3" w:name="_Int_q8eKTk42"/>
      <w:r>
        <w:rPr>
          <w:rFonts w:ascii="Times New Roman" w:hAnsi="Times New Roman" w:eastAsia="Times New Roman" w:cs="Times New Roman"/>
          <w:sz w:val="24"/>
          <w:szCs w:val="24"/>
        </w:rPr>
        <w:t>means</w:t>
      </w:r>
      <w:bookmarkEnd w:id="3"/>
      <w:r>
        <w:rPr>
          <w:rFonts w:ascii="Times New Roman" w:hAnsi="Times New Roman" w:eastAsia="Times New Roman" w:cs="Times New Roman"/>
          <w:sz w:val="24"/>
          <w:szCs w:val="24"/>
        </w:rPr>
        <w:t xml:space="preserve"> it is </w:t>
      </w:r>
      <w:bookmarkStart w:id="4" w:name="_Int_TOHWsSw5"/>
      <w:r>
        <w:rPr>
          <w:rFonts w:ascii="Times New Roman" w:hAnsi="Times New Roman" w:eastAsia="Times New Roman" w:cs="Times New Roman"/>
          <w:sz w:val="24"/>
          <w:szCs w:val="24"/>
        </w:rPr>
        <w:t>estimated</w:t>
      </w:r>
      <w:bookmarkEnd w:id="4"/>
      <w:r>
        <w:rPr>
          <w:rFonts w:ascii="Times New Roman" w:hAnsi="Times New Roman" w:eastAsia="Times New Roman" w:cs="Times New Roman"/>
          <w:sz w:val="24"/>
          <w:szCs w:val="24"/>
        </w:rPr>
        <w:t xml:space="preserve"> that at least 13.4 million of the Uk population are dealing with poverty. Within that </w:t>
      </w:r>
      <w:bookmarkStart w:id="5" w:name="_Int_9o2JKhYR"/>
      <w:r>
        <w:rPr>
          <w:rFonts w:ascii="Times New Roman" w:hAnsi="Times New Roman" w:eastAsia="Times New Roman" w:cs="Times New Roman"/>
          <w:sz w:val="24"/>
          <w:szCs w:val="24"/>
        </w:rPr>
        <w:t xml:space="preserve">figure 7.9 million are adults, 3.9 million are children or families with children and 1.7 million are pensioners (JRF, 2020). </w:t>
      </w:r>
      <w:bookmarkEnd w:id="5"/>
      <w:r>
        <w:rPr>
          <w:rFonts w:ascii="Times New Roman" w:hAnsi="Times New Roman" w:eastAsia="Times New Roman" w:cs="Times New Roman"/>
          <w:sz w:val="24"/>
          <w:szCs w:val="24"/>
        </w:rPr>
        <w:t xml:space="preserve"> </w:t>
      </w:r>
    </w:p>
    <w:p>
      <w:pPr>
        <w:pStyle w:val="3"/>
        <w:keepNext w:val="0"/>
        <w:keepLines w:val="0"/>
        <w:spacing w:before="0" w:beforeAutospacing="0" w:line="240" w:lineRule="auto"/>
        <w:jc w:val="both"/>
        <w:rPr>
          <w:sz w:val="28"/>
          <w:szCs w:val="28"/>
        </w:rPr>
      </w:pPr>
    </w:p>
    <w:p>
      <w:pPr>
        <w:pStyle w:val="3"/>
        <w:keepNext w:val="0"/>
        <w:keepLines w:val="0"/>
        <w:spacing w:before="0" w:beforeAutospacing="0" w:line="240" w:lineRule="auto"/>
        <w:jc w:val="both"/>
        <w:rPr>
          <w:sz w:val="28"/>
          <w:szCs w:val="28"/>
        </w:rPr>
      </w:pPr>
    </w:p>
    <w:p>
      <w:pPr>
        <w:pStyle w:val="3"/>
        <w:keepNext w:val="0"/>
        <w:keepLines w:val="0"/>
        <w:spacing w:before="0" w:beforeAutospacing="0" w:line="240" w:lineRule="auto"/>
        <w:jc w:val="both"/>
        <w:rPr>
          <w:sz w:val="28"/>
          <w:szCs w:val="28"/>
        </w:rPr>
      </w:pPr>
    </w:p>
    <w:p>
      <w:pPr>
        <w:pStyle w:val="3"/>
        <w:keepNext w:val="0"/>
        <w:keepLines w:val="0"/>
        <w:spacing w:before="0" w:beforeAutospacing="0" w:line="240" w:lineRule="auto"/>
        <w:jc w:val="both"/>
        <w:rPr>
          <w:sz w:val="28"/>
          <w:szCs w:val="28"/>
        </w:rPr>
      </w:pPr>
    </w:p>
    <w:p>
      <w:pPr>
        <w:pStyle w:val="3"/>
        <w:keepNext w:val="0"/>
        <w:keepLines w:val="0"/>
        <w:spacing w:before="0" w:beforeAutospacing="0" w:line="240" w:lineRule="auto"/>
        <w:jc w:val="both"/>
        <w:rPr>
          <w:sz w:val="28"/>
          <w:szCs w:val="28"/>
        </w:rPr>
      </w:pPr>
    </w:p>
    <w:p>
      <w:pPr>
        <w:pStyle w:val="3"/>
        <w:keepNext w:val="0"/>
        <w:keepLines w:val="0"/>
        <w:spacing w:before="0" w:beforeAutospacing="0" w:line="240" w:lineRule="auto"/>
        <w:jc w:val="both"/>
        <w:rPr>
          <w:sz w:val="28"/>
          <w:szCs w:val="28"/>
        </w:rPr>
      </w:pPr>
    </w:p>
    <w:p>
      <w:pPr>
        <w:pStyle w:val="3"/>
        <w:keepNext w:val="0"/>
        <w:keepLines w:val="0"/>
        <w:spacing w:before="0" w:beforeAutospacing="0" w:line="240" w:lineRule="auto"/>
        <w:jc w:val="both"/>
        <w:rPr>
          <w:rFonts w:asciiTheme="minorAscii" w:hAnsiTheme="minorAscii" w:eastAsiaTheme="minorAscii" w:cstheme="minorAscii"/>
          <w:sz w:val="28"/>
          <w:szCs w:val="28"/>
        </w:rPr>
      </w:pPr>
    </w:p>
    <w:p>
      <w:pPr>
        <w:pStyle w:val="3"/>
        <w:keepNext w:val="0"/>
        <w:keepLines w:val="0"/>
        <w:spacing w:before="0" w:beforeAutospacing="0" w:line="240" w:lineRule="auto"/>
        <w:jc w:val="both"/>
        <w:rPr>
          <w:rFonts w:asciiTheme="minorAscii" w:hAnsiTheme="minorAscii" w:eastAsiaTheme="minorAscii" w:cstheme="minorAscii"/>
          <w:sz w:val="28"/>
          <w:szCs w:val="28"/>
          <w:u w:val="single"/>
        </w:rPr>
      </w:pPr>
      <w:r>
        <w:rPr>
          <w:rFonts w:asciiTheme="minorAscii" w:hAnsiTheme="minorAscii" w:eastAsiaTheme="minorAscii" w:cstheme="minorAscii"/>
          <w:sz w:val="28"/>
          <w:szCs w:val="28"/>
        </w:rPr>
        <w:t xml:space="preserve"> </w:t>
      </w:r>
      <w:bookmarkStart w:id="6" w:name="_Int_a4kF7iHt"/>
      <w:r>
        <w:rPr>
          <w:rFonts w:asciiTheme="minorAscii" w:hAnsiTheme="minorAscii" w:eastAsiaTheme="minorAscii" w:cstheme="minorAscii"/>
          <w:sz w:val="28"/>
          <w:szCs w:val="28"/>
        </w:rPr>
        <w:t>Rationale</w:t>
      </w:r>
      <w:bookmarkEnd w:id="6"/>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reason this topic has been chosen for this </w:t>
      </w:r>
      <w:bookmarkStart w:id="7" w:name="_Int_haFdhJuQ"/>
      <w:r>
        <w:rPr>
          <w:rFonts w:ascii="Times New Roman" w:hAnsi="Times New Roman" w:eastAsia="Times New Roman" w:cs="Times New Roman"/>
          <w:sz w:val="24"/>
          <w:szCs w:val="24"/>
        </w:rPr>
        <w:t>research</w:t>
      </w:r>
      <w:bookmarkEnd w:id="7"/>
      <w:r>
        <w:rPr>
          <w:rFonts w:ascii="Times New Roman" w:hAnsi="Times New Roman" w:eastAsia="Times New Roman" w:cs="Times New Roman"/>
          <w:sz w:val="24"/>
          <w:szCs w:val="24"/>
        </w:rPr>
        <w:t xml:space="preserve"> project is because it is a current topic and there has been evidence to suggest that there is a link between poverty and childhood obesity. The aim of this </w:t>
      </w:r>
      <w:bookmarkStart w:id="8" w:name="_Int_M61pGjGa"/>
      <w:r>
        <w:rPr>
          <w:rFonts w:ascii="Times New Roman" w:hAnsi="Times New Roman" w:eastAsia="Times New Roman" w:cs="Times New Roman"/>
          <w:sz w:val="24"/>
          <w:szCs w:val="24"/>
        </w:rPr>
        <w:t>literature</w:t>
      </w:r>
      <w:bookmarkEnd w:id="8"/>
      <w:r>
        <w:rPr>
          <w:rFonts w:ascii="Times New Roman" w:hAnsi="Times New Roman" w:eastAsia="Times New Roman" w:cs="Times New Roman"/>
          <w:sz w:val="24"/>
          <w:szCs w:val="24"/>
        </w:rPr>
        <w:t xml:space="preserve"> review is to investigate the link between poverty and childhood obesity and to see if there are ways childhood obesity can be prevented when a family is in poverty. The objectives of this </w:t>
      </w:r>
      <w:bookmarkStart w:id="9" w:name="_Int_4WjiN9de"/>
      <w:r>
        <w:rPr>
          <w:rFonts w:ascii="Times New Roman" w:hAnsi="Times New Roman" w:eastAsia="Times New Roman" w:cs="Times New Roman"/>
          <w:sz w:val="24"/>
          <w:szCs w:val="24"/>
        </w:rPr>
        <w:t>literature</w:t>
      </w:r>
      <w:bookmarkEnd w:id="9"/>
      <w:r>
        <w:rPr>
          <w:rFonts w:ascii="Times New Roman" w:hAnsi="Times New Roman" w:eastAsia="Times New Roman" w:cs="Times New Roman"/>
          <w:sz w:val="24"/>
          <w:szCs w:val="24"/>
        </w:rPr>
        <w:t xml:space="preserve"> review </w:t>
      </w:r>
      <w:bookmarkStart w:id="10" w:name="_Int_hfSz5qcB"/>
      <w:r>
        <w:rPr>
          <w:rFonts w:ascii="Times New Roman" w:hAnsi="Times New Roman" w:eastAsia="Times New Roman" w:cs="Times New Roman"/>
          <w:sz w:val="24"/>
          <w:szCs w:val="24"/>
        </w:rPr>
        <w:t>are</w:t>
      </w:r>
      <w:bookmarkEnd w:id="10"/>
      <w:r>
        <w:rPr>
          <w:rFonts w:ascii="Times New Roman" w:hAnsi="Times New Roman" w:eastAsia="Times New Roman" w:cs="Times New Roman"/>
          <w:sz w:val="24"/>
          <w:szCs w:val="24"/>
        </w:rPr>
        <w:t xml:space="preserve"> to gather evidence that links poverty and childhood obesity, and to then evaluate and </w:t>
      </w:r>
      <w:bookmarkStart w:id="11" w:name="_Int_WeEoCakX"/>
      <w:r>
        <w:rPr>
          <w:rFonts w:ascii="Times New Roman" w:hAnsi="Times New Roman" w:eastAsia="Times New Roman" w:cs="Times New Roman"/>
          <w:sz w:val="24"/>
          <w:szCs w:val="24"/>
        </w:rPr>
        <w:t>discuss</w:t>
      </w:r>
      <w:bookmarkEnd w:id="11"/>
      <w:r>
        <w:rPr>
          <w:rFonts w:ascii="Times New Roman" w:hAnsi="Times New Roman" w:eastAsia="Times New Roman" w:cs="Times New Roman"/>
          <w:sz w:val="24"/>
          <w:szCs w:val="24"/>
        </w:rPr>
        <w:t xml:space="preserve"> the </w:t>
      </w:r>
      <w:bookmarkStart w:id="12" w:name="_Int_iL0jy4F5"/>
      <w:r>
        <w:rPr>
          <w:rFonts w:ascii="Times New Roman" w:hAnsi="Times New Roman" w:eastAsia="Times New Roman" w:cs="Times New Roman"/>
          <w:sz w:val="24"/>
          <w:szCs w:val="24"/>
        </w:rPr>
        <w:t>literature</w:t>
      </w:r>
      <w:bookmarkEnd w:id="12"/>
      <w:r>
        <w:rPr>
          <w:rFonts w:ascii="Times New Roman" w:hAnsi="Times New Roman" w:eastAsia="Times New Roman" w:cs="Times New Roman"/>
          <w:sz w:val="24"/>
          <w:szCs w:val="24"/>
        </w:rPr>
        <w:t xml:space="preserve"> found to create a better understanding and then to try to find any support that might be </w:t>
      </w:r>
      <w:bookmarkStart w:id="13" w:name="_Int_THSLnb1o"/>
      <w:r>
        <w:rPr>
          <w:rFonts w:ascii="Times New Roman" w:hAnsi="Times New Roman" w:eastAsia="Times New Roman" w:cs="Times New Roman"/>
          <w:sz w:val="24"/>
          <w:szCs w:val="24"/>
        </w:rPr>
        <w:t>available</w:t>
      </w:r>
      <w:bookmarkEnd w:id="13"/>
      <w:r>
        <w:rPr>
          <w:rFonts w:ascii="Times New Roman" w:hAnsi="Times New Roman" w:eastAsia="Times New Roman" w:cs="Times New Roman"/>
          <w:sz w:val="24"/>
          <w:szCs w:val="24"/>
        </w:rPr>
        <w:t xml:space="preserve"> for </w:t>
      </w:r>
      <w:bookmarkStart w:id="14" w:name="_Int_uQ0KhnFa"/>
      <w:r>
        <w:rPr>
          <w:rFonts w:ascii="Times New Roman" w:hAnsi="Times New Roman" w:eastAsia="Times New Roman" w:cs="Times New Roman"/>
          <w:sz w:val="24"/>
          <w:szCs w:val="24"/>
        </w:rPr>
        <w:t>underprivileged</w:t>
      </w:r>
      <w:bookmarkEnd w:id="14"/>
      <w:r>
        <w:rPr>
          <w:rFonts w:ascii="Times New Roman" w:hAnsi="Times New Roman" w:eastAsia="Times New Roman" w:cs="Times New Roman"/>
          <w:sz w:val="24"/>
          <w:szCs w:val="24"/>
        </w:rPr>
        <w:t xml:space="preserve"> families.    </w:t>
      </w:r>
      <w:bookmarkEnd w:id="0"/>
    </w:p>
    <w:p>
      <w:pPr>
        <w:keepNext w:val="0"/>
        <w:keepLines w:val="0"/>
        <w:spacing w:before="0" w:beforeAutospacing="0" w:line="240" w:lineRule="auto"/>
        <w:jc w:val="both"/>
        <w:rPr>
          <w:rFonts w:ascii="Times New Roman" w:hAnsi="Times New Roman" w:eastAsia="Times New Roman" w:cs="Times New Roman"/>
          <w:sz w:val="28"/>
          <w:szCs w:val="28"/>
          <w:u w:val="single"/>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rFonts w:asciiTheme="majorAscii" w:hAnsiTheme="majorAscii" w:eastAsiaTheme="majorAscii" w:cstheme="majorAscii"/>
          <w:sz w:val="28"/>
          <w:szCs w:val="28"/>
        </w:rPr>
      </w:pPr>
      <w:r>
        <w:rPr>
          <w:rFonts w:asciiTheme="majorAscii" w:hAnsiTheme="majorAscii" w:eastAsiaTheme="majorAscii" w:cstheme="majorAscii"/>
          <w:sz w:val="32"/>
          <w:szCs w:val="32"/>
        </w:rPr>
        <w:t xml:space="preserve">Methodology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literature review is secondary research. Secondary research is when evidence is collected through analysing different research articles to look at the different themes that might be useful when a person is researching a certain topic (UK Parliament, 2020).  The main point in this literature review is to look at the link between childhood obesity and children living in poverty. To do this several articles were selected and have been analysed to narrow down the literature so they can fit into the main themes of this research project. The main themes that will be mentioned in this research project are the links to childhood obesity and living in poverty, and why there might be a link, for example the cost of fresh foods over the cost of frozen and processed foods.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project is a traditional or narrative literature review, which normally takes from a week to a month to complete (Charles Sturt University, 2023). The main search strategy used in this project was the CRAAP checklist. The CRAAP checklist, which stands for Currency; how current is the article, Relevance; is the article relevant to the chosen topic, Authority dose it state who the author and provide a small bit of background on the author that might be related to the topic. Accuracy; is the article accurate enough to be used in a literature review, Purpose; is the purpose of the article clear enough to use. This is a good method to use to search for research articles as it is clear and easy to understand. The CRAAP method uses a traffic light system to search for relevant articles; the colour of the traffic lights show which articles might be useful for example red don’t use, amber use with caution and green is all clear to use (George, 2022). For this literature review an advanced search was used to help select the articles needed, and all articles were placed in a table (see Appendix 1.). The advanced search was conducted by looking in different databases, for example Proquest Central and Academic Search Premier. Key words were used for example, ‘childhood’, ‘overweight’ and ‘money’ (see Appendix 1.) and a list of articles came up. The list was narrowed down to a 10-year radius from the year 2012 to 2022. The articles that were selected were all peer reviewed. When some is peer reviewed it means that the article has been evaluated to make sure the article is of good quality and that its contents is related to the topic it talks about.  </w:t>
      </w: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rFonts w:asciiTheme="majorAscii" w:hAnsiTheme="majorAscii" w:eastAsiaTheme="majorAscii" w:cstheme="majorAscii"/>
          <w:sz w:val="28"/>
          <w:szCs w:val="28"/>
          <w:u w:val="single"/>
        </w:rPr>
      </w:pPr>
      <w:r>
        <w:rPr>
          <w:rFonts w:asciiTheme="majorAscii" w:hAnsiTheme="majorAscii" w:eastAsiaTheme="majorAscii" w:cstheme="majorAscii"/>
          <w:sz w:val="32"/>
          <w:szCs w:val="32"/>
        </w:rPr>
        <w:t>Literature Review and findings</w:t>
      </w:r>
    </w:p>
    <w:p>
      <w:pPr>
        <w:keepNext w:val="0"/>
        <w:keepLines w:val="0"/>
        <w:spacing w:before="0" w:beforeAutospacing="0" w:line="240"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sz w:val="24"/>
          <w:szCs w:val="24"/>
        </w:rPr>
        <w:t xml:space="preserve">Poverty has been a growing concern in the UK for several years and it is something that could possibly get worse before it gets better (Parkinson, 2022) Many families struggle to pay the bills and to be able to afford rent, and once those payments are made there is often not much money left to buy food. Many families might only be able to afford just under </w:t>
      </w:r>
      <w:r>
        <w:rPr>
          <w:rFonts w:ascii="Times New Roman" w:hAnsi="Times New Roman" w:eastAsia="Times New Roman" w:cs="Times New Roman"/>
          <w:color w:val="auto"/>
          <w:sz w:val="24"/>
          <w:szCs w:val="24"/>
        </w:rPr>
        <w:t>£10 a week</w:t>
      </w:r>
      <w:r>
        <w:rPr>
          <w:rFonts w:ascii="Times New Roman" w:hAnsi="Times New Roman" w:eastAsia="Times New Roman" w:cs="Times New Roman"/>
          <w:sz w:val="24"/>
          <w:szCs w:val="24"/>
        </w:rPr>
        <w:t xml:space="preserve"> to buy food and other essential items for themselves and their children, whilst other families might have to rely on food banks just to provide enough food for them to get by (</w:t>
      </w:r>
      <w:r>
        <w:rPr>
          <w:rFonts w:ascii="Times New Roman" w:hAnsi="Times New Roman" w:eastAsia="Times New Roman" w:cs="Times New Roman"/>
          <w:b w:val="0"/>
          <w:bCs w:val="0"/>
          <w:i w:val="0"/>
          <w:iCs w:val="0"/>
          <w:caps w:val="0"/>
          <w:smallCaps w:val="0"/>
          <w:color w:val="auto"/>
          <w:sz w:val="24"/>
          <w:szCs w:val="24"/>
          <w:lang w:val="en-GB"/>
        </w:rPr>
        <w:t>Beatty, Bennett, and Hawkins, 2021</w:t>
      </w:r>
      <w:r>
        <w:rPr>
          <w:rFonts w:ascii="Times New Roman" w:hAnsi="Times New Roman" w:eastAsia="Times New Roman" w:cs="Times New Roman"/>
          <w:sz w:val="24"/>
          <w:szCs w:val="24"/>
        </w:rPr>
        <w:t xml:space="preserve">). A food bank is a place where people go if they cannot afford to buy food at a supermarket. All the food at a food bank has been donated by other people and it is often run by volunteers. A person can be referred by a GP or social worker, and is given a certain amount of food to last them for a certain number of days. All foods that have been donated are mostly tinned foods and foods that do not go off for example dry pasta (Boyel and Power, 2021). </w:t>
      </w:r>
      <w:r>
        <w:rPr>
          <w:rFonts w:ascii="Times New Roman" w:hAnsi="Times New Roman" w:eastAsia="Times New Roman" w:cs="Times New Roman"/>
          <w:color w:val="auto"/>
          <w:sz w:val="24"/>
          <w:szCs w:val="24"/>
        </w:rPr>
        <w:t xml:space="preserve">The government are offering certain families extra money for the cost-of-living crisis such as extra help with disability benefits such as Personal Independent Payment (PIP) and working tax credit. The government have also been promoting on the television tips on how to lower energy bills by doing simple things around the house to preserve energy (Solar, 2020).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According to Tittis, et al, (2022)</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a lot of families have limited access to fresh foods as they are more expensive to buy, and for the families that rely on food banks, they do not get any fresh foods as most of the foods donated are in tins and do not go off. This means for a lot of families in poverty they do not get the same amount of nutrition from the foods they eat compared to those who can cook a healthy nutritious meal cooked with fresh ingredients. Feliciano, (2022)</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argues that families in poverty could easily try to get at least one fresh item to go with their meals if they manage to save up for it, and for families in poverty, they could try to grow their own fruit or vegetables if they had enough space to do so. For example, if a family has a garden, they could try to make their own mini vegetable patch in a small corner of their garden, and for those families who do not have a garden they could try to make a small window box where they could grow tomatoes for example indoors.</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According to Lioret et al. (2022) it is believed that children who live in deprived areas in England are far more likely to be obese than a child who lives anywhere else in the UK whether it is deprived or not. Pearce, Rougeaux and Law (2015) believe that children in poverty could possibly be underweight due to not eating enough food as well as being obese due to the lack of fresh foods being made available. It is believed for most children in poverty when they start school, they are either overweight due to a poor diet of processed foods, or they are underweight due to the lack of food they might get at home. It is believed that families do try their best when trying to give their children the right nutrition but</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color w:val="auto"/>
          <w:sz w:val="24"/>
          <w:szCs w:val="24"/>
        </w:rPr>
        <w:t>managing</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 xml:space="preserve">with the rising costs of buying food and providing the right amount of food for their children to get the right amount of nutrition has been found to be quite difficult to achieve. It is also believed that for some families the parents have had to skip meals for themselves just to make sure that their children are fed (Purdam and Silver, 2020).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Families in poverty might not be able to afford to go out and children seem to be less active when it comes to exercise and even places like going to the local park may be a rare treat in some families. This could be because a lot of families in deprived areas live on council estates without gardens, and a lot of parks in that area have been vandalised (Alliott, et al, 2022). </w:t>
      </w:r>
    </w:p>
    <w:p>
      <w:pPr>
        <w:keepNext w:val="0"/>
        <w:keepLines w:val="0"/>
        <w:spacing w:before="0" w:beforeAutospacing="0" w:line="240" w:lineRule="auto"/>
        <w:jc w:val="both"/>
        <w:rPr>
          <w:rFonts w:ascii="Times New Roman" w:hAnsi="Times New Roman" w:eastAsia="Times New Roman" w:cs="Times New Roman"/>
          <w:color w:val="auto"/>
          <w:sz w:val="24"/>
          <w:szCs w:val="24"/>
        </w:rPr>
      </w:pP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auto"/>
          <w:sz w:val="24"/>
          <w:szCs w:val="24"/>
        </w:rPr>
        <w:t>Willis et al (2012)</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suggests that there are a few places that might be able to provide exercise classes such as local community centres which might have free drop in groups where people might be able to get advice on how to be active without spending much money, and there are some free exercise videos available online, and free fitness apps that might be able to help families in poverty become more active. Hartmann-Boyce, et al, (2022)</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argues that an active lifestyle can be expensive and most families in poverty might not be able to afford a healthy active lifestyle which could be the main cause of childhood obesity, especially if the parents are overweight. Research has shown that if one parent is overweight, there is a 50% chance the children will be overweight and if both parents are overweight or obese there is an 80% chance that the children will be overweight. The main cause of this is believed to be lifestyle choices, for example if the parents only eat processed foods such as pizza burgers and chips then its most likely this is what the children will eat as well. If the parents are not active, then it is very likely that the children will also be less active. The children could then carry on with the lifestyle they are used to and will most likely remain obese into adulthood and then they could possibly start their own families and continue the cycle (Hemmingsson, et al, 2022).</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Parents who have children in school in the UK and earn less than the average income, might be able to get their children free school meals. Also, some schools have a breakfast club which again if a family is earning a low income their children might be entitled to a free place at a breakfast club. The meals that primary schools provide are healthy and nutritious, so parents don’t have to worry about their children either missing a meal or eating unhealthy meals as their children are guaranteed at least one healthy meal a day during weekdays during a school term (McSweeney, 2017). Yang (2022)</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 xml:space="preserve">argues that not all primary schools have this option available and sometimes families are not always aware of what their local primary schools have to offer.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Schools can be strict with nutrition and diet and have guidelines in place when it comes to packed lunches and snacks children eat during breaktime, for example a child is allowed to eat a piece of fruit during break and not a chocolate bar, and some schools have even removed unhealthy food items such as a fizzy drinks or a packet of crisps from a Child’s packed lunch to stop them from consuming it. The items were then returned to the parents saying that these food products are not allowed in the child’s packed lunch</w:t>
      </w:r>
      <w:r>
        <w:rPr>
          <w:rFonts w:ascii="Times New Roman" w:hAnsi="Times New Roman" w:eastAsia="Times New Roman" w:cs="Times New Roman"/>
          <w:color w:val="FF0000"/>
          <w:sz w:val="24"/>
          <w:szCs w:val="24"/>
        </w:rPr>
        <w:t>.</w:t>
      </w:r>
      <w:r>
        <w:rPr>
          <w:rFonts w:ascii="Times New Roman" w:hAnsi="Times New Roman" w:eastAsia="Times New Roman" w:cs="Times New Roman"/>
          <w:sz w:val="24"/>
          <w:szCs w:val="24"/>
        </w:rPr>
        <w:t xml:space="preserve"> This has been thought to be a good way to try and tackle childhood obesity. If a child has a school meal, schools give the children tasty nutritious food at lunch times that is made up of a variety of fruit and vegetables (Hodkinson, 2019). Naughton (2014) suggests that this is a good way to promote healthy eating and parents will quickly learn what the children are allowed to eat in school and what they cannot. This will also encourage parents to give their children healthier meals, and this can help children eat more fruit or vegetables. Lockyer and Spiro (2019)</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 xml:space="preserve">however argues that this does not work as parents might not listen and could still carry on giving their children unhealthy snacks to eat in schools, and by the schools returning it back to the parents this could cause outrage as the parents could complain about what the school is trying to do. Also children might not like eating healthy foods due to their lifestyle back at home and could struggle to eat the meals that the school provides.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findings of this research state that children in poverty are more likely to be overweight or obese compared to the children that are not living in poverty. The research that was conducted suggests that this is due to poor diet, and it is also believed that families in poverty are less active as they are unable to afford to take their children out to places where they can run around and have fun. There have also been some findings that a certain number of children that live in poverty are actually underweight due to the fact they are not eating enough food as their families cannot always provide then with a meal three times a day, and the children are not getting the right amount of food they are used to. Children in poverty, whether they are under or overweight, both struggle with the same issue that they are not getting the right amount of nutrients they need in their diet due to a limit of fresh foods being made available.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keepNext w:val="0"/>
        <w:keepLines w:val="0"/>
        <w:spacing w:before="0" w:beforeAutospacing="0" w:line="240" w:lineRule="auto"/>
        <w:jc w:val="both"/>
        <w:rPr>
          <w:rFonts w:ascii="Times New Roman" w:hAnsi="Times New Roman" w:eastAsia="Times New Roman" w:cs="Times New Roman"/>
          <w:sz w:val="28"/>
          <w:szCs w:val="28"/>
          <w:u w:val="single"/>
        </w:rPr>
      </w:pPr>
    </w:p>
    <w:p>
      <w:pPr>
        <w:keepNext w:val="0"/>
        <w:keepLines w:val="0"/>
        <w:spacing w:before="0" w:beforeAutospacing="0" w:line="240" w:lineRule="auto"/>
        <w:jc w:val="both"/>
        <w:rPr>
          <w:rFonts w:ascii="Times New Roman" w:hAnsi="Times New Roman" w:eastAsia="Times New Roman" w:cs="Times New Roman"/>
          <w:sz w:val="28"/>
          <w:szCs w:val="28"/>
          <w:u w:val="single"/>
        </w:rPr>
      </w:pPr>
    </w:p>
    <w:p>
      <w:pPr>
        <w:keepNext w:val="0"/>
        <w:keepLines w:val="0"/>
        <w:spacing w:before="0" w:beforeAutospacing="0" w:line="240" w:lineRule="auto"/>
        <w:jc w:val="both"/>
        <w:rPr>
          <w:rFonts w:ascii="Times New Roman" w:hAnsi="Times New Roman" w:eastAsia="Times New Roman" w:cs="Times New Roman"/>
          <w:sz w:val="28"/>
          <w:szCs w:val="28"/>
          <w:u w:val="single"/>
        </w:rPr>
      </w:pPr>
    </w:p>
    <w:p>
      <w:pPr>
        <w:keepNext w:val="0"/>
        <w:keepLines w:val="0"/>
        <w:spacing w:before="0" w:beforeAutospacing="0" w:line="240" w:lineRule="auto"/>
        <w:jc w:val="both"/>
        <w:rPr>
          <w:rFonts w:ascii="Times New Roman" w:hAnsi="Times New Roman" w:eastAsia="Times New Roman" w:cs="Times New Roman"/>
          <w:sz w:val="28"/>
          <w:szCs w:val="28"/>
          <w:u w:val="single"/>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sz w:val="32"/>
          <w:szCs w:val="32"/>
        </w:rPr>
      </w:pPr>
    </w:p>
    <w:p>
      <w:pPr>
        <w:pStyle w:val="2"/>
        <w:keepNext w:val="0"/>
        <w:keepLines w:val="0"/>
        <w:spacing w:before="0" w:beforeAutospacing="0" w:line="240" w:lineRule="auto"/>
        <w:jc w:val="both"/>
        <w:rPr>
          <w:rFonts w:asciiTheme="majorAscii" w:hAnsiTheme="majorAscii" w:eastAsiaTheme="majorAscii" w:cstheme="majorAscii"/>
          <w:sz w:val="28"/>
          <w:szCs w:val="28"/>
          <w:u w:val="single"/>
        </w:rPr>
      </w:pPr>
      <w:r>
        <w:rPr>
          <w:rFonts w:asciiTheme="majorAscii" w:hAnsiTheme="majorAscii" w:eastAsiaTheme="majorAscii" w:cstheme="majorAscii"/>
          <w:sz w:val="32"/>
          <w:szCs w:val="32"/>
        </w:rPr>
        <w:t xml:space="preserve">Conclusion </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After analysing through the selected articles, the research states that there is a link between childhood obesity and poverty. The main themes that kept reoccurring were diet and the foods that families in poverty eat, and a lot of families are less active and do not seem to exercise as much. The main reasons that were found in the research were that a lot of families either relied on food banks or could not afford to buy healthy nutritious foods, and regarding exercising, a lot of families in poverty could not afford to take their children out to places like leisure centres where they can get the exercise they need. Whilst there is support available from the government, a lot of families still struggle to earn enough money to try to change to a better lifestyle, and families might not be fully aware of what support they are entitled to. There has also been evidence that as well as being overweight or obese, children in poverty can be underweight as well due to the fact they might not be getting enough food at home. There is support from schools for the children who’s families have a low income where the children are entitled to free school meals, and this could possibly reassure families that their children are having a nutritious meal in their diets.          </w:t>
      </w:r>
    </w:p>
    <w:p>
      <w:pPr>
        <w:pStyle w:val="2"/>
        <w:keepNext w:val="0"/>
        <w:keepLines w:val="0"/>
        <w:spacing w:before="0" w:beforeAutospacing="0" w:line="240" w:lineRule="auto"/>
        <w:jc w:val="both"/>
        <w:rPr>
          <w:rFonts w:asciiTheme="majorAscii" w:hAnsiTheme="majorAscii" w:eastAsiaTheme="majorAscii" w:cstheme="majorAscii"/>
          <w:sz w:val="24"/>
          <w:szCs w:val="24"/>
        </w:rPr>
      </w:pPr>
      <w:r>
        <w:rPr>
          <w:rFonts w:asciiTheme="majorAscii" w:hAnsiTheme="majorAscii" w:eastAsiaTheme="majorAscii" w:cstheme="majorAscii"/>
          <w:sz w:val="32"/>
          <w:szCs w:val="32"/>
        </w:rPr>
        <w:t>Recommendations</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One thing a family with a low income might be entitled to is free school meals, which can provide their children with at least one healthy nutritious meal a day during weekdays. The schools that children attend would have more information on this and would try to help any family that might be receiving a low income. A child having free school meals could help families reduce costs and the family members can be reassured that their child is eating a healthy meal (McSweeney, 2017).</w:t>
      </w:r>
    </w:p>
    <w:p>
      <w:pPr>
        <w:keepNext w:val="0"/>
        <w:keepLines w:val="0"/>
        <w:spacing w:before="0" w:beforeAutospacing="0" w:line="240"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sz w:val="24"/>
          <w:szCs w:val="24"/>
        </w:rPr>
        <w:t>A fun activity that could also help promote healthy eating is to try to grow certain fruit and vegetables in the garden. This could help reduce the cost of buying fresh fruit and vegetables and it is also a fun activity that children can get involved with. By growing fruit and vegetables, children easily eat their five a day without any of the family members worrying about the cost of fresh fruit and vegetables. If a family do not have a garden they could try to make window boxes so they are able to grow fruits and vegetables inside (Feliciano, 2022).</w:t>
      </w:r>
    </w:p>
    <w:p>
      <w:pPr>
        <w:keepNext w:val="0"/>
        <w:keepLines w:val="0"/>
        <w:spacing w:before="0" w:before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most cases especially during the current cost-of-living crisis, the government have been trying to provide support for people living in poverty, and if a family is struggling, they can easily find out what support they might be entitled to. This could help families buy more fresh foods and hopefully help them through the hard times (Solar, 2020).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There are plenty of opportunities for families in poverty that have children, to go out and exercise. Even if it is just going for a walk around the local park, this could help reduce childhood obesity as it is a good chance to get out of the house for a few hours, and there is no cost to just going out and maybe kicking a ball around the park. This would also encourage children to be more active and they would also feel better about themselves (Willis et al, 2012).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8"/>
          <w:szCs w:val="28"/>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8"/>
          <w:szCs w:val="28"/>
        </w:rPr>
        <w:t>References</w:t>
      </w:r>
    </w:p>
    <w:p>
      <w:pPr>
        <w:keepNext w:val="0"/>
        <w:keepLines w:val="0"/>
        <w:spacing w:before="0" w:beforeAutospacing="0" w:after="0" w:afterAutospacing="0" w:line="240" w:lineRule="auto"/>
        <w:jc w:val="both"/>
        <w:rPr>
          <w:rFonts w:ascii="Times New Roman" w:hAnsi="Times New Roman" w:eastAsia="Times New Roman" w:cs="Times New Roman"/>
          <w:sz w:val="28"/>
          <w:szCs w:val="28"/>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Alliott, O. Ryan, M. Fairbrother, H. Van Sluijs, E. (2022) ‘Do adolescents’ experiences of the barriers to and facilitators of physical activity differ by socioeconomic position? A systematic review of qualitative evidence’, </w:t>
      </w:r>
      <w:r>
        <w:rPr>
          <w:rFonts w:ascii="Times New Roman" w:hAnsi="Times New Roman" w:eastAsia="Times New Roman" w:cs="Times New Roman"/>
          <w:i/>
          <w:iCs/>
          <w:sz w:val="24"/>
          <w:szCs w:val="24"/>
        </w:rPr>
        <w:t>Obesity Reviews</w:t>
      </w:r>
      <w:r>
        <w:rPr>
          <w:rFonts w:ascii="Times New Roman" w:hAnsi="Times New Roman" w:eastAsia="Times New Roman" w:cs="Times New Roman"/>
          <w:sz w:val="24"/>
          <w:szCs w:val="24"/>
        </w:rPr>
        <w:t xml:space="preserve">, 23(3), pp. 1–19.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Baker, C. (2023) Obesity statistics - House of Commons Library, UK Parliament. Available at: https://commonslibrary.parliament.uk/research-briefings/sn03336/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Helvetica" w:hAnsi="Helvetica" w:eastAsia="Helvetica" w:cs="Helvetica"/>
          <w:b w:val="0"/>
          <w:bCs w:val="0"/>
          <w:i w:val="0"/>
          <w:iCs w:val="0"/>
          <w:caps w:val="0"/>
          <w:smallCaps w:val="0"/>
          <w:color w:val="595959" w:themeColor="text1" w:themeTint="A6"/>
          <w:sz w:val="20"/>
          <w:szCs w:val="20"/>
          <w:lang w:val="en-GB"/>
          <w14:textFill>
            <w14:solidFill>
              <w14:schemeClr w14:val="tx1">
                <w14:lumMod w14:val="65000"/>
                <w14:lumOff w14:val="35000"/>
              </w14:schemeClr>
            </w14:solidFill>
          </w14:textFill>
        </w:rPr>
      </w:pPr>
      <w:r>
        <w:rPr>
          <w:rFonts w:ascii="Times New Roman" w:hAnsi="Times New Roman" w:eastAsia="Times New Roman" w:cs="Times New Roman"/>
          <w:b w:val="0"/>
          <w:bCs w:val="0"/>
          <w:i w:val="0"/>
          <w:iCs w:val="0"/>
          <w:caps w:val="0"/>
          <w:smallCaps w:val="0"/>
          <w:color w:val="auto"/>
          <w:sz w:val="24"/>
          <w:szCs w:val="24"/>
          <w:lang w:val="en-GB"/>
        </w:rPr>
        <w:t xml:space="preserve">Beatty, C. Bennett, C. and Hawkins, A. (2021) Managing precarity: Food bank use by low‐income women workers in a changing welfare regime,’ </w:t>
      </w:r>
      <w:r>
        <w:rPr>
          <w:rFonts w:ascii="Times New Roman" w:hAnsi="Times New Roman" w:eastAsia="Times New Roman" w:cs="Times New Roman"/>
          <w:b w:val="0"/>
          <w:bCs w:val="0"/>
          <w:i/>
          <w:iCs/>
          <w:caps w:val="0"/>
          <w:smallCaps w:val="0"/>
          <w:color w:val="auto"/>
          <w:sz w:val="24"/>
          <w:szCs w:val="24"/>
          <w:lang w:val="en-GB"/>
        </w:rPr>
        <w:t>Social Policy &amp; Administration</w:t>
      </w:r>
      <w:r>
        <w:rPr>
          <w:rFonts w:ascii="Times New Roman" w:hAnsi="Times New Roman" w:eastAsia="Times New Roman" w:cs="Times New Roman"/>
          <w:b w:val="0"/>
          <w:bCs w:val="0"/>
          <w:i w:val="0"/>
          <w:iCs w:val="0"/>
          <w:caps w:val="0"/>
          <w:smallCaps w:val="0"/>
          <w:color w:val="auto"/>
          <w:sz w:val="24"/>
          <w:szCs w:val="24"/>
          <w:lang w:val="en-GB"/>
        </w:rPr>
        <w:t>, 55, (5), pp. 981-1000.</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BOYLE, N.B. and POWER, M. (2021). ‘Proxy longitudinal indicators of household food insecurity in the UK’, </w:t>
      </w:r>
      <w:r>
        <w:rPr>
          <w:rFonts w:ascii="Times New Roman" w:hAnsi="Times New Roman" w:eastAsia="Times New Roman" w:cs="Times New Roman"/>
          <w:i/>
          <w:iCs/>
          <w:sz w:val="24"/>
          <w:szCs w:val="24"/>
        </w:rPr>
        <w:t xml:space="preserve">Emerald Open Research.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Bupa (2023) </w:t>
      </w:r>
      <w:r>
        <w:rPr>
          <w:rFonts w:ascii="Times New Roman" w:hAnsi="Times New Roman" w:eastAsia="Times New Roman" w:cs="Times New Roman"/>
          <w:i/>
          <w:iCs/>
          <w:sz w:val="24"/>
          <w:szCs w:val="24"/>
        </w:rPr>
        <w:t>Obesity in children: Health information: BUPA UK, Obesity in children | Health Information | Bupa UK.</w:t>
      </w:r>
      <w:r>
        <w:rPr>
          <w:rFonts w:ascii="Times New Roman" w:hAnsi="Times New Roman" w:eastAsia="Times New Roman" w:cs="Times New Roman"/>
          <w:sz w:val="24"/>
          <w:szCs w:val="24"/>
        </w:rPr>
        <w:t xml:space="preserve"> Available at: https://www.bupa.co.uk/health-information/childrens-health/overweight-children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Charles Sturt University (2023) </w:t>
      </w:r>
      <w:r>
        <w:rPr>
          <w:rFonts w:ascii="Times New Roman" w:hAnsi="Times New Roman" w:eastAsia="Times New Roman" w:cs="Times New Roman"/>
          <w:i/>
          <w:iCs/>
          <w:sz w:val="24"/>
          <w:szCs w:val="24"/>
        </w:rPr>
        <w:t>Library guides: Literature review: Traditional or narrative literature reviews, Traditional or narrative literature reviews - Literature Review - Library Guides at Charles Sturt University.</w:t>
      </w:r>
      <w:r>
        <w:rPr>
          <w:rFonts w:ascii="Times New Roman" w:hAnsi="Times New Roman" w:eastAsia="Times New Roman" w:cs="Times New Roman"/>
          <w:sz w:val="24"/>
          <w:szCs w:val="24"/>
        </w:rPr>
        <w:t xml:space="preserve"> Available at: https://libguides.csu.edu.au/review/Traditional#:~:text=A%20narrative%20or%20traditional%20literature,or%20context%20for%20your%20research.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Feliciano, D. (2022) ‘Factors influencing the adoption of sustainable agricultural practices: the case of seven horticultural farms in the United Kingdom’, </w:t>
      </w:r>
      <w:r>
        <w:rPr>
          <w:rFonts w:ascii="Times New Roman" w:hAnsi="Times New Roman" w:eastAsia="Times New Roman" w:cs="Times New Roman"/>
          <w:i/>
          <w:iCs/>
          <w:sz w:val="24"/>
          <w:szCs w:val="24"/>
        </w:rPr>
        <w:t>Scottish Geographical Journal,</w:t>
      </w:r>
      <w:r>
        <w:rPr>
          <w:rFonts w:ascii="Times New Roman" w:hAnsi="Times New Roman" w:eastAsia="Times New Roman" w:cs="Times New Roman"/>
          <w:sz w:val="24"/>
          <w:szCs w:val="24"/>
        </w:rPr>
        <w:t xml:space="preserve"> 138(3/4), pp. 291–320.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George, T. (2022) Applying the CRAAP test &amp; evaluating sources, Scribbr. Available at: https://www.scribbr.co.uk/working-sources/craap-test-explained/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i w:val="0"/>
          <w:iCs w:val="0"/>
          <w:sz w:val="22"/>
          <w:szCs w:val="22"/>
        </w:rPr>
      </w:pPr>
      <w:r>
        <w:rPr>
          <w:rFonts w:ascii="Times New Roman" w:hAnsi="Times New Roman" w:eastAsia="Times New Roman" w:cs="Times New Roman"/>
          <w:sz w:val="24"/>
          <w:szCs w:val="24"/>
        </w:rPr>
        <w:t xml:space="preserve">Hartmann-Boyce, J. Cobiac, L. Theodoulou, A. Oke, J. Butler, A, Scarborough, P. Bastounis, A. Dunnigan, A. Hobbs, R. Sniehotta, F. Amies-Cull, B. Aveyard,P. And Jebb, S (2022) ‘Weight regain after behavioural weight management programmes and its impact on quality of life and cost effectiveness: Evidence synthesis and health economic analyses’, </w:t>
      </w:r>
      <w:r>
        <w:rPr>
          <w:rFonts w:ascii="Times New Roman" w:hAnsi="Times New Roman" w:eastAsia="Times New Roman" w:cs="Times New Roman"/>
          <w:i/>
          <w:iCs/>
          <w:sz w:val="24"/>
          <w:szCs w:val="24"/>
        </w:rPr>
        <w:t xml:space="preserve">Diabetes, Obesity &amp; Metabolism, </w:t>
      </w:r>
      <w:r>
        <w:rPr>
          <w:rFonts w:ascii="Times New Roman" w:hAnsi="Times New Roman" w:eastAsia="Times New Roman" w:cs="Times New Roman"/>
          <w:i w:val="0"/>
          <w:iCs w:val="0"/>
          <w:sz w:val="24"/>
          <w:szCs w:val="24"/>
        </w:rPr>
        <w:t xml:space="preserve">25(2), pp. 526–535.  </w:t>
      </w:r>
    </w:p>
    <w:p>
      <w:pPr>
        <w:keepNext w:val="0"/>
        <w:keepLines w:val="0"/>
        <w:spacing w:before="0" w:beforeAutospacing="0" w:after="0" w:afterAutospacing="0" w:line="240" w:lineRule="auto"/>
        <w:jc w:val="both"/>
        <w:rPr>
          <w:rFonts w:ascii="Times New Roman" w:hAnsi="Times New Roman" w:eastAsia="Times New Roman" w:cs="Times New Roman"/>
          <w:i w:val="0"/>
          <w:iCs w:val="0"/>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Hemmingsson, E. Nowicka, P. Ulijaszek, S. and Sorensen, T. (2022) ‘The social origins of obesity within and across generations’, </w:t>
      </w:r>
      <w:r>
        <w:rPr>
          <w:rFonts w:ascii="Times New Roman" w:hAnsi="Times New Roman" w:eastAsia="Times New Roman" w:cs="Times New Roman"/>
          <w:i/>
          <w:iCs/>
          <w:sz w:val="24"/>
          <w:szCs w:val="24"/>
        </w:rPr>
        <w:t>Obesity Reviews,</w:t>
      </w:r>
      <w:r>
        <w:rPr>
          <w:rFonts w:ascii="Times New Roman" w:hAnsi="Times New Roman" w:eastAsia="Times New Roman" w:cs="Times New Roman"/>
          <w:sz w:val="24"/>
          <w:szCs w:val="24"/>
        </w:rPr>
        <w:t xml:space="preserve"> 24(1), pp. 1–11.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Hodgkinson, A. Abbott, J. Hurley, M. Qualter, P. (2019) ‘An educational intervention to prevent overweight in pre-school years: a cluster randomised trial with a focus on disadvantaged families’, </w:t>
      </w:r>
      <w:r>
        <w:rPr>
          <w:rFonts w:ascii="Times New Roman" w:hAnsi="Times New Roman" w:eastAsia="Times New Roman" w:cs="Times New Roman"/>
          <w:i/>
          <w:iCs/>
          <w:sz w:val="24"/>
          <w:szCs w:val="24"/>
        </w:rPr>
        <w:t>BMC Public Health</w:t>
      </w:r>
      <w:r>
        <w:rPr>
          <w:rFonts w:ascii="Times New Roman" w:hAnsi="Times New Roman" w:eastAsia="Times New Roman" w:cs="Times New Roman"/>
          <w:sz w:val="24"/>
          <w:szCs w:val="24"/>
        </w:rPr>
        <w:t xml:space="preserve">, 19(1), pp. 1–13.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JRF (2023) UK poverty 2023: </w:t>
      </w:r>
      <w:r>
        <w:rPr>
          <w:rFonts w:ascii="Times New Roman" w:hAnsi="Times New Roman" w:eastAsia="Times New Roman" w:cs="Times New Roman"/>
          <w:i/>
          <w:iCs/>
          <w:sz w:val="24"/>
          <w:szCs w:val="24"/>
        </w:rPr>
        <w:t>The Essential Guide to Understanding Poverty in the UK, JRF</w:t>
      </w:r>
      <w:r>
        <w:rPr>
          <w:rFonts w:ascii="Times New Roman" w:hAnsi="Times New Roman" w:eastAsia="Times New Roman" w:cs="Times New Roman"/>
          <w:sz w:val="24"/>
          <w:szCs w:val="24"/>
        </w:rPr>
        <w:t>. Available at: https://www.jrf.org.uk/report/uk-poverty-2023#:~:text=13.4%20million%20people%20were%20living,3.9%20million%20were%20children (Accessed: April 19, 2023).</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JRF (2023) </w:t>
      </w:r>
      <w:r>
        <w:rPr>
          <w:rFonts w:ascii="Times New Roman" w:hAnsi="Times New Roman" w:eastAsia="Times New Roman" w:cs="Times New Roman"/>
          <w:i/>
          <w:iCs/>
          <w:sz w:val="24"/>
          <w:szCs w:val="24"/>
        </w:rPr>
        <w:t>What is poverty?, JRF</w:t>
      </w:r>
      <w:r>
        <w:rPr>
          <w:rFonts w:ascii="Times New Roman" w:hAnsi="Times New Roman" w:eastAsia="Times New Roman" w:cs="Times New Roman"/>
          <w:sz w:val="24"/>
          <w:szCs w:val="24"/>
        </w:rPr>
        <w:t xml:space="preserve">. Available at: https://www.jrf.org.uk/our-work/what-is-poverty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Lioret, S. Harrar, F. Boccia, D. Hesketh, K. Kuswara, K. Baaren, C. Maritano, S. Charles, M. Heude, B. and Laws, R. (2022) ‘The effectiveness of interventions during the first 1,000 days to improve energy balance‐related behaviours or prevent overweight/obesity in children from socio‐economically disadvantaged families of high‐income countries: a systematic review’, </w:t>
      </w:r>
      <w:r>
        <w:rPr>
          <w:rFonts w:ascii="Times New Roman" w:hAnsi="Times New Roman" w:eastAsia="Times New Roman" w:cs="Times New Roman"/>
          <w:i/>
          <w:iCs/>
          <w:sz w:val="24"/>
          <w:szCs w:val="24"/>
        </w:rPr>
        <w:t>Obesity Reviews,</w:t>
      </w:r>
      <w:r>
        <w:rPr>
          <w:rFonts w:ascii="Times New Roman" w:hAnsi="Times New Roman" w:eastAsia="Times New Roman" w:cs="Times New Roman"/>
          <w:sz w:val="24"/>
          <w:szCs w:val="24"/>
        </w:rPr>
        <w:t xml:space="preserve"> 24(1), pp. 1–24.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Lockyer, S. and Spiro, A. (2019) ‘Socio‐economic inequalities in childhood obesity: Can community level interventions help to reduce the gap?’, </w:t>
      </w:r>
      <w:r>
        <w:rPr>
          <w:rFonts w:ascii="Times New Roman" w:hAnsi="Times New Roman" w:eastAsia="Times New Roman" w:cs="Times New Roman"/>
          <w:i/>
          <w:iCs/>
          <w:sz w:val="24"/>
          <w:szCs w:val="24"/>
        </w:rPr>
        <w:t>Nutrition Bulletin,</w:t>
      </w:r>
      <w:r>
        <w:rPr>
          <w:rFonts w:ascii="Times New Roman" w:hAnsi="Times New Roman" w:eastAsia="Times New Roman" w:cs="Times New Roman"/>
          <w:sz w:val="24"/>
          <w:szCs w:val="24"/>
        </w:rPr>
        <w:t xml:space="preserve"> 44(4), pp. 381–393.  </w:t>
      </w: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Loren, D.M. Rea, E. Harber, K. and Bohnert, A. (2022) ‘An ecological model of weight gain among school-age children’, </w:t>
      </w:r>
      <w:r>
        <w:rPr>
          <w:rFonts w:ascii="Times New Roman" w:hAnsi="Times New Roman" w:eastAsia="Times New Roman" w:cs="Times New Roman"/>
          <w:i/>
          <w:iCs/>
          <w:sz w:val="24"/>
          <w:szCs w:val="24"/>
        </w:rPr>
        <w:t xml:space="preserve">Health Psychology, </w:t>
      </w:r>
      <w:r>
        <w:rPr>
          <w:rFonts w:ascii="Times New Roman" w:hAnsi="Times New Roman" w:eastAsia="Times New Roman" w:cs="Times New Roman"/>
          <w:sz w:val="24"/>
          <w:szCs w:val="24"/>
        </w:rPr>
        <w:t xml:space="preserve">41(3), pp. 193–203.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McSweeney, L. Araujo- Soares, V. Rapley, T. and Adamson, A. (2017) ‘A feasibility study with process evaluation of a preschool intervention to improve child and family lifestyle behaviours’, </w:t>
      </w:r>
      <w:r>
        <w:rPr>
          <w:rFonts w:ascii="Times New Roman" w:hAnsi="Times New Roman" w:eastAsia="Times New Roman" w:cs="Times New Roman"/>
          <w:i/>
          <w:iCs/>
          <w:sz w:val="24"/>
          <w:szCs w:val="24"/>
        </w:rPr>
        <w:t>BMC Public Health,</w:t>
      </w:r>
      <w:r>
        <w:rPr>
          <w:rFonts w:ascii="Times New Roman" w:hAnsi="Times New Roman" w:eastAsia="Times New Roman" w:cs="Times New Roman"/>
          <w:sz w:val="24"/>
          <w:szCs w:val="24"/>
        </w:rPr>
        <w:t xml:space="preserve"> 17, pp. 1–15.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Naughton, L., 2014. Giving children the best start: free school meals: The Journal of the Health Visitors' </w:t>
      </w:r>
      <w:r>
        <w:rPr>
          <w:rFonts w:ascii="Times New Roman" w:hAnsi="Times New Roman" w:eastAsia="Times New Roman" w:cs="Times New Roman"/>
          <w:i/>
          <w:iCs/>
          <w:sz w:val="24"/>
          <w:szCs w:val="24"/>
        </w:rPr>
        <w:t>Association. Community Practitioner,</w:t>
      </w:r>
      <w:r>
        <w:rPr>
          <w:rFonts w:ascii="Times New Roman" w:hAnsi="Times New Roman" w:eastAsia="Times New Roman" w:cs="Times New Roman"/>
          <w:sz w:val="24"/>
          <w:szCs w:val="24"/>
        </w:rPr>
        <w:t xml:space="preserve"> 87(1), pp. 14-6.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NHS choices (2022) </w:t>
      </w:r>
      <w:r>
        <w:rPr>
          <w:rFonts w:ascii="Times New Roman" w:hAnsi="Times New Roman" w:eastAsia="Times New Roman" w:cs="Times New Roman"/>
          <w:i/>
          <w:iCs/>
          <w:sz w:val="24"/>
          <w:szCs w:val="24"/>
        </w:rPr>
        <w:t>What is the body mass index (BMI)?, NHS choices. NHS</w:t>
      </w:r>
      <w:r>
        <w:rPr>
          <w:rFonts w:ascii="Times New Roman" w:hAnsi="Times New Roman" w:eastAsia="Times New Roman" w:cs="Times New Roman"/>
          <w:sz w:val="24"/>
          <w:szCs w:val="24"/>
        </w:rPr>
        <w:t xml:space="preserve">. Available at: https://www.nhs.uk/common-health-questions/lifestyle/what-is-the-body-mass-index-bmi/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NHS Wales (2022) </w:t>
      </w:r>
      <w:r>
        <w:rPr>
          <w:rFonts w:ascii="Times New Roman" w:hAnsi="Times New Roman" w:eastAsia="Times New Roman" w:cs="Times New Roman"/>
          <w:i/>
          <w:iCs/>
          <w:sz w:val="24"/>
          <w:szCs w:val="24"/>
        </w:rPr>
        <w:t>Child measurement programme shows increase in numbers of children with obesity, Public Health Wales.</w:t>
      </w:r>
      <w:r>
        <w:rPr>
          <w:rFonts w:ascii="Times New Roman" w:hAnsi="Times New Roman" w:eastAsia="Times New Roman" w:cs="Times New Roman"/>
          <w:sz w:val="24"/>
          <w:szCs w:val="24"/>
        </w:rPr>
        <w:t xml:space="preserve"> Available at: https://phw.nhs.wales/news/child-measurement-programme-shows-increase-in-numbers-of-children-with-obesity/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Parkinson, S. (2022) ‘The cost-of-living crisis and adult community learning’, </w:t>
      </w:r>
      <w:r>
        <w:rPr>
          <w:rFonts w:ascii="Times New Roman" w:hAnsi="Times New Roman" w:eastAsia="Times New Roman" w:cs="Times New Roman"/>
          <w:i/>
          <w:iCs/>
          <w:sz w:val="24"/>
          <w:szCs w:val="24"/>
        </w:rPr>
        <w:t xml:space="preserve">Education Journal, </w:t>
      </w:r>
      <w:r>
        <w:rPr>
          <w:rFonts w:ascii="Times New Roman" w:hAnsi="Times New Roman" w:eastAsia="Times New Roman" w:cs="Times New Roman"/>
          <w:sz w:val="24"/>
          <w:szCs w:val="24"/>
        </w:rPr>
        <w:t xml:space="preserve">(505), pp. 34–35.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Pearce, A., Rougeaux, E. and Law, C. (2015) ‘Disadvantaged children at greater relative risk of thinness (as well as obesity): a secondary data analysis of the England National Child Measurement Programme and the UK Millennium Cohort Study’, </w:t>
      </w:r>
      <w:r>
        <w:rPr>
          <w:rFonts w:ascii="Times New Roman" w:hAnsi="Times New Roman" w:eastAsia="Times New Roman" w:cs="Times New Roman"/>
          <w:i/>
          <w:iCs/>
          <w:sz w:val="24"/>
          <w:szCs w:val="24"/>
        </w:rPr>
        <w:t>International Journal for Equity in Health,</w:t>
      </w:r>
      <w:r>
        <w:rPr>
          <w:rFonts w:ascii="Times New Roman" w:hAnsi="Times New Roman" w:eastAsia="Times New Roman" w:cs="Times New Roman"/>
          <w:sz w:val="24"/>
          <w:szCs w:val="24"/>
        </w:rPr>
        <w:t xml:space="preserve"> 14(1), pp. 1–12.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Purdam, K. and Silver, D. (2020) ‘Social policy and embedded evaluation: Assessing the impact of a food insecurity project in the United Kingdom’, </w:t>
      </w:r>
      <w:r>
        <w:rPr>
          <w:rFonts w:ascii="Times New Roman" w:hAnsi="Times New Roman" w:eastAsia="Times New Roman" w:cs="Times New Roman"/>
          <w:i/>
          <w:iCs/>
          <w:sz w:val="24"/>
          <w:szCs w:val="24"/>
        </w:rPr>
        <w:t>Social Policy &amp; Administration,</w:t>
      </w:r>
      <w:r>
        <w:rPr>
          <w:rFonts w:ascii="Times New Roman" w:hAnsi="Times New Roman" w:eastAsia="Times New Roman" w:cs="Times New Roman"/>
          <w:sz w:val="24"/>
          <w:szCs w:val="24"/>
        </w:rPr>
        <w:t xml:space="preserve"> 54(7), pp. 999–1015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Rae, M. and Carruthers, J., 2022. Childhood poverty is rising in the UK, but the government continue to ignore it. BMJ : British Medical Journal (Online), 377. </w:t>
      </w:r>
    </w:p>
    <w:p>
      <w:pPr>
        <w:keepNext w:val="0"/>
        <w:keepLines w:val="0"/>
        <w:spacing w:before="0" w:beforeAutospacing="0" w:after="0" w:afterAutospacing="0" w:line="240" w:lineRule="auto"/>
        <w:jc w:val="both"/>
        <w:rPr>
          <w:rFonts w:ascii="Times New Roman" w:hAnsi="Times New Roman" w:eastAsia="Times New Roman" w:cs="Times New Roman"/>
          <w:i/>
          <w:iCs/>
          <w:sz w:val="22"/>
          <w:szCs w:val="22"/>
        </w:rPr>
      </w:pPr>
      <w:r>
        <w:rPr>
          <w:rFonts w:ascii="Times New Roman" w:hAnsi="Times New Roman" w:eastAsia="Times New Roman" w:cs="Times New Roman"/>
          <w:sz w:val="24"/>
          <w:szCs w:val="24"/>
        </w:rPr>
        <w:t xml:space="preserve">Solar, C. (2020) ‘Introducing Change in Public Service Organizations under Austerity: The Complex Case of the Governance of the Defence in the United Kingdom’, </w:t>
      </w:r>
      <w:r>
        <w:rPr>
          <w:rFonts w:ascii="Times New Roman" w:hAnsi="Times New Roman" w:eastAsia="Times New Roman" w:cs="Times New Roman"/>
          <w:i/>
          <w:iCs/>
          <w:sz w:val="24"/>
          <w:szCs w:val="24"/>
        </w:rPr>
        <w:t xml:space="preserve">Politics &amp; Policy, </w:t>
      </w:r>
      <w:r>
        <w:rPr>
          <w:rFonts w:ascii="Times New Roman" w:hAnsi="Times New Roman" w:eastAsia="Times New Roman" w:cs="Times New Roman"/>
          <w:i w:val="0"/>
          <w:iCs w:val="0"/>
          <w:sz w:val="24"/>
          <w:szCs w:val="24"/>
        </w:rPr>
        <w:t xml:space="preserve">48(4), pp. 700–726.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Tittis, E., Procter, R. and Walasek, L. (2022) Assessing physical access to healthy food across United Kingdom: A systematic review of measures and findings. </w:t>
      </w:r>
      <w:r>
        <w:rPr>
          <w:rFonts w:ascii="Times New Roman" w:hAnsi="Times New Roman" w:eastAsia="Times New Roman" w:cs="Times New Roman"/>
          <w:i/>
          <w:iCs/>
          <w:sz w:val="24"/>
          <w:szCs w:val="24"/>
        </w:rPr>
        <w:t>Obesity Science &amp; Practice,</w:t>
      </w:r>
      <w:r>
        <w:rPr>
          <w:rFonts w:ascii="Times New Roman" w:hAnsi="Times New Roman" w:eastAsia="Times New Roman" w:cs="Times New Roman"/>
          <w:sz w:val="24"/>
          <w:szCs w:val="24"/>
        </w:rPr>
        <w:t xml:space="preserve"> 8(2), pp. 233-246.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UK Parliament (2020) </w:t>
      </w:r>
      <w:r>
        <w:rPr>
          <w:rFonts w:ascii="Times New Roman" w:hAnsi="Times New Roman" w:eastAsia="Times New Roman" w:cs="Times New Roman"/>
          <w:i/>
          <w:iCs/>
          <w:sz w:val="24"/>
          <w:szCs w:val="24"/>
        </w:rPr>
        <w:t>Study designs: Secondary research - post, Study designs: secondary research.</w:t>
      </w:r>
      <w:r>
        <w:rPr>
          <w:rFonts w:ascii="Times New Roman" w:hAnsi="Times New Roman" w:eastAsia="Times New Roman" w:cs="Times New Roman"/>
          <w:sz w:val="24"/>
          <w:szCs w:val="24"/>
        </w:rPr>
        <w:t xml:space="preserve"> Available at: https://post.parliament.uk/study-designs-secondary-research/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Willis, T.A. Potrata, B. Hunt, C. and Rudolf, M. (2012) ‘Training community practitioners to work more effectively with parents to prevent childhood obesity: the impact of HENRY upon Children’s Centres and their staff’,</w:t>
      </w:r>
      <w:r>
        <w:rPr>
          <w:rFonts w:ascii="Times New Roman" w:hAnsi="Times New Roman" w:eastAsia="Times New Roman" w:cs="Times New Roman"/>
          <w:i/>
          <w:iCs/>
          <w:sz w:val="24"/>
          <w:szCs w:val="24"/>
        </w:rPr>
        <w:t xml:space="preserve"> Journal of Human Nutrition &amp; Dietetics,</w:t>
      </w:r>
      <w:r>
        <w:rPr>
          <w:rFonts w:ascii="Times New Roman" w:hAnsi="Times New Roman" w:eastAsia="Times New Roman" w:cs="Times New Roman"/>
          <w:sz w:val="24"/>
          <w:szCs w:val="24"/>
        </w:rPr>
        <w:t xml:space="preserve"> 25(5), pp. 460–468.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World Health Organization (2023) </w:t>
      </w:r>
      <w:r>
        <w:rPr>
          <w:rFonts w:ascii="Times New Roman" w:hAnsi="Times New Roman" w:eastAsia="Times New Roman" w:cs="Times New Roman"/>
          <w:i/>
          <w:iCs/>
          <w:sz w:val="24"/>
          <w:szCs w:val="24"/>
        </w:rPr>
        <w:t>Obesity, World Health Organization.</w:t>
      </w:r>
      <w:r>
        <w:rPr>
          <w:rFonts w:ascii="Times New Roman" w:hAnsi="Times New Roman" w:eastAsia="Times New Roman" w:cs="Times New Roman"/>
          <w:sz w:val="24"/>
          <w:szCs w:val="24"/>
        </w:rPr>
        <w:t xml:space="preserve"> Available at: https://www.who.int/health-topics/obesity#tab=tab_1 (Accessed: April 19, 2023).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2"/>
          <w:szCs w:val="22"/>
        </w:rPr>
      </w:pPr>
      <w:r>
        <w:rPr>
          <w:rFonts w:ascii="Times New Roman" w:hAnsi="Times New Roman" w:eastAsia="Times New Roman" w:cs="Times New Roman"/>
          <w:sz w:val="24"/>
          <w:szCs w:val="24"/>
        </w:rPr>
        <w:t>Yang, T.C., Power, M., Moss, R.H., Lockyer, B., Burton, W., Doherty, B. and Bryant, M., (2022). Are free school meals failing families? Exploring the relationship between child food insecurity, child mental health and free school meal status during COVID-19: national cross-sectional surveys.</w:t>
      </w:r>
      <w:r>
        <w:rPr>
          <w:rFonts w:ascii="Times New Roman" w:hAnsi="Times New Roman" w:eastAsia="Times New Roman" w:cs="Times New Roman"/>
          <w:i/>
          <w:iCs/>
          <w:sz w:val="24"/>
          <w:szCs w:val="24"/>
        </w:rPr>
        <w:t xml:space="preserve"> BMJ Open</w:t>
      </w:r>
      <w:r>
        <w:rPr>
          <w:rFonts w:ascii="Times New Roman" w:hAnsi="Times New Roman" w:eastAsia="Times New Roman" w:cs="Times New Roman"/>
          <w:sz w:val="24"/>
          <w:szCs w:val="24"/>
        </w:rPr>
        <w:t>, 12(6).</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Appendices   </w:t>
      </w:r>
    </w:p>
    <w:p>
      <w:pPr>
        <w:keepNext w:val="0"/>
        <w:keepLines w:val="0"/>
        <w:spacing w:before="0" w:beforeAutospacing="0" w:after="0" w:afterAutospacing="0" w:line="240" w:lineRule="auto"/>
        <w:jc w:val="both"/>
        <w:rPr>
          <w:rFonts w:ascii="Times New Roman" w:hAnsi="Times New Roman" w:eastAsia="Times New Roman" w:cs="Times New Roman"/>
          <w:sz w:val="24"/>
          <w:szCs w:val="24"/>
        </w:rPr>
      </w:pPr>
    </w:p>
    <w:p>
      <w:pPr>
        <w:keepNext w:val="0"/>
        <w:keepLines w:val="0"/>
        <w:spacing w:before="0" w:beforeAutospacing="0" w:after="0" w:afterAutospacing="0" w:line="240" w:lineRule="auto"/>
        <w:jc w:val="both"/>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t>Appendix 1 Literature Search Sheet</w:t>
      </w:r>
    </w:p>
    <w:p>
      <w:pPr>
        <w:keepNext w:val="0"/>
        <w:keepLines w:val="0"/>
        <w:spacing w:before="0" w:beforeAutospacing="0" w:after="0" w:afterAutospacing="0" w:line="240" w:lineRule="auto"/>
        <w:jc w:val="both"/>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pPr>
    </w:p>
    <w:p>
      <w:pPr>
        <w:keepNext w:val="0"/>
        <w:keepLines w:val="0"/>
        <w:spacing w:before="0" w:beforeAutospacing="0" w:after="0" w:afterAutospacing="0" w:line="240" w:lineRule="auto"/>
        <w:jc w:val="both"/>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 </w:t>
      </w:r>
    </w:p>
    <w:tbl>
      <w:tblPr>
        <w:tblStyle w:val="9"/>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350"/>
        <w:gridCol w:w="76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350" w:type="dxa"/>
            <w:tcMar>
              <w:left w:w="105" w:type="dxa"/>
              <w:right w:w="105" w:type="dxa"/>
            </w:tcMar>
            <w:vAlign w:val="top"/>
          </w:tcPr>
          <w:p>
            <w:pPr>
              <w:spacing w:after="0" w:line="259" w:lineRule="auto"/>
              <w:rPr>
                <w:rFonts w:ascii="Calibri" w:hAnsi="Calibri" w:eastAsia="Calibri" w:cs="Calibri"/>
                <w:b w:val="0"/>
                <w:bCs w:val="0"/>
                <w:i w:val="0"/>
                <w:iCs w:val="0"/>
                <w:sz w:val="22"/>
                <w:szCs w:val="22"/>
              </w:rPr>
            </w:pPr>
            <w:r>
              <w:rPr>
                <w:rFonts w:ascii="Calibri" w:hAnsi="Calibri" w:eastAsia="Calibri" w:cs="Calibri"/>
                <w:b w:val="0"/>
                <w:bCs w:val="0"/>
                <w:i w:val="0"/>
                <w:iCs w:val="0"/>
                <w:sz w:val="22"/>
                <w:szCs w:val="22"/>
                <w:lang w:val="en-GB"/>
              </w:rPr>
              <w:t>Parameters</w:t>
            </w:r>
          </w:p>
        </w:tc>
        <w:tc>
          <w:tcPr>
            <w:tcW w:w="7650" w:type="dxa"/>
            <w:tcMar>
              <w:left w:w="105" w:type="dxa"/>
              <w:right w:w="105" w:type="dxa"/>
            </w:tcMar>
            <w:vAlign w:val="top"/>
          </w:tcPr>
          <w:p>
            <w:pPr>
              <w:spacing w:after="0" w:line="259" w:lineRule="auto"/>
              <w:rPr>
                <w:rFonts w:ascii="Calibri" w:hAnsi="Calibri" w:eastAsia="Calibri" w:cs="Calibri"/>
                <w:b w:val="0"/>
                <w:bCs w:val="0"/>
                <w:i w:val="0"/>
                <w:iCs w:val="0"/>
                <w:sz w:val="22"/>
                <w:szCs w:val="22"/>
              </w:rPr>
            </w:pPr>
            <w:r>
              <w:rPr>
                <w:rFonts w:ascii="Calibri" w:hAnsi="Calibri" w:eastAsia="Calibri" w:cs="Calibri"/>
                <w:b w:val="0"/>
                <w:bCs w:val="0"/>
                <w:i w:val="0"/>
                <w:iCs w:val="0"/>
                <w:sz w:val="22"/>
                <w:szCs w:val="22"/>
                <w:lang w:val="en-GB"/>
              </w:rPr>
              <w:t>Dates: 2012-2022 Type of material: peer reviewed journal articles, limit to full text available</w:t>
            </w:r>
          </w:p>
        </w:tc>
      </w:tr>
    </w:tbl>
    <w:p>
      <w:pPr>
        <w:spacing w:after="160" w:line="259" w:lineRule="auto"/>
        <w:rPr>
          <w:rFonts w:ascii="Calibri" w:hAnsi="Calibri" w:eastAsia="Calibri" w:cs="Calibri"/>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spacing w:after="160" w:line="259" w:lineRule="auto"/>
        <w:rPr>
          <w:rFonts w:ascii="Calibri" w:hAnsi="Calibri" w:eastAsia="Calibri" w:cs="Calibri"/>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spacing w:after="160" w:line="259" w:lineRule="auto"/>
        <w:rPr>
          <w:rFonts w:ascii="Calibri" w:hAnsi="Calibri" w:eastAsia="Calibri" w:cs="Calibri"/>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tbl>
      <w:tblPr>
        <w:tblStyle w:val="9"/>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2250"/>
        <w:gridCol w:w="885"/>
        <w:gridCol w:w="361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Database name</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Search terms</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No. Of results</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Useful articles found</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Academic search Premier/ Humanities source/APA Psycharticles/ Child development and adolescent studies</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Poverty or low income or socioeconomic or disadvantaged</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And </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Obesity or overweight or fat or obese or unhealthy weight or BMI</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And</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Children or adolescents or youth or child or teenager</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679</w:t>
            </w:r>
          </w:p>
        </w:tc>
        <w:tc>
          <w:tcPr>
            <w:tcW w:w="3615" w:type="dxa"/>
            <w:tcMar>
              <w:left w:w="105" w:type="dxa"/>
              <w:right w:w="105" w:type="dxa"/>
            </w:tcMar>
            <w:vAlign w:val="top"/>
          </w:tcPr>
          <w:p>
            <w:pPr>
              <w:spacing w:after="0" w:line="259" w:lineRule="auto"/>
              <w:ind w:left="0"/>
              <w:rPr>
                <w:rFonts w:ascii="Times New Roman" w:hAnsi="Times New Roman" w:eastAsia="Times New Roman" w:cs="Times New Roman"/>
                <w:b w:val="0"/>
                <w:bCs w:val="0"/>
                <w:i w:val="0"/>
                <w:iCs w:val="0"/>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Loren, D.M.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et al.</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(2022) ‘An ecological model of weight gain among school-age children’,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Health Psychology</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41(3), pp. 193–203. doi:10.1037/hea0001163.supp (Supplemental).</w:t>
            </w:r>
          </w:p>
          <w:p>
            <w:pPr>
              <w:spacing w:after="0" w:line="259" w:lineRule="auto"/>
              <w:ind w:left="0"/>
              <w:rPr>
                <w:rFonts w:ascii="Times New Roman" w:hAnsi="Times New Roman" w:eastAsia="Times New Roman" w:cs="Times New Roman"/>
                <w:b w:val="0"/>
                <w:bCs w:val="0"/>
                <w:i w:val="0"/>
                <w:iCs w:val="0"/>
                <w:sz w:val="24"/>
                <w:szCs w:val="24"/>
                <w:lang w:val="en-GB"/>
              </w:rPr>
            </w:pPr>
          </w:p>
          <w:p>
            <w:pPr>
              <w:spacing w:after="0" w:line="259" w:lineRule="auto"/>
              <w:ind w:left="0"/>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 xml:space="preserve">Alliott, O. </w:t>
            </w:r>
            <w:r>
              <w:rPr>
                <w:rFonts w:ascii="Times New Roman" w:hAnsi="Times New Roman" w:eastAsia="Times New Roman" w:cs="Times New Roman"/>
                <w:b w:val="0"/>
                <w:bCs w:val="0"/>
                <w:i/>
                <w:iCs/>
                <w:caps w:val="0"/>
                <w:smallCaps w:val="0"/>
                <w:sz w:val="24"/>
                <w:szCs w:val="24"/>
                <w:lang w:val="en-GB"/>
              </w:rPr>
              <w:t>et al.</w:t>
            </w:r>
            <w:r>
              <w:rPr>
                <w:rFonts w:ascii="Times New Roman" w:hAnsi="Times New Roman" w:eastAsia="Times New Roman" w:cs="Times New Roman"/>
                <w:b w:val="0"/>
                <w:bCs w:val="0"/>
                <w:i w:val="0"/>
                <w:iCs w:val="0"/>
                <w:caps w:val="0"/>
                <w:smallCaps w:val="0"/>
                <w:sz w:val="24"/>
                <w:szCs w:val="24"/>
                <w:lang w:val="en-GB"/>
              </w:rPr>
              <w:t xml:space="preserve"> (2022) ‘Do adolescents’ experiences of the barriers to and facilitators of physical activity differ by socioeconomic position? A systematic review of qualitative evidence’, </w:t>
            </w:r>
            <w:r>
              <w:rPr>
                <w:rFonts w:ascii="Times New Roman" w:hAnsi="Times New Roman" w:eastAsia="Times New Roman" w:cs="Times New Roman"/>
                <w:b w:val="0"/>
                <w:bCs w:val="0"/>
                <w:i/>
                <w:iCs/>
                <w:caps w:val="0"/>
                <w:smallCaps w:val="0"/>
                <w:sz w:val="24"/>
                <w:szCs w:val="24"/>
                <w:lang w:val="en-GB"/>
              </w:rPr>
              <w:t>Obesity Reviews</w:t>
            </w:r>
            <w:r>
              <w:rPr>
                <w:rFonts w:ascii="Times New Roman" w:hAnsi="Times New Roman" w:eastAsia="Times New Roman" w:cs="Times New Roman"/>
                <w:b w:val="0"/>
                <w:bCs w:val="0"/>
                <w:i w:val="0"/>
                <w:iCs w:val="0"/>
                <w:caps w:val="0"/>
                <w:smallCaps w:val="0"/>
                <w:sz w:val="24"/>
                <w:szCs w:val="24"/>
                <w:lang w:val="en-GB"/>
              </w:rPr>
              <w:t xml:space="preserve">, 23(3), pp. 1–19. doi:10.1111/obr.13374. </w:t>
            </w:r>
            <w:r>
              <w:br w:type="textWrapping"/>
            </w:r>
          </w:p>
          <w:p>
            <w:pPr>
              <w:spacing w:after="0" w:line="259" w:lineRule="auto"/>
              <w:ind w:left="0"/>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 xml:space="preserve">Lockyer, S. and Spiro, A. (2019) ‘Socio‐economic inequalities in childhood obesity: Can community level interventions help to reduce the gap?’, </w:t>
            </w:r>
            <w:r>
              <w:rPr>
                <w:rFonts w:ascii="Times New Roman" w:hAnsi="Times New Roman" w:eastAsia="Times New Roman" w:cs="Times New Roman"/>
                <w:b w:val="0"/>
                <w:bCs w:val="0"/>
                <w:i/>
                <w:iCs/>
                <w:caps w:val="0"/>
                <w:smallCaps w:val="0"/>
                <w:sz w:val="24"/>
                <w:szCs w:val="24"/>
                <w:lang w:val="en-GB"/>
              </w:rPr>
              <w:t>Nutrition Bulletin</w:t>
            </w:r>
            <w:r>
              <w:rPr>
                <w:rFonts w:ascii="Times New Roman" w:hAnsi="Times New Roman" w:eastAsia="Times New Roman" w:cs="Times New Roman"/>
                <w:b w:val="0"/>
                <w:bCs w:val="0"/>
                <w:i w:val="0"/>
                <w:iCs w:val="0"/>
                <w:caps w:val="0"/>
                <w:smallCaps w:val="0"/>
                <w:sz w:val="24"/>
                <w:szCs w:val="24"/>
                <w:lang w:val="en-GB"/>
              </w:rPr>
              <w:t>, 44(4), pp. 381–393. doi:10.1111/nbu.12410.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Academic search Premier/ Humanities source/APA Psycharticles/ Child development and adolescent studies</w:t>
            </w:r>
          </w:p>
          <w:p>
            <w:pPr>
              <w:spacing w:after="0" w:line="259" w:lineRule="auto"/>
              <w:rPr>
                <w:rFonts w:ascii="Times New Roman" w:hAnsi="Times New Roman" w:eastAsia="Times New Roman" w:cs="Times New Roman"/>
                <w:b w:val="0"/>
                <w:bCs w:val="0"/>
                <w:i w:val="0"/>
                <w:iCs w:val="0"/>
                <w:sz w:val="24"/>
                <w:szCs w:val="24"/>
              </w:rPr>
            </w:pP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Poverty or low income or socioeconomic or disadvantaged</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And </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Obesity or overweight or fat or obese or unhealthy weight or BMI</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And</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Children or adolescents or youth or child or teenager</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And UK or United Kingdom</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56</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Hemmingsson, 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et al.</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(2022) ‘The social origins of obesity within and across generations’,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Obesity Reviews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24(1), pp. 1–11. doi:10.1111/obr.13514.</w:t>
            </w:r>
          </w:p>
          <w:p>
            <w:pPr>
              <w:spacing w:after="0" w:line="259" w:lineRule="auto"/>
              <w:rPr>
                <w:rFonts w:ascii="Times New Roman" w:hAnsi="Times New Roman" w:eastAsia="Times New Roman" w:cs="Times New Roman"/>
                <w:b w:val="0"/>
                <w:bCs w:val="0"/>
                <w:i w:val="0"/>
                <w:iCs w:val="0"/>
                <w:color w:val="000000" w:themeColor="text1" w:themeTint="FF"/>
                <w:sz w:val="24"/>
                <w:szCs w:val="24"/>
                <w14:textFill>
                  <w14:solidFill>
                    <w14:schemeClr w14:val="tx1">
                      <w14:lumMod w14:val="100000"/>
                      <w14:lumOff w14:val="0"/>
                    </w14:schemeClr>
                  </w14:solidFill>
                </w14:textFill>
              </w:rPr>
            </w:pPr>
          </w:p>
          <w:p>
            <w:pPr>
              <w:spacing w:after="0" w:line="259" w:lineRule="auto"/>
              <w:rPr>
                <w:rFonts w:ascii="Times New Roman" w:hAnsi="Times New Roman" w:eastAsia="Times New Roman" w:cs="Times New Roman"/>
                <w:b w:val="0"/>
                <w:bCs w:val="0"/>
                <w:i w:val="0"/>
                <w:iCs w:val="0"/>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Lioret, S. et al. (2022) ‘The effectiveness of interventions during the first 1,000 days to improve energy balance‐related behaviours or prevent overweight/obesity in children from socio‐economically disadvantaged families of high‐income countries: a systematic review’, Obesity Reviews, 24(1), pp. 1–24. doi:10.1111/obr.13524</w:t>
            </w:r>
          </w:p>
          <w:p>
            <w:pPr>
              <w:spacing w:after="0" w:line="259" w:lineRule="auto"/>
              <w:rPr>
                <w:rFonts w:ascii="Times New Roman" w:hAnsi="Times New Roman" w:eastAsia="Times New Roman" w:cs="Times New Roman"/>
                <w:b w:val="0"/>
                <w:bCs w:val="0"/>
                <w:i w:val="0"/>
                <w:iCs w:val="0"/>
                <w:color w:val="000000" w:themeColor="text1" w:themeTint="FF"/>
                <w:sz w:val="24"/>
                <w:szCs w:val="24"/>
                <w14:textFill>
                  <w14:solidFill>
                    <w14:schemeClr w14:val="tx1">
                      <w14:lumMod w14:val="100000"/>
                      <w14:lumOff w14:val="0"/>
                    </w14:schemeClr>
                  </w14:solidFill>
                </w14:textFill>
              </w:rPr>
            </w:pP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caps w:val="0"/>
                <w:smallCaps w:val="0"/>
                <w:sz w:val="24"/>
                <w:szCs w:val="24"/>
                <w:lang w:val="en-GB"/>
              </w:rPr>
              <w:t>. Pearce, A., Rougeaux, E. and Law, C. (2015) ‘Disadvantaged children at greater relative risk of thinness (as well as obesity): a secondary data analysis of the England National Child Measurement Programme and the UK Millennium Cohort Study’, International Journal for Equity in Health, 14(1), pp. 1–12. doi:10.1186/s12939-015-0187-6.</w:t>
            </w:r>
          </w:p>
          <w:p>
            <w:pPr>
              <w:spacing w:after="0" w:line="259" w:lineRule="auto"/>
              <w:rPr>
                <w:rFonts w:ascii="Times New Roman" w:hAnsi="Times New Roman" w:eastAsia="Times New Roman" w:cs="Times New Roman"/>
                <w:b w:val="0"/>
                <w:bCs w:val="0"/>
                <w:i w:val="0"/>
                <w:iCs w:val="0"/>
                <w:sz w:val="24"/>
                <w:szCs w:val="24"/>
                <w:lang w:val="en-GB"/>
              </w:rPr>
            </w:pP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 xml:space="preserve">Hodgkinson, A. </w:t>
            </w:r>
            <w:r>
              <w:rPr>
                <w:rFonts w:ascii="Times New Roman" w:hAnsi="Times New Roman" w:eastAsia="Times New Roman" w:cs="Times New Roman"/>
                <w:b w:val="0"/>
                <w:bCs w:val="0"/>
                <w:i/>
                <w:iCs/>
                <w:caps w:val="0"/>
                <w:smallCaps w:val="0"/>
                <w:sz w:val="24"/>
                <w:szCs w:val="24"/>
                <w:lang w:val="en-GB"/>
              </w:rPr>
              <w:t>et al.</w:t>
            </w:r>
            <w:r>
              <w:rPr>
                <w:rFonts w:ascii="Times New Roman" w:hAnsi="Times New Roman" w:eastAsia="Times New Roman" w:cs="Times New Roman"/>
                <w:b w:val="0"/>
                <w:bCs w:val="0"/>
                <w:i w:val="0"/>
                <w:iCs w:val="0"/>
                <w:caps w:val="0"/>
                <w:smallCaps w:val="0"/>
                <w:sz w:val="24"/>
                <w:szCs w:val="24"/>
                <w:lang w:val="en-GB"/>
              </w:rPr>
              <w:t xml:space="preserve"> (2019) ‘An educational intervention to prevent overweight in pre-school years: a cluster randomised trial with a focus on disadvantaged families’, </w:t>
            </w:r>
            <w:r>
              <w:rPr>
                <w:rFonts w:ascii="Times New Roman" w:hAnsi="Times New Roman" w:eastAsia="Times New Roman" w:cs="Times New Roman"/>
                <w:b w:val="0"/>
                <w:bCs w:val="0"/>
                <w:i/>
                <w:iCs/>
                <w:caps w:val="0"/>
                <w:smallCaps w:val="0"/>
                <w:sz w:val="24"/>
                <w:szCs w:val="24"/>
                <w:lang w:val="en-GB"/>
              </w:rPr>
              <w:t>BMC Public Health</w:t>
            </w:r>
            <w:r>
              <w:rPr>
                <w:rFonts w:ascii="Times New Roman" w:hAnsi="Times New Roman" w:eastAsia="Times New Roman" w:cs="Times New Roman"/>
                <w:b w:val="0"/>
                <w:bCs w:val="0"/>
                <w:i w:val="0"/>
                <w:iCs w:val="0"/>
                <w:caps w:val="0"/>
                <w:smallCaps w:val="0"/>
                <w:sz w:val="24"/>
                <w:szCs w:val="24"/>
                <w:lang w:val="en-GB"/>
              </w:rPr>
              <w:t>, 19(1), pp. 1–13. doi:10.1186/s12889-019-7595-2.</w:t>
            </w:r>
          </w:p>
          <w:p>
            <w:pPr>
              <w:spacing w:after="0" w:line="259" w:lineRule="auto"/>
              <w:rPr>
                <w:rFonts w:ascii="Times New Roman" w:hAnsi="Times New Roman" w:eastAsia="Times New Roman" w:cs="Times New Roman"/>
                <w:b w:val="0"/>
                <w:bCs w:val="0"/>
                <w:i w:val="0"/>
                <w:iCs w:val="0"/>
                <w:sz w:val="24"/>
                <w:szCs w:val="24"/>
                <w:lang w:val="en-GB"/>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Pro Quest</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Poverty</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Obese or overweight</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Childhood or adolescents</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UK</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1929</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 xml:space="preserve">Boyle, N.B. and Power, M., 2021. Proxy longitudinal indicators of household food insecurity in the UK: [version 1; peer review: 1 approved]. </w:t>
            </w:r>
            <w:r>
              <w:rPr>
                <w:rFonts w:ascii="Times New Roman" w:hAnsi="Times New Roman" w:eastAsia="Times New Roman" w:cs="Times New Roman"/>
                <w:b w:val="0"/>
                <w:bCs w:val="0"/>
                <w:i/>
                <w:iCs/>
                <w:caps w:val="0"/>
                <w:smallCaps w:val="0"/>
                <w:sz w:val="24"/>
                <w:szCs w:val="24"/>
                <w:lang w:val="en-GB"/>
              </w:rPr>
              <w:t xml:space="preserve">Emerald Open Research. </w:t>
            </w:r>
          </w:p>
          <w:p>
            <w:pPr>
              <w:spacing w:after="0" w:line="259" w:lineRule="auto"/>
              <w:rPr>
                <w:rFonts w:ascii="Times New Roman" w:hAnsi="Times New Roman" w:eastAsia="Times New Roman" w:cs="Times New Roman"/>
                <w:b w:val="0"/>
                <w:bCs w:val="0"/>
                <w:i w:val="0"/>
                <w:iCs w:val="0"/>
                <w:sz w:val="24"/>
                <w:szCs w:val="24"/>
                <w:lang w:val="en-GB"/>
              </w:rPr>
            </w:pP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Rae, M. and Carruthers, J., 2022. Childhood poverty is rising in the UK, but the government continue to ignore it. BMJ : British Medical Journal (Online), 377.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 xml:space="preserve">Academic Search Premier </w:t>
            </w:r>
          </w:p>
          <w:p>
            <w:pPr>
              <w:spacing w:after="0" w:line="259" w:lineRule="auto"/>
              <w:rPr>
                <w:rFonts w:ascii="Times New Roman" w:hAnsi="Times New Roman" w:eastAsia="Times New Roman" w:cs="Times New Roman"/>
                <w:b w:val="0"/>
                <w:bCs w:val="0"/>
                <w:i w:val="0"/>
                <w:iCs w:val="0"/>
                <w:sz w:val="24"/>
                <w:szCs w:val="24"/>
                <w:lang w:val="en-GB"/>
              </w:rPr>
            </w:pP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Costs</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Cost</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Expense</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Fitness</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Exercise</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Obesity</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 xml:space="preserve">Overweight </w:t>
            </w:r>
          </w:p>
          <w:p>
            <w:pPr>
              <w:spacing w:after="0" w:line="259" w:lineRule="auto"/>
              <w:rPr>
                <w:rFonts w:ascii="Times New Roman" w:hAnsi="Times New Roman" w:eastAsia="Times New Roman" w:cs="Times New Roman"/>
                <w:b w:val="0"/>
                <w:bCs w:val="0"/>
                <w:i w:val="0"/>
                <w:iCs w:val="0"/>
                <w:sz w:val="24"/>
                <w:szCs w:val="24"/>
                <w:lang w:val="en-GB"/>
              </w:rPr>
            </w:pP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179</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Hartmann, B.J. et al. (2023) ‘Weight regain after behavioural weight management programmes and its impact on quality of life and cost effectiveness: Evidence synthesis and health economic analyses’, Diabetes, Obesity &amp; Metabolism, 25(2), pp. 526–535. doi:10.1111/dom.14895.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Academic Search Premier</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Lifestyle </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Exercise </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UK</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Obesity</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Overweight</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Obese</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Unhealthy weight</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BMI</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Poverty</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caps w:val="0"/>
                <w:smallCaps w:val="0"/>
                <w:sz w:val="24"/>
                <w:szCs w:val="24"/>
                <w:lang w:val="en-GB"/>
              </w:rPr>
              <w:t xml:space="preserve">McSweeney, L. </w:t>
            </w:r>
            <w:r>
              <w:rPr>
                <w:rFonts w:ascii="Times New Roman" w:hAnsi="Times New Roman" w:eastAsia="Times New Roman" w:cs="Times New Roman"/>
                <w:b w:val="0"/>
                <w:bCs w:val="0"/>
                <w:i/>
                <w:iCs/>
                <w:caps w:val="0"/>
                <w:smallCaps w:val="0"/>
                <w:sz w:val="24"/>
                <w:szCs w:val="24"/>
                <w:lang w:val="en-GB"/>
              </w:rPr>
              <w:t>et al.</w:t>
            </w:r>
            <w:r>
              <w:rPr>
                <w:rFonts w:ascii="Times New Roman" w:hAnsi="Times New Roman" w:eastAsia="Times New Roman" w:cs="Times New Roman"/>
                <w:b w:val="0"/>
                <w:bCs w:val="0"/>
                <w:i w:val="0"/>
                <w:iCs w:val="0"/>
                <w:caps w:val="0"/>
                <w:smallCaps w:val="0"/>
                <w:sz w:val="24"/>
                <w:szCs w:val="24"/>
                <w:lang w:val="en-GB"/>
              </w:rPr>
              <w:t xml:space="preserve"> (2017) ‘A feasibility study with process evaluation of a preschool intervention to improve child and family lifestyle behaviours’, </w:t>
            </w:r>
            <w:r>
              <w:rPr>
                <w:rFonts w:ascii="Times New Roman" w:hAnsi="Times New Roman" w:eastAsia="Times New Roman" w:cs="Times New Roman"/>
                <w:b w:val="0"/>
                <w:bCs w:val="0"/>
                <w:i/>
                <w:iCs/>
                <w:caps w:val="0"/>
                <w:smallCaps w:val="0"/>
                <w:sz w:val="24"/>
                <w:szCs w:val="24"/>
                <w:lang w:val="en-GB"/>
              </w:rPr>
              <w:t>BMC Public Health</w:t>
            </w:r>
            <w:r>
              <w:rPr>
                <w:rFonts w:ascii="Times New Roman" w:hAnsi="Times New Roman" w:eastAsia="Times New Roman" w:cs="Times New Roman"/>
                <w:b w:val="0"/>
                <w:bCs w:val="0"/>
                <w:i w:val="0"/>
                <w:iCs w:val="0"/>
                <w:caps w:val="0"/>
                <w:smallCaps w:val="0"/>
                <w:sz w:val="24"/>
                <w:szCs w:val="24"/>
                <w:lang w:val="en-GB"/>
              </w:rPr>
              <w:t>, 17, pp. 1–15. doi:10.1186/s12889-017-4167-1</w:t>
            </w:r>
          </w:p>
          <w:p>
            <w:pPr>
              <w:spacing w:after="0" w:line="259" w:lineRule="auto"/>
              <w:rPr>
                <w:rFonts w:ascii="Times New Roman" w:hAnsi="Times New Roman" w:eastAsia="Times New Roman" w:cs="Times New Roman"/>
                <w:b w:val="0"/>
                <w:bCs w:val="0"/>
                <w:i w:val="0"/>
                <w:iCs w:val="0"/>
                <w:sz w:val="24"/>
                <w:szCs w:val="24"/>
              </w:rPr>
            </w:pP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caps w:val="0"/>
                <w:smallCaps w:val="0"/>
                <w:sz w:val="24"/>
                <w:szCs w:val="24"/>
                <w:lang w:val="en-GB"/>
              </w:rPr>
              <w:t>Willis, T.A. et al. (2012) ‘Training community practitioners to work more effectively with parents to prevent childhood obesity: the impact of HENRY upon Children’s Centres and their staff’, Journal of Human Nutrition &amp; Dietetics, 25(5), pp. 460–468. doi:10.1111/j.1365-277X.2012.01247.x.</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3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EBSCO Host</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Cost of living crisis </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Government </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UK</w:t>
            </w:r>
          </w:p>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United Kingdom</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20</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caps w:val="0"/>
                <w:smallCaps w:val="0"/>
                <w:sz w:val="24"/>
                <w:szCs w:val="24"/>
                <w:lang w:val="en-GB"/>
              </w:rPr>
              <w:t xml:space="preserve">Parkinson, S. (2022) ‘The cost-of-living crisis and adult community learning’, </w:t>
            </w:r>
            <w:r>
              <w:rPr>
                <w:rFonts w:ascii="Times New Roman" w:hAnsi="Times New Roman" w:eastAsia="Times New Roman" w:cs="Times New Roman"/>
                <w:b w:val="0"/>
                <w:bCs w:val="0"/>
                <w:i/>
                <w:iCs/>
                <w:caps w:val="0"/>
                <w:smallCaps w:val="0"/>
                <w:sz w:val="24"/>
                <w:szCs w:val="24"/>
                <w:lang w:val="en-GB"/>
              </w:rPr>
              <w:t>Education Journal</w:t>
            </w:r>
            <w:r>
              <w:rPr>
                <w:rFonts w:ascii="Times New Roman" w:hAnsi="Times New Roman" w:eastAsia="Times New Roman" w:cs="Times New Roman"/>
                <w:b w:val="0"/>
                <w:bCs w:val="0"/>
                <w:i w:val="0"/>
                <w:iCs w:val="0"/>
                <w:caps w:val="0"/>
                <w:smallCaps w:val="0"/>
                <w:sz w:val="24"/>
                <w:szCs w:val="24"/>
                <w:lang w:val="en-GB"/>
              </w:rPr>
              <w:t xml:space="preserve">, (505), pp. 34–35. Available at: </w:t>
            </w:r>
            <w:r>
              <w:fldChar w:fldCharType="begin"/>
            </w:r>
            <w:r>
              <w:instrText xml:space="preserve"> HYPERLINK "https://search-ebscohost-com.ezproxy.uwtsd.ac.uk/login.aspx?direct=true&amp;db=aph&amp;AN=160316503&amp;site=ehost-live" \h </w:instrText>
            </w:r>
            <w:r>
              <w:fldChar w:fldCharType="separate"/>
            </w:r>
            <w:r>
              <w:rPr>
                <w:rStyle w:val="8"/>
                <w:rFonts w:ascii="Times New Roman" w:hAnsi="Times New Roman" w:eastAsia="Times New Roman" w:cs="Times New Roman"/>
                <w:b w:val="0"/>
                <w:bCs w:val="0"/>
                <w:i w:val="0"/>
                <w:iCs w:val="0"/>
                <w:caps w:val="0"/>
                <w:smallCaps w:val="0"/>
                <w:sz w:val="24"/>
                <w:szCs w:val="24"/>
                <w:lang w:val="en-GB"/>
              </w:rPr>
              <w:t>https://search-ebscohost-com.ezproxy.uwtsd.ac.uk/login.aspx?direct=true&amp;db=aph&amp;AN=160316503&amp;site=ehost-live</w:t>
            </w:r>
            <w:r>
              <w:rPr>
                <w:rStyle w:val="8"/>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sz w:val="24"/>
                <w:szCs w:val="24"/>
                <w:lang w:val="en-GB"/>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Pro Quest Central </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Cost of Living</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Fresh food</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 xml:space="preserve">United Kingdom </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 xml:space="preserve">Tittis, E., procter, R. and Walasek, L., 2022. Assessing physical access to healthy food across United Kingdom: A systematic review of measures and findings. </w:t>
            </w:r>
            <w:r>
              <w:rPr>
                <w:rFonts w:ascii="Times New Roman" w:hAnsi="Times New Roman" w:eastAsia="Times New Roman" w:cs="Times New Roman"/>
                <w:b w:val="0"/>
                <w:bCs w:val="0"/>
                <w:i/>
                <w:iCs/>
                <w:caps w:val="0"/>
                <w:smallCaps w:val="0"/>
                <w:sz w:val="24"/>
                <w:szCs w:val="24"/>
                <w:lang w:val="en-GB"/>
              </w:rPr>
              <w:t xml:space="preserve">Obesity Science &amp; Practice, </w:t>
            </w:r>
            <w:r>
              <w:rPr>
                <w:rFonts w:ascii="Times New Roman" w:hAnsi="Times New Roman" w:eastAsia="Times New Roman" w:cs="Times New Roman"/>
                <w:b/>
                <w:bCs/>
                <w:i w:val="0"/>
                <w:iCs w:val="0"/>
                <w:caps w:val="0"/>
                <w:smallCaps w:val="0"/>
                <w:sz w:val="24"/>
                <w:szCs w:val="24"/>
                <w:lang w:val="en-GB"/>
              </w:rPr>
              <w:t>8</w:t>
            </w:r>
            <w:r>
              <w:rPr>
                <w:rFonts w:ascii="Times New Roman" w:hAnsi="Times New Roman" w:eastAsia="Times New Roman" w:cs="Times New Roman"/>
                <w:b w:val="0"/>
                <w:bCs w:val="0"/>
                <w:i w:val="0"/>
                <w:iCs w:val="0"/>
                <w:caps w:val="0"/>
                <w:smallCaps w:val="0"/>
                <w:sz w:val="24"/>
                <w:szCs w:val="24"/>
                <w:lang w:val="en-GB"/>
              </w:rPr>
              <w:t>(2), pp. 233-246.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Academic Search Premier </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Cost of living crisis</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Government support</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UK</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 xml:space="preserve">United Kingdom </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8</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Solar, C. (2020) ‘Introducing Change in Public Service Organizations under Austerity: The Complex Case of the Governance of the Defence in the United Kingdom’, Politics &amp; Policy, 48(4), pp. 700–726. doi:10.1111/polp.12368.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Academic Search Premier</w:t>
            </w:r>
          </w:p>
          <w:p>
            <w:pPr>
              <w:spacing w:after="0" w:line="259" w:lineRule="auto"/>
              <w:rPr>
                <w:rFonts w:ascii="Times New Roman" w:hAnsi="Times New Roman" w:eastAsia="Times New Roman" w:cs="Times New Roman"/>
                <w:b w:val="0"/>
                <w:bCs w:val="0"/>
                <w:i w:val="0"/>
                <w:iCs w:val="0"/>
                <w:sz w:val="24"/>
                <w:szCs w:val="24"/>
                <w:lang w:val="en-GB"/>
              </w:rPr>
            </w:pP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 xml:space="preserve">Costs </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Cost</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Expense</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Fresh fruit and vegetables</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United Kingdom</w:t>
            </w:r>
          </w:p>
          <w:p>
            <w:pPr>
              <w:spacing w:after="0" w:line="259" w:lineRule="auto"/>
              <w:rPr>
                <w:rFonts w:ascii="Times New Roman" w:hAnsi="Times New Roman" w:eastAsia="Times New Roman" w:cs="Times New Roman"/>
                <w:b w:val="0"/>
                <w:bCs w:val="0"/>
                <w:i w:val="0"/>
                <w:iCs w:val="0"/>
                <w:sz w:val="24"/>
                <w:szCs w:val="24"/>
                <w:lang w:val="en-GB"/>
              </w:rPr>
            </w:pP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24</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rPr>
            </w:pPr>
            <w:r>
              <w:rPr>
                <w:rFonts w:ascii="Times New Roman" w:hAnsi="Times New Roman" w:eastAsia="Times New Roman" w:cs="Times New Roman"/>
                <w:b w:val="0"/>
                <w:bCs w:val="0"/>
                <w:i w:val="0"/>
                <w:iCs w:val="0"/>
                <w:sz w:val="24"/>
                <w:szCs w:val="24"/>
                <w:lang w:val="en-GB"/>
              </w:rPr>
              <w:t>Feliciano, D. (2022) ‘Factors influencing the adoption of sustainable agricultural practices: the case of seven horticultural farms in the United Kingdom’, Scottish Geographical Journal, 138(3/4), pp. 291–320. doi:10.1080/14702541.2022.2151041.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Academic Search Premier</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Costs</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Cost Expense</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Food insecurity</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 xml:space="preserve">United Kingdom </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33</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 xml:space="preserve">Purdam, K. and Silver, D. (2020) ‘Social policy and embedded evaluation: Assessing the impact of a food insecurity project in the United Kingdom’, </w:t>
            </w:r>
            <w:r>
              <w:rPr>
                <w:rFonts w:ascii="Times New Roman" w:hAnsi="Times New Roman" w:eastAsia="Times New Roman" w:cs="Times New Roman"/>
                <w:b w:val="0"/>
                <w:bCs w:val="0"/>
                <w:i/>
                <w:iCs/>
                <w:caps w:val="0"/>
                <w:smallCaps w:val="0"/>
                <w:sz w:val="24"/>
                <w:szCs w:val="24"/>
                <w:lang w:val="en-GB"/>
              </w:rPr>
              <w:t>Social Policy &amp; Administration</w:t>
            </w:r>
            <w:r>
              <w:rPr>
                <w:rFonts w:ascii="Times New Roman" w:hAnsi="Times New Roman" w:eastAsia="Times New Roman" w:cs="Times New Roman"/>
                <w:b w:val="0"/>
                <w:bCs w:val="0"/>
                <w:i w:val="0"/>
                <w:iCs w:val="0"/>
                <w:caps w:val="0"/>
                <w:smallCaps w:val="0"/>
                <w:sz w:val="24"/>
                <w:szCs w:val="24"/>
                <w:lang w:val="en-GB"/>
              </w:rPr>
              <w:t>, 54(7), pp. 999–1015. doi:10.1111/spol.12583.</w:t>
            </w:r>
          </w:p>
          <w:p>
            <w:pPr>
              <w:spacing w:after="0" w:line="259" w:lineRule="auto"/>
              <w:rPr>
                <w:rFonts w:ascii="Times New Roman" w:hAnsi="Times New Roman" w:eastAsia="Times New Roman" w:cs="Times New Roman"/>
                <w:b w:val="0"/>
                <w:bCs w:val="0"/>
                <w:i w:val="0"/>
                <w:iCs w:val="0"/>
                <w:caps w:val="0"/>
                <w:smallCaps w:val="0"/>
                <w:sz w:val="24"/>
                <w:szCs w:val="24"/>
                <w:lang w:val="en-GB"/>
              </w:rPr>
            </w:pPr>
          </w:p>
          <w:p>
            <w:pPr>
              <w:spacing w:after="0" w:line="259" w:lineRule="auto"/>
              <w:rPr>
                <w:rFonts w:ascii="Helvetica" w:hAnsi="Helvetica" w:eastAsia="Helvetica" w:cs="Helvetica"/>
                <w:b w:val="0"/>
                <w:bCs w:val="0"/>
                <w:i w:val="0"/>
                <w:iCs w:val="0"/>
                <w:caps w:val="0"/>
                <w:smallCaps w:val="0"/>
                <w:color w:val="595959" w:themeColor="text1" w:themeTint="A6"/>
                <w:sz w:val="20"/>
                <w:szCs w:val="20"/>
                <w:lang w:val="en-GB"/>
                <w14:textFill>
                  <w14:solidFill>
                    <w14:schemeClr w14:val="tx1">
                      <w14:lumMod w14:val="65000"/>
                      <w14:lumOff w14:val="35000"/>
                    </w14:schemeClr>
                  </w14:solidFill>
                </w14:textFill>
              </w:rPr>
            </w:pPr>
            <w:r>
              <w:rPr>
                <w:rFonts w:ascii="Times New Roman" w:hAnsi="Times New Roman" w:eastAsia="Times New Roman" w:cs="Times New Roman"/>
                <w:b w:val="0"/>
                <w:bCs w:val="0"/>
                <w:i w:val="0"/>
                <w:iCs w:val="0"/>
                <w:caps w:val="0"/>
                <w:smallCaps w:val="0"/>
                <w:color w:val="auto"/>
                <w:sz w:val="24"/>
                <w:szCs w:val="24"/>
                <w:lang w:val="en-GB"/>
              </w:rPr>
              <w:t xml:space="preserve">Beatty, C.; Bennett, C.; Hawkins, A. (2021) ‘Managing precarity: Food bank use by low‐income women workers in a changing welfare regime’, Social Policy &amp; Administration, 55, (5), pp. 981–1000, 2021. DOI 10.1111/spol.12707.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 xml:space="preserve">Pro Quest Central </w:t>
            </w:r>
          </w:p>
        </w:tc>
        <w:tc>
          <w:tcPr>
            <w:tcW w:w="2250"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Free School meals</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Cost of Living</w:t>
            </w:r>
          </w:p>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UK</w:t>
            </w:r>
          </w:p>
        </w:tc>
        <w:tc>
          <w:tcPr>
            <w:tcW w:w="88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sz w:val="24"/>
                <w:szCs w:val="24"/>
                <w:lang w:val="en-GB"/>
              </w:rPr>
              <w:t>20</w:t>
            </w:r>
          </w:p>
        </w:tc>
        <w:tc>
          <w:tcPr>
            <w:tcW w:w="3615" w:type="dxa"/>
            <w:tcMar>
              <w:left w:w="105" w:type="dxa"/>
              <w:right w:w="105" w:type="dxa"/>
            </w:tcMar>
            <w:vAlign w:val="top"/>
          </w:tcPr>
          <w:p>
            <w:pPr>
              <w:spacing w:after="0" w:line="259" w:lineRule="auto"/>
              <w:rPr>
                <w:rFonts w:ascii="Times New Roman" w:hAnsi="Times New Roman" w:eastAsia="Times New Roman" w:cs="Times New Roman"/>
                <w:b w:val="0"/>
                <w:bCs w:val="0"/>
                <w:i w:val="0"/>
                <w:iCs w:val="0"/>
                <w:sz w:val="24"/>
                <w:szCs w:val="24"/>
                <w:lang w:val="en-GB"/>
              </w:rPr>
            </w:pPr>
            <w:r>
              <w:rPr>
                <w:rFonts w:ascii="Times New Roman" w:hAnsi="Times New Roman" w:eastAsia="Times New Roman" w:cs="Times New Roman"/>
                <w:b w:val="0"/>
                <w:bCs w:val="0"/>
                <w:i w:val="0"/>
                <w:iCs w:val="0"/>
                <w:caps w:val="0"/>
                <w:smallCaps w:val="0"/>
                <w:sz w:val="24"/>
                <w:szCs w:val="24"/>
                <w:lang w:val="en-GB"/>
              </w:rPr>
              <w:t xml:space="preserve">Yang, T.C., Power, M., Moss, R.H., Lockyer, B., Burton, W., Doherty, B. and Bryant, M., 2022. Are free school meals failing families? Exploring the relationship between child food insecurity, child mental health and free school meal status during COVID-19: national cross-sectional surveys. </w:t>
            </w:r>
            <w:r>
              <w:rPr>
                <w:rFonts w:ascii="Times New Roman" w:hAnsi="Times New Roman" w:eastAsia="Times New Roman" w:cs="Times New Roman"/>
                <w:b w:val="0"/>
                <w:bCs w:val="0"/>
                <w:i/>
                <w:iCs/>
                <w:caps w:val="0"/>
                <w:smallCaps w:val="0"/>
                <w:sz w:val="24"/>
                <w:szCs w:val="24"/>
                <w:lang w:val="en-GB"/>
              </w:rPr>
              <w:t xml:space="preserve">BMJ Open, </w:t>
            </w:r>
            <w:r>
              <w:rPr>
                <w:rFonts w:ascii="Times New Roman" w:hAnsi="Times New Roman" w:eastAsia="Times New Roman" w:cs="Times New Roman"/>
                <w:b w:val="0"/>
                <w:bCs w:val="0"/>
                <w:i w:val="0"/>
                <w:iCs w:val="0"/>
                <w:caps w:val="0"/>
                <w:smallCaps w:val="0"/>
                <w:sz w:val="24"/>
                <w:szCs w:val="24"/>
                <w:lang w:val="en-GB"/>
              </w:rPr>
              <w:t>12(6).</w:t>
            </w:r>
          </w:p>
          <w:p>
            <w:pPr>
              <w:spacing w:after="0" w:line="259" w:lineRule="auto"/>
              <w:rPr>
                <w:rFonts w:ascii="Times New Roman" w:hAnsi="Times New Roman" w:eastAsia="Times New Roman" w:cs="Times New Roman"/>
                <w:b w:val="0"/>
                <w:bCs w:val="0"/>
                <w:i w:val="0"/>
                <w:iCs w:val="0"/>
                <w:sz w:val="24"/>
                <w:szCs w:val="24"/>
                <w:lang w:val="en-GB"/>
              </w:rPr>
            </w:pPr>
          </w:p>
          <w:p>
            <w:pPr>
              <w:spacing w:after="0" w:line="259" w:lineRule="auto"/>
              <w:rPr>
                <w:rFonts w:ascii="Times New Roman" w:hAnsi="Times New Roman" w:eastAsia="Times New Roman" w:cs="Times New Roman"/>
                <w:b w:val="0"/>
                <w:bCs w:val="0"/>
                <w:i w:val="0"/>
                <w:iCs w:val="0"/>
                <w:color w:val="555555"/>
                <w:sz w:val="24"/>
                <w:szCs w:val="24"/>
                <w:lang w:val="en-GB"/>
              </w:rPr>
            </w:pPr>
            <w:r>
              <w:rPr>
                <w:rFonts w:ascii="Times New Roman" w:hAnsi="Times New Roman" w:eastAsia="Times New Roman" w:cs="Times New Roman"/>
                <w:b w:val="0"/>
                <w:bCs w:val="0"/>
                <w:i w:val="0"/>
                <w:iCs w:val="0"/>
                <w:caps w:val="0"/>
                <w:smallCaps w:val="0"/>
                <w:sz w:val="24"/>
                <w:szCs w:val="24"/>
                <w:lang w:val="en-GB"/>
              </w:rPr>
              <w:t>Naughton, L., 2014. Giving children the best start: free school meals: The Journal of the Health Visitors' Association. Community Practitioner, 87(1), pp. 14-6</w:t>
            </w:r>
            <w:r>
              <w:rPr>
                <w:rFonts w:ascii="Times New Roman" w:hAnsi="Times New Roman" w:eastAsia="Times New Roman" w:cs="Times New Roman"/>
                <w:b w:val="0"/>
                <w:bCs w:val="0"/>
                <w:i w:val="0"/>
                <w:iCs w:val="0"/>
                <w:caps w:val="0"/>
                <w:smallCaps w:val="0"/>
                <w:color w:val="555555"/>
                <w:sz w:val="24"/>
                <w:szCs w:val="24"/>
                <w:lang w:val="en-GB"/>
              </w:rPr>
              <w:t>.</w:t>
            </w:r>
          </w:p>
        </w:tc>
      </w:tr>
    </w:tbl>
    <w:p>
      <w:pPr>
        <w:spacing w:after="160" w:line="259" w:lineRule="auto"/>
        <w:rPr>
          <w:rFonts w:ascii="Calibri" w:hAnsi="Calibri" w:eastAsia="Calibri" w:cs="Calibri"/>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keepNext w:val="0"/>
        <w:keepLines w:val="0"/>
        <w:spacing w:before="0" w:beforeAutospacing="0" w:after="0" w:afterAutospacing="0" w:line="240" w:lineRule="auto"/>
        <w:jc w:val="both"/>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pPr>
    </w:p>
    <w:p>
      <w:pPr>
        <w:keepNext w:val="0"/>
        <w:keepLines w:val="0"/>
        <w:spacing w:before="0" w:beforeAutospacing="0" w:after="0" w:afterAutospacing="0" w:line="240" w:lineRule="auto"/>
        <w:jc w:val="both"/>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pPr>
    </w:p>
    <w:p>
      <w:pPr>
        <w:keepNext w:val="0"/>
        <w:keepLines w:val="0"/>
        <w:spacing w:before="0" w:beforeAutospacing="0" w:after="0" w:afterAutospacing="0" w:line="240" w:lineRule="auto"/>
        <w:jc w:val="both"/>
        <w:rPr>
          <w:rFonts w:ascii="Times New Roman" w:hAnsi="Times New Roman" w:eastAsia="Times New Roman" w:cs="Times New Roman"/>
          <w:b w:val="0"/>
          <w:bCs w:val="0"/>
          <w:i w:val="0"/>
          <w:iCs w:val="0"/>
          <w:caps w:val="0"/>
          <w:smallCaps w:val="0"/>
          <w:strike w:val="0"/>
          <w:dstrike w:val="0"/>
          <w:color w:val="000000" w:themeColor="text1" w:themeTint="FF"/>
          <w:sz w:val="22"/>
          <w:szCs w:val="22"/>
          <w:u w:val="none"/>
          <w:lang w:val="en-GB"/>
          <w14:textFill>
            <w14:solidFill>
              <w14:schemeClr w14:val="tx1">
                <w14:lumMod w14:val="100000"/>
                <w14:lumOff w14:val="0"/>
              </w14:schemeClr>
            </w14:solidFill>
          </w14:textFill>
        </w:rPr>
      </w:pPr>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6CE06A"/>
    <w:rsid w:val="000D4270"/>
    <w:rsid w:val="001C19F3"/>
    <w:rsid w:val="001F2158"/>
    <w:rsid w:val="002E792D"/>
    <w:rsid w:val="003A1036"/>
    <w:rsid w:val="003F57BF"/>
    <w:rsid w:val="004A0C5A"/>
    <w:rsid w:val="005463CF"/>
    <w:rsid w:val="005AD58F"/>
    <w:rsid w:val="005B62EE"/>
    <w:rsid w:val="0070D559"/>
    <w:rsid w:val="008D690B"/>
    <w:rsid w:val="009F116F"/>
    <w:rsid w:val="00A6695C"/>
    <w:rsid w:val="00AE71BA"/>
    <w:rsid w:val="00B42CEE"/>
    <w:rsid w:val="00C05646"/>
    <w:rsid w:val="00D39218"/>
    <w:rsid w:val="00D81DE9"/>
    <w:rsid w:val="00D8456B"/>
    <w:rsid w:val="00DA2B45"/>
    <w:rsid w:val="00F6566B"/>
    <w:rsid w:val="01067136"/>
    <w:rsid w:val="01148BCD"/>
    <w:rsid w:val="011865A6"/>
    <w:rsid w:val="011B31BD"/>
    <w:rsid w:val="011EF7F3"/>
    <w:rsid w:val="013BFFFB"/>
    <w:rsid w:val="014B0DBD"/>
    <w:rsid w:val="015DAE97"/>
    <w:rsid w:val="0163B6E2"/>
    <w:rsid w:val="016E93C0"/>
    <w:rsid w:val="018DECD8"/>
    <w:rsid w:val="01A3AD3A"/>
    <w:rsid w:val="01AABDB6"/>
    <w:rsid w:val="01D04465"/>
    <w:rsid w:val="01E67731"/>
    <w:rsid w:val="02112051"/>
    <w:rsid w:val="0212D71E"/>
    <w:rsid w:val="0216FBCC"/>
    <w:rsid w:val="021ACCED"/>
    <w:rsid w:val="026A99E9"/>
    <w:rsid w:val="027438F8"/>
    <w:rsid w:val="029C41CD"/>
    <w:rsid w:val="02A131BE"/>
    <w:rsid w:val="02A24197"/>
    <w:rsid w:val="02AF3E0F"/>
    <w:rsid w:val="02B7021E"/>
    <w:rsid w:val="02B82D21"/>
    <w:rsid w:val="02C7832B"/>
    <w:rsid w:val="02CBF593"/>
    <w:rsid w:val="02E4C2FF"/>
    <w:rsid w:val="02E9C4BB"/>
    <w:rsid w:val="033F7D9B"/>
    <w:rsid w:val="034E3858"/>
    <w:rsid w:val="03635308"/>
    <w:rsid w:val="03858B1D"/>
    <w:rsid w:val="038D0774"/>
    <w:rsid w:val="03938F03"/>
    <w:rsid w:val="039D33C7"/>
    <w:rsid w:val="03B7B90F"/>
    <w:rsid w:val="03BDB2B3"/>
    <w:rsid w:val="03DBA378"/>
    <w:rsid w:val="03F9FA09"/>
    <w:rsid w:val="04110120"/>
    <w:rsid w:val="042097B6"/>
    <w:rsid w:val="0424C95D"/>
    <w:rsid w:val="04265D56"/>
    <w:rsid w:val="042A5500"/>
    <w:rsid w:val="0449DF6D"/>
    <w:rsid w:val="0452D27F"/>
    <w:rsid w:val="0456610E"/>
    <w:rsid w:val="046C6CBF"/>
    <w:rsid w:val="048100B0"/>
    <w:rsid w:val="04A3CF3A"/>
    <w:rsid w:val="04DB4DFC"/>
    <w:rsid w:val="050CF722"/>
    <w:rsid w:val="05106189"/>
    <w:rsid w:val="05153C2C"/>
    <w:rsid w:val="05211D63"/>
    <w:rsid w:val="0528D7D5"/>
    <w:rsid w:val="0532EF6F"/>
    <w:rsid w:val="05477A87"/>
    <w:rsid w:val="054A2401"/>
    <w:rsid w:val="0558158F"/>
    <w:rsid w:val="057B7E09"/>
    <w:rsid w:val="057C06C7"/>
    <w:rsid w:val="0592596C"/>
    <w:rsid w:val="059C83C7"/>
    <w:rsid w:val="05B99266"/>
    <w:rsid w:val="05D68A3D"/>
    <w:rsid w:val="05EC499E"/>
    <w:rsid w:val="05EEA2E0"/>
    <w:rsid w:val="05F946B7"/>
    <w:rsid w:val="0604713E"/>
    <w:rsid w:val="0616FA39"/>
    <w:rsid w:val="061A4DBC"/>
    <w:rsid w:val="062E8C02"/>
    <w:rsid w:val="0647B45F"/>
    <w:rsid w:val="066A4DDE"/>
    <w:rsid w:val="0671F8DD"/>
    <w:rsid w:val="06771E5D"/>
    <w:rsid w:val="067E2ED9"/>
    <w:rsid w:val="06845A71"/>
    <w:rsid w:val="06AF9C48"/>
    <w:rsid w:val="06BCEDC4"/>
    <w:rsid w:val="06C4A836"/>
    <w:rsid w:val="06CEBFD0"/>
    <w:rsid w:val="06D414F1"/>
    <w:rsid w:val="06D4D489"/>
    <w:rsid w:val="06F5BF6D"/>
    <w:rsid w:val="06FE260D"/>
    <w:rsid w:val="06FE4F77"/>
    <w:rsid w:val="072A7649"/>
    <w:rsid w:val="072C6C97"/>
    <w:rsid w:val="07431B0E"/>
    <w:rsid w:val="0747AA1B"/>
    <w:rsid w:val="07530D1F"/>
    <w:rsid w:val="076464B5"/>
    <w:rsid w:val="077067C1"/>
    <w:rsid w:val="07836161"/>
    <w:rsid w:val="0792FEF4"/>
    <w:rsid w:val="07A32A72"/>
    <w:rsid w:val="07A40D81"/>
    <w:rsid w:val="07A53570"/>
    <w:rsid w:val="07B1CB8C"/>
    <w:rsid w:val="07EEA952"/>
    <w:rsid w:val="07F60F07"/>
    <w:rsid w:val="082543AB"/>
    <w:rsid w:val="08361B25"/>
    <w:rsid w:val="08461188"/>
    <w:rsid w:val="0858FC40"/>
    <w:rsid w:val="08711738"/>
    <w:rsid w:val="087764FC"/>
    <w:rsid w:val="087CFC1A"/>
    <w:rsid w:val="088A9995"/>
    <w:rsid w:val="0890230A"/>
    <w:rsid w:val="089432DA"/>
    <w:rsid w:val="089BF673"/>
    <w:rsid w:val="08BD7AFE"/>
    <w:rsid w:val="091CA9BC"/>
    <w:rsid w:val="095207CC"/>
    <w:rsid w:val="0960CCC5"/>
    <w:rsid w:val="0985DDE0"/>
    <w:rsid w:val="098948B8"/>
    <w:rsid w:val="09A494C4"/>
    <w:rsid w:val="09A7323C"/>
    <w:rsid w:val="09E0ABE6"/>
    <w:rsid w:val="09FC48F8"/>
    <w:rsid w:val="0A0202C0"/>
    <w:rsid w:val="0A175293"/>
    <w:rsid w:val="0A26821E"/>
    <w:rsid w:val="0A323159"/>
    <w:rsid w:val="0A4777A8"/>
    <w:rsid w:val="0A572643"/>
    <w:rsid w:val="0A5D88D4"/>
    <w:rsid w:val="0A7DE0F0"/>
    <w:rsid w:val="0A7F4ADD"/>
    <w:rsid w:val="0A86DE7F"/>
    <w:rsid w:val="0A8B611D"/>
    <w:rsid w:val="0AA80883"/>
    <w:rsid w:val="0AB11B27"/>
    <w:rsid w:val="0AD8E9C5"/>
    <w:rsid w:val="0ADB7948"/>
    <w:rsid w:val="0AEA6B5C"/>
    <w:rsid w:val="0AEDD82D"/>
    <w:rsid w:val="0B262866"/>
    <w:rsid w:val="0B374E74"/>
    <w:rsid w:val="0B4259E2"/>
    <w:rsid w:val="0B47D7EE"/>
    <w:rsid w:val="0B598D82"/>
    <w:rsid w:val="0B7943D3"/>
    <w:rsid w:val="0B981959"/>
    <w:rsid w:val="0B98B70F"/>
    <w:rsid w:val="0BE6B55D"/>
    <w:rsid w:val="0C0DCECE"/>
    <w:rsid w:val="0C11C13B"/>
    <w:rsid w:val="0C2E6BC8"/>
    <w:rsid w:val="0C4923DD"/>
    <w:rsid w:val="0C4FD3C8"/>
    <w:rsid w:val="0C59FB7C"/>
    <w:rsid w:val="0C83C6BB"/>
    <w:rsid w:val="0C863BBD"/>
    <w:rsid w:val="0C99B4B9"/>
    <w:rsid w:val="0CA7C9E9"/>
    <w:rsid w:val="0CBF7D8C"/>
    <w:rsid w:val="0CE1BC53"/>
    <w:rsid w:val="0CE866F6"/>
    <w:rsid w:val="0D21029A"/>
    <w:rsid w:val="0D28C9D9"/>
    <w:rsid w:val="0D31C83A"/>
    <w:rsid w:val="0D4DB8C6"/>
    <w:rsid w:val="0D69F763"/>
    <w:rsid w:val="0D6A4557"/>
    <w:rsid w:val="0D8AA629"/>
    <w:rsid w:val="0D8FEC52"/>
    <w:rsid w:val="0DA4F4C4"/>
    <w:rsid w:val="0DA99F2F"/>
    <w:rsid w:val="0DB6EB9F"/>
    <w:rsid w:val="0DE8777D"/>
    <w:rsid w:val="0E1695C0"/>
    <w:rsid w:val="0E2B8B8D"/>
    <w:rsid w:val="0E344720"/>
    <w:rsid w:val="0E399DE7"/>
    <w:rsid w:val="0E5FF0CD"/>
    <w:rsid w:val="0E76FCFC"/>
    <w:rsid w:val="0E8B9FCF"/>
    <w:rsid w:val="0E912E44"/>
    <w:rsid w:val="0E966EEF"/>
    <w:rsid w:val="0E9C3C30"/>
    <w:rsid w:val="0EAB31E7"/>
    <w:rsid w:val="0EB104CC"/>
    <w:rsid w:val="0EC31520"/>
    <w:rsid w:val="0ECA039B"/>
    <w:rsid w:val="0ECFBA1B"/>
    <w:rsid w:val="0ED7DDEA"/>
    <w:rsid w:val="0EF92FF0"/>
    <w:rsid w:val="0F067E7D"/>
    <w:rsid w:val="0F09159F"/>
    <w:rsid w:val="0F1A3100"/>
    <w:rsid w:val="0F456F90"/>
    <w:rsid w:val="0F5BAAF4"/>
    <w:rsid w:val="0F660C8A"/>
    <w:rsid w:val="0F7557A6"/>
    <w:rsid w:val="0F7885DF"/>
    <w:rsid w:val="0F78B2BF"/>
    <w:rsid w:val="0F8CA06E"/>
    <w:rsid w:val="0FB26621"/>
    <w:rsid w:val="0FBA8104"/>
    <w:rsid w:val="0FCCFBA7"/>
    <w:rsid w:val="0FD1E6A9"/>
    <w:rsid w:val="101673C0"/>
    <w:rsid w:val="1029AB73"/>
    <w:rsid w:val="102CFEA5"/>
    <w:rsid w:val="1040DBC6"/>
    <w:rsid w:val="108D1882"/>
    <w:rsid w:val="10914F35"/>
    <w:rsid w:val="10E13FF1"/>
    <w:rsid w:val="10EEF77D"/>
    <w:rsid w:val="1116266A"/>
    <w:rsid w:val="111BA65D"/>
    <w:rsid w:val="111C1725"/>
    <w:rsid w:val="11248286"/>
    <w:rsid w:val="1126A454"/>
    <w:rsid w:val="1135BD5D"/>
    <w:rsid w:val="1136BB35"/>
    <w:rsid w:val="11451B04"/>
    <w:rsid w:val="114CA48C"/>
    <w:rsid w:val="11548EAD"/>
    <w:rsid w:val="115B2D28"/>
    <w:rsid w:val="117212D4"/>
    <w:rsid w:val="11733360"/>
    <w:rsid w:val="11C53F7B"/>
    <w:rsid w:val="11E30935"/>
    <w:rsid w:val="11F90E2B"/>
    <w:rsid w:val="11FE471A"/>
    <w:rsid w:val="12075ADD"/>
    <w:rsid w:val="1253A597"/>
    <w:rsid w:val="1256B42E"/>
    <w:rsid w:val="125AC5D2"/>
    <w:rsid w:val="126F1F3E"/>
    <w:rsid w:val="128029AB"/>
    <w:rsid w:val="129DAD4C"/>
    <w:rsid w:val="12A886E6"/>
    <w:rsid w:val="12B26597"/>
    <w:rsid w:val="12D41C1D"/>
    <w:rsid w:val="12F778FD"/>
    <w:rsid w:val="1355A165"/>
    <w:rsid w:val="135CB1E1"/>
    <w:rsid w:val="1368AE18"/>
    <w:rsid w:val="137976D2"/>
    <w:rsid w:val="13B21DBB"/>
    <w:rsid w:val="13B4CABC"/>
    <w:rsid w:val="13C0F3FF"/>
    <w:rsid w:val="13F13C8D"/>
    <w:rsid w:val="13F5B5C6"/>
    <w:rsid w:val="13FC472E"/>
    <w:rsid w:val="13FCF566"/>
    <w:rsid w:val="1402DA29"/>
    <w:rsid w:val="1417E852"/>
    <w:rsid w:val="1429BF60"/>
    <w:rsid w:val="14340135"/>
    <w:rsid w:val="148334B1"/>
    <w:rsid w:val="1485D744"/>
    <w:rsid w:val="1492625D"/>
    <w:rsid w:val="14C207C8"/>
    <w:rsid w:val="14CFAAC7"/>
    <w:rsid w:val="14F171C6"/>
    <w:rsid w:val="15006FC8"/>
    <w:rsid w:val="154D70B4"/>
    <w:rsid w:val="15788437"/>
    <w:rsid w:val="15811E4F"/>
    <w:rsid w:val="15918FA4"/>
    <w:rsid w:val="15A095EB"/>
    <w:rsid w:val="15B148E5"/>
    <w:rsid w:val="15BC4175"/>
    <w:rsid w:val="15DDA7D6"/>
    <w:rsid w:val="15F00623"/>
    <w:rsid w:val="15F31620"/>
    <w:rsid w:val="16039976"/>
    <w:rsid w:val="160532F7"/>
    <w:rsid w:val="161257E8"/>
    <w:rsid w:val="1618A0B9"/>
    <w:rsid w:val="161F0512"/>
    <w:rsid w:val="165276BA"/>
    <w:rsid w:val="1655C365"/>
    <w:rsid w:val="1660EF17"/>
    <w:rsid w:val="16727C76"/>
    <w:rsid w:val="168564C6"/>
    <w:rsid w:val="168B1097"/>
    <w:rsid w:val="16948706"/>
    <w:rsid w:val="16A7CF00"/>
    <w:rsid w:val="16E3BD68"/>
    <w:rsid w:val="16E94115"/>
    <w:rsid w:val="16F77310"/>
    <w:rsid w:val="171D6B32"/>
    <w:rsid w:val="1720E0F6"/>
    <w:rsid w:val="172A8826"/>
    <w:rsid w:val="173872BF"/>
    <w:rsid w:val="173D4C1E"/>
    <w:rsid w:val="175560AA"/>
    <w:rsid w:val="175C4821"/>
    <w:rsid w:val="17711E6F"/>
    <w:rsid w:val="177CBCCE"/>
    <w:rsid w:val="17B650F1"/>
    <w:rsid w:val="17C592E9"/>
    <w:rsid w:val="17CEC53C"/>
    <w:rsid w:val="17E4F14E"/>
    <w:rsid w:val="17ED68EF"/>
    <w:rsid w:val="18014BBA"/>
    <w:rsid w:val="1828ACF0"/>
    <w:rsid w:val="1855F836"/>
    <w:rsid w:val="18684F23"/>
    <w:rsid w:val="18D5C5F7"/>
    <w:rsid w:val="18DAFA7B"/>
    <w:rsid w:val="18F5F591"/>
    <w:rsid w:val="18FDACC0"/>
    <w:rsid w:val="190DE7FC"/>
    <w:rsid w:val="194CC556"/>
    <w:rsid w:val="195E13FC"/>
    <w:rsid w:val="195FA092"/>
    <w:rsid w:val="196162CE"/>
    <w:rsid w:val="1961634A"/>
    <w:rsid w:val="19ADE081"/>
    <w:rsid w:val="19BCF4D2"/>
    <w:rsid w:val="19BFFFF0"/>
    <w:rsid w:val="19C4E2E9"/>
    <w:rsid w:val="19CD9B76"/>
    <w:rsid w:val="19D67FAC"/>
    <w:rsid w:val="19DF9BE0"/>
    <w:rsid w:val="19EA9970"/>
    <w:rsid w:val="1A041F84"/>
    <w:rsid w:val="1A28AF74"/>
    <w:rsid w:val="1A4A1B8E"/>
    <w:rsid w:val="1A59589B"/>
    <w:rsid w:val="1A775718"/>
    <w:rsid w:val="1AA8BF31"/>
    <w:rsid w:val="1AC619D3"/>
    <w:rsid w:val="1AF518C8"/>
    <w:rsid w:val="1B0BE97D"/>
    <w:rsid w:val="1B0E5384"/>
    <w:rsid w:val="1B10F17E"/>
    <w:rsid w:val="1B2EAC92"/>
    <w:rsid w:val="1B3EEC4B"/>
    <w:rsid w:val="1B3FAD8C"/>
    <w:rsid w:val="1B5F79BF"/>
    <w:rsid w:val="1B708C92"/>
    <w:rsid w:val="1B815145"/>
    <w:rsid w:val="1B8F090A"/>
    <w:rsid w:val="1B98B2BF"/>
    <w:rsid w:val="1BD96627"/>
    <w:rsid w:val="1C02FAF3"/>
    <w:rsid w:val="1C294D42"/>
    <w:rsid w:val="1C7EC7A0"/>
    <w:rsid w:val="1C8446E6"/>
    <w:rsid w:val="1C9C116B"/>
    <w:rsid w:val="1CADF43D"/>
    <w:rsid w:val="1CB1DD70"/>
    <w:rsid w:val="1CBC683C"/>
    <w:rsid w:val="1CC5F335"/>
    <w:rsid w:val="1CE3C995"/>
    <w:rsid w:val="1D031E0E"/>
    <w:rsid w:val="1D060FA3"/>
    <w:rsid w:val="1D38D264"/>
    <w:rsid w:val="1D53A217"/>
    <w:rsid w:val="1D89AB72"/>
    <w:rsid w:val="1D89D557"/>
    <w:rsid w:val="1DB2DA27"/>
    <w:rsid w:val="1DD40C82"/>
    <w:rsid w:val="1DD701A0"/>
    <w:rsid w:val="1DFB1808"/>
    <w:rsid w:val="1DFDBA95"/>
    <w:rsid w:val="1E1917D5"/>
    <w:rsid w:val="1E1D2BC3"/>
    <w:rsid w:val="1E2A61E2"/>
    <w:rsid w:val="1E2CB98A"/>
    <w:rsid w:val="1E3311B5"/>
    <w:rsid w:val="1E3DE973"/>
    <w:rsid w:val="1E465431"/>
    <w:rsid w:val="1E555359"/>
    <w:rsid w:val="1E588819"/>
    <w:rsid w:val="1E768D0D"/>
    <w:rsid w:val="1EA7520E"/>
    <w:rsid w:val="1EB9C5E7"/>
    <w:rsid w:val="1EBB164D"/>
    <w:rsid w:val="1EC1C90D"/>
    <w:rsid w:val="1EC970C9"/>
    <w:rsid w:val="1ED5B29E"/>
    <w:rsid w:val="1EDF7FAC"/>
    <w:rsid w:val="1F2F67EC"/>
    <w:rsid w:val="1F319840"/>
    <w:rsid w:val="1F3357C5"/>
    <w:rsid w:val="1F5FCA99"/>
    <w:rsid w:val="1F6821FE"/>
    <w:rsid w:val="1F7C28D2"/>
    <w:rsid w:val="1F951B41"/>
    <w:rsid w:val="1F9A6E19"/>
    <w:rsid w:val="1FAEFB38"/>
    <w:rsid w:val="1FE428F6"/>
    <w:rsid w:val="1FE594FF"/>
    <w:rsid w:val="1FF0DFEC"/>
    <w:rsid w:val="200B2EE5"/>
    <w:rsid w:val="200D1A42"/>
    <w:rsid w:val="2034246D"/>
    <w:rsid w:val="20348510"/>
    <w:rsid w:val="2054051D"/>
    <w:rsid w:val="20653BAE"/>
    <w:rsid w:val="20BE1FEF"/>
    <w:rsid w:val="20C14C34"/>
    <w:rsid w:val="20F0449C"/>
    <w:rsid w:val="20FA849A"/>
    <w:rsid w:val="211382F5"/>
    <w:rsid w:val="211ABB29"/>
    <w:rsid w:val="211C1ED6"/>
    <w:rsid w:val="211C32FA"/>
    <w:rsid w:val="214F66D7"/>
    <w:rsid w:val="215C48DC"/>
    <w:rsid w:val="21645A4C"/>
    <w:rsid w:val="21672487"/>
    <w:rsid w:val="216BB597"/>
    <w:rsid w:val="216C752F"/>
    <w:rsid w:val="21B92462"/>
    <w:rsid w:val="21D05571"/>
    <w:rsid w:val="21D121BC"/>
    <w:rsid w:val="21E06E0B"/>
    <w:rsid w:val="21E98D62"/>
    <w:rsid w:val="21FFF878"/>
    <w:rsid w:val="220C4387"/>
    <w:rsid w:val="220D5360"/>
    <w:rsid w:val="22172378"/>
    <w:rsid w:val="222213E7"/>
    <w:rsid w:val="22A064C6"/>
    <w:rsid w:val="22CE64D1"/>
    <w:rsid w:val="22D076E7"/>
    <w:rsid w:val="22D4DF94"/>
    <w:rsid w:val="22DFB4CC"/>
    <w:rsid w:val="22F28E4D"/>
    <w:rsid w:val="22F5B388"/>
    <w:rsid w:val="230AD025"/>
    <w:rsid w:val="23196569"/>
    <w:rsid w:val="2325A1DD"/>
    <w:rsid w:val="2356C5FD"/>
    <w:rsid w:val="235CCB76"/>
    <w:rsid w:val="235FDD9E"/>
    <w:rsid w:val="236CF21D"/>
    <w:rsid w:val="237C3E6C"/>
    <w:rsid w:val="2392603A"/>
    <w:rsid w:val="23C982B4"/>
    <w:rsid w:val="23F1663D"/>
    <w:rsid w:val="2405BAF0"/>
    <w:rsid w:val="24090B77"/>
    <w:rsid w:val="240FD892"/>
    <w:rsid w:val="2427A2E9"/>
    <w:rsid w:val="24665184"/>
    <w:rsid w:val="2466A3AE"/>
    <w:rsid w:val="2469341D"/>
    <w:rsid w:val="2482DAF0"/>
    <w:rsid w:val="2483AD9A"/>
    <w:rsid w:val="248C6D47"/>
    <w:rsid w:val="24D256C4"/>
    <w:rsid w:val="25053432"/>
    <w:rsid w:val="2508C27E"/>
    <w:rsid w:val="251001A5"/>
    <w:rsid w:val="25169392"/>
    <w:rsid w:val="251FE0C8"/>
    <w:rsid w:val="2521CE13"/>
    <w:rsid w:val="2534AB4A"/>
    <w:rsid w:val="25367CB4"/>
    <w:rsid w:val="253A22B8"/>
    <w:rsid w:val="253E57A0"/>
    <w:rsid w:val="2569A94B"/>
    <w:rsid w:val="257AB92B"/>
    <w:rsid w:val="258D3130"/>
    <w:rsid w:val="25999DCB"/>
    <w:rsid w:val="25DA57C9"/>
    <w:rsid w:val="25E2BF36"/>
    <w:rsid w:val="26060593"/>
    <w:rsid w:val="2618A2BF"/>
    <w:rsid w:val="263E239A"/>
    <w:rsid w:val="2681F15F"/>
    <w:rsid w:val="268C7DD6"/>
    <w:rsid w:val="268FCCF0"/>
    <w:rsid w:val="26934E3D"/>
    <w:rsid w:val="26A9B774"/>
    <w:rsid w:val="26DF9846"/>
    <w:rsid w:val="26EF67C0"/>
    <w:rsid w:val="27094745"/>
    <w:rsid w:val="270E2378"/>
    <w:rsid w:val="27215B7F"/>
    <w:rsid w:val="273D5BB2"/>
    <w:rsid w:val="273D89D2"/>
    <w:rsid w:val="27620AA8"/>
    <w:rsid w:val="27A9E7D4"/>
    <w:rsid w:val="27D8CB29"/>
    <w:rsid w:val="27E372C8"/>
    <w:rsid w:val="27F91300"/>
    <w:rsid w:val="27FC4EE0"/>
    <w:rsid w:val="282F6546"/>
    <w:rsid w:val="2830EEC8"/>
    <w:rsid w:val="2840026E"/>
    <w:rsid w:val="284587D5"/>
    <w:rsid w:val="2854E09E"/>
    <w:rsid w:val="285E0D6A"/>
    <w:rsid w:val="28908D66"/>
    <w:rsid w:val="28A14A0D"/>
    <w:rsid w:val="28BFF2A3"/>
    <w:rsid w:val="28DAE353"/>
    <w:rsid w:val="291D2F9E"/>
    <w:rsid w:val="291E7E4D"/>
    <w:rsid w:val="293DA655"/>
    <w:rsid w:val="294983DA"/>
    <w:rsid w:val="295D7DB7"/>
    <w:rsid w:val="2973A5DC"/>
    <w:rsid w:val="298DFB3B"/>
    <w:rsid w:val="29DB5A3E"/>
    <w:rsid w:val="29E15836"/>
    <w:rsid w:val="2A02FA41"/>
    <w:rsid w:val="2A0B0A5D"/>
    <w:rsid w:val="2A16B2C3"/>
    <w:rsid w:val="2A1CAE40"/>
    <w:rsid w:val="2A22B1E7"/>
    <w:rsid w:val="2A270882"/>
    <w:rsid w:val="2A271B2A"/>
    <w:rsid w:val="2A3D1A6E"/>
    <w:rsid w:val="2A421D90"/>
    <w:rsid w:val="2A4A37CC"/>
    <w:rsid w:val="2A5B8C9E"/>
    <w:rsid w:val="2A6FA1DB"/>
    <w:rsid w:val="2A74FC74"/>
    <w:rsid w:val="2A8C4C02"/>
    <w:rsid w:val="2A8DECD5"/>
    <w:rsid w:val="2A93DA4A"/>
    <w:rsid w:val="2AA3D5DD"/>
    <w:rsid w:val="2ACEC9A6"/>
    <w:rsid w:val="2AF93D51"/>
    <w:rsid w:val="2B0B163B"/>
    <w:rsid w:val="2B30B3C2"/>
    <w:rsid w:val="2B45F7B3"/>
    <w:rsid w:val="2B5EDBA5"/>
    <w:rsid w:val="2B619D21"/>
    <w:rsid w:val="2B6E5B4A"/>
    <w:rsid w:val="2B827BF6"/>
    <w:rsid w:val="2B855701"/>
    <w:rsid w:val="2B8DF472"/>
    <w:rsid w:val="2BE5D728"/>
    <w:rsid w:val="2C08DF4F"/>
    <w:rsid w:val="2C095A90"/>
    <w:rsid w:val="2C09B37A"/>
    <w:rsid w:val="2C10CCD5"/>
    <w:rsid w:val="2C19F2E8"/>
    <w:rsid w:val="2C42F408"/>
    <w:rsid w:val="2C47474F"/>
    <w:rsid w:val="2C7D58F7"/>
    <w:rsid w:val="2C8DC6B9"/>
    <w:rsid w:val="2C9EFB83"/>
    <w:rsid w:val="2CEE489B"/>
    <w:rsid w:val="2CF5850D"/>
    <w:rsid w:val="2D044F35"/>
    <w:rsid w:val="2D06BFE4"/>
    <w:rsid w:val="2D1A94FB"/>
    <w:rsid w:val="2D3681F1"/>
    <w:rsid w:val="2D3A58B8"/>
    <w:rsid w:val="2D3AE47B"/>
    <w:rsid w:val="2D3D662E"/>
    <w:rsid w:val="2D462EAA"/>
    <w:rsid w:val="2D5302BE"/>
    <w:rsid w:val="2D5F63AE"/>
    <w:rsid w:val="2D836FAF"/>
    <w:rsid w:val="2D87FFB4"/>
    <w:rsid w:val="2D8AFDF3"/>
    <w:rsid w:val="2D90FCE5"/>
    <w:rsid w:val="2D95F45D"/>
    <w:rsid w:val="2DAC9D36"/>
    <w:rsid w:val="2DC6B3C1"/>
    <w:rsid w:val="2DE564AA"/>
    <w:rsid w:val="2DE6933E"/>
    <w:rsid w:val="2DF52F91"/>
    <w:rsid w:val="2E20EBCD"/>
    <w:rsid w:val="2E45A703"/>
    <w:rsid w:val="2E487332"/>
    <w:rsid w:val="2E50AB6B"/>
    <w:rsid w:val="2E814AF3"/>
    <w:rsid w:val="2E8DCBC6"/>
    <w:rsid w:val="2ECC4B1C"/>
    <w:rsid w:val="2F0230C1"/>
    <w:rsid w:val="2F1B7FEF"/>
    <w:rsid w:val="2F1D77EA"/>
    <w:rsid w:val="2F408011"/>
    <w:rsid w:val="2F486D97"/>
    <w:rsid w:val="2F75843F"/>
    <w:rsid w:val="2F7BF8ED"/>
    <w:rsid w:val="2F8EFFAC"/>
    <w:rsid w:val="2FBE31C9"/>
    <w:rsid w:val="2FC9808A"/>
    <w:rsid w:val="2FD02E5B"/>
    <w:rsid w:val="2FD3E309"/>
    <w:rsid w:val="2FD69C45"/>
    <w:rsid w:val="2FDE89CB"/>
    <w:rsid w:val="2FF8F71A"/>
    <w:rsid w:val="30464E2C"/>
    <w:rsid w:val="305EAD20"/>
    <w:rsid w:val="30610A96"/>
    <w:rsid w:val="30778175"/>
    <w:rsid w:val="308A4956"/>
    <w:rsid w:val="309CC8DB"/>
    <w:rsid w:val="309EA962"/>
    <w:rsid w:val="30C383A5"/>
    <w:rsid w:val="30E43DF8"/>
    <w:rsid w:val="30E9415D"/>
    <w:rsid w:val="31031BCE"/>
    <w:rsid w:val="3133E0CF"/>
    <w:rsid w:val="3179C94C"/>
    <w:rsid w:val="31983677"/>
    <w:rsid w:val="319F204D"/>
    <w:rsid w:val="31B1479C"/>
    <w:rsid w:val="31B711D6"/>
    <w:rsid w:val="31D27294"/>
    <w:rsid w:val="31E96404"/>
    <w:rsid w:val="31EF6D78"/>
    <w:rsid w:val="31F056D3"/>
    <w:rsid w:val="31F44FB6"/>
    <w:rsid w:val="3223772A"/>
    <w:rsid w:val="322B64B0"/>
    <w:rsid w:val="325518AC"/>
    <w:rsid w:val="325FCCA1"/>
    <w:rsid w:val="32648A4A"/>
    <w:rsid w:val="326C95EE"/>
    <w:rsid w:val="327D1BFE"/>
    <w:rsid w:val="32800E59"/>
    <w:rsid w:val="328BFC61"/>
    <w:rsid w:val="329EEC2F"/>
    <w:rsid w:val="32CBACE7"/>
    <w:rsid w:val="32E4B95C"/>
    <w:rsid w:val="330683C2"/>
    <w:rsid w:val="330D2E83"/>
    <w:rsid w:val="3313BB93"/>
    <w:rsid w:val="331B996A"/>
    <w:rsid w:val="337DEEEE"/>
    <w:rsid w:val="33B99922"/>
    <w:rsid w:val="33BE6B0F"/>
    <w:rsid w:val="33C45D5A"/>
    <w:rsid w:val="33C8194D"/>
    <w:rsid w:val="33C9131A"/>
    <w:rsid w:val="33E3FCB4"/>
    <w:rsid w:val="3413F134"/>
    <w:rsid w:val="3416FE46"/>
    <w:rsid w:val="34382BFD"/>
    <w:rsid w:val="34700C07"/>
    <w:rsid w:val="34A3432D"/>
    <w:rsid w:val="34A5AF96"/>
    <w:rsid w:val="34E1EF79"/>
    <w:rsid w:val="34E9D53B"/>
    <w:rsid w:val="3507EF47"/>
    <w:rsid w:val="351035DF"/>
    <w:rsid w:val="351A4888"/>
    <w:rsid w:val="35297699"/>
    <w:rsid w:val="3536201D"/>
    <w:rsid w:val="354A72B4"/>
    <w:rsid w:val="354F1BE1"/>
    <w:rsid w:val="3561F599"/>
    <w:rsid w:val="35630572"/>
    <w:rsid w:val="356F2591"/>
    <w:rsid w:val="358CB96E"/>
    <w:rsid w:val="35A01D52"/>
    <w:rsid w:val="35A38A23"/>
    <w:rsid w:val="35AFC195"/>
    <w:rsid w:val="35B7AF1B"/>
    <w:rsid w:val="35C8C2B4"/>
    <w:rsid w:val="35D68CF1"/>
    <w:rsid w:val="36004176"/>
    <w:rsid w:val="360751F2"/>
    <w:rsid w:val="364F653D"/>
    <w:rsid w:val="3657E2E9"/>
    <w:rsid w:val="365F4DA0"/>
    <w:rsid w:val="3692EBC1"/>
    <w:rsid w:val="36A0A387"/>
    <w:rsid w:val="36A86F54"/>
    <w:rsid w:val="36AE9841"/>
    <w:rsid w:val="36BC91CE"/>
    <w:rsid w:val="36EAEC42"/>
    <w:rsid w:val="36F8D609"/>
    <w:rsid w:val="3703583C"/>
    <w:rsid w:val="37082242"/>
    <w:rsid w:val="371AB6EC"/>
    <w:rsid w:val="372865E5"/>
    <w:rsid w:val="374E9F08"/>
    <w:rsid w:val="374F5A03"/>
    <w:rsid w:val="37616E07"/>
    <w:rsid w:val="37957D63"/>
    <w:rsid w:val="37BB5A88"/>
    <w:rsid w:val="37D98E89"/>
    <w:rsid w:val="37F3B34A"/>
    <w:rsid w:val="381E75E0"/>
    <w:rsid w:val="382066D6"/>
    <w:rsid w:val="382EBC22"/>
    <w:rsid w:val="38366A69"/>
    <w:rsid w:val="383837B4"/>
    <w:rsid w:val="3846772D"/>
    <w:rsid w:val="385D47A2"/>
    <w:rsid w:val="3871CB1A"/>
    <w:rsid w:val="38738945"/>
    <w:rsid w:val="387DB45C"/>
    <w:rsid w:val="389AA634"/>
    <w:rsid w:val="38AB8A61"/>
    <w:rsid w:val="38D170F1"/>
    <w:rsid w:val="38E8E6F3"/>
    <w:rsid w:val="38EA6F69"/>
    <w:rsid w:val="38F414AB"/>
    <w:rsid w:val="38F45532"/>
    <w:rsid w:val="392DB7DD"/>
    <w:rsid w:val="3936E985"/>
    <w:rsid w:val="393AEE6B"/>
    <w:rsid w:val="3941B9CB"/>
    <w:rsid w:val="3942DF47"/>
    <w:rsid w:val="39521149"/>
    <w:rsid w:val="396148A4"/>
    <w:rsid w:val="39623268"/>
    <w:rsid w:val="3979EE4B"/>
    <w:rsid w:val="397ADD73"/>
    <w:rsid w:val="39877CCB"/>
    <w:rsid w:val="39A9AFFB"/>
    <w:rsid w:val="39BB7563"/>
    <w:rsid w:val="39C75A68"/>
    <w:rsid w:val="39D0EC89"/>
    <w:rsid w:val="39EE0B28"/>
    <w:rsid w:val="39EE9422"/>
    <w:rsid w:val="39F91803"/>
    <w:rsid w:val="3A099140"/>
    <w:rsid w:val="3A148436"/>
    <w:rsid w:val="3A228D04"/>
    <w:rsid w:val="3A3076CB"/>
    <w:rsid w:val="3A35C1A8"/>
    <w:rsid w:val="3A373229"/>
    <w:rsid w:val="3A47DD1D"/>
    <w:rsid w:val="3A76FB46"/>
    <w:rsid w:val="3A85A76F"/>
    <w:rsid w:val="3AA1FC13"/>
    <w:rsid w:val="3ABD4AFF"/>
    <w:rsid w:val="3AD63D6E"/>
    <w:rsid w:val="3AED8CDC"/>
    <w:rsid w:val="3AF18524"/>
    <w:rsid w:val="3B0266EC"/>
    <w:rsid w:val="3B2B540C"/>
    <w:rsid w:val="3B7FD91A"/>
    <w:rsid w:val="3B897275"/>
    <w:rsid w:val="3B8F7127"/>
    <w:rsid w:val="3B94E864"/>
    <w:rsid w:val="3BB05497"/>
    <w:rsid w:val="3BBAFCA2"/>
    <w:rsid w:val="3BD246F6"/>
    <w:rsid w:val="3BF20C28"/>
    <w:rsid w:val="3C0415D5"/>
    <w:rsid w:val="3C0F5ED6"/>
    <w:rsid w:val="3C106F9F"/>
    <w:rsid w:val="3C63182A"/>
    <w:rsid w:val="3C67F617"/>
    <w:rsid w:val="3C79448B"/>
    <w:rsid w:val="3C8AEB48"/>
    <w:rsid w:val="3C93F807"/>
    <w:rsid w:val="3C993DB4"/>
    <w:rsid w:val="3CC5908D"/>
    <w:rsid w:val="3CCA5B48"/>
    <w:rsid w:val="3CD3EE78"/>
    <w:rsid w:val="3CD4F1F9"/>
    <w:rsid w:val="3CDD48EA"/>
    <w:rsid w:val="3D068E9A"/>
    <w:rsid w:val="3D24D134"/>
    <w:rsid w:val="3D26E65B"/>
    <w:rsid w:val="3D2B3108"/>
    <w:rsid w:val="3D4C24F8"/>
    <w:rsid w:val="3D6B192F"/>
    <w:rsid w:val="3D6E1757"/>
    <w:rsid w:val="3D7B5CF3"/>
    <w:rsid w:val="3D8212F1"/>
    <w:rsid w:val="3D8C730B"/>
    <w:rsid w:val="3D99F224"/>
    <w:rsid w:val="3D9FE636"/>
    <w:rsid w:val="3DA65302"/>
    <w:rsid w:val="3DAB2F37"/>
    <w:rsid w:val="3DABF7D2"/>
    <w:rsid w:val="3DB1060F"/>
    <w:rsid w:val="3DBD4283"/>
    <w:rsid w:val="3DC2C100"/>
    <w:rsid w:val="3DD3D499"/>
    <w:rsid w:val="3DFE977B"/>
    <w:rsid w:val="3E202E59"/>
    <w:rsid w:val="3E2C801C"/>
    <w:rsid w:val="3E62F4CE"/>
    <w:rsid w:val="3E69BB6D"/>
    <w:rsid w:val="3E76A5F5"/>
    <w:rsid w:val="3E9DEDA3"/>
    <w:rsid w:val="3EAF4A81"/>
    <w:rsid w:val="3EB1A30C"/>
    <w:rsid w:val="3EEABF91"/>
    <w:rsid w:val="3EEC44A7"/>
    <w:rsid w:val="3EEE7E73"/>
    <w:rsid w:val="3EEFAF82"/>
    <w:rsid w:val="3F03E7EE"/>
    <w:rsid w:val="3F0B0BE0"/>
    <w:rsid w:val="3F4A6C69"/>
    <w:rsid w:val="3F6304B9"/>
    <w:rsid w:val="3F6FA4FA"/>
    <w:rsid w:val="3F728B95"/>
    <w:rsid w:val="3F77C5A9"/>
    <w:rsid w:val="3F7B5B6F"/>
    <w:rsid w:val="3F7F1EED"/>
    <w:rsid w:val="3F87E42F"/>
    <w:rsid w:val="3F986196"/>
    <w:rsid w:val="3F9CF961"/>
    <w:rsid w:val="3F9F96D9"/>
    <w:rsid w:val="3FAE3438"/>
    <w:rsid w:val="3FBCAFB2"/>
    <w:rsid w:val="4001209E"/>
    <w:rsid w:val="4003094E"/>
    <w:rsid w:val="401378F1"/>
    <w:rsid w:val="40147D35"/>
    <w:rsid w:val="401F4D37"/>
    <w:rsid w:val="403118B6"/>
    <w:rsid w:val="40370247"/>
    <w:rsid w:val="40639675"/>
    <w:rsid w:val="4083C5BA"/>
    <w:rsid w:val="408C4157"/>
    <w:rsid w:val="40CD236A"/>
    <w:rsid w:val="40D786F8"/>
    <w:rsid w:val="41230B28"/>
    <w:rsid w:val="4123E163"/>
    <w:rsid w:val="41252832"/>
    <w:rsid w:val="4158AEC1"/>
    <w:rsid w:val="416236DB"/>
    <w:rsid w:val="4163F381"/>
    <w:rsid w:val="4165002A"/>
    <w:rsid w:val="417D9458"/>
    <w:rsid w:val="418052AF"/>
    <w:rsid w:val="419A9590"/>
    <w:rsid w:val="41C30B1E"/>
    <w:rsid w:val="420FD01A"/>
    <w:rsid w:val="422DFB46"/>
    <w:rsid w:val="4241887A"/>
    <w:rsid w:val="426CE06A"/>
    <w:rsid w:val="42847732"/>
    <w:rsid w:val="42963223"/>
    <w:rsid w:val="42971AC9"/>
    <w:rsid w:val="42A13F8A"/>
    <w:rsid w:val="42A745BC"/>
    <w:rsid w:val="42AA59A3"/>
    <w:rsid w:val="42B09896"/>
    <w:rsid w:val="42B695FB"/>
    <w:rsid w:val="42C0F893"/>
    <w:rsid w:val="42EC8469"/>
    <w:rsid w:val="43018BF6"/>
    <w:rsid w:val="43200707"/>
    <w:rsid w:val="433A95F2"/>
    <w:rsid w:val="43675FDE"/>
    <w:rsid w:val="43695A74"/>
    <w:rsid w:val="437AF134"/>
    <w:rsid w:val="438C7E38"/>
    <w:rsid w:val="438EF052"/>
    <w:rsid w:val="43976CC4"/>
    <w:rsid w:val="43BB667C"/>
    <w:rsid w:val="43D8F105"/>
    <w:rsid w:val="43F28B45"/>
    <w:rsid w:val="440A58DD"/>
    <w:rsid w:val="4410CDCF"/>
    <w:rsid w:val="4433DE67"/>
    <w:rsid w:val="445CC8F4"/>
    <w:rsid w:val="4464BA43"/>
    <w:rsid w:val="44775845"/>
    <w:rsid w:val="44A3E0C0"/>
    <w:rsid w:val="44AD2639"/>
    <w:rsid w:val="44D4BB14"/>
    <w:rsid w:val="44DDFE3F"/>
    <w:rsid w:val="44E7C6A9"/>
    <w:rsid w:val="45033C23"/>
    <w:rsid w:val="4536DAA5"/>
    <w:rsid w:val="456EA41C"/>
    <w:rsid w:val="457A7D0F"/>
    <w:rsid w:val="45817824"/>
    <w:rsid w:val="4583B924"/>
    <w:rsid w:val="458886E3"/>
    <w:rsid w:val="45C21D17"/>
    <w:rsid w:val="45C3496E"/>
    <w:rsid w:val="45C84F58"/>
    <w:rsid w:val="45C93CA4"/>
    <w:rsid w:val="45DB4B66"/>
    <w:rsid w:val="45E4D1DC"/>
    <w:rsid w:val="46072FC1"/>
    <w:rsid w:val="4651A051"/>
    <w:rsid w:val="465E6312"/>
    <w:rsid w:val="4679217A"/>
    <w:rsid w:val="468592B1"/>
    <w:rsid w:val="4687E530"/>
    <w:rsid w:val="468DB5D2"/>
    <w:rsid w:val="46967C41"/>
    <w:rsid w:val="46A9737C"/>
    <w:rsid w:val="46C08E7A"/>
    <w:rsid w:val="4715FC69"/>
    <w:rsid w:val="47256152"/>
    <w:rsid w:val="47292BB0"/>
    <w:rsid w:val="4747646C"/>
    <w:rsid w:val="476A8C25"/>
    <w:rsid w:val="47C006E2"/>
    <w:rsid w:val="480C5BD6"/>
    <w:rsid w:val="483F874D"/>
    <w:rsid w:val="485E4060"/>
    <w:rsid w:val="4866F9A5"/>
    <w:rsid w:val="48728E71"/>
    <w:rsid w:val="487CF713"/>
    <w:rsid w:val="48859117"/>
    <w:rsid w:val="48900532"/>
    <w:rsid w:val="48A15A75"/>
    <w:rsid w:val="48A644DE"/>
    <w:rsid w:val="48B0C9FE"/>
    <w:rsid w:val="48C027A5"/>
    <w:rsid w:val="48CBCDC5"/>
    <w:rsid w:val="48EA8663"/>
    <w:rsid w:val="48F1DD1E"/>
    <w:rsid w:val="48F5C921"/>
    <w:rsid w:val="48F98300"/>
    <w:rsid w:val="49303A17"/>
    <w:rsid w:val="493A30EB"/>
    <w:rsid w:val="494E0602"/>
    <w:rsid w:val="49523C93"/>
    <w:rsid w:val="497B43D4"/>
    <w:rsid w:val="49B38939"/>
    <w:rsid w:val="49C6E5E0"/>
    <w:rsid w:val="49EA2BDF"/>
    <w:rsid w:val="49F121D6"/>
    <w:rsid w:val="4A0736AF"/>
    <w:rsid w:val="4A0EC465"/>
    <w:rsid w:val="4A379E9A"/>
    <w:rsid w:val="4A3D2AD6"/>
    <w:rsid w:val="4A41C8F5"/>
    <w:rsid w:val="4A5E354C"/>
    <w:rsid w:val="4A8FB542"/>
    <w:rsid w:val="4A94B196"/>
    <w:rsid w:val="4AB257A1"/>
    <w:rsid w:val="4AC0F10E"/>
    <w:rsid w:val="4AC3E061"/>
    <w:rsid w:val="4AFEE0AD"/>
    <w:rsid w:val="4B03E7B1"/>
    <w:rsid w:val="4B21352B"/>
    <w:rsid w:val="4B279289"/>
    <w:rsid w:val="4B3C00A0"/>
    <w:rsid w:val="4B3C8E2D"/>
    <w:rsid w:val="4B4BEA1E"/>
    <w:rsid w:val="4B673573"/>
    <w:rsid w:val="4B8504B1"/>
    <w:rsid w:val="4B9D3D9F"/>
    <w:rsid w:val="4BAA94C6"/>
    <w:rsid w:val="4BF8D275"/>
    <w:rsid w:val="4C222725"/>
    <w:rsid w:val="4C4E2802"/>
    <w:rsid w:val="4C8046F3"/>
    <w:rsid w:val="4C937805"/>
    <w:rsid w:val="4C9FF5D6"/>
    <w:rsid w:val="4CC6F20C"/>
    <w:rsid w:val="4CC87D55"/>
    <w:rsid w:val="4CC9D236"/>
    <w:rsid w:val="4CCD0D1D"/>
    <w:rsid w:val="4CFE86A2"/>
    <w:rsid w:val="4D114615"/>
    <w:rsid w:val="4D1CAA3B"/>
    <w:rsid w:val="4D28C298"/>
    <w:rsid w:val="4D629A87"/>
    <w:rsid w:val="4D86F32B"/>
    <w:rsid w:val="4D9D8F2F"/>
    <w:rsid w:val="4DB14D28"/>
    <w:rsid w:val="4DB384FB"/>
    <w:rsid w:val="4DF2EBA5"/>
    <w:rsid w:val="4DFC6737"/>
    <w:rsid w:val="4E177EA0"/>
    <w:rsid w:val="4E345634"/>
    <w:rsid w:val="4E4381C4"/>
    <w:rsid w:val="4E58D5ED"/>
    <w:rsid w:val="4E5D5283"/>
    <w:rsid w:val="4E6C1B53"/>
    <w:rsid w:val="4E838AE0"/>
    <w:rsid w:val="4EB5970F"/>
    <w:rsid w:val="4EBD9D02"/>
    <w:rsid w:val="4EDEB71E"/>
    <w:rsid w:val="4EE5C0F7"/>
    <w:rsid w:val="4EFB5869"/>
    <w:rsid w:val="4EFF1DEE"/>
    <w:rsid w:val="4F12A934"/>
    <w:rsid w:val="4F47F645"/>
    <w:rsid w:val="4F70C65B"/>
    <w:rsid w:val="4F837F08"/>
    <w:rsid w:val="4F95548B"/>
    <w:rsid w:val="4F983798"/>
    <w:rsid w:val="4FB3751C"/>
    <w:rsid w:val="4FB4A931"/>
    <w:rsid w:val="4FBB0B9B"/>
    <w:rsid w:val="4FE8F96F"/>
    <w:rsid w:val="4FEBA780"/>
    <w:rsid w:val="4FF189BD"/>
    <w:rsid w:val="4FF1DC16"/>
    <w:rsid w:val="502A28CE"/>
    <w:rsid w:val="5048E6D7"/>
    <w:rsid w:val="504CB015"/>
    <w:rsid w:val="50962D0A"/>
    <w:rsid w:val="5097E21C"/>
    <w:rsid w:val="50CC4398"/>
    <w:rsid w:val="50EBB4E7"/>
    <w:rsid w:val="50F88AC8"/>
    <w:rsid w:val="51250EDC"/>
    <w:rsid w:val="5146BEBA"/>
    <w:rsid w:val="51484AD7"/>
    <w:rsid w:val="515D2BBB"/>
    <w:rsid w:val="5179014E"/>
    <w:rsid w:val="51828CE8"/>
    <w:rsid w:val="519076AF"/>
    <w:rsid w:val="5199E793"/>
    <w:rsid w:val="519BF694"/>
    <w:rsid w:val="51A4D3A4"/>
    <w:rsid w:val="51BB2BA2"/>
    <w:rsid w:val="51D96531"/>
    <w:rsid w:val="51FC066C"/>
    <w:rsid w:val="51FC33BB"/>
    <w:rsid w:val="5200ADED"/>
    <w:rsid w:val="52714138"/>
    <w:rsid w:val="528D307D"/>
    <w:rsid w:val="529703A1"/>
    <w:rsid w:val="52EB15DE"/>
    <w:rsid w:val="53072ACE"/>
    <w:rsid w:val="531544FF"/>
    <w:rsid w:val="53180EA4"/>
    <w:rsid w:val="5324EC8D"/>
    <w:rsid w:val="5335CA19"/>
    <w:rsid w:val="5353B6EE"/>
    <w:rsid w:val="5388AD2A"/>
    <w:rsid w:val="53999E44"/>
    <w:rsid w:val="53C55883"/>
    <w:rsid w:val="53EC7CFE"/>
    <w:rsid w:val="54286FE5"/>
    <w:rsid w:val="54513D81"/>
    <w:rsid w:val="54617D14"/>
    <w:rsid w:val="5465B35F"/>
    <w:rsid w:val="546D2ED4"/>
    <w:rsid w:val="5478BD3A"/>
    <w:rsid w:val="54A131E6"/>
    <w:rsid w:val="54D8EA83"/>
    <w:rsid w:val="54DB5CD7"/>
    <w:rsid w:val="54F2CC64"/>
    <w:rsid w:val="54F3E6FE"/>
    <w:rsid w:val="55A52398"/>
    <w:rsid w:val="55A70038"/>
    <w:rsid w:val="55C2F4B2"/>
    <w:rsid w:val="55CFC97D"/>
    <w:rsid w:val="562EAF09"/>
    <w:rsid w:val="56357D44"/>
    <w:rsid w:val="5663E7D2"/>
    <w:rsid w:val="5691F993"/>
    <w:rsid w:val="56DAEF0A"/>
    <w:rsid w:val="5710E531"/>
    <w:rsid w:val="5711D0B0"/>
    <w:rsid w:val="57154354"/>
    <w:rsid w:val="5728DA33"/>
    <w:rsid w:val="572FD548"/>
    <w:rsid w:val="5730DE5A"/>
    <w:rsid w:val="573A3711"/>
    <w:rsid w:val="57447175"/>
    <w:rsid w:val="574AF1D7"/>
    <w:rsid w:val="576350A0"/>
    <w:rsid w:val="576BED5B"/>
    <w:rsid w:val="577AAB28"/>
    <w:rsid w:val="57910D29"/>
    <w:rsid w:val="5796D029"/>
    <w:rsid w:val="57A14E34"/>
    <w:rsid w:val="57A1BDA6"/>
    <w:rsid w:val="57B05DFC"/>
    <w:rsid w:val="57B09868"/>
    <w:rsid w:val="5803AE3C"/>
    <w:rsid w:val="58080F13"/>
    <w:rsid w:val="5812FD99"/>
    <w:rsid w:val="58141528"/>
    <w:rsid w:val="582EF127"/>
    <w:rsid w:val="583786DC"/>
    <w:rsid w:val="58435F1D"/>
    <w:rsid w:val="5848A6B5"/>
    <w:rsid w:val="585C8021"/>
    <w:rsid w:val="586EEB9E"/>
    <w:rsid w:val="587A9E39"/>
    <w:rsid w:val="588910AF"/>
    <w:rsid w:val="5889C1FA"/>
    <w:rsid w:val="58A2F401"/>
    <w:rsid w:val="58AF7728"/>
    <w:rsid w:val="58F40494"/>
    <w:rsid w:val="58FA7E69"/>
    <w:rsid w:val="58FA9574"/>
    <w:rsid w:val="590800BC"/>
    <w:rsid w:val="59B317AB"/>
    <w:rsid w:val="59DF68D9"/>
    <w:rsid w:val="59E47716"/>
    <w:rsid w:val="59E70FC7"/>
    <w:rsid w:val="5A1CFD63"/>
    <w:rsid w:val="5A33EE3B"/>
    <w:rsid w:val="5A6C7E07"/>
    <w:rsid w:val="5AB4DA68"/>
    <w:rsid w:val="5ABC7D9C"/>
    <w:rsid w:val="5AF5CFD2"/>
    <w:rsid w:val="5B04FF51"/>
    <w:rsid w:val="5B2FFDD7"/>
    <w:rsid w:val="5B404E9A"/>
    <w:rsid w:val="5B6BAA4F"/>
    <w:rsid w:val="5B7B393A"/>
    <w:rsid w:val="5BB6A8C6"/>
    <w:rsid w:val="5BBF0F81"/>
    <w:rsid w:val="5BC47899"/>
    <w:rsid w:val="5BC58282"/>
    <w:rsid w:val="5BFEBA3B"/>
    <w:rsid w:val="5C15E193"/>
    <w:rsid w:val="5C331A05"/>
    <w:rsid w:val="5C7EA826"/>
    <w:rsid w:val="5C85EC29"/>
    <w:rsid w:val="5CA18C31"/>
    <w:rsid w:val="5CA548AE"/>
    <w:rsid w:val="5CF3A185"/>
    <w:rsid w:val="5CF6BF61"/>
    <w:rsid w:val="5D21F900"/>
    <w:rsid w:val="5D283A5D"/>
    <w:rsid w:val="5D549E25"/>
    <w:rsid w:val="5D601F5E"/>
    <w:rsid w:val="5D691A0B"/>
    <w:rsid w:val="5D7B894E"/>
    <w:rsid w:val="5DAAA895"/>
    <w:rsid w:val="5DB2B426"/>
    <w:rsid w:val="5DBA335B"/>
    <w:rsid w:val="5DE0C806"/>
    <w:rsid w:val="5DE991FD"/>
    <w:rsid w:val="5DFCB3E6"/>
    <w:rsid w:val="5E128B01"/>
    <w:rsid w:val="5E18A696"/>
    <w:rsid w:val="5E210E03"/>
    <w:rsid w:val="5E2FA058"/>
    <w:rsid w:val="5E5C6611"/>
    <w:rsid w:val="5E679E99"/>
    <w:rsid w:val="5E8A2BEB"/>
    <w:rsid w:val="5E8B53DA"/>
    <w:rsid w:val="5E8D72A6"/>
    <w:rsid w:val="5EA401A5"/>
    <w:rsid w:val="5EBFD5BF"/>
    <w:rsid w:val="5EC6DC6E"/>
    <w:rsid w:val="5ED542AF"/>
    <w:rsid w:val="5EDAB6C3"/>
    <w:rsid w:val="5EDF1C64"/>
    <w:rsid w:val="5EE3C7CA"/>
    <w:rsid w:val="5EF2EFB1"/>
    <w:rsid w:val="5F469701"/>
    <w:rsid w:val="5F479183"/>
    <w:rsid w:val="5F69C909"/>
    <w:rsid w:val="5F88DABB"/>
    <w:rsid w:val="5F990441"/>
    <w:rsid w:val="5FAE5B62"/>
    <w:rsid w:val="5FCBC834"/>
    <w:rsid w:val="5FDCD817"/>
    <w:rsid w:val="5FDCE970"/>
    <w:rsid w:val="5FF468C7"/>
    <w:rsid w:val="5FF7BB0B"/>
    <w:rsid w:val="601F3CF6"/>
    <w:rsid w:val="60358200"/>
    <w:rsid w:val="60401532"/>
    <w:rsid w:val="60593C19"/>
    <w:rsid w:val="605D5EC7"/>
    <w:rsid w:val="60782AE9"/>
    <w:rsid w:val="60A254D4"/>
    <w:rsid w:val="60B432BB"/>
    <w:rsid w:val="60BD03E8"/>
    <w:rsid w:val="60CEDC33"/>
    <w:rsid w:val="60D4E575"/>
    <w:rsid w:val="60D6EEE0"/>
    <w:rsid w:val="60E7F076"/>
    <w:rsid w:val="60F02707"/>
    <w:rsid w:val="6119BF3F"/>
    <w:rsid w:val="611D0D43"/>
    <w:rsid w:val="6121579F"/>
    <w:rsid w:val="612171D4"/>
    <w:rsid w:val="6122C68D"/>
    <w:rsid w:val="6134C8D7"/>
    <w:rsid w:val="613FC6DB"/>
    <w:rsid w:val="61521949"/>
    <w:rsid w:val="615B7E6B"/>
    <w:rsid w:val="616968BF"/>
    <w:rsid w:val="616A0817"/>
    <w:rsid w:val="616EC449"/>
    <w:rsid w:val="61E8AA07"/>
    <w:rsid w:val="6215643B"/>
    <w:rsid w:val="6227BAEF"/>
    <w:rsid w:val="624B94CF"/>
    <w:rsid w:val="627E37C3"/>
    <w:rsid w:val="6281FDD1"/>
    <w:rsid w:val="629A4E93"/>
    <w:rsid w:val="62AE54F0"/>
    <w:rsid w:val="62E139B1"/>
    <w:rsid w:val="62E5DF53"/>
    <w:rsid w:val="63148A32"/>
    <w:rsid w:val="6360E3C9"/>
    <w:rsid w:val="6368FEAC"/>
    <w:rsid w:val="636D1FCD"/>
    <w:rsid w:val="6377B47E"/>
    <w:rsid w:val="63CF6BEF"/>
    <w:rsid w:val="63EE94B6"/>
    <w:rsid w:val="6401141A"/>
    <w:rsid w:val="6418B801"/>
    <w:rsid w:val="6448F81B"/>
    <w:rsid w:val="6469082D"/>
    <w:rsid w:val="64749BDE"/>
    <w:rsid w:val="6487A467"/>
    <w:rsid w:val="64B49497"/>
    <w:rsid w:val="64C4F16B"/>
    <w:rsid w:val="64D3002E"/>
    <w:rsid w:val="64F175BC"/>
    <w:rsid w:val="650126ED"/>
    <w:rsid w:val="65030C55"/>
    <w:rsid w:val="651452A6"/>
    <w:rsid w:val="6538E4AE"/>
    <w:rsid w:val="654C2D4B"/>
    <w:rsid w:val="65535DA9"/>
    <w:rsid w:val="655B2815"/>
    <w:rsid w:val="65AE2C76"/>
    <w:rsid w:val="65C7AB31"/>
    <w:rsid w:val="65D5A825"/>
    <w:rsid w:val="65D8E774"/>
    <w:rsid w:val="65FE3262"/>
    <w:rsid w:val="660EC8B5"/>
    <w:rsid w:val="662733C3"/>
    <w:rsid w:val="664FC5C3"/>
    <w:rsid w:val="668B7C2B"/>
    <w:rsid w:val="6709A759"/>
    <w:rsid w:val="670BB42F"/>
    <w:rsid w:val="671B825C"/>
    <w:rsid w:val="672C456C"/>
    <w:rsid w:val="673B4339"/>
    <w:rsid w:val="673DDA04"/>
    <w:rsid w:val="6751A8E6"/>
    <w:rsid w:val="6756CC73"/>
    <w:rsid w:val="676234C3"/>
    <w:rsid w:val="677CD663"/>
    <w:rsid w:val="67832C46"/>
    <w:rsid w:val="67CCC57B"/>
    <w:rsid w:val="67CFFF23"/>
    <w:rsid w:val="67EDB7A5"/>
    <w:rsid w:val="68101221"/>
    <w:rsid w:val="681D5A4E"/>
    <w:rsid w:val="683C6FCF"/>
    <w:rsid w:val="6853D574"/>
    <w:rsid w:val="6858F591"/>
    <w:rsid w:val="6866B805"/>
    <w:rsid w:val="686CAFD3"/>
    <w:rsid w:val="6880A99A"/>
    <w:rsid w:val="68B5D042"/>
    <w:rsid w:val="68BB382B"/>
    <w:rsid w:val="68C10551"/>
    <w:rsid w:val="68DCF82F"/>
    <w:rsid w:val="68ED21AC"/>
    <w:rsid w:val="68EFD9DB"/>
    <w:rsid w:val="68FC263B"/>
    <w:rsid w:val="6902FBAE"/>
    <w:rsid w:val="6904D388"/>
    <w:rsid w:val="69313133"/>
    <w:rsid w:val="695C339F"/>
    <w:rsid w:val="696753D8"/>
    <w:rsid w:val="69B630D4"/>
    <w:rsid w:val="69C14CA3"/>
    <w:rsid w:val="69D4CC18"/>
    <w:rsid w:val="69F8289F"/>
    <w:rsid w:val="69FB428A"/>
    <w:rsid w:val="69FF04FB"/>
    <w:rsid w:val="6A2EA5A0"/>
    <w:rsid w:val="6A332980"/>
    <w:rsid w:val="6A4B15C2"/>
    <w:rsid w:val="6A4B9917"/>
    <w:rsid w:val="6A63E62E"/>
    <w:rsid w:val="6A7B2F44"/>
    <w:rsid w:val="6A84EBD6"/>
    <w:rsid w:val="6AA2A2F8"/>
    <w:rsid w:val="6AA49EA8"/>
    <w:rsid w:val="6AB4C416"/>
    <w:rsid w:val="6ABC1787"/>
    <w:rsid w:val="6ACE9200"/>
    <w:rsid w:val="6AD87602"/>
    <w:rsid w:val="6AE6F067"/>
    <w:rsid w:val="6AEC1E74"/>
    <w:rsid w:val="6B1F9C17"/>
    <w:rsid w:val="6B20EEB9"/>
    <w:rsid w:val="6B2CF5B2"/>
    <w:rsid w:val="6B41921E"/>
    <w:rsid w:val="6B747314"/>
    <w:rsid w:val="6B800E60"/>
    <w:rsid w:val="6B81EEE7"/>
    <w:rsid w:val="6B8B7636"/>
    <w:rsid w:val="6B9BEEC0"/>
    <w:rsid w:val="6BA5529A"/>
    <w:rsid w:val="6BAA0F73"/>
    <w:rsid w:val="6BAC6E14"/>
    <w:rsid w:val="6BB68A72"/>
    <w:rsid w:val="6BBDBFC3"/>
    <w:rsid w:val="6BD7C238"/>
    <w:rsid w:val="6BEF4F8C"/>
    <w:rsid w:val="6BF8A613"/>
    <w:rsid w:val="6C038E76"/>
    <w:rsid w:val="6C08CD18"/>
    <w:rsid w:val="6C6938A2"/>
    <w:rsid w:val="6C755F39"/>
    <w:rsid w:val="6C75A58A"/>
    <w:rsid w:val="6C7FFF43"/>
    <w:rsid w:val="6CC31D85"/>
    <w:rsid w:val="6CD46533"/>
    <w:rsid w:val="6CDE1B62"/>
    <w:rsid w:val="6CEE54BB"/>
    <w:rsid w:val="6CF917F5"/>
    <w:rsid w:val="6D1EFC77"/>
    <w:rsid w:val="6D24D123"/>
    <w:rsid w:val="6D2FC961"/>
    <w:rsid w:val="6D9E0ED6"/>
    <w:rsid w:val="6DAFF78C"/>
    <w:rsid w:val="6DE8E187"/>
    <w:rsid w:val="6E5EEDE6"/>
    <w:rsid w:val="6E8EA2FB"/>
    <w:rsid w:val="6E921C2E"/>
    <w:rsid w:val="6EA37286"/>
    <w:rsid w:val="6EA47159"/>
    <w:rsid w:val="6EE6D5D3"/>
    <w:rsid w:val="6EEC27D2"/>
    <w:rsid w:val="6F45D2CB"/>
    <w:rsid w:val="6F565C92"/>
    <w:rsid w:val="6F5905B9"/>
    <w:rsid w:val="6F64C93E"/>
    <w:rsid w:val="6F803710"/>
    <w:rsid w:val="6FA4E15B"/>
    <w:rsid w:val="6FCC6CB2"/>
    <w:rsid w:val="6FCCEBD1"/>
    <w:rsid w:val="6FF29FFA"/>
    <w:rsid w:val="6FFABE47"/>
    <w:rsid w:val="70025C9B"/>
    <w:rsid w:val="700328D0"/>
    <w:rsid w:val="702517B8"/>
    <w:rsid w:val="70440D9C"/>
    <w:rsid w:val="70676A23"/>
    <w:rsid w:val="7087F833"/>
    <w:rsid w:val="709934E7"/>
    <w:rsid w:val="70BA5746"/>
    <w:rsid w:val="70D4A2ED"/>
    <w:rsid w:val="70E1A32C"/>
    <w:rsid w:val="70EA1A7A"/>
    <w:rsid w:val="710014B7"/>
    <w:rsid w:val="710D150E"/>
    <w:rsid w:val="71301F27"/>
    <w:rsid w:val="713F68BD"/>
    <w:rsid w:val="7150B36E"/>
    <w:rsid w:val="7152AA4C"/>
    <w:rsid w:val="71630F66"/>
    <w:rsid w:val="7168BC32"/>
    <w:rsid w:val="716FD136"/>
    <w:rsid w:val="71812E14"/>
    <w:rsid w:val="71A97156"/>
    <w:rsid w:val="71DB3732"/>
    <w:rsid w:val="71EFC67C"/>
    <w:rsid w:val="724EBF3A"/>
    <w:rsid w:val="724EF68F"/>
    <w:rsid w:val="72620394"/>
    <w:rsid w:val="7267E797"/>
    <w:rsid w:val="72697831"/>
    <w:rsid w:val="7283C606"/>
    <w:rsid w:val="7295C0B7"/>
    <w:rsid w:val="729BEA31"/>
    <w:rsid w:val="72A23A37"/>
    <w:rsid w:val="72A37724"/>
    <w:rsid w:val="72BA11D4"/>
    <w:rsid w:val="72E0C775"/>
    <w:rsid w:val="72FA5680"/>
    <w:rsid w:val="72FAF5D3"/>
    <w:rsid w:val="7315A151"/>
    <w:rsid w:val="731D451D"/>
    <w:rsid w:val="7339D570"/>
    <w:rsid w:val="733D3887"/>
    <w:rsid w:val="734541B7"/>
    <w:rsid w:val="7376E3A9"/>
    <w:rsid w:val="73957AE3"/>
    <w:rsid w:val="73B310D9"/>
    <w:rsid w:val="73B5A720"/>
    <w:rsid w:val="73EED4CE"/>
    <w:rsid w:val="74054892"/>
    <w:rsid w:val="7447862F"/>
    <w:rsid w:val="744F77EB"/>
    <w:rsid w:val="7455E235"/>
    <w:rsid w:val="745A191B"/>
    <w:rsid w:val="745DDE2D"/>
    <w:rsid w:val="74607BBB"/>
    <w:rsid w:val="747C97D6"/>
    <w:rsid w:val="74885430"/>
    <w:rsid w:val="7488AAEC"/>
    <w:rsid w:val="74A05CF4"/>
    <w:rsid w:val="74B1340A"/>
    <w:rsid w:val="74CC3AAD"/>
    <w:rsid w:val="74DB6E03"/>
    <w:rsid w:val="75034A2D"/>
    <w:rsid w:val="7519301F"/>
    <w:rsid w:val="7530DCE5"/>
    <w:rsid w:val="7535E657"/>
    <w:rsid w:val="75496C75"/>
    <w:rsid w:val="755A1248"/>
    <w:rsid w:val="75A41FE4"/>
    <w:rsid w:val="75C79E7D"/>
    <w:rsid w:val="75D6E721"/>
    <w:rsid w:val="75F1B296"/>
    <w:rsid w:val="760CF312"/>
    <w:rsid w:val="76175AEC"/>
    <w:rsid w:val="7632F067"/>
    <w:rsid w:val="7668D3F1"/>
    <w:rsid w:val="76750ECB"/>
    <w:rsid w:val="768119C4"/>
    <w:rsid w:val="76A6AA2A"/>
    <w:rsid w:val="76F7CF25"/>
    <w:rsid w:val="771648CC"/>
    <w:rsid w:val="772998CA"/>
    <w:rsid w:val="7761ABE0"/>
    <w:rsid w:val="77AEAA41"/>
    <w:rsid w:val="77BE5DE0"/>
    <w:rsid w:val="77BFC647"/>
    <w:rsid w:val="77C5736F"/>
    <w:rsid w:val="77CD4009"/>
    <w:rsid w:val="7803DB6F"/>
    <w:rsid w:val="780BBAE6"/>
    <w:rsid w:val="7820C4BA"/>
    <w:rsid w:val="782B4605"/>
    <w:rsid w:val="782E0126"/>
    <w:rsid w:val="783F6F6B"/>
    <w:rsid w:val="784A54CC"/>
    <w:rsid w:val="785523FA"/>
    <w:rsid w:val="7865A6DB"/>
    <w:rsid w:val="7898BAF4"/>
    <w:rsid w:val="78C58A3D"/>
    <w:rsid w:val="78E4FA5C"/>
    <w:rsid w:val="78FB5F50"/>
    <w:rsid w:val="7903FB45"/>
    <w:rsid w:val="791BE567"/>
    <w:rsid w:val="79210D2A"/>
    <w:rsid w:val="7922F480"/>
    <w:rsid w:val="79314F50"/>
    <w:rsid w:val="7933B841"/>
    <w:rsid w:val="79487703"/>
    <w:rsid w:val="796143D0"/>
    <w:rsid w:val="79623030"/>
    <w:rsid w:val="79956FF8"/>
    <w:rsid w:val="79B4833B"/>
    <w:rsid w:val="79F0ACF4"/>
    <w:rsid w:val="79F30232"/>
    <w:rsid w:val="7A28010D"/>
    <w:rsid w:val="7A36BB70"/>
    <w:rsid w:val="7A40339D"/>
    <w:rsid w:val="7A49E3CA"/>
    <w:rsid w:val="7A8372B9"/>
    <w:rsid w:val="7A89D658"/>
    <w:rsid w:val="7A8C9D37"/>
    <w:rsid w:val="7AA266C7"/>
    <w:rsid w:val="7AB962E5"/>
    <w:rsid w:val="7ABEC4E1"/>
    <w:rsid w:val="7AC35A23"/>
    <w:rsid w:val="7ACD69C7"/>
    <w:rsid w:val="7AD76977"/>
    <w:rsid w:val="7AD7B462"/>
    <w:rsid w:val="7ADEB2D5"/>
    <w:rsid w:val="7B07FD5B"/>
    <w:rsid w:val="7B0E27CA"/>
    <w:rsid w:val="7B278523"/>
    <w:rsid w:val="7B2C0757"/>
    <w:rsid w:val="7B2D3F9D"/>
    <w:rsid w:val="7B6AC935"/>
    <w:rsid w:val="7B81F58E"/>
    <w:rsid w:val="7B87FDF9"/>
    <w:rsid w:val="7B8AA8B2"/>
    <w:rsid w:val="7BA7BA47"/>
    <w:rsid w:val="7BBCCA02"/>
    <w:rsid w:val="7BDECC17"/>
    <w:rsid w:val="7C04F773"/>
    <w:rsid w:val="7C1C9B1E"/>
    <w:rsid w:val="7C238DC3"/>
    <w:rsid w:val="7C2D0048"/>
    <w:rsid w:val="7C31583C"/>
    <w:rsid w:val="7C340C6A"/>
    <w:rsid w:val="7C47C099"/>
    <w:rsid w:val="7C7218C2"/>
    <w:rsid w:val="7C8C7588"/>
    <w:rsid w:val="7C92FED0"/>
    <w:rsid w:val="7C9FFB06"/>
    <w:rsid w:val="7CD72DEE"/>
    <w:rsid w:val="7CD74C92"/>
    <w:rsid w:val="7CE48D43"/>
    <w:rsid w:val="7CEC23FD"/>
    <w:rsid w:val="7CF19567"/>
    <w:rsid w:val="7D133821"/>
    <w:rsid w:val="7D1DC5EF"/>
    <w:rsid w:val="7D35074B"/>
    <w:rsid w:val="7D53AFBE"/>
    <w:rsid w:val="7D542FB2"/>
    <w:rsid w:val="7D5E0AD2"/>
    <w:rsid w:val="7D75EC9F"/>
    <w:rsid w:val="7D8CE67D"/>
    <w:rsid w:val="7DAA9A3E"/>
    <w:rsid w:val="7DAD4DCF"/>
    <w:rsid w:val="7DC8D0A9"/>
    <w:rsid w:val="7DCB2BE8"/>
    <w:rsid w:val="7DD0AE7C"/>
    <w:rsid w:val="7DE23CF4"/>
    <w:rsid w:val="7DE390FA"/>
    <w:rsid w:val="7DF09B38"/>
    <w:rsid w:val="7DF53E6C"/>
    <w:rsid w:val="7E0C9145"/>
    <w:rsid w:val="7E106568"/>
    <w:rsid w:val="7E1C270B"/>
    <w:rsid w:val="7E317FF1"/>
    <w:rsid w:val="7E31F577"/>
    <w:rsid w:val="7E3D46C7"/>
    <w:rsid w:val="7E5BCCF6"/>
    <w:rsid w:val="7E5F7ADF"/>
    <w:rsid w:val="7E91DC69"/>
    <w:rsid w:val="7EA7EE7F"/>
    <w:rsid w:val="7EAD8144"/>
    <w:rsid w:val="7EE0E422"/>
    <w:rsid w:val="7EE78DD9"/>
    <w:rsid w:val="7EEE9536"/>
    <w:rsid w:val="7F016DD0"/>
    <w:rsid w:val="7F2843C0"/>
    <w:rsid w:val="7F41834E"/>
    <w:rsid w:val="7F47FB39"/>
    <w:rsid w:val="7F5C9211"/>
    <w:rsid w:val="7F606F0B"/>
    <w:rsid w:val="7F6AA0D4"/>
    <w:rsid w:val="7F7B9562"/>
    <w:rsid w:val="7F910ECD"/>
    <w:rsid w:val="7F9DEF66"/>
    <w:rsid w:val="7F9E28B2"/>
    <w:rsid w:val="7FB3D558"/>
    <w:rsid w:val="7FD94B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3"/>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annotation reference"/>
    <w:basedOn w:val="4"/>
    <w:semiHidden/>
    <w:unhideWhenUsed/>
    <w:uiPriority w:val="99"/>
    <w:rPr>
      <w:sz w:val="16"/>
      <w:szCs w:val="16"/>
    </w:rPr>
  </w:style>
  <w:style w:type="paragraph" w:styleId="7">
    <w:name w:val="annotation text"/>
    <w:basedOn w:val="1"/>
    <w:link w:val="15"/>
    <w:semiHidden/>
    <w:unhideWhenUsed/>
    <w:uiPriority w:val="99"/>
    <w:pPr>
      <w:spacing w:line="240" w:lineRule="auto"/>
    </w:pPr>
    <w:rPr>
      <w:sz w:val="20"/>
      <w:szCs w:val="20"/>
    </w:rPr>
  </w:style>
  <w:style w:type="character" w:styleId="8">
    <w:name w:val="Hyperlink"/>
    <w:basedOn w:val="4"/>
    <w:unhideWhenUsed/>
    <w:uiPriority w:val="99"/>
    <w:rPr>
      <w:color w:val="0563C1" w:themeColor="hyperlink"/>
      <w:u w:val="single"/>
      <w14:textFill>
        <w14:solidFill>
          <w14:schemeClr w14:val="hlink"/>
        </w14:solidFill>
      </w14:textFill>
    </w:rPr>
  </w:style>
  <w:style w:type="table" w:styleId="9">
    <w:name w:val="Table Grid"/>
    <w:basedOn w:val="5"/>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10">
    <w:name w:val="Title"/>
    <w:basedOn w:val="1"/>
    <w:next w:val="1"/>
    <w:link w:val="14"/>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11">
    <w:name w:val="List Paragraph"/>
    <w:basedOn w:val="1"/>
    <w:qFormat/>
    <w:uiPriority w:val="34"/>
    <w:pPr>
      <w:ind w:left="720"/>
      <w:contextualSpacing/>
    </w:pPr>
  </w:style>
  <w:style w:type="character" w:customStyle="1" w:styleId="12">
    <w:name w:val="Heading 1 Char"/>
    <w:basedOn w:val="4"/>
    <w:link w:val="2"/>
    <w:uiPriority w:val="9"/>
    <w:rPr>
      <w:rFonts w:asciiTheme="majorHAnsi" w:hAnsiTheme="majorHAnsi" w:eastAsiaTheme="majorEastAsia" w:cstheme="majorBidi"/>
      <w:color w:val="2F5597" w:themeColor="accent1" w:themeShade="BF"/>
      <w:sz w:val="32"/>
      <w:szCs w:val="32"/>
    </w:rPr>
  </w:style>
  <w:style w:type="character" w:customStyle="1" w:styleId="13">
    <w:name w:val="Heading 2 Char"/>
    <w:basedOn w:val="4"/>
    <w:link w:val="3"/>
    <w:uiPriority w:val="9"/>
    <w:rPr>
      <w:rFonts w:asciiTheme="majorHAnsi" w:hAnsiTheme="majorHAnsi" w:eastAsiaTheme="majorEastAsia" w:cstheme="majorBidi"/>
      <w:color w:val="2F5597" w:themeColor="accent1" w:themeShade="BF"/>
      <w:sz w:val="26"/>
      <w:szCs w:val="26"/>
    </w:rPr>
  </w:style>
  <w:style w:type="character" w:customStyle="1" w:styleId="14">
    <w:name w:val="Title Char"/>
    <w:basedOn w:val="4"/>
    <w:link w:val="10"/>
    <w:qFormat/>
    <w:uiPriority w:val="10"/>
    <w:rPr>
      <w:rFonts w:asciiTheme="majorHAnsi" w:hAnsiTheme="majorHAnsi" w:eastAsiaTheme="majorEastAsia" w:cstheme="majorBidi"/>
      <w:spacing w:val="-10"/>
      <w:kern w:val="28"/>
      <w:sz w:val="56"/>
      <w:szCs w:val="56"/>
    </w:rPr>
  </w:style>
  <w:style w:type="character" w:customStyle="1" w:styleId="15">
    <w:name w:val="Comment Text Char"/>
    <w:basedOn w:val="4"/>
    <w:link w:val="7"/>
    <w:semiHidden/>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A58350210E814BBEB002AE780B8382" ma:contentTypeVersion="7" ma:contentTypeDescription="Create a new document." ma:contentTypeScope="" ma:versionID="f575195bcbfde797c750e285e958cc7a">
  <xsd:schema xmlns:xsd="http://www.w3.org/2001/XMLSchema" xmlns:xs="http://www.w3.org/2001/XMLSchema" xmlns:p="http://schemas.microsoft.com/office/2006/metadata/properties" xmlns:ns2="b1041cbb-386b-44f6-b641-02b5dbaf478b" xmlns:ns3="5e42cc15-8001-4daf-9c3e-3ed861557cf0" targetNamespace="http://schemas.microsoft.com/office/2006/metadata/properties" ma:root="true" ma:fieldsID="0d053aaab952165165967501782f036a" ns2:_="" ns3:_="">
    <xsd:import namespace="b1041cbb-386b-44f6-b641-02b5dbaf478b"/>
    <xsd:import namespace="5e42cc15-8001-4daf-9c3e-3ed861557c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41cbb-386b-44f6-b641-02b5dbaf47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42cc15-8001-4daf-9c3e-3ed861557cf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C28F79-2799-4C98-8513-9DEB4C556A14}">
  <ds:schemaRefs/>
</ds:datastoreItem>
</file>

<file path=customXml/itemProps2.xml><?xml version="1.0" encoding="utf-8"?>
<ds:datastoreItem xmlns:ds="http://schemas.openxmlformats.org/officeDocument/2006/customXml" ds:itemID="{BC8BBA8A-514F-4017-B74F-1D70EC9BF2DF}">
  <ds:schemaRefs/>
</ds:datastoreItem>
</file>

<file path=customXml/itemProps3.xml><?xml version="1.0" encoding="utf-8"?>
<ds:datastoreItem xmlns:ds="http://schemas.openxmlformats.org/officeDocument/2006/customXml" ds:itemID="{3B5EFE60-C0AE-4675-A12A-1F32AB1452CD}">
  <ds:schemaRefs/>
</ds:datastoreItem>
</file>

<file path=customXml/itemProps4.xml><?xml version="1.0" encoding="utf-8"?>
<ds:datastoreItem xmlns:ds="http://schemas.openxmlformats.org/officeDocument/2006/customXml" ds:itemID="{399310F4-1966-4305-99D6-444DFB0A481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ScaleCrop>false</ScaleCrop>
  <LinksUpToDate>false</LinksUpToDate>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2022-10-25T12:14:00Z</dcterms:created>
  <dc:creator>Rachel Jenkins (2005748)</dc:creator>
  <cp:lastModifiedBy>Home</cp:lastModifiedBy>
  <dcterms:modified xsi:type="dcterms:W3CDTF">2023-04-24T10:46:57Z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0x010100FDA58350210E814BBEB002AE780B8382</vt:lpwstr>
  </property>
  <property fmtid="{D5CDD505-2E9C-101B-9397-08002B2CF9AE}" pid="3" name="KSOProductBuildVer">
    <vt:lpwstr>1033-11.2.0.11219</vt:lpwstr>
  </property>
  <property fmtid="{D5CDD505-2E9C-101B-9397-08002B2CF9AE}" pid="4" name="ICV">
    <vt:lpwstr>8A1C72099A3C4C2F80E4DBA33C3AA190</vt:lpwstr>
  </property>
</Properties>
</file>