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F4F6F" w14:textId="6BDDEDA8" w:rsidR="00356077" w:rsidRDefault="00356077"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Pr>
          <w:rFonts w:ascii="Arial" w:eastAsia="Times New Roman" w:hAnsi="Arial" w:cs="Arial"/>
          <w:b/>
          <w:bCs/>
          <w:noProof/>
          <w:color w:val="0F1115"/>
          <w:kern w:val="0"/>
          <w:sz w:val="22"/>
          <w:szCs w:val="22"/>
          <w:lang w:eastAsia="en-GB"/>
        </w:rPr>
        <w:drawing>
          <wp:anchor distT="0" distB="0" distL="114300" distR="114300" simplePos="0" relativeHeight="251658240" behindDoc="0" locked="0" layoutInCell="1" allowOverlap="1" wp14:anchorId="6F0766AC" wp14:editId="1324B364">
            <wp:simplePos x="0" y="0"/>
            <wp:positionH relativeFrom="page">
              <wp:align>left</wp:align>
            </wp:positionH>
            <wp:positionV relativeFrom="paragraph">
              <wp:posOffset>-914400</wp:posOffset>
            </wp:positionV>
            <wp:extent cx="7569200" cy="3964819"/>
            <wp:effectExtent l="0" t="0" r="0" b="0"/>
            <wp:wrapNone/>
            <wp:docPr id="407886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886910" name="Picture 407886910"/>
                    <pic:cNvPicPr/>
                  </pic:nvPicPr>
                  <pic:blipFill>
                    <a:blip r:embed="rId6">
                      <a:extLst>
                        <a:ext uri="{28A0092B-C50C-407E-A947-70E740481C1C}">
                          <a14:useLocalDpi xmlns:a14="http://schemas.microsoft.com/office/drawing/2010/main" val="0"/>
                        </a:ext>
                      </a:extLst>
                    </a:blip>
                    <a:stretch>
                      <a:fillRect/>
                    </a:stretch>
                  </pic:blipFill>
                  <pic:spPr>
                    <a:xfrm>
                      <a:off x="0" y="0"/>
                      <a:ext cx="7569200" cy="3964819"/>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7D30FF0D" w14:textId="77777777" w:rsidR="00356077" w:rsidRDefault="00356077">
      <w:pPr>
        <w:rPr>
          <w:rFonts w:ascii="Arial" w:eastAsia="Times New Roman" w:hAnsi="Arial" w:cs="Arial"/>
          <w:b/>
          <w:bCs/>
          <w:color w:val="0F1115"/>
          <w:kern w:val="0"/>
          <w:sz w:val="22"/>
          <w:szCs w:val="22"/>
          <w:lang w:eastAsia="en-GB"/>
          <w14:ligatures w14:val="none"/>
        </w:rPr>
      </w:pPr>
    </w:p>
    <w:p w14:paraId="5E4E6D66" w14:textId="77777777" w:rsidR="00356077" w:rsidRDefault="00356077">
      <w:pPr>
        <w:rPr>
          <w:rFonts w:ascii="Arial" w:eastAsia="Times New Roman" w:hAnsi="Arial" w:cs="Arial"/>
          <w:b/>
          <w:bCs/>
          <w:color w:val="0F1115"/>
          <w:kern w:val="0"/>
          <w:sz w:val="22"/>
          <w:szCs w:val="22"/>
          <w:lang w:eastAsia="en-GB"/>
          <w14:ligatures w14:val="none"/>
        </w:rPr>
      </w:pPr>
    </w:p>
    <w:p w14:paraId="6B067DBE" w14:textId="77777777" w:rsidR="00356077" w:rsidRDefault="00356077">
      <w:pPr>
        <w:rPr>
          <w:rFonts w:ascii="Arial" w:eastAsia="Times New Roman" w:hAnsi="Arial" w:cs="Arial"/>
          <w:b/>
          <w:bCs/>
          <w:color w:val="0F1115"/>
          <w:kern w:val="0"/>
          <w:sz w:val="22"/>
          <w:szCs w:val="22"/>
          <w:lang w:eastAsia="en-GB"/>
          <w14:ligatures w14:val="none"/>
        </w:rPr>
      </w:pPr>
    </w:p>
    <w:p w14:paraId="34C027DE" w14:textId="77777777" w:rsidR="00356077" w:rsidRDefault="00356077">
      <w:pPr>
        <w:rPr>
          <w:rFonts w:ascii="Arial" w:eastAsia="Times New Roman" w:hAnsi="Arial" w:cs="Arial"/>
          <w:b/>
          <w:bCs/>
          <w:color w:val="0F1115"/>
          <w:kern w:val="0"/>
          <w:sz w:val="22"/>
          <w:szCs w:val="22"/>
          <w:lang w:eastAsia="en-GB"/>
          <w14:ligatures w14:val="none"/>
        </w:rPr>
      </w:pPr>
    </w:p>
    <w:p w14:paraId="319CAD80" w14:textId="77777777" w:rsidR="00356077" w:rsidRDefault="00356077">
      <w:pPr>
        <w:rPr>
          <w:rFonts w:ascii="Arial" w:eastAsia="Times New Roman" w:hAnsi="Arial" w:cs="Arial"/>
          <w:b/>
          <w:bCs/>
          <w:color w:val="0F1115"/>
          <w:kern w:val="0"/>
          <w:sz w:val="22"/>
          <w:szCs w:val="22"/>
          <w:lang w:eastAsia="en-GB"/>
          <w14:ligatures w14:val="none"/>
        </w:rPr>
      </w:pPr>
    </w:p>
    <w:p w14:paraId="684AE80E" w14:textId="77777777" w:rsidR="00356077" w:rsidRDefault="00356077">
      <w:pPr>
        <w:rPr>
          <w:rFonts w:ascii="Arial" w:eastAsia="Times New Roman" w:hAnsi="Arial" w:cs="Arial"/>
          <w:b/>
          <w:bCs/>
          <w:color w:val="0F1115"/>
          <w:kern w:val="0"/>
          <w:sz w:val="22"/>
          <w:szCs w:val="22"/>
          <w:lang w:eastAsia="en-GB"/>
          <w14:ligatures w14:val="none"/>
        </w:rPr>
      </w:pPr>
    </w:p>
    <w:p w14:paraId="702C618F" w14:textId="77777777" w:rsidR="00356077" w:rsidRDefault="00356077">
      <w:pPr>
        <w:rPr>
          <w:rFonts w:ascii="Arial" w:eastAsia="Times New Roman" w:hAnsi="Arial" w:cs="Arial"/>
          <w:b/>
          <w:bCs/>
          <w:color w:val="0F1115"/>
          <w:kern w:val="0"/>
          <w:sz w:val="22"/>
          <w:szCs w:val="22"/>
          <w:lang w:eastAsia="en-GB"/>
          <w14:ligatures w14:val="none"/>
        </w:rPr>
      </w:pPr>
    </w:p>
    <w:p w14:paraId="47669409" w14:textId="77777777" w:rsidR="00356077" w:rsidRDefault="00356077">
      <w:pPr>
        <w:rPr>
          <w:rFonts w:ascii="Arial" w:eastAsia="Times New Roman" w:hAnsi="Arial" w:cs="Arial"/>
          <w:b/>
          <w:bCs/>
          <w:color w:val="0F1115"/>
          <w:kern w:val="0"/>
          <w:sz w:val="22"/>
          <w:szCs w:val="22"/>
          <w:lang w:eastAsia="en-GB"/>
          <w14:ligatures w14:val="none"/>
        </w:rPr>
      </w:pPr>
    </w:p>
    <w:p w14:paraId="43F563AF" w14:textId="77777777" w:rsidR="00356077" w:rsidRDefault="00356077">
      <w:pPr>
        <w:rPr>
          <w:rFonts w:ascii="Arial" w:eastAsia="Times New Roman" w:hAnsi="Arial" w:cs="Arial"/>
          <w:b/>
          <w:bCs/>
          <w:color w:val="0F1115"/>
          <w:kern w:val="0"/>
          <w:sz w:val="22"/>
          <w:szCs w:val="22"/>
          <w:lang w:eastAsia="en-GB"/>
          <w14:ligatures w14:val="none"/>
        </w:rPr>
      </w:pPr>
    </w:p>
    <w:p w14:paraId="2A5AB9BB" w14:textId="77777777" w:rsidR="00356077" w:rsidRDefault="00356077">
      <w:pPr>
        <w:rPr>
          <w:rFonts w:ascii="Arial" w:eastAsia="Times New Roman" w:hAnsi="Arial" w:cs="Arial"/>
          <w:b/>
          <w:bCs/>
          <w:color w:val="0F1115"/>
          <w:kern w:val="0"/>
          <w:sz w:val="22"/>
          <w:szCs w:val="22"/>
          <w:lang w:eastAsia="en-GB"/>
          <w14:ligatures w14:val="none"/>
        </w:rPr>
      </w:pPr>
    </w:p>
    <w:p w14:paraId="3C8DB59F" w14:textId="77777777" w:rsidR="00356077" w:rsidRDefault="00356077">
      <w:pPr>
        <w:rPr>
          <w:rFonts w:ascii="Arial" w:eastAsia="Times New Roman" w:hAnsi="Arial" w:cs="Arial"/>
          <w:b/>
          <w:bCs/>
          <w:color w:val="0F1115"/>
          <w:kern w:val="0"/>
          <w:sz w:val="22"/>
          <w:szCs w:val="22"/>
          <w:lang w:eastAsia="en-GB"/>
          <w14:ligatures w14:val="none"/>
        </w:rPr>
      </w:pPr>
    </w:p>
    <w:p w14:paraId="1D70997A" w14:textId="77777777" w:rsidR="00356077" w:rsidRDefault="00356077">
      <w:pPr>
        <w:rPr>
          <w:rFonts w:ascii="Arial" w:eastAsia="Times New Roman" w:hAnsi="Arial" w:cs="Arial"/>
          <w:b/>
          <w:bCs/>
          <w:color w:val="0F1115"/>
          <w:kern w:val="0"/>
          <w:sz w:val="22"/>
          <w:szCs w:val="22"/>
          <w:lang w:eastAsia="en-GB"/>
          <w14:ligatures w14:val="none"/>
        </w:rPr>
      </w:pPr>
    </w:p>
    <w:p w14:paraId="033E69B2" w14:textId="5ACEDF10" w:rsidR="002F32D8" w:rsidRPr="007B1DE2" w:rsidRDefault="00356077" w:rsidP="002F32D8">
      <w:pPr>
        <w:spacing w:after="0" w:line="240" w:lineRule="auto"/>
        <w:ind w:left="-1191" w:right="-1191"/>
        <w:jc w:val="center"/>
        <w:rPr>
          <w:rFonts w:ascii="Times New Roman" w:eastAsia="Times New Roman" w:hAnsi="Times New Roman" w:cs="Times New Roman"/>
          <w:b/>
          <w:bCs/>
          <w:color w:val="0F1115"/>
          <w:kern w:val="0"/>
          <w:sz w:val="72"/>
          <w:szCs w:val="72"/>
          <w:u w:val="single"/>
          <w:lang w:eastAsia="en-GB"/>
          <w14:ligatures w14:val="none"/>
        </w:rPr>
      </w:pPr>
      <w:r w:rsidRPr="007B1DE2">
        <w:rPr>
          <w:rFonts w:ascii="Times New Roman" w:eastAsia="Times New Roman" w:hAnsi="Times New Roman" w:cs="Times New Roman"/>
          <w:b/>
          <w:bCs/>
          <w:color w:val="0F1115"/>
          <w:kern w:val="0"/>
          <w:sz w:val="72"/>
          <w:szCs w:val="72"/>
          <w:u w:val="single"/>
          <w:lang w:eastAsia="en-GB"/>
          <w14:ligatures w14:val="none"/>
        </w:rPr>
        <w:t>Strategic management module</w:t>
      </w:r>
    </w:p>
    <w:p w14:paraId="4FA9AE1B" w14:textId="5EE2B1F7" w:rsidR="00356077" w:rsidRPr="007B1DE2" w:rsidRDefault="00484719" w:rsidP="00484719">
      <w:pPr>
        <w:spacing w:after="0" w:line="240" w:lineRule="auto"/>
        <w:jc w:val="center"/>
        <w:rPr>
          <w:rFonts w:ascii="Arial" w:eastAsia="Times New Roman" w:hAnsi="Arial" w:cs="Arial"/>
          <w:b/>
          <w:bCs/>
          <w:color w:val="0F1115"/>
          <w:kern w:val="0"/>
          <w:sz w:val="22"/>
          <w:szCs w:val="22"/>
          <w:u w:val="single"/>
          <w:lang w:eastAsia="en-GB"/>
          <w14:ligatures w14:val="none"/>
        </w:rPr>
      </w:pPr>
      <w:r w:rsidRPr="007B1DE2">
        <w:rPr>
          <w:rFonts w:ascii="Arial" w:eastAsia="Times New Roman" w:hAnsi="Arial" w:cs="Arial"/>
          <w:b/>
          <w:bCs/>
          <w:color w:val="0F1115"/>
          <w:kern w:val="0"/>
          <w:sz w:val="22"/>
          <w:szCs w:val="22"/>
          <w:u w:val="single"/>
          <w:lang w:eastAsia="en-GB"/>
          <w14:ligatures w14:val="none"/>
        </w:rPr>
        <w:t>Strategics</w:t>
      </w:r>
      <w:r w:rsidR="00356077" w:rsidRPr="007B1DE2">
        <w:rPr>
          <w:rFonts w:ascii="Arial" w:eastAsia="Times New Roman" w:hAnsi="Arial" w:cs="Arial"/>
          <w:b/>
          <w:bCs/>
          <w:color w:val="0F1115"/>
          <w:kern w:val="0"/>
          <w:sz w:val="22"/>
          <w:szCs w:val="22"/>
          <w:u w:val="single"/>
          <w:lang w:eastAsia="en-GB"/>
          <w14:ligatures w14:val="none"/>
        </w:rPr>
        <w:t xml:space="preserve"> management for business</w:t>
      </w:r>
    </w:p>
    <w:p w14:paraId="141A84E6" w14:textId="77777777" w:rsidR="00484719" w:rsidRDefault="00484719" w:rsidP="00484719">
      <w:pPr>
        <w:rPr>
          <w:rFonts w:ascii="Arial" w:eastAsia="Times New Roman" w:hAnsi="Arial" w:cs="Arial"/>
          <w:b/>
          <w:bCs/>
          <w:color w:val="0F1115"/>
          <w:kern w:val="0"/>
          <w:sz w:val="22"/>
          <w:szCs w:val="22"/>
          <w:lang w:eastAsia="en-GB"/>
          <w14:ligatures w14:val="none"/>
        </w:rPr>
      </w:pPr>
    </w:p>
    <w:p w14:paraId="208DAD7A" w14:textId="77777777" w:rsidR="007B1DE2" w:rsidRDefault="007B1DE2" w:rsidP="007B1DE2">
      <w:pPr>
        <w:jc w:val="center"/>
        <w:rPr>
          <w:rFonts w:ascii="Arial" w:eastAsia="Times New Roman" w:hAnsi="Arial" w:cs="Arial"/>
          <w:b/>
          <w:bCs/>
          <w:color w:val="0F1115"/>
          <w:kern w:val="0"/>
          <w:sz w:val="32"/>
          <w:szCs w:val="32"/>
          <w:lang w:eastAsia="en-GB"/>
          <w14:ligatures w14:val="none"/>
        </w:rPr>
      </w:pPr>
    </w:p>
    <w:p w14:paraId="1060651E" w14:textId="78103351" w:rsidR="00484719" w:rsidRPr="007B1DE2" w:rsidRDefault="007B1DE2" w:rsidP="007B1DE2">
      <w:pPr>
        <w:jc w:val="center"/>
        <w:rPr>
          <w:rFonts w:ascii="Arial" w:eastAsia="Times New Roman" w:hAnsi="Arial" w:cs="Arial"/>
          <w:color w:val="0F1115"/>
          <w:kern w:val="0"/>
          <w:sz w:val="32"/>
          <w:szCs w:val="32"/>
          <w:lang w:eastAsia="en-GB"/>
          <w14:ligatures w14:val="none"/>
        </w:rPr>
      </w:pPr>
      <w:r w:rsidRPr="007B1DE2">
        <w:rPr>
          <w:rFonts w:ascii="Arial" w:eastAsia="Times New Roman" w:hAnsi="Arial" w:cs="Arial"/>
          <w:color w:val="0F1115"/>
          <w:kern w:val="0"/>
          <w:sz w:val="32"/>
          <w:szCs w:val="32"/>
          <w:lang w:eastAsia="en-GB"/>
          <w14:ligatures w14:val="none"/>
        </w:rPr>
        <w:t>VODAFONE-THREE MERGER REPORT</w:t>
      </w:r>
    </w:p>
    <w:p w14:paraId="627C03B6" w14:textId="77777777" w:rsidR="00484719" w:rsidRDefault="00484719" w:rsidP="00484719">
      <w:pPr>
        <w:rPr>
          <w:rFonts w:ascii="Arial" w:eastAsia="Times New Roman" w:hAnsi="Arial" w:cs="Arial"/>
          <w:b/>
          <w:bCs/>
          <w:color w:val="0F1115"/>
          <w:kern w:val="0"/>
          <w:sz w:val="22"/>
          <w:szCs w:val="22"/>
          <w:lang w:eastAsia="en-GB"/>
          <w14:ligatures w14:val="none"/>
        </w:rPr>
      </w:pPr>
    </w:p>
    <w:p w14:paraId="4D9DFA00" w14:textId="77777777" w:rsidR="007B1DE2" w:rsidRDefault="007B1DE2" w:rsidP="00484719">
      <w:pPr>
        <w:rPr>
          <w:rFonts w:ascii="Arial" w:eastAsia="Times New Roman" w:hAnsi="Arial" w:cs="Arial"/>
          <w:b/>
          <w:bCs/>
          <w:color w:val="0F1115"/>
          <w:kern w:val="0"/>
          <w:sz w:val="22"/>
          <w:szCs w:val="22"/>
          <w:lang w:eastAsia="en-GB"/>
          <w14:ligatures w14:val="none"/>
        </w:rPr>
      </w:pPr>
    </w:p>
    <w:p w14:paraId="1EEB265F" w14:textId="77777777" w:rsidR="002F32D8" w:rsidRDefault="002F32D8" w:rsidP="00484719">
      <w:pPr>
        <w:rPr>
          <w:rFonts w:ascii="Arial" w:eastAsia="Times New Roman" w:hAnsi="Arial" w:cs="Arial"/>
          <w:b/>
          <w:bCs/>
          <w:color w:val="0F1115"/>
          <w:kern w:val="0"/>
          <w:sz w:val="22"/>
          <w:szCs w:val="22"/>
          <w:lang w:eastAsia="en-GB"/>
          <w14:ligatures w14:val="none"/>
        </w:rPr>
      </w:pPr>
    </w:p>
    <w:p w14:paraId="75E795BE" w14:textId="4D505C20" w:rsidR="00356077" w:rsidRDefault="00484719" w:rsidP="00484719">
      <w:pPr>
        <w:rPr>
          <w:rFonts w:ascii="Arial" w:eastAsia="Times New Roman" w:hAnsi="Arial" w:cs="Arial"/>
          <w:b/>
          <w:bCs/>
          <w:color w:val="0F1115"/>
          <w:kern w:val="0"/>
          <w:sz w:val="22"/>
          <w:szCs w:val="22"/>
          <w:lang w:eastAsia="en-GB"/>
          <w14:ligatures w14:val="none"/>
        </w:rPr>
      </w:pPr>
      <w:r>
        <w:rPr>
          <w:rFonts w:ascii="Arial" w:eastAsia="Times New Roman" w:hAnsi="Arial" w:cs="Arial"/>
          <w:b/>
          <w:bCs/>
          <w:color w:val="0F1115"/>
          <w:kern w:val="0"/>
          <w:sz w:val="22"/>
          <w:szCs w:val="22"/>
          <w:lang w:eastAsia="en-GB"/>
          <w14:ligatures w14:val="none"/>
        </w:rPr>
        <w:t>STUDENT NAME</w:t>
      </w:r>
      <w:r w:rsidR="00356077">
        <w:rPr>
          <w:rFonts w:ascii="Arial" w:eastAsia="Times New Roman" w:hAnsi="Arial" w:cs="Arial"/>
          <w:b/>
          <w:bCs/>
          <w:color w:val="0F1115"/>
          <w:kern w:val="0"/>
          <w:sz w:val="22"/>
          <w:szCs w:val="22"/>
          <w:lang w:eastAsia="en-GB"/>
          <w14:ligatures w14:val="none"/>
        </w:rPr>
        <w:t>: Jhonson Miguel Reyes Jaime</w:t>
      </w:r>
    </w:p>
    <w:p w14:paraId="386DA6D3" w14:textId="6E1ADE4A" w:rsidR="00356077" w:rsidRDefault="00484719" w:rsidP="00484719">
      <w:pPr>
        <w:rPr>
          <w:rFonts w:ascii="Arial" w:eastAsia="Times New Roman" w:hAnsi="Arial" w:cs="Arial"/>
          <w:b/>
          <w:bCs/>
          <w:color w:val="0F1115"/>
          <w:kern w:val="0"/>
          <w:sz w:val="22"/>
          <w:szCs w:val="22"/>
          <w:lang w:eastAsia="en-GB"/>
          <w14:ligatures w14:val="none"/>
        </w:rPr>
      </w:pPr>
      <w:r>
        <w:rPr>
          <w:rFonts w:ascii="Arial" w:eastAsia="Times New Roman" w:hAnsi="Arial" w:cs="Arial"/>
          <w:b/>
          <w:bCs/>
          <w:color w:val="0F1115"/>
          <w:kern w:val="0"/>
          <w:sz w:val="22"/>
          <w:szCs w:val="22"/>
          <w:lang w:eastAsia="en-GB"/>
          <w14:ligatures w14:val="none"/>
        </w:rPr>
        <w:t>PROFESSOR</w:t>
      </w:r>
      <w:r w:rsidR="00356077">
        <w:rPr>
          <w:rFonts w:ascii="Arial" w:eastAsia="Times New Roman" w:hAnsi="Arial" w:cs="Arial"/>
          <w:b/>
          <w:bCs/>
          <w:color w:val="0F1115"/>
          <w:kern w:val="0"/>
          <w:sz w:val="22"/>
          <w:szCs w:val="22"/>
          <w:lang w:eastAsia="en-GB"/>
          <w14:ligatures w14:val="none"/>
        </w:rPr>
        <w:t>: Md Kalam</w:t>
      </w:r>
    </w:p>
    <w:p w14:paraId="136CF353" w14:textId="6C441EE1" w:rsidR="00484719" w:rsidRDefault="00484719" w:rsidP="00484719">
      <w:pPr>
        <w:rPr>
          <w:rFonts w:ascii="Arial" w:eastAsia="Times New Roman" w:hAnsi="Arial" w:cs="Arial"/>
          <w:b/>
          <w:bCs/>
          <w:color w:val="0F1115"/>
          <w:kern w:val="0"/>
          <w:sz w:val="22"/>
          <w:szCs w:val="22"/>
          <w:lang w:eastAsia="en-GB"/>
          <w14:ligatures w14:val="none"/>
        </w:rPr>
      </w:pPr>
      <w:r>
        <w:rPr>
          <w:rFonts w:ascii="Arial" w:eastAsia="Times New Roman" w:hAnsi="Arial" w:cs="Arial"/>
          <w:b/>
          <w:bCs/>
          <w:color w:val="0F1115"/>
          <w:kern w:val="0"/>
          <w:sz w:val="22"/>
          <w:szCs w:val="22"/>
          <w:lang w:eastAsia="en-GB"/>
          <w14:ligatures w14:val="none"/>
        </w:rPr>
        <w:t>MODULE CODE: LCLM6001</w:t>
      </w:r>
    </w:p>
    <w:p w14:paraId="6F6FAB5C" w14:textId="45436D6C" w:rsidR="007B1DE2" w:rsidRDefault="007B1DE2" w:rsidP="00484719">
      <w:pPr>
        <w:rPr>
          <w:rFonts w:ascii="Arial" w:eastAsia="Times New Roman" w:hAnsi="Arial" w:cs="Arial"/>
          <w:b/>
          <w:bCs/>
          <w:color w:val="0F1115"/>
          <w:kern w:val="0"/>
          <w:sz w:val="22"/>
          <w:szCs w:val="22"/>
          <w:lang w:eastAsia="en-GB"/>
          <w14:ligatures w14:val="none"/>
        </w:rPr>
      </w:pPr>
      <w:r>
        <w:rPr>
          <w:rFonts w:ascii="Arial" w:eastAsia="Times New Roman" w:hAnsi="Arial" w:cs="Arial"/>
          <w:b/>
          <w:bCs/>
          <w:color w:val="0F1115"/>
          <w:kern w:val="0"/>
          <w:sz w:val="22"/>
          <w:szCs w:val="22"/>
          <w:lang w:eastAsia="en-GB"/>
          <w14:ligatures w14:val="none"/>
        </w:rPr>
        <w:t>STUDENT NUMBER: 2337088</w:t>
      </w:r>
    </w:p>
    <w:p w14:paraId="65670CC0" w14:textId="1029173B" w:rsidR="00356077" w:rsidRDefault="00356077">
      <w:pPr>
        <w:rPr>
          <w:rFonts w:ascii="Arial" w:eastAsia="Times New Roman" w:hAnsi="Arial" w:cs="Arial"/>
          <w:b/>
          <w:bCs/>
          <w:color w:val="0F1115"/>
          <w:kern w:val="0"/>
          <w:sz w:val="22"/>
          <w:szCs w:val="22"/>
          <w:lang w:eastAsia="en-GB"/>
          <w14:ligatures w14:val="none"/>
        </w:rPr>
      </w:pPr>
      <w:r>
        <w:rPr>
          <w:rFonts w:ascii="Arial" w:eastAsia="Times New Roman" w:hAnsi="Arial" w:cs="Arial"/>
          <w:b/>
          <w:bCs/>
          <w:color w:val="0F1115"/>
          <w:kern w:val="0"/>
          <w:sz w:val="22"/>
          <w:szCs w:val="22"/>
          <w:lang w:eastAsia="en-GB"/>
          <w14:ligatures w14:val="none"/>
        </w:rPr>
        <w:br w:type="page"/>
      </w:r>
    </w:p>
    <w:p w14:paraId="06AC7770" w14:textId="6777438B" w:rsidR="00FB4ACE" w:rsidRPr="00253FA8" w:rsidRDefault="00FB4ACE"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253FA8">
        <w:rPr>
          <w:rFonts w:ascii="Arial" w:eastAsia="Times New Roman" w:hAnsi="Arial" w:cs="Arial"/>
          <w:b/>
          <w:bCs/>
          <w:color w:val="0F1115"/>
          <w:kern w:val="0"/>
          <w:sz w:val="22"/>
          <w:szCs w:val="22"/>
          <w:lang w:eastAsia="en-GB"/>
          <w14:ligatures w14:val="none"/>
        </w:rPr>
        <w:lastRenderedPageBreak/>
        <w:t> Executive Summary</w:t>
      </w:r>
    </w:p>
    <w:p w14:paraId="0089904D" w14:textId="77777777" w:rsidR="00253FA8" w:rsidRPr="00253FA8" w:rsidRDefault="00253FA8" w:rsidP="00253FA8">
      <w:pPr>
        <w:spacing w:after="0" w:line="360" w:lineRule="auto"/>
        <w:jc w:val="both"/>
        <w:outlineLvl w:val="0"/>
        <w:rPr>
          <w:rFonts w:ascii="Arial" w:eastAsia="Times New Roman" w:hAnsi="Arial" w:cs="Arial"/>
          <w:color w:val="0F1115"/>
          <w:kern w:val="0"/>
          <w:sz w:val="22"/>
          <w:szCs w:val="22"/>
          <w:lang w:eastAsia="en-GB"/>
          <w14:ligatures w14:val="none"/>
        </w:rPr>
      </w:pPr>
      <w:r w:rsidRPr="00253FA8">
        <w:rPr>
          <w:rFonts w:ascii="Arial" w:eastAsia="Times New Roman" w:hAnsi="Arial" w:cs="Arial"/>
          <w:color w:val="0F1115"/>
          <w:kern w:val="0"/>
          <w:sz w:val="22"/>
          <w:szCs w:val="22"/>
          <w:lang w:eastAsia="en-GB"/>
          <w14:ligatures w14:val="none"/>
        </w:rPr>
        <w:t>Vodafone UK completed its landmark merger with Three UK on 31 May 2025, creating the nation's largest mobile operator with ~27 million customers and the most extensive spectrum portfolio. This report analyses Vodafone's strategic position and recommends a focused differentiation strategy leveraging enhanced network capabilities to establish Vodafone Three as the UK's undisputed network leader.</w:t>
      </w:r>
    </w:p>
    <w:p w14:paraId="3871789E" w14:textId="77777777" w:rsidR="00253FA8" w:rsidRPr="00253FA8" w:rsidRDefault="00253FA8" w:rsidP="00253FA8">
      <w:pPr>
        <w:spacing w:after="0" w:line="360" w:lineRule="auto"/>
        <w:jc w:val="both"/>
        <w:outlineLvl w:val="0"/>
        <w:rPr>
          <w:rFonts w:ascii="Arial" w:eastAsia="Times New Roman" w:hAnsi="Arial" w:cs="Arial"/>
          <w:color w:val="0F1115"/>
          <w:kern w:val="0"/>
          <w:sz w:val="22"/>
          <w:szCs w:val="22"/>
          <w:lang w:eastAsia="en-GB"/>
          <w14:ligatures w14:val="none"/>
        </w:rPr>
      </w:pPr>
      <w:r w:rsidRPr="00253FA8">
        <w:rPr>
          <w:rFonts w:ascii="Arial" w:eastAsia="Times New Roman" w:hAnsi="Arial" w:cs="Arial"/>
          <w:color w:val="0F1115"/>
          <w:kern w:val="0"/>
          <w:sz w:val="22"/>
          <w:szCs w:val="22"/>
          <w:lang w:eastAsia="en-GB"/>
          <w14:ligatures w14:val="none"/>
        </w:rPr>
        <w:t>The strategic priority is 5G standalone leadership, backed by an £11 billion decade-long investment programme, alongside operational excellence through £700 million in annual synergies. The approach rests on three pillars: customer experience excellence, monetisation of 5G-enabled services, and disciplined cost management via operational simplification.</w:t>
      </w:r>
    </w:p>
    <w:p w14:paraId="742D2A66" w14:textId="77777777" w:rsidR="00253FA8" w:rsidRPr="00253FA8" w:rsidRDefault="00253FA8" w:rsidP="00253FA8">
      <w:pPr>
        <w:spacing w:after="0" w:line="360" w:lineRule="auto"/>
        <w:jc w:val="both"/>
        <w:outlineLvl w:val="0"/>
        <w:rPr>
          <w:rFonts w:ascii="Arial" w:eastAsia="Times New Roman" w:hAnsi="Arial" w:cs="Arial"/>
          <w:color w:val="0F1115"/>
          <w:kern w:val="0"/>
          <w:sz w:val="22"/>
          <w:szCs w:val="22"/>
          <w:lang w:eastAsia="en-GB"/>
          <w14:ligatures w14:val="none"/>
        </w:rPr>
      </w:pPr>
      <w:r w:rsidRPr="00253FA8">
        <w:rPr>
          <w:rFonts w:ascii="Arial" w:eastAsia="Times New Roman" w:hAnsi="Arial" w:cs="Arial"/>
          <w:color w:val="0F1115"/>
          <w:kern w:val="0"/>
          <w:sz w:val="22"/>
          <w:szCs w:val="22"/>
          <w:lang w:eastAsia="en-GB"/>
          <w14:ligatures w14:val="none"/>
        </w:rPr>
        <w:t>The strategy is suitable, acceptable and feasible for Vodafone's current position. Implementation requires focused execution over five years, with KPIs tracking service revenue, synergy delivery, 5G coverage, and customer satisfaction. This addresses competitive pressures from BT/EE and Virgin Media O2 while aligning with Vodafone's purpose to "connect for a better future." With strong execution, Vodafone Three is well-positioned for sustainable growth and long-term value.</w:t>
      </w:r>
    </w:p>
    <w:p w14:paraId="7B16933F" w14:textId="77777777" w:rsidR="00253FA8" w:rsidRPr="00253FA8" w:rsidRDefault="00253FA8" w:rsidP="00253FA8">
      <w:pPr>
        <w:spacing w:after="0" w:line="360" w:lineRule="auto"/>
        <w:jc w:val="both"/>
        <w:outlineLvl w:val="0"/>
        <w:rPr>
          <w:rFonts w:ascii="Arial" w:eastAsia="Times New Roman" w:hAnsi="Arial" w:cs="Arial"/>
          <w:color w:val="0F1115"/>
          <w:kern w:val="0"/>
          <w:sz w:val="22"/>
          <w:szCs w:val="22"/>
          <w:lang w:eastAsia="en-GB"/>
          <w14:ligatures w14:val="none"/>
        </w:rPr>
      </w:pPr>
    </w:p>
    <w:p w14:paraId="79AC4C12" w14:textId="77777777" w:rsidR="00FB4ACE" w:rsidRPr="00253FA8" w:rsidRDefault="00FB4ACE"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253FA8">
        <w:rPr>
          <w:rFonts w:ascii="Arial" w:eastAsia="Times New Roman" w:hAnsi="Arial" w:cs="Arial"/>
          <w:b/>
          <w:bCs/>
          <w:color w:val="0F1115"/>
          <w:kern w:val="0"/>
          <w:sz w:val="22"/>
          <w:szCs w:val="22"/>
          <w:lang w:eastAsia="en-GB"/>
          <w14:ligatures w14:val="none"/>
        </w:rPr>
        <w:t>2. Introduction to Vodafone</w:t>
      </w:r>
    </w:p>
    <w:p w14:paraId="76967DF0" w14:textId="77777777" w:rsidR="00D474EA" w:rsidRPr="00253FA8" w:rsidRDefault="00D474EA"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340F8E15" w14:textId="77777777" w:rsidR="00253FA8" w:rsidRPr="00253FA8" w:rsidRDefault="00253FA8" w:rsidP="00253FA8">
      <w:pPr>
        <w:spacing w:after="0" w:line="360" w:lineRule="auto"/>
        <w:jc w:val="both"/>
        <w:outlineLvl w:val="0"/>
        <w:rPr>
          <w:rFonts w:ascii="Arial" w:eastAsia="Times New Roman" w:hAnsi="Arial" w:cs="Arial"/>
          <w:color w:val="0F1115"/>
          <w:kern w:val="0"/>
          <w:sz w:val="22"/>
          <w:szCs w:val="22"/>
          <w:lang w:eastAsia="en-GB"/>
          <w14:ligatures w14:val="none"/>
        </w:rPr>
      </w:pPr>
      <w:r w:rsidRPr="00253FA8">
        <w:rPr>
          <w:rFonts w:ascii="Arial" w:eastAsia="Times New Roman" w:hAnsi="Arial" w:cs="Arial"/>
          <w:color w:val="0F1115"/>
          <w:kern w:val="0"/>
          <w:sz w:val="22"/>
          <w:szCs w:val="22"/>
          <w:lang w:eastAsia="en-GB"/>
          <w14:ligatures w14:val="none"/>
        </w:rPr>
        <w:t>Vodafone Group is a leading European and African telecom provider serving 355 million customers across 15 countries. In the UK, it has historically competed with BT/EE and Virgin Media O2 in an intensely concentrated market. CEO Margherita Della Valle's strategic transformation since May 2023 has reshaped operations around efficiency, portfolio optimisation, and customer experience.</w:t>
      </w:r>
    </w:p>
    <w:p w14:paraId="53CA8C2D" w14:textId="77777777" w:rsidR="00253FA8" w:rsidRPr="00253FA8" w:rsidRDefault="00253FA8" w:rsidP="00253FA8">
      <w:pPr>
        <w:spacing w:after="0" w:line="360" w:lineRule="auto"/>
        <w:jc w:val="both"/>
        <w:outlineLvl w:val="0"/>
        <w:rPr>
          <w:rFonts w:ascii="Arial" w:eastAsia="Times New Roman" w:hAnsi="Arial" w:cs="Arial"/>
          <w:color w:val="0F1115"/>
          <w:kern w:val="0"/>
          <w:sz w:val="22"/>
          <w:szCs w:val="22"/>
          <w:lang w:eastAsia="en-GB"/>
          <w14:ligatures w14:val="none"/>
        </w:rPr>
      </w:pPr>
      <w:r w:rsidRPr="00253FA8">
        <w:rPr>
          <w:rFonts w:ascii="Arial" w:eastAsia="Times New Roman" w:hAnsi="Arial" w:cs="Arial"/>
          <w:color w:val="0F1115"/>
          <w:kern w:val="0"/>
          <w:sz w:val="22"/>
          <w:szCs w:val="22"/>
          <w:lang w:eastAsia="en-GB"/>
          <w14:ligatures w14:val="none"/>
        </w:rPr>
        <w:t>The vision is to become "best-in-class in Europe &amp; Africa" and "Europe's leading platform for Business." Its purpose—"connect for a better future"—is delivered through three pillars: empowering people, protecting the planet (net zero by 2040), and maintaining trust. The "Spirit of Vodafone" values emphasise customers, simplicity, and integrity, having reduced over four million "deep detractors" Group-wide.</w:t>
      </w:r>
    </w:p>
    <w:p w14:paraId="1C707E4E" w14:textId="77777777" w:rsidR="00253FA8" w:rsidRPr="00253FA8" w:rsidRDefault="00253FA8" w:rsidP="00253FA8">
      <w:pPr>
        <w:spacing w:after="0" w:line="360" w:lineRule="auto"/>
        <w:jc w:val="both"/>
        <w:outlineLvl w:val="0"/>
        <w:rPr>
          <w:rFonts w:ascii="Arial" w:eastAsia="Times New Roman" w:hAnsi="Arial" w:cs="Arial"/>
          <w:color w:val="0F1115"/>
          <w:kern w:val="0"/>
          <w:sz w:val="22"/>
          <w:szCs w:val="22"/>
          <w:lang w:eastAsia="en-GB"/>
          <w14:ligatures w14:val="none"/>
        </w:rPr>
      </w:pPr>
      <w:r w:rsidRPr="00253FA8">
        <w:rPr>
          <w:rFonts w:ascii="Arial" w:eastAsia="Times New Roman" w:hAnsi="Arial" w:cs="Arial"/>
          <w:color w:val="0F1115"/>
          <w:kern w:val="0"/>
          <w:sz w:val="22"/>
          <w:szCs w:val="22"/>
          <w:lang w:eastAsia="en-GB"/>
          <w14:ligatures w14:val="none"/>
        </w:rPr>
        <w:t>The £16.5 billion merger with Three UK (completed 31 May 2025) is a watershed moment. The combined entity, Vodafone Three (51% Vodafone, 49% CK Hutchison), serves 27 million customers. Approved by the CMA on 5 December 2024—the first 4-to-3 mobile merger based on behavioural remedies—it has already delivered early benefits: MOCN integration across 8,000 sites ahead of schedule, improved 4G speeds, and elimination of 16,500 km² of coverage "not-spots." Backed by an £11 billion decade-long 5G standalone investment, Vodafone Three now holds the UK's most extensive spectrum portfolio.</w:t>
      </w:r>
    </w:p>
    <w:p w14:paraId="1C74F538" w14:textId="4E5EEA16" w:rsidR="00FB4ACE" w:rsidRPr="00253FA8" w:rsidRDefault="00FB4ACE" w:rsidP="00D474EA">
      <w:pPr>
        <w:spacing w:after="0" w:line="360" w:lineRule="auto"/>
        <w:jc w:val="both"/>
        <w:outlineLvl w:val="0"/>
        <w:rPr>
          <w:rFonts w:ascii="Arial" w:eastAsia="Times New Roman" w:hAnsi="Arial" w:cs="Arial"/>
          <w:color w:val="0F1115"/>
          <w:kern w:val="0"/>
          <w:sz w:val="22"/>
          <w:szCs w:val="22"/>
          <w:lang w:eastAsia="en-GB"/>
          <w14:ligatures w14:val="none"/>
        </w:rPr>
      </w:pPr>
    </w:p>
    <w:p w14:paraId="4DF02F4C" w14:textId="77777777" w:rsidR="00FB4ACE" w:rsidRPr="00253FA8" w:rsidRDefault="00FB4ACE"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253FA8">
        <w:rPr>
          <w:rFonts w:ascii="Arial" w:eastAsia="Times New Roman" w:hAnsi="Arial" w:cs="Arial"/>
          <w:b/>
          <w:bCs/>
          <w:color w:val="0F1115"/>
          <w:kern w:val="0"/>
          <w:sz w:val="22"/>
          <w:szCs w:val="22"/>
          <w:lang w:eastAsia="en-GB"/>
          <w14:ligatures w14:val="none"/>
        </w:rPr>
        <w:lastRenderedPageBreak/>
        <w:t>3. Evaluation of Current Market Situation</w:t>
      </w:r>
    </w:p>
    <w:p w14:paraId="12535B2B" w14:textId="77777777" w:rsidR="00FB4ACE" w:rsidRPr="00253FA8" w:rsidRDefault="00FB4ACE"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253FA8">
        <w:rPr>
          <w:rFonts w:ascii="Arial" w:eastAsia="Times New Roman" w:hAnsi="Arial" w:cs="Arial"/>
          <w:b/>
          <w:bCs/>
          <w:color w:val="0F1115"/>
          <w:kern w:val="0"/>
          <w:sz w:val="22"/>
          <w:szCs w:val="22"/>
          <w:lang w:eastAsia="en-GB"/>
          <w14:ligatures w14:val="none"/>
        </w:rPr>
        <w:t>3.1 PESTLE Analysis</w:t>
      </w:r>
    </w:p>
    <w:p w14:paraId="22DD2AF5" w14:textId="77777777" w:rsidR="00FB4ACE" w:rsidRPr="00253FA8" w:rsidRDefault="00FB4ACE"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253FA8">
        <w:rPr>
          <w:rFonts w:ascii="Arial" w:eastAsia="Times New Roman" w:hAnsi="Arial" w:cs="Arial"/>
          <w:b/>
          <w:bCs/>
          <w:color w:val="0F1115"/>
          <w:kern w:val="0"/>
          <w:sz w:val="22"/>
          <w:szCs w:val="22"/>
          <w:lang w:eastAsia="en-GB"/>
          <w14:ligatures w14:val="none"/>
        </w:rPr>
        <w:t>Political Factors</w:t>
      </w:r>
    </w:p>
    <w:p w14:paraId="7C1B8A4D" w14:textId="77777777" w:rsidR="00253FA8" w:rsidRPr="00253FA8" w:rsidRDefault="00253FA8" w:rsidP="00253FA8">
      <w:pPr>
        <w:spacing w:after="0" w:line="360" w:lineRule="auto"/>
        <w:jc w:val="both"/>
        <w:outlineLvl w:val="0"/>
        <w:rPr>
          <w:rFonts w:ascii="Arial" w:eastAsia="Times New Roman" w:hAnsi="Arial" w:cs="Arial"/>
          <w:color w:val="0F1115"/>
          <w:kern w:val="0"/>
          <w:sz w:val="22"/>
          <w:szCs w:val="22"/>
          <w:lang w:eastAsia="en-GB"/>
          <w14:ligatures w14:val="none"/>
        </w:rPr>
      </w:pPr>
      <w:r w:rsidRPr="00253FA8">
        <w:rPr>
          <w:rFonts w:ascii="Arial" w:eastAsia="Times New Roman" w:hAnsi="Arial" w:cs="Arial"/>
          <w:color w:val="0F1115"/>
          <w:kern w:val="0"/>
          <w:sz w:val="22"/>
          <w:szCs w:val="22"/>
          <w:lang w:eastAsia="en-GB"/>
          <w14:ligatures w14:val="none"/>
        </w:rPr>
        <w:t>The UK regulatory environment has evolved favourably for Vodafone. The CMA approved the Vodafone-Three merger following a Phase 2 review, concluding it was "pro-growth, pro-customer, pro-investment and pro-competition." This signals government support for consolidation enabling network investment. As merger conditions, Vodafone Three agreed to behavioural commitments addressing retail and wholesale services for MVNOs including Tesco Mobile and Sky Mobile. The CMA calculated that without remedies, the merger could cost consumers £216 million annually. The government's digital infrastructure commitment aligns with Vodafone's objectives.</w:t>
      </w:r>
    </w:p>
    <w:p w14:paraId="479593AC" w14:textId="77777777" w:rsidR="00253FA8" w:rsidRPr="00253FA8" w:rsidRDefault="00253FA8" w:rsidP="00253FA8">
      <w:pPr>
        <w:spacing w:after="0" w:line="360" w:lineRule="auto"/>
        <w:jc w:val="both"/>
        <w:outlineLvl w:val="0"/>
        <w:rPr>
          <w:rFonts w:ascii="Arial" w:eastAsia="Times New Roman" w:hAnsi="Arial" w:cs="Arial"/>
          <w:color w:val="0F1115"/>
          <w:kern w:val="0"/>
          <w:sz w:val="22"/>
          <w:szCs w:val="22"/>
          <w:lang w:eastAsia="en-GB"/>
          <w14:ligatures w14:val="none"/>
        </w:rPr>
      </w:pPr>
      <w:r w:rsidRPr="00253FA8">
        <w:rPr>
          <w:rFonts w:ascii="Arial" w:eastAsia="Times New Roman" w:hAnsi="Arial" w:cs="Arial"/>
          <w:b/>
          <w:bCs/>
          <w:color w:val="0F1115"/>
          <w:kern w:val="0"/>
          <w:sz w:val="22"/>
          <w:szCs w:val="22"/>
          <w:lang w:eastAsia="en-GB"/>
          <w14:ligatures w14:val="none"/>
        </w:rPr>
        <w:t>Economic Factors</w:t>
      </w:r>
      <w:r w:rsidRPr="00253FA8">
        <w:rPr>
          <w:rFonts w:ascii="Arial" w:eastAsia="Times New Roman" w:hAnsi="Arial" w:cs="Arial"/>
          <w:b/>
          <w:bCs/>
          <w:color w:val="0F1115"/>
          <w:kern w:val="0"/>
          <w:sz w:val="22"/>
          <w:szCs w:val="22"/>
          <w:lang w:eastAsia="en-GB"/>
          <w14:ligatures w14:val="none"/>
        </w:rPr>
        <w:br/>
      </w:r>
      <w:r w:rsidRPr="00253FA8">
        <w:rPr>
          <w:rFonts w:ascii="Arial" w:eastAsia="Times New Roman" w:hAnsi="Arial" w:cs="Arial"/>
          <w:color w:val="0F1115"/>
          <w:kern w:val="0"/>
          <w:sz w:val="22"/>
          <w:szCs w:val="22"/>
          <w:lang w:eastAsia="en-GB"/>
          <w14:ligatures w14:val="none"/>
        </w:rPr>
        <w:t xml:space="preserve">The macroeconomy presents both opportunities and challenges. The combined company aims to contribute significantly to the UK economy over the coming decade, supporting thousands of jobs. Vodafone Group's FY25 total revenue grew 2.0% to €37.4 billion, with organic service revenue up 5.1%. Adjusted </w:t>
      </w:r>
      <w:proofErr w:type="spellStart"/>
      <w:r w:rsidRPr="00253FA8">
        <w:rPr>
          <w:rFonts w:ascii="Arial" w:eastAsia="Times New Roman" w:hAnsi="Arial" w:cs="Arial"/>
          <w:color w:val="0F1115"/>
          <w:kern w:val="0"/>
          <w:sz w:val="22"/>
          <w:szCs w:val="22"/>
          <w:lang w:eastAsia="en-GB"/>
          <w14:ligatures w14:val="none"/>
        </w:rPr>
        <w:t>EBITDAaL</w:t>
      </w:r>
      <w:proofErr w:type="spellEnd"/>
      <w:r w:rsidRPr="00253FA8">
        <w:rPr>
          <w:rFonts w:ascii="Arial" w:eastAsia="Times New Roman" w:hAnsi="Arial" w:cs="Arial"/>
          <w:color w:val="0F1115"/>
          <w:kern w:val="0"/>
          <w:sz w:val="22"/>
          <w:szCs w:val="22"/>
          <w:lang w:eastAsia="en-GB"/>
          <w14:ligatures w14:val="none"/>
        </w:rPr>
        <w:t xml:space="preserve"> rose 2.5% organically, offset by a decline in Germany due to TV regulation changes. Net debt stood at €22.4 billion with leverage of 2.0x, while disposals of Vodafone Italy and Spain improved the balance sheet. In H1 FY26, Vodafone confirmed expectations to deliver at the upper end of guidance and announced a progressive dividend policy.</w:t>
      </w:r>
    </w:p>
    <w:p w14:paraId="504F164F" w14:textId="77777777" w:rsidR="00253FA8" w:rsidRPr="00253FA8" w:rsidRDefault="00253FA8" w:rsidP="00253FA8">
      <w:pPr>
        <w:spacing w:after="0" w:line="360" w:lineRule="auto"/>
        <w:jc w:val="both"/>
        <w:outlineLvl w:val="0"/>
        <w:rPr>
          <w:rFonts w:ascii="Arial" w:eastAsia="Times New Roman" w:hAnsi="Arial" w:cs="Arial"/>
          <w:color w:val="0F1115"/>
          <w:kern w:val="0"/>
          <w:sz w:val="22"/>
          <w:szCs w:val="22"/>
          <w:lang w:eastAsia="en-GB"/>
          <w14:ligatures w14:val="none"/>
        </w:rPr>
      </w:pPr>
      <w:r w:rsidRPr="00253FA8">
        <w:rPr>
          <w:rFonts w:ascii="Arial" w:eastAsia="Times New Roman" w:hAnsi="Arial" w:cs="Arial"/>
          <w:b/>
          <w:bCs/>
          <w:color w:val="0F1115"/>
          <w:kern w:val="0"/>
          <w:sz w:val="22"/>
          <w:szCs w:val="22"/>
          <w:lang w:eastAsia="en-GB"/>
          <w14:ligatures w14:val="none"/>
        </w:rPr>
        <w:t>Social Factors</w:t>
      </w:r>
      <w:r w:rsidRPr="00253FA8">
        <w:rPr>
          <w:rFonts w:ascii="Arial" w:eastAsia="Times New Roman" w:hAnsi="Arial" w:cs="Arial"/>
          <w:b/>
          <w:bCs/>
          <w:color w:val="0F1115"/>
          <w:kern w:val="0"/>
          <w:sz w:val="22"/>
          <w:szCs w:val="22"/>
          <w:lang w:eastAsia="en-GB"/>
          <w14:ligatures w14:val="none"/>
        </w:rPr>
        <w:br/>
      </w:r>
      <w:r w:rsidRPr="00253FA8">
        <w:rPr>
          <w:rFonts w:ascii="Arial" w:eastAsia="Times New Roman" w:hAnsi="Arial" w:cs="Arial"/>
          <w:color w:val="0F1115"/>
          <w:kern w:val="0"/>
          <w:sz w:val="22"/>
          <w:szCs w:val="22"/>
          <w:lang w:eastAsia="en-GB"/>
          <w14:ligatures w14:val="none"/>
        </w:rPr>
        <w:t xml:space="preserve">Consumer expectations for seamless connectivity have intensified. The merger has delivered tangible benefits, with MOCN integration across 8,000 sites and 16,500 km² of "not-spots" eliminated—an area ten times the size of London. Three customers have experienced improved 4G speeds. Vodafone leads or co-leads NPS in 11 of 15 markets, with UK and Germany achieving their </w:t>
      </w:r>
      <w:proofErr w:type="gramStart"/>
      <w:r w:rsidRPr="00253FA8">
        <w:rPr>
          <w:rFonts w:ascii="Arial" w:eastAsia="Times New Roman" w:hAnsi="Arial" w:cs="Arial"/>
          <w:color w:val="0F1115"/>
          <w:kern w:val="0"/>
          <w:sz w:val="22"/>
          <w:szCs w:val="22"/>
          <w:lang w:eastAsia="en-GB"/>
          <w14:ligatures w14:val="none"/>
        </w:rPr>
        <w:t>best ever</w:t>
      </w:r>
      <w:proofErr w:type="gramEnd"/>
      <w:r w:rsidRPr="00253FA8">
        <w:rPr>
          <w:rFonts w:ascii="Arial" w:eastAsia="Times New Roman" w:hAnsi="Arial" w:cs="Arial"/>
          <w:color w:val="0F1115"/>
          <w:kern w:val="0"/>
          <w:sz w:val="22"/>
          <w:szCs w:val="22"/>
          <w:lang w:eastAsia="en-GB"/>
          <w14:ligatures w14:val="none"/>
        </w:rPr>
        <w:t xml:space="preserve"> results. In H1 FY26, Vodafone UK reported Ofcom complaints at industry-low levels and was recognised as a customer satisfaction leader.</w:t>
      </w:r>
    </w:p>
    <w:p w14:paraId="0517B2F7" w14:textId="77777777" w:rsidR="00253FA8" w:rsidRPr="00253FA8" w:rsidRDefault="00253FA8" w:rsidP="00253FA8">
      <w:pPr>
        <w:spacing w:after="0" w:line="360" w:lineRule="auto"/>
        <w:jc w:val="both"/>
        <w:outlineLvl w:val="0"/>
        <w:rPr>
          <w:rFonts w:ascii="Arial" w:eastAsia="Times New Roman" w:hAnsi="Arial" w:cs="Arial"/>
          <w:color w:val="0F1115"/>
          <w:kern w:val="0"/>
          <w:sz w:val="22"/>
          <w:szCs w:val="22"/>
          <w:lang w:eastAsia="en-GB"/>
          <w14:ligatures w14:val="none"/>
        </w:rPr>
      </w:pPr>
      <w:r w:rsidRPr="00253FA8">
        <w:rPr>
          <w:rFonts w:ascii="Arial" w:eastAsia="Times New Roman" w:hAnsi="Arial" w:cs="Arial"/>
          <w:b/>
          <w:bCs/>
          <w:color w:val="0F1115"/>
          <w:kern w:val="0"/>
          <w:sz w:val="22"/>
          <w:szCs w:val="22"/>
          <w:lang w:eastAsia="en-GB"/>
          <w14:ligatures w14:val="none"/>
        </w:rPr>
        <w:t>Technological Factors</w:t>
      </w:r>
      <w:r w:rsidRPr="00253FA8">
        <w:rPr>
          <w:rFonts w:ascii="Arial" w:eastAsia="Times New Roman" w:hAnsi="Arial" w:cs="Arial"/>
          <w:b/>
          <w:bCs/>
          <w:color w:val="0F1115"/>
          <w:kern w:val="0"/>
          <w:sz w:val="22"/>
          <w:szCs w:val="22"/>
          <w:lang w:eastAsia="en-GB"/>
          <w14:ligatures w14:val="none"/>
        </w:rPr>
        <w:br/>
      </w:r>
      <w:r w:rsidRPr="00253FA8">
        <w:rPr>
          <w:rFonts w:ascii="Arial" w:eastAsia="Times New Roman" w:hAnsi="Arial" w:cs="Arial"/>
          <w:color w:val="0F1115"/>
          <w:kern w:val="0"/>
          <w:sz w:val="22"/>
          <w:szCs w:val="22"/>
          <w:lang w:eastAsia="en-GB"/>
          <w14:ligatures w14:val="none"/>
        </w:rPr>
        <w:t>Four megatrends are reshaping the industry: IoT, generative AI, digital payments, and cloud adoption. Vodafone Three is positioning itself through its £11 billion 5G standalone programme, targeting 90% population coverage by year three and 99.95% by 2034. The company is implementing a cloud-native 5G Standalone core across Europe, enabling Network Slicing, Mission Critical Communications, and Low Latency services. Vodafone has selected Ericsson as main RAN vendor, with Nokia also playing a major role, and is collaborating with AST SpaceMobile on satellite mobile broadband. The strategic partnership with Google brings AI-powered features to customers.</w:t>
      </w:r>
    </w:p>
    <w:p w14:paraId="79394E2C" w14:textId="063BED8C" w:rsidR="00253FA8" w:rsidRPr="00253FA8" w:rsidRDefault="00253FA8" w:rsidP="00253FA8">
      <w:pPr>
        <w:spacing w:after="0" w:line="360" w:lineRule="auto"/>
        <w:jc w:val="both"/>
        <w:outlineLvl w:val="0"/>
        <w:rPr>
          <w:rFonts w:ascii="Arial" w:eastAsia="Times New Roman" w:hAnsi="Arial" w:cs="Arial"/>
          <w:color w:val="0F1115"/>
          <w:kern w:val="0"/>
          <w:sz w:val="22"/>
          <w:szCs w:val="22"/>
          <w:lang w:eastAsia="en-GB"/>
          <w14:ligatures w14:val="none"/>
        </w:rPr>
      </w:pPr>
      <w:r w:rsidRPr="00253FA8">
        <w:rPr>
          <w:rFonts w:ascii="Arial" w:eastAsia="Times New Roman" w:hAnsi="Arial" w:cs="Arial"/>
          <w:b/>
          <w:bCs/>
          <w:color w:val="0F1115"/>
          <w:kern w:val="0"/>
          <w:sz w:val="22"/>
          <w:szCs w:val="22"/>
          <w:lang w:eastAsia="en-GB"/>
          <w14:ligatures w14:val="none"/>
        </w:rPr>
        <w:lastRenderedPageBreak/>
        <w:t>Legal Factors</w:t>
      </w:r>
      <w:r w:rsidRPr="00253FA8">
        <w:rPr>
          <w:rFonts w:ascii="Arial" w:eastAsia="Times New Roman" w:hAnsi="Arial" w:cs="Arial"/>
          <w:b/>
          <w:bCs/>
          <w:color w:val="0F1115"/>
          <w:kern w:val="0"/>
          <w:sz w:val="22"/>
          <w:szCs w:val="22"/>
          <w:lang w:eastAsia="en-GB"/>
          <w14:ligatures w14:val="none"/>
        </w:rPr>
        <w:br/>
      </w:r>
      <w:r w:rsidRPr="00253FA8">
        <w:rPr>
          <w:rFonts w:ascii="Arial" w:eastAsia="Times New Roman" w:hAnsi="Arial" w:cs="Arial"/>
          <w:color w:val="0F1115"/>
          <w:kern w:val="0"/>
          <w:sz w:val="22"/>
          <w:szCs w:val="22"/>
          <w:lang w:eastAsia="en-GB"/>
          <w14:ligatures w14:val="none"/>
        </w:rPr>
        <w:t>post-merger regulatory compliance remains critical. The company must adhere to Ofcom regulations and has engaged with the regulator on spectrum matters. The CMA's remedies package requires pricing and wholesale commitments to protect competition. Consumer protection, GDPR, and competition law compliance all require active management.</w:t>
      </w:r>
    </w:p>
    <w:p w14:paraId="2678E0C7" w14:textId="684004C6" w:rsidR="00253FA8" w:rsidRPr="00253FA8" w:rsidRDefault="00253FA8" w:rsidP="00253FA8">
      <w:pPr>
        <w:spacing w:after="0" w:line="360" w:lineRule="auto"/>
        <w:outlineLvl w:val="0"/>
        <w:rPr>
          <w:rFonts w:ascii="Arial" w:eastAsia="Times New Roman" w:hAnsi="Arial" w:cs="Arial"/>
          <w:b/>
          <w:bCs/>
          <w:color w:val="0F1115"/>
          <w:kern w:val="0"/>
          <w:sz w:val="22"/>
          <w:szCs w:val="22"/>
          <w:lang w:eastAsia="en-GB"/>
          <w14:ligatures w14:val="none"/>
        </w:rPr>
      </w:pPr>
      <w:r w:rsidRPr="00253FA8">
        <w:rPr>
          <w:rFonts w:ascii="Arial" w:eastAsia="Times New Roman" w:hAnsi="Arial" w:cs="Arial"/>
          <w:b/>
          <w:bCs/>
          <w:color w:val="0F1115"/>
          <w:kern w:val="0"/>
          <w:sz w:val="22"/>
          <w:szCs w:val="22"/>
          <w:lang w:eastAsia="en-GB"/>
          <w14:ligatures w14:val="none"/>
        </w:rPr>
        <w:t>Environmental</w:t>
      </w:r>
      <w:r>
        <w:rPr>
          <w:rFonts w:ascii="Arial" w:eastAsia="Times New Roman" w:hAnsi="Arial" w:cs="Arial"/>
          <w:b/>
          <w:bCs/>
          <w:color w:val="0F1115"/>
          <w:kern w:val="0"/>
          <w:sz w:val="22"/>
          <w:szCs w:val="22"/>
          <w:lang w:eastAsia="en-GB"/>
          <w14:ligatures w14:val="none"/>
        </w:rPr>
        <w:t xml:space="preserve"> factors</w:t>
      </w:r>
      <w:r w:rsidRPr="00253FA8">
        <w:rPr>
          <w:rFonts w:ascii="Arial" w:eastAsia="Times New Roman" w:hAnsi="Arial" w:cs="Arial"/>
          <w:b/>
          <w:bCs/>
          <w:color w:val="0F1115"/>
          <w:kern w:val="0"/>
          <w:sz w:val="22"/>
          <w:szCs w:val="22"/>
          <w:lang w:eastAsia="en-GB"/>
          <w14:ligatures w14:val="none"/>
        </w:rPr>
        <w:br/>
      </w:r>
      <w:r w:rsidRPr="00253FA8">
        <w:rPr>
          <w:rFonts w:ascii="Arial" w:eastAsia="Times New Roman" w:hAnsi="Arial" w:cs="Arial"/>
          <w:color w:val="0F1115"/>
          <w:kern w:val="0"/>
          <w:sz w:val="22"/>
          <w:szCs w:val="22"/>
          <w:lang w:eastAsia="en-GB"/>
          <w14:ligatures w14:val="none"/>
        </w:rPr>
        <w:t>Vodafone aims for net zero across its full value chain by 2040 and to enable customers to reduce their carbon emissions by 350 million tonnes by 2030. The network integration supports these goals through equipment rationalisation and decommissioning of redundant legacy infrastructure, with 100% of purchased electricity now from renewable sources. The 5G standalone network is inherently more energy-efficient than previous generations</w:t>
      </w:r>
    </w:p>
    <w:p w14:paraId="6B6B68F8" w14:textId="7350FBEE" w:rsidR="00FB4ACE" w:rsidRPr="00D474EA" w:rsidRDefault="00FB4ACE" w:rsidP="00D474EA">
      <w:pPr>
        <w:spacing w:after="0" w:line="360" w:lineRule="auto"/>
        <w:jc w:val="both"/>
        <w:outlineLvl w:val="0"/>
        <w:rPr>
          <w:rFonts w:ascii="Arial" w:eastAsia="Times New Roman" w:hAnsi="Arial" w:cs="Arial"/>
          <w:kern w:val="0"/>
          <w:sz w:val="22"/>
          <w:szCs w:val="22"/>
          <w:lang w:eastAsia="en-GB"/>
          <w14:ligatures w14:val="none"/>
        </w:rPr>
      </w:pPr>
    </w:p>
    <w:p w14:paraId="12A6E3B0" w14:textId="77777777" w:rsidR="00FB4ACE" w:rsidRPr="00D474EA" w:rsidRDefault="00FB4ACE"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3.2 Porter's Five Forces Analysis</w:t>
      </w:r>
    </w:p>
    <w:p w14:paraId="353F8597" w14:textId="77777777" w:rsidR="001F254F" w:rsidRPr="001F254F" w:rsidRDefault="001F254F" w:rsidP="001F254F">
      <w:pPr>
        <w:spacing w:after="0" w:line="360" w:lineRule="auto"/>
        <w:jc w:val="both"/>
        <w:outlineLvl w:val="0"/>
        <w:rPr>
          <w:rFonts w:ascii="Arial" w:eastAsia="Times New Roman" w:hAnsi="Arial" w:cs="Arial"/>
          <w:color w:val="0F1115"/>
          <w:kern w:val="0"/>
          <w:sz w:val="22"/>
          <w:szCs w:val="22"/>
          <w:lang w:eastAsia="en-GB"/>
          <w14:ligatures w14:val="none"/>
        </w:rPr>
      </w:pPr>
      <w:r w:rsidRPr="001F254F">
        <w:rPr>
          <w:rFonts w:ascii="Arial" w:eastAsia="Times New Roman" w:hAnsi="Arial" w:cs="Arial"/>
          <w:color w:val="0F1115"/>
          <w:kern w:val="0"/>
          <w:sz w:val="22"/>
          <w:szCs w:val="22"/>
          <w:lang w:eastAsia="en-GB"/>
          <w14:ligatures w14:val="none"/>
        </w:rPr>
        <w:t>Rivalry Among Competitors (HIGH)</w:t>
      </w:r>
      <w:r w:rsidRPr="001F254F">
        <w:rPr>
          <w:rFonts w:ascii="Arial" w:eastAsia="Times New Roman" w:hAnsi="Arial" w:cs="Arial"/>
          <w:color w:val="0F1115"/>
          <w:kern w:val="0"/>
          <w:sz w:val="22"/>
          <w:szCs w:val="22"/>
          <w:lang w:eastAsia="en-GB"/>
          <w14:ligatures w14:val="none"/>
        </w:rPr>
        <w:br/>
        <w:t xml:space="preserve">The UK market is now a three-player oligopoly, yet competitive intensity remains fierce. Vodafone Three reported 1.2% organic service revenue growth in Q2 FY26, with strong consumer broadband and wholesale revenue offset by B2B declines. BT/EE retains the most extensive network footprint, while Virgin Media O2 has committed substantial investment. The market features aggressive pricing, service differentiation, and convergence strategies. Vodafone's multi-brand portfolio (Vodafone, Three, VOXI, SMARTY, </w:t>
      </w:r>
      <w:proofErr w:type="spellStart"/>
      <w:r w:rsidRPr="001F254F">
        <w:rPr>
          <w:rFonts w:ascii="Arial" w:eastAsia="Times New Roman" w:hAnsi="Arial" w:cs="Arial"/>
          <w:color w:val="0F1115"/>
          <w:kern w:val="0"/>
          <w:sz w:val="22"/>
          <w:szCs w:val="22"/>
          <w:lang w:eastAsia="en-GB"/>
          <w14:ligatures w14:val="none"/>
        </w:rPr>
        <w:t>Talkmobile</w:t>
      </w:r>
      <w:proofErr w:type="spellEnd"/>
      <w:r w:rsidRPr="001F254F">
        <w:rPr>
          <w:rFonts w:ascii="Arial" w:eastAsia="Times New Roman" w:hAnsi="Arial" w:cs="Arial"/>
          <w:color w:val="0F1115"/>
          <w:kern w:val="0"/>
          <w:sz w:val="22"/>
          <w:szCs w:val="22"/>
          <w:lang w:eastAsia="en-GB"/>
          <w14:ligatures w14:val="none"/>
        </w:rPr>
        <w:t>) enables competition across all segments.</w:t>
      </w:r>
    </w:p>
    <w:p w14:paraId="60F4C207" w14:textId="77777777" w:rsidR="001F254F" w:rsidRPr="001F254F" w:rsidRDefault="001F254F" w:rsidP="001F254F">
      <w:pPr>
        <w:spacing w:after="0" w:line="360" w:lineRule="auto"/>
        <w:jc w:val="both"/>
        <w:outlineLvl w:val="0"/>
        <w:rPr>
          <w:rFonts w:ascii="Arial" w:eastAsia="Times New Roman" w:hAnsi="Arial" w:cs="Arial"/>
          <w:color w:val="0F1115"/>
          <w:kern w:val="0"/>
          <w:sz w:val="22"/>
          <w:szCs w:val="22"/>
          <w:lang w:eastAsia="en-GB"/>
          <w14:ligatures w14:val="none"/>
        </w:rPr>
      </w:pPr>
      <w:r w:rsidRPr="001F254F">
        <w:rPr>
          <w:rFonts w:ascii="Arial" w:eastAsia="Times New Roman" w:hAnsi="Arial" w:cs="Arial"/>
          <w:color w:val="0F1115"/>
          <w:kern w:val="0"/>
          <w:sz w:val="22"/>
          <w:szCs w:val="22"/>
          <w:lang w:eastAsia="en-GB"/>
          <w14:ligatures w14:val="none"/>
        </w:rPr>
        <w:t>Threat of New Entrants (LOW)</w:t>
      </w:r>
      <w:r w:rsidRPr="001F254F">
        <w:rPr>
          <w:rFonts w:ascii="Arial" w:eastAsia="Times New Roman" w:hAnsi="Arial" w:cs="Arial"/>
          <w:color w:val="0F1115"/>
          <w:kern w:val="0"/>
          <w:sz w:val="22"/>
          <w:szCs w:val="22"/>
          <w:lang w:eastAsia="en-GB"/>
          <w14:ligatures w14:val="none"/>
        </w:rPr>
        <w:br/>
        <w:t>Barriers remain substantial: prohibitive infrastructure costs, tightly controlled spectrum licensing with all usable bands already allocated, and critical economies of scale. The merged entity's 27 million customers create insurmountable cost disadvantages. No credible new operator has emerged in decades.</w:t>
      </w:r>
    </w:p>
    <w:p w14:paraId="28C46E05" w14:textId="77777777" w:rsidR="001F254F" w:rsidRPr="001F254F" w:rsidRDefault="001F254F" w:rsidP="001F254F">
      <w:pPr>
        <w:spacing w:after="0" w:line="360" w:lineRule="auto"/>
        <w:jc w:val="both"/>
        <w:outlineLvl w:val="0"/>
        <w:rPr>
          <w:rFonts w:ascii="Arial" w:eastAsia="Times New Roman" w:hAnsi="Arial" w:cs="Arial"/>
          <w:color w:val="0F1115"/>
          <w:kern w:val="0"/>
          <w:sz w:val="22"/>
          <w:szCs w:val="22"/>
          <w:lang w:eastAsia="en-GB"/>
          <w14:ligatures w14:val="none"/>
        </w:rPr>
      </w:pPr>
      <w:r w:rsidRPr="001F254F">
        <w:rPr>
          <w:rFonts w:ascii="Arial" w:eastAsia="Times New Roman" w:hAnsi="Arial" w:cs="Arial"/>
          <w:color w:val="0F1115"/>
          <w:kern w:val="0"/>
          <w:sz w:val="22"/>
          <w:szCs w:val="22"/>
          <w:lang w:eastAsia="en-GB"/>
          <w14:ligatures w14:val="none"/>
        </w:rPr>
        <w:t>Bargaining Power of Buyers (MEDIUM-HIGH)</w:t>
      </w:r>
      <w:r w:rsidRPr="001F254F">
        <w:rPr>
          <w:rFonts w:ascii="Arial" w:eastAsia="Times New Roman" w:hAnsi="Arial" w:cs="Arial"/>
          <w:color w:val="0F1115"/>
          <w:kern w:val="0"/>
          <w:sz w:val="22"/>
          <w:szCs w:val="22"/>
          <w:lang w:eastAsia="en-GB"/>
          <w14:ligatures w14:val="none"/>
        </w:rPr>
        <w:br/>
        <w:t>Switching costs are low due to number portability, but mitigating factors include network quality as a differentiator, bundled services raising switching costs, and loyalty incentives like "Vodafone Together Family." For B2B, "5G Slicing" with guaranteed performance creates lock-in through SLAs.</w:t>
      </w:r>
    </w:p>
    <w:p w14:paraId="12BD89BD" w14:textId="77777777" w:rsidR="001F254F" w:rsidRPr="001F254F" w:rsidRDefault="001F254F" w:rsidP="001F254F">
      <w:pPr>
        <w:spacing w:after="0" w:line="360" w:lineRule="auto"/>
        <w:jc w:val="both"/>
        <w:outlineLvl w:val="0"/>
        <w:rPr>
          <w:rFonts w:ascii="Arial" w:eastAsia="Times New Roman" w:hAnsi="Arial" w:cs="Arial"/>
          <w:color w:val="0F1115"/>
          <w:kern w:val="0"/>
          <w:sz w:val="22"/>
          <w:szCs w:val="22"/>
          <w:lang w:eastAsia="en-GB"/>
          <w14:ligatures w14:val="none"/>
        </w:rPr>
      </w:pPr>
      <w:r w:rsidRPr="001F254F">
        <w:rPr>
          <w:rFonts w:ascii="Arial" w:eastAsia="Times New Roman" w:hAnsi="Arial" w:cs="Arial"/>
          <w:color w:val="0F1115"/>
          <w:kern w:val="0"/>
          <w:sz w:val="22"/>
          <w:szCs w:val="22"/>
          <w:lang w:eastAsia="en-GB"/>
          <w14:ligatures w14:val="none"/>
        </w:rPr>
        <w:t>Bargaining Power of Suppliers (MEDIUM)</w:t>
      </w:r>
      <w:r w:rsidRPr="001F254F">
        <w:rPr>
          <w:rFonts w:ascii="Arial" w:eastAsia="Times New Roman" w:hAnsi="Arial" w:cs="Arial"/>
          <w:color w:val="0F1115"/>
          <w:kern w:val="0"/>
          <w:sz w:val="22"/>
          <w:szCs w:val="22"/>
          <w:lang w:eastAsia="en-GB"/>
          <w14:ligatures w14:val="none"/>
        </w:rPr>
        <w:br/>
        <w:t>Ericsson and Nokia hold significant power due to specialised infrastructure, with the £2 billion+ RAN refresh representing substantial spend. However, Vodafone's scale provides procurement leverage. The Google partnership is collaborative rather than traditional vendor dependence. Post-merger procurement consolidation should further increase buyer power.</w:t>
      </w:r>
    </w:p>
    <w:p w14:paraId="0C59DBEC" w14:textId="77777777" w:rsidR="001F254F" w:rsidRPr="001F254F" w:rsidRDefault="001F254F" w:rsidP="001F254F">
      <w:pPr>
        <w:spacing w:after="0" w:line="360" w:lineRule="auto"/>
        <w:jc w:val="both"/>
        <w:outlineLvl w:val="0"/>
        <w:rPr>
          <w:rFonts w:ascii="Arial" w:eastAsia="Times New Roman" w:hAnsi="Arial" w:cs="Arial"/>
          <w:color w:val="0F1115"/>
          <w:kern w:val="0"/>
          <w:sz w:val="22"/>
          <w:szCs w:val="22"/>
          <w:lang w:eastAsia="en-GB"/>
          <w14:ligatures w14:val="none"/>
        </w:rPr>
      </w:pPr>
      <w:r w:rsidRPr="001F254F">
        <w:rPr>
          <w:rFonts w:ascii="Arial" w:eastAsia="Times New Roman" w:hAnsi="Arial" w:cs="Arial"/>
          <w:color w:val="0F1115"/>
          <w:kern w:val="0"/>
          <w:sz w:val="22"/>
          <w:szCs w:val="22"/>
          <w:lang w:eastAsia="en-GB"/>
          <w14:ligatures w14:val="none"/>
        </w:rPr>
        <w:lastRenderedPageBreak/>
        <w:t>Threat of Substitutes (MEDIUM)</w:t>
      </w:r>
      <w:r w:rsidRPr="001F254F">
        <w:rPr>
          <w:rFonts w:ascii="Arial" w:eastAsia="Times New Roman" w:hAnsi="Arial" w:cs="Arial"/>
          <w:color w:val="0F1115"/>
          <w:kern w:val="0"/>
          <w:sz w:val="22"/>
          <w:szCs w:val="22"/>
          <w:lang w:eastAsia="en-GB"/>
          <w14:ligatures w14:val="none"/>
        </w:rPr>
        <w:br/>
        <w:t>OTT services substitute for voice and messaging but reinforce the value of underlying network infrastructure. Fixed Wireless Access is emerging as a broadband substitute—Vodafone Three added 17,000 FWA customers in Q2 FY26. Satellite-based internet poses a threat, though still niche; Vodafone is positioning itself via its AST SpaceMobile collaboration.</w:t>
      </w:r>
    </w:p>
    <w:p w14:paraId="7594B876" w14:textId="5315AC36" w:rsidR="00FB4ACE" w:rsidRPr="00D474EA" w:rsidRDefault="00FB4ACE" w:rsidP="00D474EA">
      <w:pPr>
        <w:spacing w:after="0" w:line="360" w:lineRule="auto"/>
        <w:jc w:val="both"/>
        <w:outlineLvl w:val="0"/>
        <w:rPr>
          <w:rFonts w:ascii="Arial" w:eastAsia="Times New Roman" w:hAnsi="Arial" w:cs="Arial"/>
          <w:kern w:val="0"/>
          <w:sz w:val="22"/>
          <w:szCs w:val="22"/>
          <w:lang w:eastAsia="en-GB"/>
          <w14:ligatures w14:val="none"/>
        </w:rPr>
      </w:pPr>
    </w:p>
    <w:p w14:paraId="65758FFC" w14:textId="77777777" w:rsidR="00FB4ACE" w:rsidRPr="00D474EA" w:rsidRDefault="00FB4ACE"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3.3 SWOT Analysis</w:t>
      </w:r>
    </w:p>
    <w:p w14:paraId="7EE31808" w14:textId="77777777" w:rsidR="001F254F" w:rsidRPr="001F254F" w:rsidRDefault="001F254F" w:rsidP="001F254F">
      <w:pPr>
        <w:spacing w:after="0" w:line="360" w:lineRule="auto"/>
        <w:jc w:val="both"/>
        <w:outlineLvl w:val="0"/>
        <w:rPr>
          <w:rFonts w:ascii="Arial" w:eastAsia="Times New Roman" w:hAnsi="Arial" w:cs="Arial"/>
          <w:color w:val="0F1115"/>
          <w:kern w:val="0"/>
          <w:sz w:val="22"/>
          <w:szCs w:val="22"/>
          <w:lang w:eastAsia="en-GB"/>
          <w14:ligatures w14:val="none"/>
        </w:rPr>
      </w:pPr>
      <w:r w:rsidRPr="001F254F">
        <w:rPr>
          <w:rFonts w:ascii="Arial" w:eastAsia="Times New Roman" w:hAnsi="Arial" w:cs="Arial"/>
          <w:color w:val="0F1115"/>
          <w:kern w:val="0"/>
          <w:sz w:val="22"/>
          <w:szCs w:val="22"/>
          <w:lang w:eastAsia="en-GB"/>
          <w14:ligatures w14:val="none"/>
        </w:rPr>
        <w:t>Strengths</w:t>
      </w:r>
      <w:r w:rsidRPr="001F254F">
        <w:rPr>
          <w:rFonts w:ascii="Arial" w:eastAsia="Times New Roman" w:hAnsi="Arial" w:cs="Arial"/>
          <w:color w:val="0F1115"/>
          <w:kern w:val="0"/>
          <w:sz w:val="22"/>
          <w:szCs w:val="22"/>
          <w:lang w:eastAsia="en-GB"/>
          <w14:ligatures w14:val="none"/>
        </w:rPr>
        <w:br/>
        <w:t>Vodafone Three's primary strength is market leadership with ~27 million customers, providing scale, marketing reach, and purchasing power. The £11 billion decade-long 5G investment is unmatched, targeting 90% standalone coverage within three years. £700 million annual cost synergies by 2030 provide substantial advantage. Customer experience momentum is evidenced by UK leading NPS and industry-lowest Ofcom complaints. The five-brand portfolio serves all segments effectively.</w:t>
      </w:r>
    </w:p>
    <w:p w14:paraId="691DE9D6" w14:textId="77777777" w:rsidR="001F254F" w:rsidRPr="001F254F" w:rsidRDefault="001F254F" w:rsidP="001F254F">
      <w:pPr>
        <w:spacing w:after="0" w:line="360" w:lineRule="auto"/>
        <w:jc w:val="both"/>
        <w:outlineLvl w:val="0"/>
        <w:rPr>
          <w:rFonts w:ascii="Arial" w:eastAsia="Times New Roman" w:hAnsi="Arial" w:cs="Arial"/>
          <w:color w:val="0F1115"/>
          <w:kern w:val="0"/>
          <w:sz w:val="22"/>
          <w:szCs w:val="22"/>
          <w:lang w:eastAsia="en-GB"/>
          <w14:ligatures w14:val="none"/>
        </w:rPr>
      </w:pPr>
      <w:r w:rsidRPr="001F254F">
        <w:rPr>
          <w:rFonts w:ascii="Arial" w:eastAsia="Times New Roman" w:hAnsi="Arial" w:cs="Arial"/>
          <w:color w:val="0F1115"/>
          <w:kern w:val="0"/>
          <w:sz w:val="22"/>
          <w:szCs w:val="22"/>
          <w:lang w:eastAsia="en-GB"/>
          <w14:ligatures w14:val="none"/>
        </w:rPr>
        <w:t>Weaknesses</w:t>
      </w:r>
      <w:r w:rsidRPr="001F254F">
        <w:rPr>
          <w:rFonts w:ascii="Arial" w:eastAsia="Times New Roman" w:hAnsi="Arial" w:cs="Arial"/>
          <w:color w:val="0F1115"/>
          <w:kern w:val="0"/>
          <w:sz w:val="22"/>
          <w:szCs w:val="22"/>
          <w:lang w:eastAsia="en-GB"/>
          <w14:ligatures w14:val="none"/>
        </w:rPr>
        <w:br/>
        <w:t>High debt of €22.4 billion constrains financial flexibility, though asset sales have strengthened the balance sheet. Integration complexity is significant, merging different cultures, networks, and systems at "a pace not seen before in UK telcos." B2B underperformance is evident, with service revenue declining due to managed services contract terminations. The German operation remains challenged, with five consecutive quarters of revenue decline.</w:t>
      </w:r>
    </w:p>
    <w:p w14:paraId="3BA09C1F" w14:textId="77777777" w:rsidR="001F254F" w:rsidRPr="001F254F" w:rsidRDefault="001F254F" w:rsidP="001F254F">
      <w:pPr>
        <w:spacing w:after="0" w:line="360" w:lineRule="auto"/>
        <w:jc w:val="both"/>
        <w:outlineLvl w:val="0"/>
        <w:rPr>
          <w:rFonts w:ascii="Arial" w:eastAsia="Times New Roman" w:hAnsi="Arial" w:cs="Arial"/>
          <w:color w:val="0F1115"/>
          <w:kern w:val="0"/>
          <w:sz w:val="22"/>
          <w:szCs w:val="22"/>
          <w:lang w:eastAsia="en-GB"/>
          <w14:ligatures w14:val="none"/>
        </w:rPr>
      </w:pPr>
      <w:r w:rsidRPr="001F254F">
        <w:rPr>
          <w:rFonts w:ascii="Arial" w:eastAsia="Times New Roman" w:hAnsi="Arial" w:cs="Arial"/>
          <w:color w:val="0F1115"/>
          <w:kern w:val="0"/>
          <w:sz w:val="22"/>
          <w:szCs w:val="22"/>
          <w:lang w:eastAsia="en-GB"/>
          <w14:ligatures w14:val="none"/>
        </w:rPr>
        <w:t>Opportunities</w:t>
      </w:r>
      <w:r w:rsidRPr="001F254F">
        <w:rPr>
          <w:rFonts w:ascii="Arial" w:eastAsia="Times New Roman" w:hAnsi="Arial" w:cs="Arial"/>
          <w:color w:val="0F1115"/>
          <w:kern w:val="0"/>
          <w:sz w:val="22"/>
          <w:szCs w:val="22"/>
          <w:lang w:eastAsia="en-GB"/>
          <w14:ligatures w14:val="none"/>
        </w:rPr>
        <w:br/>
        <w:t>5G standalone monetisation through network slicing, IoT, private networks, and edge computing offers new revenue streams. B2B digital services expansion in AI, cloud, and unified communications provides higher margins. The Google partnership accelerates AI capability development. Fixed-mobile convergence is growing, with 94,000 broadband and 27,000 converged additions in H1 FY26. Fixed Wireless Access added 17,000 customers with further growth potential.</w:t>
      </w:r>
    </w:p>
    <w:p w14:paraId="1B9221E3" w14:textId="7278DAC5" w:rsidR="001F254F" w:rsidRPr="001F254F" w:rsidRDefault="001F254F" w:rsidP="001F254F">
      <w:pPr>
        <w:spacing w:after="0" w:line="360" w:lineRule="auto"/>
        <w:jc w:val="both"/>
        <w:outlineLvl w:val="0"/>
        <w:rPr>
          <w:rFonts w:ascii="Arial" w:eastAsia="Times New Roman" w:hAnsi="Arial" w:cs="Arial"/>
          <w:color w:val="0F1115"/>
          <w:kern w:val="0"/>
          <w:sz w:val="22"/>
          <w:szCs w:val="22"/>
          <w:lang w:eastAsia="en-GB"/>
          <w14:ligatures w14:val="none"/>
        </w:rPr>
      </w:pPr>
      <w:r w:rsidRPr="001F254F">
        <w:rPr>
          <w:rFonts w:ascii="Arial" w:eastAsia="Times New Roman" w:hAnsi="Arial" w:cs="Arial"/>
          <w:color w:val="0F1115"/>
          <w:kern w:val="0"/>
          <w:sz w:val="22"/>
          <w:szCs w:val="22"/>
          <w:lang w:eastAsia="en-GB"/>
          <w14:ligatures w14:val="none"/>
        </w:rPr>
        <w:t>Threats</w:t>
      </w:r>
      <w:r w:rsidRPr="001F254F">
        <w:rPr>
          <w:rFonts w:ascii="Arial" w:eastAsia="Times New Roman" w:hAnsi="Arial" w:cs="Arial"/>
          <w:color w:val="0F1115"/>
          <w:kern w:val="0"/>
          <w:sz w:val="22"/>
          <w:szCs w:val="22"/>
          <w:lang w:eastAsia="en-GB"/>
          <w14:ligatures w14:val="none"/>
        </w:rPr>
        <w:br/>
        <w:t>Intense competition from BT/EE and Virgin Media O2 ensures persistent competitive pressure. Regulatory constraints, including CMA behavioural remedies, limit strategic flexibility. Integration execution risk is significant. Technological disruption from satellite-based connectivity could bypass traditional networks, though Vodafone is hedging via its AST SpaceMobile partnership.</w:t>
      </w:r>
    </w:p>
    <w:p w14:paraId="7D2C20D5" w14:textId="643D62E8" w:rsidR="00FB4ACE" w:rsidRPr="00D474EA" w:rsidRDefault="00FB4ACE" w:rsidP="00D474EA">
      <w:pPr>
        <w:spacing w:after="0" w:line="360" w:lineRule="auto"/>
        <w:jc w:val="both"/>
        <w:outlineLvl w:val="0"/>
        <w:rPr>
          <w:rFonts w:ascii="Arial" w:eastAsia="Times New Roman" w:hAnsi="Arial" w:cs="Arial"/>
          <w:kern w:val="0"/>
          <w:sz w:val="22"/>
          <w:szCs w:val="22"/>
          <w:lang w:eastAsia="en-GB"/>
          <w14:ligatures w14:val="none"/>
        </w:rPr>
      </w:pPr>
    </w:p>
    <w:p w14:paraId="20F49746" w14:textId="77777777" w:rsidR="00FB4ACE" w:rsidRPr="00D474EA" w:rsidRDefault="00FB4ACE"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4. Strategic Growth Options and Proposed Strategy</w:t>
      </w:r>
    </w:p>
    <w:p w14:paraId="625C10B3" w14:textId="77777777" w:rsidR="00FB4ACE" w:rsidRPr="00D474EA" w:rsidRDefault="00FB4ACE"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4.1 Ansoff Matrix Analysis</w:t>
      </w:r>
    </w:p>
    <w:p w14:paraId="00F98CAE" w14:textId="77777777" w:rsidR="00FB4ACE" w:rsidRPr="00D474EA" w:rsidRDefault="00FB4ACE"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lastRenderedPageBreak/>
        <w:t>The Ansoff Matrix provides a systematic framework for evaluating growth directions, balancing risk against potential return.</w:t>
      </w:r>
    </w:p>
    <w:p w14:paraId="0096A709" w14:textId="77777777" w:rsidR="00FB4ACE" w:rsidRPr="00D474EA" w:rsidRDefault="00FB4ACE"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Market Penetration (Existing Products, Existing Markets) — Recommended as Primary Focus</w:t>
      </w:r>
    </w:p>
    <w:p w14:paraId="2E92C41C" w14:textId="3C689DF7" w:rsidR="00FB4ACE" w:rsidRDefault="00FB4ACE"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This lowest-risk strategy involves selling more of existing products in existing markets. The merger provides immediate opportunities through network quality differentiation, as the enhanced network capabilities—improved 4G speeds, 5G standalone coverage, and eliminated "not-spots"—provide a compelling reason for customers to choose or remain with Vodafone</w:t>
      </w:r>
      <w:r w:rsidR="00AD428B" w:rsidRPr="00D474EA">
        <w:rPr>
          <w:rFonts w:ascii="Arial" w:eastAsia="Times New Roman" w:hAnsi="Arial" w:cs="Arial"/>
          <w:color w:val="0F1115"/>
          <w:kern w:val="0"/>
          <w:sz w:val="22"/>
          <w:szCs w:val="22"/>
          <w:lang w:eastAsia="en-GB"/>
          <w14:ligatures w14:val="none"/>
        </w:rPr>
        <w:t xml:space="preserve"> </w:t>
      </w:r>
      <w:r w:rsidRPr="00D474EA">
        <w:rPr>
          <w:rFonts w:ascii="Arial" w:eastAsia="Times New Roman" w:hAnsi="Arial" w:cs="Arial"/>
          <w:color w:val="0F1115"/>
          <w:kern w:val="0"/>
          <w:sz w:val="22"/>
          <w:szCs w:val="22"/>
          <w:lang w:eastAsia="en-GB"/>
          <w14:ligatures w14:val="none"/>
        </w:rPr>
        <w:t>Three. Customer loyalty programmes such as the "Vodafone Together Family" plan increase switching costs and reduce churn. The multi-brand strategy (VOXI, SMARTY, Talkmobile) enables targeted value propositions for different segments. Broadband cross-selling to Three's mobile customers represents immediate revenue growth without product development—in H1 FY26, the operator added 94,000 broadband customers.</w:t>
      </w:r>
    </w:p>
    <w:p w14:paraId="31C51EC5" w14:textId="77777777" w:rsidR="009E6EED" w:rsidRPr="00D474EA" w:rsidRDefault="009E6EED"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4F7A4238" w14:textId="77777777" w:rsidR="00FB4ACE" w:rsidRPr="00D474EA" w:rsidRDefault="00FB4ACE"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Market Development (Existing Products, New Markets) — Recommended as Secondary Focus</w:t>
      </w:r>
    </w:p>
    <w:p w14:paraId="204B39F2" w14:textId="1480D50A" w:rsidR="00FB4ACE" w:rsidRDefault="00FB4ACE"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This medium-risk strategy involves introducing existing services to new customer segments. B2B vertical expansion through "5G Slicing" for enterprises, private 5G networks, and industry-specific solutions addresses new customer segments with existing network assets. Public sector growth through smart city initiatives represents significant market development opportunities, leveraging the commitment to eliminating "not-spots" and contributing to the UK's digital infrastructure. The B2B segment offers higher margins and longer customer relationships than consumer mobile services.</w:t>
      </w:r>
    </w:p>
    <w:p w14:paraId="3DFEB58D" w14:textId="77777777" w:rsidR="009E6EED" w:rsidRPr="00D474EA" w:rsidRDefault="009E6EED"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00FAC1C0" w14:textId="77777777" w:rsidR="00FB4ACE" w:rsidRPr="00D474EA" w:rsidRDefault="00FB4ACE"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Product Development (New Products, Existing Markets) — Recommended as Priority Investment</w:t>
      </w:r>
    </w:p>
    <w:p w14:paraId="2EE78525" w14:textId="2DD49518" w:rsidR="00FB4ACE" w:rsidRDefault="00FB4ACE"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This medium-risk strategy involves creating new services for the existing customer base. 5G-enabled services including network slicing, edge computing platforms, IoT solutions, and AI-powered applications represent new products built on 5G standalone infrastructure. The Vodafone-Google partnership enables rapid development of AI and cloud-based services, with Android's AI-powered Circle to Search feature being promoted through an integrated campaign. Converged service bundles integrating mobile, broadband, TV, and security services provide product development opportunities.</w:t>
      </w:r>
    </w:p>
    <w:p w14:paraId="463238E1" w14:textId="77777777" w:rsidR="009E6EED" w:rsidRPr="00D474EA" w:rsidRDefault="009E6EED"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02EB9E3C" w14:textId="77777777" w:rsidR="00FB4ACE" w:rsidRPr="00D474EA" w:rsidRDefault="00FB4ACE"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Diversification (New Products, New Markets) — Recommended for Selective Monitoring Only</w:t>
      </w:r>
    </w:p>
    <w:p w14:paraId="24220ED8" w14:textId="4F687D01" w:rsidR="00FB4ACE" w:rsidRDefault="00FB4ACE"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lastRenderedPageBreak/>
        <w:t>This high-risk strategy involves entirely new business areas. Technology start-up acquisitions in AI, analytics, or cyber security could provide capabilities for new markets. The collaboration with AST SpaceMobile for direct-to-device satellite broadband represents an adjacency opportunity. However, diversification should be strictly exploratory given the integration demands of the merger.</w:t>
      </w:r>
    </w:p>
    <w:p w14:paraId="5E62188A" w14:textId="77777777" w:rsidR="009E6EED" w:rsidRPr="00D474EA" w:rsidRDefault="009E6EED"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49A048A7" w14:textId="77777777" w:rsidR="00FB4ACE" w:rsidRDefault="00FB4ACE"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Recommendation:</w:t>
      </w:r>
      <w:r w:rsidRPr="00D474EA">
        <w:rPr>
          <w:rFonts w:ascii="Arial" w:eastAsia="Times New Roman" w:hAnsi="Arial" w:cs="Arial"/>
          <w:color w:val="0F1115"/>
          <w:kern w:val="0"/>
          <w:sz w:val="22"/>
          <w:szCs w:val="22"/>
          <w:lang w:eastAsia="en-GB"/>
          <w14:ligatures w14:val="none"/>
        </w:rPr>
        <w:t> Vodafone should prioritise market penetration (leveraging the merger's immediate benefits) and product development (building 5G-enabled services) as the primary growth drivers. Market development should receive focused investment, while diversification should be strictly exploratory.</w:t>
      </w:r>
    </w:p>
    <w:p w14:paraId="5FC23E25" w14:textId="77777777" w:rsidR="009E6EED" w:rsidRPr="00D474EA" w:rsidRDefault="009E6EED"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76E41936" w14:textId="66555F08"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w:t>
      </w:r>
      <w:r w:rsidRPr="00D474EA">
        <w:rPr>
          <w:rFonts w:ascii="Arial" w:eastAsia="Times New Roman" w:hAnsi="Arial" w:cs="Arial"/>
          <w:b/>
          <w:bCs/>
          <w:color w:val="0F1115"/>
          <w:kern w:val="0"/>
          <w:sz w:val="22"/>
          <w:szCs w:val="22"/>
          <w:lang w:eastAsia="en-GB"/>
          <w14:ligatures w14:val="none"/>
        </w:rPr>
        <w:t>4.2 Porter's Generic Strategy Recommendation</w:t>
      </w:r>
    </w:p>
    <w:p w14:paraId="27A81751"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Porter's Generic Strategies framework identifies three viable strategic positions: Cost Leadership, Differentiation, and Focus. Pursuing more than one without clear primacy risks becoming "stuck in the middle."</w:t>
      </w:r>
    </w:p>
    <w:p w14:paraId="74EFFC59" w14:textId="77777777" w:rsidR="00656B66" w:rsidRPr="00D474EA" w:rsidRDefault="00656B66"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08A2885D" w14:textId="77777777" w:rsidR="00AD428B" w:rsidRPr="00D474EA" w:rsidRDefault="00AD428B"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277EE98E" w14:textId="77777777" w:rsidR="00AD428B" w:rsidRPr="00D474EA" w:rsidRDefault="00AD428B"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6A8A2028" w14:textId="39D6F279"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50009165" w14:textId="77777777" w:rsidR="00AC38AC" w:rsidRPr="00D474EA" w:rsidRDefault="00AC38AC"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4.3 Bowman's Strategy Clock Positioning</w:t>
      </w:r>
    </w:p>
    <w:p w14:paraId="40D6BAFD"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Bowman's Strategy Clock provides a more nuanced view of competitive positioning by analysing the relationship between price and perceived value.</w:t>
      </w:r>
    </w:p>
    <w:p w14:paraId="08D059F3" w14:textId="192A5130" w:rsidR="00AC38AC"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Position 3 (Hybrid — Low Price + High Value):</w:t>
      </w:r>
      <w:r w:rsidRPr="00D474EA">
        <w:rPr>
          <w:rFonts w:ascii="Arial" w:eastAsia="Times New Roman" w:hAnsi="Arial" w:cs="Arial"/>
          <w:color w:val="0F1115"/>
          <w:kern w:val="0"/>
          <w:sz w:val="22"/>
          <w:szCs w:val="22"/>
          <w:lang w:eastAsia="en-GB"/>
          <w14:ligatures w14:val="none"/>
        </w:rPr>
        <w:t xml:space="preserve"> Recommended for the mass-market consumer offering through VOXI and SMARTY. By offering compelling value at competitive prices, Vodafone can attract price-sensitive customers while maintaining brand equity. The cost synergies enable this positioning without margin </w:t>
      </w:r>
      <w:r w:rsidR="00656B66" w:rsidRPr="00D474EA">
        <w:rPr>
          <w:rFonts w:ascii="Arial" w:eastAsia="Times New Roman" w:hAnsi="Arial" w:cs="Arial"/>
          <w:color w:val="0F1115"/>
          <w:kern w:val="0"/>
          <w:sz w:val="22"/>
          <w:szCs w:val="22"/>
          <w:lang w:eastAsia="en-GB"/>
          <w14:ligatures w14:val="none"/>
        </w:rPr>
        <w:t>sacrifice.</w:t>
      </w:r>
    </w:p>
    <w:p w14:paraId="386725E9" w14:textId="77777777" w:rsidR="009E6EED" w:rsidRPr="00D474EA" w:rsidRDefault="009E6EED"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3C17712E" w14:textId="704EF8A6" w:rsidR="00AC38AC"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Position 4 (Differentiation — Mid-High Price + High Value):</w:t>
      </w:r>
      <w:r w:rsidRPr="00D474EA">
        <w:rPr>
          <w:rFonts w:ascii="Arial" w:eastAsia="Times New Roman" w:hAnsi="Arial" w:cs="Arial"/>
          <w:color w:val="0F1115"/>
          <w:kern w:val="0"/>
          <w:sz w:val="22"/>
          <w:szCs w:val="22"/>
          <w:lang w:eastAsia="en-GB"/>
          <w14:ligatures w14:val="none"/>
        </w:rPr>
        <w:t xml:space="preserve"> Recommended for the core Vodafone and Three brands. The proposition is "the best network at a fair price"—customers pay a moderate premium for superior coverage, speed, and service. The multi-brand strategy enables this clear </w:t>
      </w:r>
      <w:r w:rsidR="00656B66" w:rsidRPr="00D474EA">
        <w:rPr>
          <w:rFonts w:ascii="Arial" w:eastAsia="Times New Roman" w:hAnsi="Arial" w:cs="Arial"/>
          <w:color w:val="0F1115"/>
          <w:kern w:val="0"/>
          <w:sz w:val="22"/>
          <w:szCs w:val="22"/>
          <w:lang w:eastAsia="en-GB"/>
          <w14:ligatures w14:val="none"/>
        </w:rPr>
        <w:t>differentiation.</w:t>
      </w:r>
    </w:p>
    <w:p w14:paraId="1AC51FE8" w14:textId="77777777" w:rsidR="009E6EED" w:rsidRPr="00D474EA" w:rsidRDefault="009E6EED"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6A5DCA80" w14:textId="39C38CC5"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Position 5 (Focused Differentiation — Premium Price + Very High Value):</w:t>
      </w:r>
      <w:r w:rsidRPr="00D474EA">
        <w:rPr>
          <w:rFonts w:ascii="Arial" w:eastAsia="Times New Roman" w:hAnsi="Arial" w:cs="Arial"/>
          <w:color w:val="0F1115"/>
          <w:kern w:val="0"/>
          <w:sz w:val="22"/>
          <w:szCs w:val="22"/>
          <w:lang w:eastAsia="en-GB"/>
          <w14:ligatures w14:val="none"/>
        </w:rPr>
        <w:t xml:space="preserve"> Recommended for B2B services, particularly "5G Slicing" with guaranteed performance for </w:t>
      </w:r>
      <w:r w:rsidR="00656B66" w:rsidRPr="00D474EA">
        <w:rPr>
          <w:rFonts w:ascii="Arial" w:eastAsia="Times New Roman" w:hAnsi="Arial" w:cs="Arial"/>
          <w:color w:val="0F1115"/>
          <w:kern w:val="0"/>
          <w:sz w:val="22"/>
          <w:szCs w:val="22"/>
          <w:lang w:eastAsia="en-GB"/>
          <w14:ligatures w14:val="none"/>
        </w:rPr>
        <w:t>enterprises.</w:t>
      </w:r>
    </w:p>
    <w:p w14:paraId="2B2E73B5" w14:textId="35CA50FA"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Advisory:</w:t>
      </w:r>
      <w:r w:rsidRPr="00D474EA">
        <w:rPr>
          <w:rFonts w:ascii="Arial" w:eastAsia="Times New Roman" w:hAnsi="Arial" w:cs="Arial"/>
          <w:color w:val="0F1115"/>
          <w:kern w:val="0"/>
          <w:sz w:val="22"/>
          <w:szCs w:val="22"/>
          <w:lang w:eastAsia="en-GB"/>
          <w14:ligatures w14:val="none"/>
        </w:rPr>
        <w:t xml:space="preserve"> The company must actively avoid Position 6 (Risky High Margins) and Position 8 (Loss of Market Share). The CMA behavioural remedies, including pricing commitments, help enforce disciplined </w:t>
      </w:r>
      <w:r w:rsidR="00656B66" w:rsidRPr="00D474EA">
        <w:rPr>
          <w:rFonts w:ascii="Arial" w:eastAsia="Times New Roman" w:hAnsi="Arial" w:cs="Arial"/>
          <w:color w:val="0F1115"/>
          <w:kern w:val="0"/>
          <w:sz w:val="22"/>
          <w:szCs w:val="22"/>
          <w:lang w:eastAsia="en-GB"/>
          <w14:ligatures w14:val="none"/>
        </w:rPr>
        <w:t>positioning.</w:t>
      </w:r>
    </w:p>
    <w:p w14:paraId="3019AD1D" w14:textId="1765BDAF"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6412FA83" w14:textId="77777777" w:rsidR="00AC38AC" w:rsidRPr="00D474EA" w:rsidRDefault="00AC38AC"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4.4 Alignment with Vodafone's Mission and Values</w:t>
      </w:r>
    </w:p>
    <w:p w14:paraId="472170A5"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The recommended strategy directly aligns with Vodafone's purpose and values:</w:t>
      </w:r>
    </w:p>
    <w:p w14:paraId="68EB49D9" w14:textId="6E4FB926" w:rsidR="00AC38AC"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Empowering People:</w:t>
      </w:r>
      <w:r w:rsidRPr="00D474EA">
        <w:rPr>
          <w:rFonts w:ascii="Arial" w:eastAsia="Times New Roman" w:hAnsi="Arial" w:cs="Arial"/>
          <w:color w:val="0F1115"/>
          <w:kern w:val="0"/>
          <w:sz w:val="22"/>
          <w:szCs w:val="22"/>
          <w:lang w:eastAsia="en-GB"/>
          <w14:ligatures w14:val="none"/>
        </w:rPr>
        <w:t xml:space="preserve"> The £11 billion investment in 5G standalone network expansion directly addresses the "Empowering People" pillar by closing the digital divide—eliminating "not-spots" across an area ten times the size of </w:t>
      </w:r>
      <w:r w:rsidR="00656B66" w:rsidRPr="00D474EA">
        <w:rPr>
          <w:rFonts w:ascii="Arial" w:eastAsia="Times New Roman" w:hAnsi="Arial" w:cs="Arial"/>
          <w:color w:val="0F1115"/>
          <w:kern w:val="0"/>
          <w:sz w:val="22"/>
          <w:szCs w:val="22"/>
          <w:lang w:eastAsia="en-GB"/>
          <w14:ligatures w14:val="none"/>
        </w:rPr>
        <w:t>London.</w:t>
      </w:r>
    </w:p>
    <w:p w14:paraId="3D0D8AEE" w14:textId="77777777" w:rsidR="009E6EED" w:rsidRPr="00D474EA" w:rsidRDefault="009E6EED"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257CF6DB" w14:textId="4149FE60" w:rsidR="00AC38AC"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Protecting the Planet:</w:t>
      </w:r>
      <w:r w:rsidRPr="00D474EA">
        <w:rPr>
          <w:rFonts w:ascii="Arial" w:eastAsia="Times New Roman" w:hAnsi="Arial" w:cs="Arial"/>
          <w:color w:val="0F1115"/>
          <w:kern w:val="0"/>
          <w:sz w:val="22"/>
          <w:szCs w:val="22"/>
          <w:lang w:eastAsia="en-GB"/>
          <w14:ligatures w14:val="none"/>
        </w:rPr>
        <w:t xml:space="preserve"> The network integration programme supports environmental commitments through equipment rationalisation and decommissioning of legacy infrastructure. The 5G standalone network is inherently more energy-efficient, contributing to the net zero emissions target for </w:t>
      </w:r>
      <w:r w:rsidR="00656B66" w:rsidRPr="00D474EA">
        <w:rPr>
          <w:rFonts w:ascii="Arial" w:eastAsia="Times New Roman" w:hAnsi="Arial" w:cs="Arial"/>
          <w:color w:val="0F1115"/>
          <w:kern w:val="0"/>
          <w:sz w:val="22"/>
          <w:szCs w:val="22"/>
          <w:lang w:eastAsia="en-GB"/>
          <w14:ligatures w14:val="none"/>
        </w:rPr>
        <w:t>2040.</w:t>
      </w:r>
    </w:p>
    <w:p w14:paraId="1446A479" w14:textId="77777777" w:rsidR="009E6EED" w:rsidRPr="00D474EA" w:rsidRDefault="009E6EED"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4616EE0C" w14:textId="0CF7FB5D"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Maintaining Trust:</w:t>
      </w:r>
      <w:r w:rsidRPr="00D474EA">
        <w:rPr>
          <w:rFonts w:ascii="Arial" w:eastAsia="Times New Roman" w:hAnsi="Arial" w:cs="Arial"/>
          <w:color w:val="0F1115"/>
          <w:kern w:val="0"/>
          <w:sz w:val="22"/>
          <w:szCs w:val="22"/>
          <w:lang w:eastAsia="en-GB"/>
          <w14:ligatures w14:val="none"/>
        </w:rPr>
        <w:t> The "Just Ask Once"</w:t>
      </w:r>
      <w:r w:rsidR="00656B66" w:rsidRPr="00D474EA">
        <w:rPr>
          <w:rFonts w:ascii="Arial" w:eastAsia="Times New Roman" w:hAnsi="Arial" w:cs="Arial"/>
          <w:color w:val="0F1115"/>
          <w:kern w:val="0"/>
          <w:sz w:val="22"/>
          <w:szCs w:val="22"/>
          <w:lang w:eastAsia="en-GB"/>
          <w14:ligatures w14:val="none"/>
        </w:rPr>
        <w:t xml:space="preserve">, </w:t>
      </w:r>
      <w:r w:rsidRPr="00D474EA">
        <w:rPr>
          <w:rFonts w:ascii="Arial" w:eastAsia="Times New Roman" w:hAnsi="Arial" w:cs="Arial"/>
          <w:color w:val="0F1115"/>
          <w:kern w:val="0"/>
          <w:sz w:val="22"/>
          <w:szCs w:val="22"/>
          <w:lang w:eastAsia="en-GB"/>
          <w14:ligatures w14:val="none"/>
        </w:rPr>
        <w:t xml:space="preserve">customer care promise and sustained NPS leadership demonstrate commitment to "Maintaining Trust." UK and Germany achieving their </w:t>
      </w:r>
      <w:proofErr w:type="gramStart"/>
      <w:r w:rsidRPr="00D474EA">
        <w:rPr>
          <w:rFonts w:ascii="Arial" w:eastAsia="Times New Roman" w:hAnsi="Arial" w:cs="Arial"/>
          <w:color w:val="0F1115"/>
          <w:kern w:val="0"/>
          <w:sz w:val="22"/>
          <w:szCs w:val="22"/>
          <w:lang w:eastAsia="en-GB"/>
          <w14:ligatures w14:val="none"/>
        </w:rPr>
        <w:t>best ever</w:t>
      </w:r>
      <w:proofErr w:type="gramEnd"/>
      <w:r w:rsidRPr="00D474EA">
        <w:rPr>
          <w:rFonts w:ascii="Arial" w:eastAsia="Times New Roman" w:hAnsi="Arial" w:cs="Arial"/>
          <w:color w:val="0F1115"/>
          <w:kern w:val="0"/>
          <w:sz w:val="22"/>
          <w:szCs w:val="22"/>
          <w:lang w:eastAsia="en-GB"/>
          <w14:ligatures w14:val="none"/>
        </w:rPr>
        <w:t xml:space="preserve"> customer satisfaction results </w:t>
      </w:r>
      <w:r w:rsidR="00656B66" w:rsidRPr="00D474EA">
        <w:rPr>
          <w:rFonts w:ascii="Arial" w:eastAsia="Times New Roman" w:hAnsi="Arial" w:cs="Arial"/>
          <w:color w:val="0F1115"/>
          <w:kern w:val="0"/>
          <w:sz w:val="22"/>
          <w:szCs w:val="22"/>
          <w:lang w:eastAsia="en-GB"/>
          <w14:ligatures w14:val="none"/>
        </w:rPr>
        <w:t>show</w:t>
      </w:r>
      <w:r w:rsidRPr="00D474EA">
        <w:rPr>
          <w:rFonts w:ascii="Arial" w:eastAsia="Times New Roman" w:hAnsi="Arial" w:cs="Arial"/>
          <w:color w:val="0F1115"/>
          <w:kern w:val="0"/>
          <w:sz w:val="22"/>
          <w:szCs w:val="22"/>
          <w:lang w:eastAsia="en-GB"/>
          <w14:ligatures w14:val="none"/>
        </w:rPr>
        <w:t xml:space="preserve"> tangible </w:t>
      </w:r>
      <w:r w:rsidR="00656B66" w:rsidRPr="00D474EA">
        <w:rPr>
          <w:rFonts w:ascii="Arial" w:eastAsia="Times New Roman" w:hAnsi="Arial" w:cs="Arial"/>
          <w:color w:val="0F1115"/>
          <w:kern w:val="0"/>
          <w:sz w:val="22"/>
          <w:szCs w:val="22"/>
          <w:lang w:eastAsia="en-GB"/>
          <w14:ligatures w14:val="none"/>
        </w:rPr>
        <w:t>progress.</w:t>
      </w:r>
    </w:p>
    <w:p w14:paraId="78B72EED" w14:textId="6E731616"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The strategy also aligns with the "Spirit of Vodafone" values</w:t>
      </w:r>
      <w:r w:rsidR="00656B66" w:rsidRPr="00D474EA">
        <w:rPr>
          <w:rFonts w:ascii="Arial" w:eastAsia="Times New Roman" w:hAnsi="Arial" w:cs="Arial"/>
          <w:color w:val="0F1115"/>
          <w:kern w:val="0"/>
          <w:sz w:val="22"/>
          <w:szCs w:val="22"/>
          <w:lang w:eastAsia="en-GB"/>
          <w14:ligatures w14:val="none"/>
        </w:rPr>
        <w:t>-</w:t>
      </w:r>
      <w:r w:rsidRPr="00D474EA">
        <w:rPr>
          <w:rFonts w:ascii="Arial" w:eastAsia="Times New Roman" w:hAnsi="Arial" w:cs="Arial"/>
          <w:color w:val="0F1115"/>
          <w:kern w:val="0"/>
          <w:sz w:val="22"/>
          <w:szCs w:val="22"/>
          <w:lang w:eastAsia="en-GB"/>
          <w14:ligatures w14:val="none"/>
        </w:rPr>
        <w:t>focusing on customers through improved experience, embracing simplicity through operational streamlining, and driving growth through 5G monetisation and B2B expansion.</w:t>
      </w:r>
    </w:p>
    <w:p w14:paraId="269041DF" w14:textId="752083F4" w:rsidR="00AC38AC"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0C4DB553" w14:textId="77777777" w:rsidR="009E6EED" w:rsidRDefault="009E6EED"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4202BBD0" w14:textId="77777777" w:rsidR="009E6EED" w:rsidRDefault="009E6EED"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62508AF7" w14:textId="77777777" w:rsidR="009E6EED" w:rsidRPr="00D474EA" w:rsidRDefault="009E6EED"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073BC096" w14:textId="77777777" w:rsidR="00AC38AC" w:rsidRPr="00D474EA" w:rsidRDefault="00AC38AC"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5. Strategy Evaluation</w:t>
      </w:r>
    </w:p>
    <w:p w14:paraId="1A57F34A" w14:textId="77777777" w:rsidR="00AC38AC"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A robust strategy evaluation must assess Suitability (does the strategy fit the organisation's strategic position?), Acceptability (does it deliver expected stakeholder returns?), and Feasibility (can the organisation deliver it?).</w:t>
      </w:r>
    </w:p>
    <w:p w14:paraId="01D5C293" w14:textId="77777777" w:rsidR="009E6EED" w:rsidRPr="00D474EA" w:rsidRDefault="009E6EED"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3B1D2B96" w14:textId="77777777" w:rsidR="00AC38AC" w:rsidRPr="00D474EA" w:rsidRDefault="00AC38AC"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5.1 Suitability Assessment</w:t>
      </w:r>
    </w:p>
    <w:p w14:paraId="691DDAD4" w14:textId="0623CA85"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 xml:space="preserve">The recommended focused differentiation strategy fits Vodafone's strategic position. The merger has created the scale necessary for both cost leadership and differentiation, and Vodafone's "Customers, Simplicity, Growth" priorities align directly with this hybrid </w:t>
      </w:r>
      <w:r w:rsidR="00656B66" w:rsidRPr="00D474EA">
        <w:rPr>
          <w:rFonts w:ascii="Arial" w:eastAsia="Times New Roman" w:hAnsi="Arial" w:cs="Arial"/>
          <w:color w:val="0F1115"/>
          <w:kern w:val="0"/>
          <w:sz w:val="22"/>
          <w:szCs w:val="22"/>
          <w:lang w:eastAsia="en-GB"/>
          <w14:ligatures w14:val="none"/>
        </w:rPr>
        <w:t>approach.</w:t>
      </w:r>
      <w:r w:rsidRPr="00D474EA">
        <w:rPr>
          <w:rFonts w:ascii="Arial" w:eastAsia="Times New Roman" w:hAnsi="Arial" w:cs="Arial"/>
          <w:color w:val="0F1115"/>
          <w:kern w:val="0"/>
          <w:sz w:val="22"/>
          <w:szCs w:val="22"/>
          <w:lang w:eastAsia="en-GB"/>
          <w14:ligatures w14:val="none"/>
        </w:rPr>
        <w:t xml:space="preserve"> The strategy positions Vodafone to capitalise on the four megatrends reshaping the industry. By prioritising 5G standalone investment, Vodafone is building the platform to capture these trends rather than being disrupted by them. The strategy leverages Vodafone's proven capabilities in network deployment, customer experience improvement, and operational simplification</w:t>
      </w:r>
      <w:r w:rsidR="00656B66" w:rsidRPr="00D474EA">
        <w:rPr>
          <w:rFonts w:ascii="Arial" w:eastAsia="Times New Roman" w:hAnsi="Arial" w:cs="Arial"/>
          <w:color w:val="0F1115"/>
          <w:kern w:val="0"/>
          <w:sz w:val="22"/>
          <w:szCs w:val="22"/>
          <w:lang w:eastAsia="en-GB"/>
          <w14:ligatures w14:val="none"/>
        </w:rPr>
        <w:t xml:space="preserve"> </w:t>
      </w:r>
      <w:r w:rsidRPr="00D474EA">
        <w:rPr>
          <w:rFonts w:ascii="Arial" w:eastAsia="Times New Roman" w:hAnsi="Arial" w:cs="Arial"/>
          <w:color w:val="0F1115"/>
          <w:kern w:val="0"/>
          <w:sz w:val="22"/>
          <w:szCs w:val="22"/>
          <w:lang w:eastAsia="en-GB"/>
          <w14:ligatures w14:val="none"/>
        </w:rPr>
        <w:t xml:space="preserve">evidenced by MOCN integration completing ahead of </w:t>
      </w:r>
      <w:r w:rsidR="00656B66" w:rsidRPr="00D474EA">
        <w:rPr>
          <w:rFonts w:ascii="Arial" w:eastAsia="Times New Roman" w:hAnsi="Arial" w:cs="Arial"/>
          <w:color w:val="0F1115"/>
          <w:kern w:val="0"/>
          <w:sz w:val="22"/>
          <w:szCs w:val="22"/>
          <w:lang w:eastAsia="en-GB"/>
          <w14:ligatures w14:val="none"/>
        </w:rPr>
        <w:t>schedule.</w:t>
      </w:r>
    </w:p>
    <w:p w14:paraId="02E785D6" w14:textId="77777777" w:rsidR="00FC3076" w:rsidRPr="00D474EA" w:rsidRDefault="00FC3076"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3960DFD7" w14:textId="070612A0" w:rsidR="00AC38AC" w:rsidRPr="00D474EA" w:rsidRDefault="00AC38AC"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lastRenderedPageBreak/>
        <w:t>5.2 Acceptability Assessment</w:t>
      </w:r>
    </w:p>
    <w:p w14:paraId="23F67262" w14:textId="376D5798" w:rsidR="009E6EED"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 xml:space="preserve">The strategy is expected to deliver acceptable returns and stakeholder value. Vodafone confirmed expectations to deliver at the upper end of FY26 guidance, with Group service revenue growth accelerating to 5.8% in Q2 FY26. In the UK, </w:t>
      </w:r>
      <w:r w:rsidR="00656B66" w:rsidRPr="00D474EA">
        <w:rPr>
          <w:rFonts w:ascii="Arial" w:eastAsia="Times New Roman" w:hAnsi="Arial" w:cs="Arial"/>
          <w:color w:val="0F1115"/>
          <w:kern w:val="0"/>
          <w:sz w:val="22"/>
          <w:szCs w:val="22"/>
          <w:lang w:eastAsia="en-GB"/>
          <w14:ligatures w14:val="none"/>
        </w:rPr>
        <w:t>Vodafone Three</w:t>
      </w:r>
      <w:r w:rsidRPr="00D474EA">
        <w:rPr>
          <w:rFonts w:ascii="Arial" w:eastAsia="Times New Roman" w:hAnsi="Arial" w:cs="Arial"/>
          <w:color w:val="0F1115"/>
          <w:kern w:val="0"/>
          <w:sz w:val="22"/>
          <w:szCs w:val="22"/>
          <w:lang w:eastAsia="en-GB"/>
          <w14:ligatures w14:val="none"/>
        </w:rPr>
        <w:t xml:space="preserve"> reported 1.2% organic service revenue growth in its first full quarter as an integrated </w:t>
      </w:r>
      <w:r w:rsidR="00656B66" w:rsidRPr="00D474EA">
        <w:rPr>
          <w:rFonts w:ascii="Arial" w:eastAsia="Times New Roman" w:hAnsi="Arial" w:cs="Arial"/>
          <w:color w:val="0F1115"/>
          <w:kern w:val="0"/>
          <w:sz w:val="22"/>
          <w:szCs w:val="22"/>
          <w:lang w:eastAsia="en-GB"/>
          <w14:ligatures w14:val="none"/>
        </w:rPr>
        <w:t>company.</w:t>
      </w:r>
      <w:r w:rsidRPr="00D474EA">
        <w:rPr>
          <w:rFonts w:ascii="Arial" w:eastAsia="Times New Roman" w:hAnsi="Arial" w:cs="Arial"/>
          <w:color w:val="0F1115"/>
          <w:kern w:val="0"/>
          <w:sz w:val="22"/>
          <w:szCs w:val="22"/>
          <w:lang w:eastAsia="en-GB"/>
          <w14:ligatures w14:val="none"/>
        </w:rPr>
        <w:t xml:space="preserve"> The progressive dividend policy demonstrates confidence in cash flow </w:t>
      </w:r>
      <w:r w:rsidR="00656B66" w:rsidRPr="00D474EA">
        <w:rPr>
          <w:rFonts w:ascii="Arial" w:eastAsia="Times New Roman" w:hAnsi="Arial" w:cs="Arial"/>
          <w:color w:val="0F1115"/>
          <w:kern w:val="0"/>
          <w:sz w:val="22"/>
          <w:szCs w:val="22"/>
          <w:lang w:eastAsia="en-GB"/>
          <w14:ligatures w14:val="none"/>
        </w:rPr>
        <w:t>generation.</w:t>
      </w:r>
    </w:p>
    <w:tbl>
      <w:tblPr>
        <w:tblpPr w:leftFromText="180" w:rightFromText="180" w:vertAnchor="text" w:horzAnchor="margin" w:tblpXSpec="center" w:tblpY="431"/>
        <w:tblW w:w="11280" w:type="dxa"/>
        <w:shd w:val="clear" w:color="auto" w:fill="C1E4F5" w:themeFill="accent1" w:themeFillTint="33"/>
        <w:tblCellMar>
          <w:top w:w="15" w:type="dxa"/>
          <w:left w:w="15" w:type="dxa"/>
          <w:bottom w:w="15" w:type="dxa"/>
          <w:right w:w="15" w:type="dxa"/>
        </w:tblCellMar>
        <w:tblLook w:val="04A0" w:firstRow="1" w:lastRow="0" w:firstColumn="1" w:lastColumn="0" w:noHBand="0" w:noVBand="1"/>
      </w:tblPr>
      <w:tblGrid>
        <w:gridCol w:w="2676"/>
        <w:gridCol w:w="8604"/>
      </w:tblGrid>
      <w:tr w:rsidR="00FC3076" w:rsidRPr="00D474EA" w14:paraId="5D0FB0C9" w14:textId="77777777" w:rsidTr="00FC3076">
        <w:trPr>
          <w:tblHeader/>
        </w:trPr>
        <w:tc>
          <w:tcPr>
            <w:tcW w:w="0" w:type="auto"/>
            <w:tcBorders>
              <w:top w:val="nil"/>
            </w:tcBorders>
            <w:shd w:val="clear" w:color="auto" w:fill="C1E4F5" w:themeFill="accent1" w:themeFillTint="33"/>
            <w:tcMar>
              <w:top w:w="150" w:type="dxa"/>
              <w:left w:w="0" w:type="dxa"/>
              <w:bottom w:w="150" w:type="dxa"/>
              <w:right w:w="240" w:type="dxa"/>
            </w:tcMar>
            <w:vAlign w:val="center"/>
            <w:hideMark/>
          </w:tcPr>
          <w:p w14:paraId="771B8AD1" w14:textId="77777777" w:rsidR="00FC3076" w:rsidRPr="00D474EA" w:rsidRDefault="00FC3076"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Risk</w:t>
            </w:r>
          </w:p>
        </w:tc>
        <w:tc>
          <w:tcPr>
            <w:tcW w:w="0" w:type="auto"/>
            <w:tcBorders>
              <w:top w:val="nil"/>
            </w:tcBorders>
            <w:shd w:val="clear" w:color="auto" w:fill="C1E4F5" w:themeFill="accent1" w:themeFillTint="33"/>
            <w:tcMar>
              <w:top w:w="150" w:type="dxa"/>
              <w:left w:w="240" w:type="dxa"/>
              <w:bottom w:w="150" w:type="dxa"/>
              <w:right w:w="240" w:type="dxa"/>
            </w:tcMar>
            <w:vAlign w:val="center"/>
            <w:hideMark/>
          </w:tcPr>
          <w:p w14:paraId="76A96EE1" w14:textId="77777777" w:rsidR="00FC3076" w:rsidRPr="00D474EA" w:rsidRDefault="00FC3076"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Description</w:t>
            </w:r>
          </w:p>
        </w:tc>
      </w:tr>
      <w:tr w:rsidR="00FC3076" w:rsidRPr="00D474EA" w14:paraId="7C9D3AE6" w14:textId="77777777" w:rsidTr="00FC3076">
        <w:tc>
          <w:tcPr>
            <w:tcW w:w="0" w:type="auto"/>
            <w:shd w:val="clear" w:color="auto" w:fill="C1E4F5" w:themeFill="accent1" w:themeFillTint="33"/>
            <w:tcMar>
              <w:top w:w="150" w:type="dxa"/>
              <w:left w:w="0" w:type="dxa"/>
              <w:bottom w:w="150" w:type="dxa"/>
              <w:right w:w="240" w:type="dxa"/>
            </w:tcMar>
            <w:vAlign w:val="center"/>
            <w:hideMark/>
          </w:tcPr>
          <w:p w14:paraId="3DFE0362" w14:textId="77777777" w:rsidR="00FC3076" w:rsidRPr="00D474EA" w:rsidRDefault="00FC3076"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Integration Execution Risk</w:t>
            </w:r>
          </w:p>
        </w:tc>
        <w:tc>
          <w:tcPr>
            <w:tcW w:w="0" w:type="auto"/>
            <w:shd w:val="clear" w:color="auto" w:fill="C1E4F5" w:themeFill="accent1" w:themeFillTint="33"/>
            <w:tcMar>
              <w:top w:w="150" w:type="dxa"/>
              <w:left w:w="240" w:type="dxa"/>
              <w:bottom w:w="150" w:type="dxa"/>
              <w:right w:w="0" w:type="dxa"/>
            </w:tcMar>
            <w:vAlign w:val="center"/>
            <w:hideMark/>
          </w:tcPr>
          <w:p w14:paraId="54D4A3D0" w14:textId="77777777" w:rsidR="00FC3076" w:rsidRPr="00D474EA" w:rsidRDefault="00FC3076"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The ambitious integration schedule carries execution risk; "a pace not seen before in UK telcos" must be sustained </w:t>
            </w:r>
          </w:p>
        </w:tc>
      </w:tr>
      <w:tr w:rsidR="00FC3076" w:rsidRPr="00D474EA" w14:paraId="77645D4B" w14:textId="77777777" w:rsidTr="00FC3076">
        <w:tc>
          <w:tcPr>
            <w:tcW w:w="0" w:type="auto"/>
            <w:shd w:val="clear" w:color="auto" w:fill="C1E4F5" w:themeFill="accent1" w:themeFillTint="33"/>
            <w:tcMar>
              <w:top w:w="150" w:type="dxa"/>
              <w:left w:w="0" w:type="dxa"/>
              <w:bottom w:w="150" w:type="dxa"/>
              <w:right w:w="240" w:type="dxa"/>
            </w:tcMar>
            <w:vAlign w:val="center"/>
            <w:hideMark/>
          </w:tcPr>
          <w:p w14:paraId="36E98FAD" w14:textId="77777777" w:rsidR="00FC3076" w:rsidRPr="00D474EA" w:rsidRDefault="00FC3076"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German Operation Struggles</w:t>
            </w:r>
          </w:p>
        </w:tc>
        <w:tc>
          <w:tcPr>
            <w:tcW w:w="0" w:type="auto"/>
            <w:shd w:val="clear" w:color="auto" w:fill="C1E4F5" w:themeFill="accent1" w:themeFillTint="33"/>
            <w:tcMar>
              <w:top w:w="150" w:type="dxa"/>
              <w:left w:w="240" w:type="dxa"/>
              <w:bottom w:w="150" w:type="dxa"/>
              <w:right w:w="0" w:type="dxa"/>
            </w:tcMar>
            <w:vAlign w:val="center"/>
            <w:hideMark/>
          </w:tcPr>
          <w:p w14:paraId="3939BF15" w14:textId="77777777" w:rsidR="00FC3076" w:rsidRPr="00D474EA" w:rsidRDefault="00FC3076"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Germany accounts for roughly one-third of Group service revenue and has reported five consecutive quarters of decline </w:t>
            </w:r>
          </w:p>
        </w:tc>
      </w:tr>
      <w:tr w:rsidR="00FC3076" w:rsidRPr="00D474EA" w14:paraId="7D6A29D2" w14:textId="77777777" w:rsidTr="00FC3076">
        <w:tc>
          <w:tcPr>
            <w:tcW w:w="0" w:type="auto"/>
            <w:shd w:val="clear" w:color="auto" w:fill="C1E4F5" w:themeFill="accent1" w:themeFillTint="33"/>
            <w:tcMar>
              <w:top w:w="150" w:type="dxa"/>
              <w:left w:w="0" w:type="dxa"/>
              <w:bottom w:w="150" w:type="dxa"/>
              <w:right w:w="240" w:type="dxa"/>
            </w:tcMar>
            <w:vAlign w:val="center"/>
            <w:hideMark/>
          </w:tcPr>
          <w:p w14:paraId="605C1030" w14:textId="77777777" w:rsidR="00FC3076" w:rsidRPr="00D474EA" w:rsidRDefault="00FC3076"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Regulatory Compliance</w:t>
            </w:r>
          </w:p>
        </w:tc>
        <w:tc>
          <w:tcPr>
            <w:tcW w:w="0" w:type="auto"/>
            <w:shd w:val="clear" w:color="auto" w:fill="C1E4F5" w:themeFill="accent1" w:themeFillTint="33"/>
            <w:tcMar>
              <w:top w:w="150" w:type="dxa"/>
              <w:left w:w="240" w:type="dxa"/>
              <w:bottom w:w="150" w:type="dxa"/>
              <w:right w:w="0" w:type="dxa"/>
            </w:tcMar>
            <w:vAlign w:val="center"/>
            <w:hideMark/>
          </w:tcPr>
          <w:p w14:paraId="46E5EAB6" w14:textId="77777777" w:rsidR="00FC3076" w:rsidRPr="00D474EA" w:rsidRDefault="00FC3076"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CMA behavioural remedies impose pricing and wholesale constraints </w:t>
            </w:r>
          </w:p>
        </w:tc>
      </w:tr>
    </w:tbl>
    <w:p w14:paraId="1E71F1F5"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Risks to Acceptability:</w:t>
      </w:r>
    </w:p>
    <w:p w14:paraId="2F78A1AD" w14:textId="76704E71"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Assumption:</w:t>
      </w:r>
      <w:r w:rsidRPr="00D474EA">
        <w:rPr>
          <w:rFonts w:ascii="Arial" w:eastAsia="Times New Roman" w:hAnsi="Arial" w:cs="Arial"/>
          <w:color w:val="0F1115"/>
          <w:kern w:val="0"/>
          <w:sz w:val="22"/>
          <w:szCs w:val="22"/>
          <w:lang w:eastAsia="en-GB"/>
          <w14:ligatures w14:val="none"/>
        </w:rPr>
        <w:t> The UK market will sustain current competitive intensity with rational pricing post-consolidation.</w:t>
      </w:r>
    </w:p>
    <w:p w14:paraId="5A14B233" w14:textId="77777777" w:rsidR="00FA78D2" w:rsidRPr="00D474EA" w:rsidRDefault="00FA78D2"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14A2836E" w14:textId="77777777" w:rsidR="009E6EED" w:rsidRDefault="009E6EE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267CF784" w14:textId="77777777" w:rsidR="00702CBD" w:rsidRDefault="00702CB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0E1A6F50" w14:textId="77777777" w:rsidR="00702CBD" w:rsidRDefault="00702CB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0796D828" w14:textId="77777777" w:rsidR="00702CBD" w:rsidRDefault="00702CB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35365D5A" w14:textId="77777777" w:rsidR="00702CBD" w:rsidRDefault="00702CB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29198497" w14:textId="77777777" w:rsidR="00702CBD" w:rsidRDefault="00702CB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513C3001" w14:textId="77777777" w:rsidR="00702CBD" w:rsidRDefault="00702CB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0EC04EA8" w14:textId="77777777" w:rsidR="001F254F" w:rsidRDefault="001F254F"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55CD40E2" w14:textId="77777777" w:rsidR="001F254F" w:rsidRDefault="001F254F"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122AB0AD" w14:textId="77777777" w:rsidR="001F254F" w:rsidRDefault="001F254F"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4B5871B2" w14:textId="77777777" w:rsidR="001F254F" w:rsidRDefault="001F254F"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188E356D" w14:textId="77777777" w:rsidR="001F254F" w:rsidRDefault="001F254F"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635739E2" w14:textId="77777777" w:rsidR="00702CBD" w:rsidRDefault="00702CB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5631C7BB" w14:textId="77777777" w:rsidR="00702CBD" w:rsidRDefault="00702CB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709F19C7" w14:textId="77777777" w:rsidR="00702CBD" w:rsidRDefault="00702CB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5F1CDABD" w14:textId="77777777" w:rsidR="00702CBD" w:rsidRDefault="00702CB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65694102" w14:textId="6000AABA" w:rsidR="00FA78D2" w:rsidRPr="00D474EA" w:rsidRDefault="009E6EE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lastRenderedPageBreak/>
        <w:t>5.3 Feasibility Assessment</w:t>
      </w:r>
    </w:p>
    <w:tbl>
      <w:tblPr>
        <w:tblStyle w:val="GridTable5Dark-Accent1"/>
        <w:tblpPr w:leftFromText="180" w:rightFromText="180" w:vertAnchor="text" w:horzAnchor="margin" w:tblpXSpec="center" w:tblpY="481"/>
        <w:tblW w:w="5800" w:type="pct"/>
        <w:tblLook w:val="04A0" w:firstRow="1" w:lastRow="0" w:firstColumn="1" w:lastColumn="0" w:noHBand="0" w:noVBand="1"/>
      </w:tblPr>
      <w:tblGrid>
        <w:gridCol w:w="1864"/>
        <w:gridCol w:w="4489"/>
        <w:gridCol w:w="4106"/>
      </w:tblGrid>
      <w:tr w:rsidR="00FC3076" w:rsidRPr="00D474EA" w14:paraId="29BF4789" w14:textId="77777777" w:rsidTr="00FC307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1" w:type="pct"/>
            <w:hideMark/>
          </w:tcPr>
          <w:p w14:paraId="0758C606" w14:textId="77777777" w:rsidR="00FC3076" w:rsidRPr="00D474EA" w:rsidRDefault="00FC3076"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Capability Dimension</w:t>
            </w:r>
          </w:p>
        </w:tc>
        <w:tc>
          <w:tcPr>
            <w:tcW w:w="2146" w:type="pct"/>
            <w:hideMark/>
          </w:tcPr>
          <w:p w14:paraId="73B19178" w14:textId="77777777" w:rsidR="00FC3076" w:rsidRPr="00D474EA" w:rsidRDefault="00FC3076" w:rsidP="00D474EA">
            <w:pPr>
              <w:shd w:val="clear" w:color="auto" w:fill="FFFFFF"/>
              <w:spacing w:line="360" w:lineRule="auto"/>
              <w:jc w:val="both"/>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Assessment</w:t>
            </w:r>
          </w:p>
        </w:tc>
        <w:tc>
          <w:tcPr>
            <w:tcW w:w="1963" w:type="pct"/>
            <w:hideMark/>
          </w:tcPr>
          <w:p w14:paraId="7E2698C2" w14:textId="77777777" w:rsidR="00FC3076" w:rsidRPr="00D474EA" w:rsidRDefault="00FC3076" w:rsidP="00D474EA">
            <w:pPr>
              <w:shd w:val="clear" w:color="auto" w:fill="FFFFFF"/>
              <w:spacing w:line="360" w:lineRule="auto"/>
              <w:jc w:val="both"/>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Supporting Evidence</w:t>
            </w:r>
          </w:p>
        </w:tc>
      </w:tr>
      <w:tr w:rsidR="00FC3076" w:rsidRPr="00D474EA" w14:paraId="16354376" w14:textId="77777777" w:rsidTr="00FC307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1" w:type="pct"/>
            <w:hideMark/>
          </w:tcPr>
          <w:p w14:paraId="2A280C64" w14:textId="77777777" w:rsidR="00FC3076" w:rsidRPr="00D474EA" w:rsidRDefault="00FC3076"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Financial</w:t>
            </w:r>
          </w:p>
        </w:tc>
        <w:tc>
          <w:tcPr>
            <w:tcW w:w="2146" w:type="pct"/>
            <w:hideMark/>
          </w:tcPr>
          <w:p w14:paraId="5D7025F4" w14:textId="77777777" w:rsidR="00FC3076" w:rsidRPr="00D474EA" w:rsidRDefault="00FC3076"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Debt manageable (€22.4B, leverage 2.0x); asset sales provide flexibility</w:t>
            </w:r>
          </w:p>
        </w:tc>
        <w:tc>
          <w:tcPr>
            <w:tcW w:w="1963" w:type="pct"/>
            <w:hideMark/>
          </w:tcPr>
          <w:p w14:paraId="326CE260" w14:textId="77777777" w:rsidR="00FC3076" w:rsidRPr="00D474EA" w:rsidRDefault="00FC3076"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€4B share buyback programme; progressive dividend policy </w:t>
            </w:r>
          </w:p>
        </w:tc>
      </w:tr>
      <w:tr w:rsidR="00FC3076" w:rsidRPr="00D474EA" w14:paraId="6AAB8544" w14:textId="77777777" w:rsidTr="00FC3076">
        <w:trPr>
          <w:trHeight w:val="20"/>
        </w:trPr>
        <w:tc>
          <w:tcPr>
            <w:cnfStyle w:val="001000000000" w:firstRow="0" w:lastRow="0" w:firstColumn="1" w:lastColumn="0" w:oddVBand="0" w:evenVBand="0" w:oddHBand="0" w:evenHBand="0" w:firstRowFirstColumn="0" w:firstRowLastColumn="0" w:lastRowFirstColumn="0" w:lastRowLastColumn="0"/>
            <w:tcW w:w="891" w:type="pct"/>
            <w:hideMark/>
          </w:tcPr>
          <w:p w14:paraId="1469BD64" w14:textId="77777777" w:rsidR="00FC3076" w:rsidRPr="00D474EA" w:rsidRDefault="00FC3076"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Operational</w:t>
            </w:r>
          </w:p>
        </w:tc>
        <w:tc>
          <w:tcPr>
            <w:tcW w:w="2146" w:type="pct"/>
            <w:hideMark/>
          </w:tcPr>
          <w:p w14:paraId="37936FA8" w14:textId="77777777" w:rsidR="00FC3076" w:rsidRPr="00D474EA" w:rsidRDefault="00FC3076"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MOCN integration ahead of schedule (8,000 sites completed)</w:t>
            </w:r>
          </w:p>
        </w:tc>
        <w:tc>
          <w:tcPr>
            <w:tcW w:w="1963" w:type="pct"/>
            <w:hideMark/>
          </w:tcPr>
          <w:p w14:paraId="2E2F6111" w14:textId="77777777" w:rsidR="00FC3076" w:rsidRPr="00D474EA" w:rsidRDefault="00FC3076"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Fast start acknowledged by CEO </w:t>
            </w:r>
          </w:p>
        </w:tc>
      </w:tr>
      <w:tr w:rsidR="00FC3076" w:rsidRPr="00D474EA" w14:paraId="401D038C" w14:textId="77777777" w:rsidTr="00FC307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91" w:type="pct"/>
            <w:hideMark/>
          </w:tcPr>
          <w:p w14:paraId="51247577" w14:textId="77777777" w:rsidR="00FC3076" w:rsidRPr="00D474EA" w:rsidRDefault="00FC3076"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Technological</w:t>
            </w:r>
          </w:p>
        </w:tc>
        <w:tc>
          <w:tcPr>
            <w:tcW w:w="2146" w:type="pct"/>
            <w:hideMark/>
          </w:tcPr>
          <w:p w14:paraId="7EBB486B" w14:textId="77777777" w:rsidR="00FC3076" w:rsidRPr="00D474EA" w:rsidRDefault="00FC3076"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5G standalone deployment progressing; 5G-Advanced features in development</w:t>
            </w:r>
          </w:p>
        </w:tc>
        <w:tc>
          <w:tcPr>
            <w:tcW w:w="1963" w:type="pct"/>
            <w:hideMark/>
          </w:tcPr>
          <w:p w14:paraId="71D62A2D" w14:textId="77777777" w:rsidR="00FC3076" w:rsidRPr="00D474EA" w:rsidRDefault="00FC3076"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Cloud-native 5G SA core; Ericsson/Nokia partnerships </w:t>
            </w:r>
          </w:p>
        </w:tc>
      </w:tr>
      <w:tr w:rsidR="00FC3076" w:rsidRPr="00D474EA" w14:paraId="3FC873D9" w14:textId="77777777" w:rsidTr="00FC3076">
        <w:trPr>
          <w:trHeight w:val="20"/>
        </w:trPr>
        <w:tc>
          <w:tcPr>
            <w:cnfStyle w:val="001000000000" w:firstRow="0" w:lastRow="0" w:firstColumn="1" w:lastColumn="0" w:oddVBand="0" w:evenVBand="0" w:oddHBand="0" w:evenHBand="0" w:firstRowFirstColumn="0" w:firstRowLastColumn="0" w:lastRowFirstColumn="0" w:lastRowLastColumn="0"/>
            <w:tcW w:w="891" w:type="pct"/>
            <w:hideMark/>
          </w:tcPr>
          <w:p w14:paraId="341DEDCC" w14:textId="77777777" w:rsidR="00FC3076" w:rsidRPr="00D474EA" w:rsidRDefault="00FC3076"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Human</w:t>
            </w:r>
          </w:p>
        </w:tc>
        <w:tc>
          <w:tcPr>
            <w:tcW w:w="2146" w:type="pct"/>
            <w:hideMark/>
          </w:tcPr>
          <w:p w14:paraId="7B388013" w14:textId="77777777" w:rsidR="00FC3076" w:rsidRPr="00D474EA" w:rsidRDefault="00FC3076"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Integration progressing; employee engagement maintained</w:t>
            </w:r>
          </w:p>
        </w:tc>
        <w:tc>
          <w:tcPr>
            <w:tcW w:w="1963" w:type="pct"/>
            <w:hideMark/>
          </w:tcPr>
          <w:p w14:paraId="4196585B" w14:textId="77777777" w:rsidR="00FC3076" w:rsidRPr="00D474EA" w:rsidRDefault="00FC3076"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"Fast start" and operational progress acknowledged </w:t>
            </w:r>
          </w:p>
        </w:tc>
      </w:tr>
    </w:tbl>
    <w:p w14:paraId="67F21D8A" w14:textId="77777777" w:rsidR="009E6EED" w:rsidRDefault="009E6EE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739AC7B5" w14:textId="77777777" w:rsidR="009E6EED" w:rsidRDefault="009E6EE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3649399E"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177C52E8"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6F2FB606"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4DB005E7"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34813174"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18113EF3"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2A4861A6"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0D989462"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4309F8D5"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28DE23DC"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77CE1846"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0C158405"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4BB87F26"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1AB5B20A"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7981A2F0"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3AFFEEEB"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76262F5F"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0418F770"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46062255"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1FEA7149"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6A3B6422"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794DD5D9"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5DFB36D5" w14:textId="77777777" w:rsidR="009E6EED"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549129E2" w14:textId="071C266F" w:rsidR="009E6EED" w:rsidRPr="00D474EA" w:rsidRDefault="009E6EED" w:rsidP="009E6EE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lastRenderedPageBreak/>
        <w:t>6. Stakeholder Analysis</w:t>
      </w:r>
    </w:p>
    <w:p w14:paraId="60371B6F" w14:textId="13EC6185" w:rsidR="00AC38AC" w:rsidRPr="00D474EA" w:rsidRDefault="00AC38AC"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6.1 Mendelow's Matrix</w:t>
      </w:r>
    </w:p>
    <w:tbl>
      <w:tblPr>
        <w:tblW w:w="6256"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AE2D5" w:themeFill="accent2" w:themeFillTint="33"/>
        <w:tblLayout w:type="fixed"/>
        <w:tblCellMar>
          <w:left w:w="85" w:type="dxa"/>
          <w:right w:w="15" w:type="dxa"/>
        </w:tblCellMar>
        <w:tblLook w:val="04A0" w:firstRow="1" w:lastRow="0" w:firstColumn="1" w:lastColumn="0" w:noHBand="0" w:noVBand="1"/>
      </w:tblPr>
      <w:tblGrid>
        <w:gridCol w:w="2127"/>
        <w:gridCol w:w="2277"/>
        <w:gridCol w:w="1566"/>
        <w:gridCol w:w="1967"/>
        <w:gridCol w:w="3344"/>
      </w:tblGrid>
      <w:tr w:rsidR="00AC38AC" w:rsidRPr="00D474EA" w14:paraId="3D7AD910" w14:textId="77777777" w:rsidTr="00FC3076">
        <w:trPr>
          <w:trHeight w:val="707"/>
          <w:tblHeader/>
        </w:trPr>
        <w:tc>
          <w:tcPr>
            <w:tcW w:w="943" w:type="pct"/>
            <w:shd w:val="clear" w:color="auto" w:fill="FAE2D5" w:themeFill="accent2" w:themeFillTint="33"/>
            <w:tcMar>
              <w:top w:w="150" w:type="dxa"/>
              <w:left w:w="0" w:type="dxa"/>
              <w:bottom w:w="150" w:type="dxa"/>
              <w:right w:w="240" w:type="dxa"/>
            </w:tcMar>
            <w:vAlign w:val="center"/>
            <w:hideMark/>
          </w:tcPr>
          <w:p w14:paraId="3D246A42"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Stakeholder</w:t>
            </w:r>
          </w:p>
        </w:tc>
        <w:tc>
          <w:tcPr>
            <w:tcW w:w="1009" w:type="pct"/>
            <w:shd w:val="clear" w:color="auto" w:fill="FAE2D5" w:themeFill="accent2" w:themeFillTint="33"/>
            <w:tcMar>
              <w:top w:w="150" w:type="dxa"/>
              <w:left w:w="240" w:type="dxa"/>
              <w:bottom w:w="150" w:type="dxa"/>
              <w:right w:w="240" w:type="dxa"/>
            </w:tcMar>
            <w:vAlign w:val="center"/>
            <w:hideMark/>
          </w:tcPr>
          <w:p w14:paraId="390D4643"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Interest</w:t>
            </w:r>
          </w:p>
        </w:tc>
        <w:tc>
          <w:tcPr>
            <w:tcW w:w="694" w:type="pct"/>
            <w:shd w:val="clear" w:color="auto" w:fill="FAE2D5" w:themeFill="accent2" w:themeFillTint="33"/>
            <w:tcMar>
              <w:top w:w="150" w:type="dxa"/>
              <w:left w:w="240" w:type="dxa"/>
              <w:bottom w:w="150" w:type="dxa"/>
              <w:right w:w="240" w:type="dxa"/>
            </w:tcMar>
            <w:vAlign w:val="center"/>
            <w:hideMark/>
          </w:tcPr>
          <w:p w14:paraId="4D4D3B7A"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Power</w:t>
            </w:r>
          </w:p>
        </w:tc>
        <w:tc>
          <w:tcPr>
            <w:tcW w:w="872" w:type="pct"/>
            <w:shd w:val="clear" w:color="auto" w:fill="FAE2D5" w:themeFill="accent2" w:themeFillTint="33"/>
            <w:tcMar>
              <w:top w:w="150" w:type="dxa"/>
              <w:left w:w="240" w:type="dxa"/>
              <w:bottom w:w="150" w:type="dxa"/>
              <w:right w:w="240" w:type="dxa"/>
            </w:tcMar>
            <w:vAlign w:val="center"/>
            <w:hideMark/>
          </w:tcPr>
          <w:p w14:paraId="26EF8792"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Quadrant</w:t>
            </w:r>
          </w:p>
        </w:tc>
        <w:tc>
          <w:tcPr>
            <w:tcW w:w="1482" w:type="pct"/>
            <w:shd w:val="clear" w:color="auto" w:fill="FAE2D5" w:themeFill="accent2" w:themeFillTint="33"/>
            <w:tcMar>
              <w:top w:w="150" w:type="dxa"/>
              <w:left w:w="240" w:type="dxa"/>
              <w:bottom w:w="150" w:type="dxa"/>
              <w:right w:w="240" w:type="dxa"/>
            </w:tcMar>
            <w:vAlign w:val="center"/>
            <w:hideMark/>
          </w:tcPr>
          <w:p w14:paraId="4E30B41F"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Engagement Approach</w:t>
            </w:r>
          </w:p>
        </w:tc>
      </w:tr>
      <w:tr w:rsidR="00AC38AC" w:rsidRPr="00D474EA" w14:paraId="4CFDC116" w14:textId="77777777" w:rsidTr="00FC3076">
        <w:trPr>
          <w:trHeight w:val="1431"/>
        </w:trPr>
        <w:tc>
          <w:tcPr>
            <w:tcW w:w="943" w:type="pct"/>
            <w:shd w:val="clear" w:color="auto" w:fill="FAE2D5" w:themeFill="accent2" w:themeFillTint="33"/>
            <w:tcMar>
              <w:top w:w="150" w:type="dxa"/>
              <w:left w:w="0" w:type="dxa"/>
              <w:bottom w:w="150" w:type="dxa"/>
              <w:right w:w="240" w:type="dxa"/>
            </w:tcMar>
            <w:vAlign w:val="center"/>
            <w:hideMark/>
          </w:tcPr>
          <w:p w14:paraId="2CE5FF73"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Customers</w:t>
            </w:r>
          </w:p>
        </w:tc>
        <w:tc>
          <w:tcPr>
            <w:tcW w:w="1009" w:type="pct"/>
            <w:shd w:val="clear" w:color="auto" w:fill="FAE2D5" w:themeFill="accent2" w:themeFillTint="33"/>
            <w:tcMar>
              <w:top w:w="150" w:type="dxa"/>
              <w:left w:w="240" w:type="dxa"/>
              <w:bottom w:w="150" w:type="dxa"/>
              <w:right w:w="240" w:type="dxa"/>
            </w:tcMar>
            <w:vAlign w:val="center"/>
            <w:hideMark/>
          </w:tcPr>
          <w:p w14:paraId="0E85A0F1"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Network quality, pricing, service</w:t>
            </w:r>
          </w:p>
        </w:tc>
        <w:tc>
          <w:tcPr>
            <w:tcW w:w="694" w:type="pct"/>
            <w:shd w:val="clear" w:color="auto" w:fill="FAE2D5" w:themeFill="accent2" w:themeFillTint="33"/>
            <w:tcMar>
              <w:top w:w="150" w:type="dxa"/>
              <w:left w:w="240" w:type="dxa"/>
              <w:bottom w:w="150" w:type="dxa"/>
              <w:right w:w="240" w:type="dxa"/>
            </w:tcMar>
            <w:vAlign w:val="center"/>
            <w:hideMark/>
          </w:tcPr>
          <w:p w14:paraId="377BFFF0"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High (low switching costs)</w:t>
            </w:r>
          </w:p>
        </w:tc>
        <w:tc>
          <w:tcPr>
            <w:tcW w:w="872" w:type="pct"/>
            <w:shd w:val="clear" w:color="auto" w:fill="FAE2D5" w:themeFill="accent2" w:themeFillTint="33"/>
            <w:tcMar>
              <w:top w:w="150" w:type="dxa"/>
              <w:left w:w="240" w:type="dxa"/>
              <w:bottom w:w="150" w:type="dxa"/>
              <w:right w:w="240" w:type="dxa"/>
            </w:tcMar>
            <w:vAlign w:val="center"/>
            <w:hideMark/>
          </w:tcPr>
          <w:p w14:paraId="2B16717B"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High Power/High Interest</w:t>
            </w:r>
          </w:p>
        </w:tc>
        <w:tc>
          <w:tcPr>
            <w:tcW w:w="1482" w:type="pct"/>
            <w:shd w:val="clear" w:color="auto" w:fill="FAE2D5" w:themeFill="accent2" w:themeFillTint="33"/>
            <w:tcMar>
              <w:top w:w="150" w:type="dxa"/>
              <w:left w:w="240" w:type="dxa"/>
              <w:bottom w:w="150" w:type="dxa"/>
              <w:right w:w="0" w:type="dxa"/>
            </w:tcMar>
            <w:vAlign w:val="center"/>
            <w:hideMark/>
          </w:tcPr>
          <w:p w14:paraId="170C469D"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Transparent communication on network improvements; clear value proposition</w:t>
            </w:r>
          </w:p>
        </w:tc>
      </w:tr>
      <w:tr w:rsidR="00AC38AC" w:rsidRPr="00D474EA" w14:paraId="6C281FB3" w14:textId="77777777" w:rsidTr="00FC3076">
        <w:trPr>
          <w:trHeight w:val="977"/>
        </w:trPr>
        <w:tc>
          <w:tcPr>
            <w:tcW w:w="943" w:type="pct"/>
            <w:shd w:val="clear" w:color="auto" w:fill="FAE2D5" w:themeFill="accent2" w:themeFillTint="33"/>
            <w:tcMar>
              <w:top w:w="150" w:type="dxa"/>
              <w:left w:w="0" w:type="dxa"/>
              <w:bottom w:w="150" w:type="dxa"/>
              <w:right w:w="240" w:type="dxa"/>
            </w:tcMar>
            <w:vAlign w:val="center"/>
            <w:hideMark/>
          </w:tcPr>
          <w:p w14:paraId="3DE550D8"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Employees</w:t>
            </w:r>
          </w:p>
        </w:tc>
        <w:tc>
          <w:tcPr>
            <w:tcW w:w="1009" w:type="pct"/>
            <w:shd w:val="clear" w:color="auto" w:fill="FAE2D5" w:themeFill="accent2" w:themeFillTint="33"/>
            <w:tcMar>
              <w:top w:w="150" w:type="dxa"/>
              <w:left w:w="240" w:type="dxa"/>
              <w:bottom w:w="150" w:type="dxa"/>
              <w:right w:w="240" w:type="dxa"/>
            </w:tcMar>
            <w:vAlign w:val="center"/>
            <w:hideMark/>
          </w:tcPr>
          <w:p w14:paraId="215B3EDE"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Job security, cultural integration</w:t>
            </w:r>
          </w:p>
        </w:tc>
        <w:tc>
          <w:tcPr>
            <w:tcW w:w="694" w:type="pct"/>
            <w:shd w:val="clear" w:color="auto" w:fill="FAE2D5" w:themeFill="accent2" w:themeFillTint="33"/>
            <w:tcMar>
              <w:top w:w="150" w:type="dxa"/>
              <w:left w:w="240" w:type="dxa"/>
              <w:bottom w:w="150" w:type="dxa"/>
              <w:right w:w="240" w:type="dxa"/>
            </w:tcMar>
            <w:vAlign w:val="center"/>
            <w:hideMark/>
          </w:tcPr>
          <w:p w14:paraId="4487A0AB"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Medium</w:t>
            </w:r>
          </w:p>
        </w:tc>
        <w:tc>
          <w:tcPr>
            <w:tcW w:w="872" w:type="pct"/>
            <w:shd w:val="clear" w:color="auto" w:fill="FAE2D5" w:themeFill="accent2" w:themeFillTint="33"/>
            <w:tcMar>
              <w:top w:w="150" w:type="dxa"/>
              <w:left w:w="240" w:type="dxa"/>
              <w:bottom w:w="150" w:type="dxa"/>
              <w:right w:w="240" w:type="dxa"/>
            </w:tcMar>
            <w:vAlign w:val="center"/>
            <w:hideMark/>
          </w:tcPr>
          <w:p w14:paraId="222B87AE"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High Interest/Low-Mid Power</w:t>
            </w:r>
          </w:p>
        </w:tc>
        <w:tc>
          <w:tcPr>
            <w:tcW w:w="1482" w:type="pct"/>
            <w:shd w:val="clear" w:color="auto" w:fill="FAE2D5" w:themeFill="accent2" w:themeFillTint="33"/>
            <w:tcMar>
              <w:top w:w="150" w:type="dxa"/>
              <w:left w:w="240" w:type="dxa"/>
              <w:bottom w:w="150" w:type="dxa"/>
              <w:right w:w="0" w:type="dxa"/>
            </w:tcMar>
            <w:vAlign w:val="center"/>
            <w:hideMark/>
          </w:tcPr>
          <w:p w14:paraId="7B00E397"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Change management; clear integration roadmap; retention incentives</w:t>
            </w:r>
          </w:p>
        </w:tc>
      </w:tr>
      <w:tr w:rsidR="00AC38AC" w:rsidRPr="00D474EA" w14:paraId="1C603BBE" w14:textId="77777777" w:rsidTr="00FC3076">
        <w:trPr>
          <w:trHeight w:val="1339"/>
        </w:trPr>
        <w:tc>
          <w:tcPr>
            <w:tcW w:w="943" w:type="pct"/>
            <w:shd w:val="clear" w:color="auto" w:fill="FAE2D5" w:themeFill="accent2" w:themeFillTint="33"/>
            <w:tcMar>
              <w:top w:w="150" w:type="dxa"/>
              <w:left w:w="0" w:type="dxa"/>
              <w:bottom w:w="150" w:type="dxa"/>
              <w:right w:w="240" w:type="dxa"/>
            </w:tcMar>
            <w:vAlign w:val="center"/>
            <w:hideMark/>
          </w:tcPr>
          <w:p w14:paraId="5A54FC01"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Regulators (CMA, Ofcom)</w:t>
            </w:r>
          </w:p>
        </w:tc>
        <w:tc>
          <w:tcPr>
            <w:tcW w:w="1009" w:type="pct"/>
            <w:shd w:val="clear" w:color="auto" w:fill="FAE2D5" w:themeFill="accent2" w:themeFillTint="33"/>
            <w:tcMar>
              <w:top w:w="150" w:type="dxa"/>
              <w:left w:w="240" w:type="dxa"/>
              <w:bottom w:w="150" w:type="dxa"/>
              <w:right w:w="240" w:type="dxa"/>
            </w:tcMar>
            <w:vAlign w:val="center"/>
            <w:hideMark/>
          </w:tcPr>
          <w:p w14:paraId="09549473"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Competition, consumer protection</w:t>
            </w:r>
          </w:p>
        </w:tc>
        <w:tc>
          <w:tcPr>
            <w:tcW w:w="694" w:type="pct"/>
            <w:shd w:val="clear" w:color="auto" w:fill="FAE2D5" w:themeFill="accent2" w:themeFillTint="33"/>
            <w:tcMar>
              <w:top w:w="150" w:type="dxa"/>
              <w:left w:w="240" w:type="dxa"/>
              <w:bottom w:w="150" w:type="dxa"/>
              <w:right w:w="240" w:type="dxa"/>
            </w:tcMar>
            <w:vAlign w:val="center"/>
            <w:hideMark/>
          </w:tcPr>
          <w:p w14:paraId="0CCFAA57"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High</w:t>
            </w:r>
          </w:p>
        </w:tc>
        <w:tc>
          <w:tcPr>
            <w:tcW w:w="872" w:type="pct"/>
            <w:shd w:val="clear" w:color="auto" w:fill="FAE2D5" w:themeFill="accent2" w:themeFillTint="33"/>
            <w:tcMar>
              <w:top w:w="150" w:type="dxa"/>
              <w:left w:w="240" w:type="dxa"/>
              <w:bottom w:w="150" w:type="dxa"/>
              <w:right w:w="240" w:type="dxa"/>
            </w:tcMar>
            <w:vAlign w:val="center"/>
            <w:hideMark/>
          </w:tcPr>
          <w:p w14:paraId="15C685AE"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High Power/Low-Medium Interest</w:t>
            </w:r>
          </w:p>
        </w:tc>
        <w:tc>
          <w:tcPr>
            <w:tcW w:w="1482" w:type="pct"/>
            <w:shd w:val="clear" w:color="auto" w:fill="FAE2D5" w:themeFill="accent2" w:themeFillTint="33"/>
            <w:tcMar>
              <w:top w:w="150" w:type="dxa"/>
              <w:left w:w="240" w:type="dxa"/>
              <w:bottom w:w="150" w:type="dxa"/>
              <w:right w:w="0" w:type="dxa"/>
            </w:tcMar>
            <w:vAlign w:val="center"/>
            <w:hideMark/>
          </w:tcPr>
          <w:p w14:paraId="7C030EEB" w14:textId="5353256C"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Compliance reporting; proactive engagement on behavioural commitments</w:t>
            </w:r>
          </w:p>
        </w:tc>
      </w:tr>
      <w:tr w:rsidR="00AC38AC" w:rsidRPr="00D474EA" w14:paraId="6B0313A3" w14:textId="77777777" w:rsidTr="00FC3076">
        <w:trPr>
          <w:trHeight w:val="1128"/>
        </w:trPr>
        <w:tc>
          <w:tcPr>
            <w:tcW w:w="943" w:type="pct"/>
            <w:shd w:val="clear" w:color="auto" w:fill="FAE2D5" w:themeFill="accent2" w:themeFillTint="33"/>
            <w:tcMar>
              <w:top w:w="150" w:type="dxa"/>
              <w:left w:w="0" w:type="dxa"/>
              <w:bottom w:w="150" w:type="dxa"/>
              <w:right w:w="240" w:type="dxa"/>
            </w:tcMar>
            <w:vAlign w:val="center"/>
            <w:hideMark/>
          </w:tcPr>
          <w:p w14:paraId="32E0B0EE"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Board/Investors</w:t>
            </w:r>
          </w:p>
        </w:tc>
        <w:tc>
          <w:tcPr>
            <w:tcW w:w="1009" w:type="pct"/>
            <w:shd w:val="clear" w:color="auto" w:fill="FAE2D5" w:themeFill="accent2" w:themeFillTint="33"/>
            <w:tcMar>
              <w:top w:w="150" w:type="dxa"/>
              <w:left w:w="240" w:type="dxa"/>
              <w:bottom w:w="150" w:type="dxa"/>
              <w:right w:w="240" w:type="dxa"/>
            </w:tcMar>
            <w:vAlign w:val="center"/>
            <w:hideMark/>
          </w:tcPr>
          <w:p w14:paraId="70F06A2F"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Financial returns, debt reduction</w:t>
            </w:r>
          </w:p>
        </w:tc>
        <w:tc>
          <w:tcPr>
            <w:tcW w:w="694" w:type="pct"/>
            <w:shd w:val="clear" w:color="auto" w:fill="FAE2D5" w:themeFill="accent2" w:themeFillTint="33"/>
            <w:tcMar>
              <w:top w:w="150" w:type="dxa"/>
              <w:left w:w="240" w:type="dxa"/>
              <w:bottom w:w="150" w:type="dxa"/>
              <w:right w:w="240" w:type="dxa"/>
            </w:tcMar>
            <w:vAlign w:val="center"/>
            <w:hideMark/>
          </w:tcPr>
          <w:p w14:paraId="5226711A"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High</w:t>
            </w:r>
          </w:p>
        </w:tc>
        <w:tc>
          <w:tcPr>
            <w:tcW w:w="872" w:type="pct"/>
            <w:shd w:val="clear" w:color="auto" w:fill="FAE2D5" w:themeFill="accent2" w:themeFillTint="33"/>
            <w:tcMar>
              <w:top w:w="150" w:type="dxa"/>
              <w:left w:w="240" w:type="dxa"/>
              <w:bottom w:w="150" w:type="dxa"/>
              <w:right w:w="240" w:type="dxa"/>
            </w:tcMar>
            <w:vAlign w:val="center"/>
            <w:hideMark/>
          </w:tcPr>
          <w:p w14:paraId="27CDDF2B"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High Power/High Interest</w:t>
            </w:r>
          </w:p>
        </w:tc>
        <w:tc>
          <w:tcPr>
            <w:tcW w:w="1482" w:type="pct"/>
            <w:shd w:val="clear" w:color="auto" w:fill="FAE2D5" w:themeFill="accent2" w:themeFillTint="33"/>
            <w:tcMar>
              <w:top w:w="150" w:type="dxa"/>
              <w:left w:w="240" w:type="dxa"/>
              <w:bottom w:w="150" w:type="dxa"/>
              <w:right w:w="0" w:type="dxa"/>
            </w:tcMar>
            <w:vAlign w:val="center"/>
            <w:hideMark/>
          </w:tcPr>
          <w:p w14:paraId="1FF73D9B" w14:textId="37CF8C48"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Regular performance reporting; clear synergy delivery metrics</w:t>
            </w:r>
          </w:p>
        </w:tc>
      </w:tr>
      <w:tr w:rsidR="00AC38AC" w:rsidRPr="00D474EA" w14:paraId="643BD3DD" w14:textId="77777777" w:rsidTr="00FC3076">
        <w:trPr>
          <w:trHeight w:val="1298"/>
        </w:trPr>
        <w:tc>
          <w:tcPr>
            <w:tcW w:w="943" w:type="pct"/>
            <w:shd w:val="clear" w:color="auto" w:fill="FAE2D5" w:themeFill="accent2" w:themeFillTint="33"/>
            <w:tcMar>
              <w:top w:w="150" w:type="dxa"/>
              <w:left w:w="0" w:type="dxa"/>
              <w:bottom w:w="150" w:type="dxa"/>
              <w:right w:w="240" w:type="dxa"/>
            </w:tcMar>
            <w:vAlign w:val="center"/>
            <w:hideMark/>
          </w:tcPr>
          <w:p w14:paraId="7015341F"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Suppliers</w:t>
            </w:r>
          </w:p>
        </w:tc>
        <w:tc>
          <w:tcPr>
            <w:tcW w:w="1009" w:type="pct"/>
            <w:shd w:val="clear" w:color="auto" w:fill="FAE2D5" w:themeFill="accent2" w:themeFillTint="33"/>
            <w:tcMar>
              <w:top w:w="150" w:type="dxa"/>
              <w:left w:w="240" w:type="dxa"/>
              <w:bottom w:w="150" w:type="dxa"/>
              <w:right w:w="240" w:type="dxa"/>
            </w:tcMar>
            <w:vAlign w:val="center"/>
            <w:hideMark/>
          </w:tcPr>
          <w:p w14:paraId="787D7647"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Contract continuity, payment terms</w:t>
            </w:r>
          </w:p>
        </w:tc>
        <w:tc>
          <w:tcPr>
            <w:tcW w:w="694" w:type="pct"/>
            <w:shd w:val="clear" w:color="auto" w:fill="FAE2D5" w:themeFill="accent2" w:themeFillTint="33"/>
            <w:tcMar>
              <w:top w:w="150" w:type="dxa"/>
              <w:left w:w="240" w:type="dxa"/>
              <w:bottom w:w="150" w:type="dxa"/>
              <w:right w:w="240" w:type="dxa"/>
            </w:tcMar>
            <w:vAlign w:val="center"/>
            <w:hideMark/>
          </w:tcPr>
          <w:p w14:paraId="002F8D17"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Medium</w:t>
            </w:r>
          </w:p>
        </w:tc>
        <w:tc>
          <w:tcPr>
            <w:tcW w:w="872" w:type="pct"/>
            <w:shd w:val="clear" w:color="auto" w:fill="FAE2D5" w:themeFill="accent2" w:themeFillTint="33"/>
            <w:tcMar>
              <w:top w:w="150" w:type="dxa"/>
              <w:left w:w="240" w:type="dxa"/>
              <w:bottom w:w="150" w:type="dxa"/>
              <w:right w:w="240" w:type="dxa"/>
            </w:tcMar>
            <w:vAlign w:val="center"/>
            <w:hideMark/>
          </w:tcPr>
          <w:p w14:paraId="3B44523E"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Low-Medium Power/High Interest</w:t>
            </w:r>
          </w:p>
        </w:tc>
        <w:tc>
          <w:tcPr>
            <w:tcW w:w="1482" w:type="pct"/>
            <w:shd w:val="clear" w:color="auto" w:fill="FAE2D5" w:themeFill="accent2" w:themeFillTint="33"/>
            <w:tcMar>
              <w:top w:w="150" w:type="dxa"/>
              <w:left w:w="240" w:type="dxa"/>
              <w:bottom w:w="150" w:type="dxa"/>
              <w:right w:w="0" w:type="dxa"/>
            </w:tcMar>
            <w:vAlign w:val="center"/>
            <w:hideMark/>
          </w:tcPr>
          <w:p w14:paraId="4713F8C7" w14:textId="30457D26"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Partnership approach; fair negotiation on £2bn RAN refresh</w:t>
            </w:r>
          </w:p>
        </w:tc>
      </w:tr>
      <w:tr w:rsidR="00AC38AC" w:rsidRPr="00D474EA" w14:paraId="79B74FDF" w14:textId="77777777" w:rsidTr="00FC3076">
        <w:trPr>
          <w:trHeight w:val="1536"/>
        </w:trPr>
        <w:tc>
          <w:tcPr>
            <w:tcW w:w="943" w:type="pct"/>
            <w:shd w:val="clear" w:color="auto" w:fill="FAE2D5" w:themeFill="accent2" w:themeFillTint="33"/>
            <w:tcMar>
              <w:top w:w="150" w:type="dxa"/>
              <w:left w:w="0" w:type="dxa"/>
              <w:bottom w:w="150" w:type="dxa"/>
              <w:right w:w="240" w:type="dxa"/>
            </w:tcMar>
            <w:vAlign w:val="center"/>
            <w:hideMark/>
          </w:tcPr>
          <w:p w14:paraId="663BC2DD"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Communities</w:t>
            </w:r>
          </w:p>
        </w:tc>
        <w:tc>
          <w:tcPr>
            <w:tcW w:w="1009" w:type="pct"/>
            <w:shd w:val="clear" w:color="auto" w:fill="FAE2D5" w:themeFill="accent2" w:themeFillTint="33"/>
            <w:tcMar>
              <w:top w:w="150" w:type="dxa"/>
              <w:left w:w="240" w:type="dxa"/>
              <w:bottom w:w="150" w:type="dxa"/>
              <w:right w:w="240" w:type="dxa"/>
            </w:tcMar>
            <w:vAlign w:val="center"/>
            <w:hideMark/>
          </w:tcPr>
          <w:p w14:paraId="1DAF829C"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Digital inclusion, environmental impact</w:t>
            </w:r>
          </w:p>
        </w:tc>
        <w:tc>
          <w:tcPr>
            <w:tcW w:w="694" w:type="pct"/>
            <w:shd w:val="clear" w:color="auto" w:fill="FAE2D5" w:themeFill="accent2" w:themeFillTint="33"/>
            <w:tcMar>
              <w:top w:w="150" w:type="dxa"/>
              <w:left w:w="240" w:type="dxa"/>
              <w:bottom w:w="150" w:type="dxa"/>
              <w:right w:w="240" w:type="dxa"/>
            </w:tcMar>
            <w:vAlign w:val="center"/>
            <w:hideMark/>
          </w:tcPr>
          <w:p w14:paraId="71326AD8"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Low-Medium</w:t>
            </w:r>
          </w:p>
        </w:tc>
        <w:tc>
          <w:tcPr>
            <w:tcW w:w="872" w:type="pct"/>
            <w:shd w:val="clear" w:color="auto" w:fill="FAE2D5" w:themeFill="accent2" w:themeFillTint="33"/>
            <w:tcMar>
              <w:top w:w="150" w:type="dxa"/>
              <w:left w:w="240" w:type="dxa"/>
              <w:bottom w:w="150" w:type="dxa"/>
              <w:right w:w="240" w:type="dxa"/>
            </w:tcMar>
            <w:vAlign w:val="center"/>
            <w:hideMark/>
          </w:tcPr>
          <w:p w14:paraId="3639C7F2"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Low Power/Low-Medium Interest</w:t>
            </w:r>
          </w:p>
        </w:tc>
        <w:tc>
          <w:tcPr>
            <w:tcW w:w="1482" w:type="pct"/>
            <w:shd w:val="clear" w:color="auto" w:fill="FAE2D5" w:themeFill="accent2" w:themeFillTint="33"/>
            <w:tcMar>
              <w:top w:w="150" w:type="dxa"/>
              <w:left w:w="240" w:type="dxa"/>
              <w:bottom w:w="150" w:type="dxa"/>
              <w:right w:w="0" w:type="dxa"/>
            </w:tcMar>
            <w:vAlign w:val="center"/>
            <w:hideMark/>
          </w:tcPr>
          <w:p w14:paraId="61B862E8" w14:textId="74DEF038"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Digital inclusion initiatives; net zero reporting</w:t>
            </w:r>
          </w:p>
        </w:tc>
      </w:tr>
    </w:tbl>
    <w:p w14:paraId="2BA0F3C7" w14:textId="77777777" w:rsidR="00FA78D2" w:rsidRDefault="00FA78D2"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3B2F8CE2" w14:textId="77777777" w:rsidR="00702CBD" w:rsidRDefault="00702CB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6D94BDCB" w14:textId="77777777" w:rsidR="00702CBD" w:rsidRPr="00D474EA" w:rsidRDefault="00702CB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2A421210" w14:textId="77777777" w:rsidR="009E6EED" w:rsidRDefault="009E6EE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1179B3CA" w14:textId="77777777" w:rsidR="009E6EED" w:rsidRDefault="009E6EE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7A87BE7E" w14:textId="77777777" w:rsidR="009E6EED" w:rsidRDefault="009E6EE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088005F1" w14:textId="04F30808" w:rsidR="00AC38AC" w:rsidRPr="00D474EA" w:rsidRDefault="00AC38AC"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lastRenderedPageBreak/>
        <w:t>6.2 Stakeholder Engagement Plan</w:t>
      </w:r>
    </w:p>
    <w:tbl>
      <w:tblPr>
        <w:tblStyle w:val="GridTable5Dark-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0"/>
        <w:gridCol w:w="3622"/>
        <w:gridCol w:w="1329"/>
        <w:gridCol w:w="2455"/>
      </w:tblGrid>
      <w:tr w:rsidR="00AC38AC" w:rsidRPr="00D474EA" w14:paraId="37BE7B9B" w14:textId="77777777" w:rsidTr="009E6E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hideMark/>
          </w:tcPr>
          <w:p w14:paraId="32709FA1" w14:textId="77777777" w:rsidR="00AC38AC" w:rsidRPr="00D474EA" w:rsidRDefault="00AC38AC"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Stakeholder</w:t>
            </w:r>
          </w:p>
        </w:tc>
        <w:tc>
          <w:tcPr>
            <w:tcW w:w="0" w:type="auto"/>
            <w:tcBorders>
              <w:top w:val="none" w:sz="0" w:space="0" w:color="auto"/>
              <w:left w:val="none" w:sz="0" w:space="0" w:color="auto"/>
              <w:right w:val="none" w:sz="0" w:space="0" w:color="auto"/>
            </w:tcBorders>
            <w:hideMark/>
          </w:tcPr>
          <w:p w14:paraId="25A8BC5B" w14:textId="77777777" w:rsidR="00AC38AC" w:rsidRPr="00D474EA" w:rsidRDefault="00AC38AC" w:rsidP="00D474EA">
            <w:pPr>
              <w:shd w:val="clear" w:color="auto" w:fill="FFFFFF"/>
              <w:spacing w:line="360" w:lineRule="auto"/>
              <w:jc w:val="both"/>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Engagement Method</w:t>
            </w:r>
          </w:p>
        </w:tc>
        <w:tc>
          <w:tcPr>
            <w:tcW w:w="0" w:type="auto"/>
            <w:tcBorders>
              <w:top w:val="none" w:sz="0" w:space="0" w:color="auto"/>
              <w:left w:val="none" w:sz="0" w:space="0" w:color="auto"/>
              <w:right w:val="none" w:sz="0" w:space="0" w:color="auto"/>
            </w:tcBorders>
            <w:hideMark/>
          </w:tcPr>
          <w:p w14:paraId="554EB2DE" w14:textId="77777777" w:rsidR="00AC38AC" w:rsidRPr="00D474EA" w:rsidRDefault="00AC38AC" w:rsidP="00D474EA">
            <w:pPr>
              <w:shd w:val="clear" w:color="auto" w:fill="FFFFFF"/>
              <w:spacing w:line="360" w:lineRule="auto"/>
              <w:jc w:val="both"/>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Frequency</w:t>
            </w:r>
          </w:p>
        </w:tc>
        <w:tc>
          <w:tcPr>
            <w:tcW w:w="0" w:type="auto"/>
            <w:tcBorders>
              <w:top w:val="none" w:sz="0" w:space="0" w:color="auto"/>
              <w:left w:val="none" w:sz="0" w:space="0" w:color="auto"/>
              <w:right w:val="none" w:sz="0" w:space="0" w:color="auto"/>
            </w:tcBorders>
            <w:hideMark/>
          </w:tcPr>
          <w:p w14:paraId="4730D740" w14:textId="77777777" w:rsidR="00AC38AC" w:rsidRPr="00D474EA" w:rsidRDefault="00AC38AC" w:rsidP="00D474EA">
            <w:pPr>
              <w:shd w:val="clear" w:color="auto" w:fill="FFFFFF"/>
              <w:spacing w:line="360" w:lineRule="auto"/>
              <w:jc w:val="both"/>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Focus</w:t>
            </w:r>
          </w:p>
        </w:tc>
      </w:tr>
      <w:tr w:rsidR="00AC38AC" w:rsidRPr="00D474EA" w14:paraId="3E650AF5" w14:textId="77777777" w:rsidTr="009E6E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2198BC7B" w14:textId="77777777" w:rsidR="00AC38AC" w:rsidRPr="00D474EA" w:rsidRDefault="00AC38AC"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Customers</w:t>
            </w:r>
          </w:p>
        </w:tc>
        <w:tc>
          <w:tcPr>
            <w:tcW w:w="0" w:type="auto"/>
            <w:hideMark/>
          </w:tcPr>
          <w:p w14:paraId="7B8385FC"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NPS surveys; Ofcom complaints monitoring; "Just Ask Once" promise</w:t>
            </w:r>
          </w:p>
        </w:tc>
        <w:tc>
          <w:tcPr>
            <w:tcW w:w="0" w:type="auto"/>
            <w:hideMark/>
          </w:tcPr>
          <w:p w14:paraId="7FB80370"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Continuous</w:t>
            </w:r>
          </w:p>
        </w:tc>
        <w:tc>
          <w:tcPr>
            <w:tcW w:w="0" w:type="auto"/>
            <w:hideMark/>
          </w:tcPr>
          <w:p w14:paraId="5168D94C"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Network quality, service experience </w:t>
            </w:r>
          </w:p>
        </w:tc>
      </w:tr>
      <w:tr w:rsidR="00AC38AC" w:rsidRPr="00D474EA" w14:paraId="4FB25AD3" w14:textId="77777777" w:rsidTr="009E6EED">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45622462" w14:textId="77777777" w:rsidR="00AC38AC" w:rsidRPr="00D474EA" w:rsidRDefault="00AC38AC"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Employees</w:t>
            </w:r>
          </w:p>
        </w:tc>
        <w:tc>
          <w:tcPr>
            <w:tcW w:w="0" w:type="auto"/>
            <w:hideMark/>
          </w:tcPr>
          <w:p w14:paraId="611A9319"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Town halls; employee engagement surveys; integration communications</w:t>
            </w:r>
          </w:p>
        </w:tc>
        <w:tc>
          <w:tcPr>
            <w:tcW w:w="0" w:type="auto"/>
            <w:hideMark/>
          </w:tcPr>
          <w:p w14:paraId="538A1B92"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Quarterly</w:t>
            </w:r>
          </w:p>
        </w:tc>
        <w:tc>
          <w:tcPr>
            <w:tcW w:w="0" w:type="auto"/>
            <w:hideMark/>
          </w:tcPr>
          <w:p w14:paraId="745082AF"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Integration progress, cultural alignment</w:t>
            </w:r>
          </w:p>
        </w:tc>
      </w:tr>
      <w:tr w:rsidR="00AC38AC" w:rsidRPr="00D474EA" w14:paraId="4B18CF00" w14:textId="77777777" w:rsidTr="009E6E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0853362F" w14:textId="77777777" w:rsidR="00AC38AC" w:rsidRPr="00D474EA" w:rsidRDefault="00AC38AC"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Regulators</w:t>
            </w:r>
          </w:p>
        </w:tc>
        <w:tc>
          <w:tcPr>
            <w:tcW w:w="0" w:type="auto"/>
            <w:hideMark/>
          </w:tcPr>
          <w:p w14:paraId="7B526144"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Formal submissions; quarterly compliance meetings</w:t>
            </w:r>
          </w:p>
        </w:tc>
        <w:tc>
          <w:tcPr>
            <w:tcW w:w="0" w:type="auto"/>
            <w:hideMark/>
          </w:tcPr>
          <w:p w14:paraId="226A76C0"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Ongoing</w:t>
            </w:r>
          </w:p>
        </w:tc>
        <w:tc>
          <w:tcPr>
            <w:tcW w:w="0" w:type="auto"/>
            <w:hideMark/>
          </w:tcPr>
          <w:p w14:paraId="695A5FC4"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Behavioural remedies compliance </w:t>
            </w:r>
          </w:p>
        </w:tc>
      </w:tr>
      <w:tr w:rsidR="00AC38AC" w:rsidRPr="00D474EA" w14:paraId="34E43E85" w14:textId="77777777" w:rsidTr="009E6EED">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11CA02F4" w14:textId="77777777" w:rsidR="00AC38AC" w:rsidRPr="00D474EA" w:rsidRDefault="00AC38AC"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Investors</w:t>
            </w:r>
          </w:p>
        </w:tc>
        <w:tc>
          <w:tcPr>
            <w:tcW w:w="0" w:type="auto"/>
            <w:hideMark/>
          </w:tcPr>
          <w:p w14:paraId="0DDFF6DA"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Quarterly earnings calls; AGM; strategic briefings</w:t>
            </w:r>
          </w:p>
        </w:tc>
        <w:tc>
          <w:tcPr>
            <w:tcW w:w="0" w:type="auto"/>
            <w:hideMark/>
          </w:tcPr>
          <w:p w14:paraId="640DC31D"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Quarterly</w:t>
            </w:r>
          </w:p>
        </w:tc>
        <w:tc>
          <w:tcPr>
            <w:tcW w:w="0" w:type="auto"/>
            <w:hideMark/>
          </w:tcPr>
          <w:p w14:paraId="7F031908"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Financial performance, synergy delivery </w:t>
            </w:r>
          </w:p>
        </w:tc>
      </w:tr>
      <w:tr w:rsidR="00AC38AC" w:rsidRPr="00D474EA" w14:paraId="6C2EAA45" w14:textId="77777777" w:rsidTr="009E6E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333F3C79" w14:textId="77777777" w:rsidR="00AC38AC" w:rsidRPr="00D474EA" w:rsidRDefault="00AC38AC"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Suppliers</w:t>
            </w:r>
          </w:p>
        </w:tc>
        <w:tc>
          <w:tcPr>
            <w:tcW w:w="0" w:type="auto"/>
            <w:hideMark/>
          </w:tcPr>
          <w:p w14:paraId="1BFFC4BA"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Partnership reviews; ESG alignment discussions</w:t>
            </w:r>
          </w:p>
        </w:tc>
        <w:tc>
          <w:tcPr>
            <w:tcW w:w="0" w:type="auto"/>
            <w:hideMark/>
          </w:tcPr>
          <w:p w14:paraId="3E2AD416"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Ongoing</w:t>
            </w:r>
          </w:p>
        </w:tc>
        <w:tc>
          <w:tcPr>
            <w:tcW w:w="0" w:type="auto"/>
            <w:hideMark/>
          </w:tcPr>
          <w:p w14:paraId="0C171288"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Partnership value, contract stability</w:t>
            </w:r>
          </w:p>
        </w:tc>
      </w:tr>
      <w:tr w:rsidR="00AC38AC" w:rsidRPr="00D474EA" w14:paraId="241F5E6B" w14:textId="77777777" w:rsidTr="009E6EED">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hideMark/>
          </w:tcPr>
          <w:p w14:paraId="5547021D" w14:textId="77777777" w:rsidR="00AC38AC" w:rsidRPr="00D474EA" w:rsidRDefault="00AC38AC"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Communities</w:t>
            </w:r>
          </w:p>
        </w:tc>
        <w:tc>
          <w:tcPr>
            <w:tcW w:w="0" w:type="auto"/>
            <w:hideMark/>
          </w:tcPr>
          <w:p w14:paraId="202905DA"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Digital inclusion programmes; sustainability reporting</w:t>
            </w:r>
          </w:p>
        </w:tc>
        <w:tc>
          <w:tcPr>
            <w:tcW w:w="0" w:type="auto"/>
            <w:hideMark/>
          </w:tcPr>
          <w:p w14:paraId="60D24493"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Annual</w:t>
            </w:r>
          </w:p>
        </w:tc>
        <w:tc>
          <w:tcPr>
            <w:tcW w:w="0" w:type="auto"/>
            <w:hideMark/>
          </w:tcPr>
          <w:p w14:paraId="7D9DA712"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Social impact, environmental progress </w:t>
            </w:r>
          </w:p>
        </w:tc>
      </w:tr>
    </w:tbl>
    <w:p w14:paraId="6275F288" w14:textId="77777777" w:rsidR="00AC38AC" w:rsidRPr="00D474EA" w:rsidRDefault="00000000"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Pr>
          <w:rFonts w:ascii="Arial" w:eastAsia="Times New Roman" w:hAnsi="Arial" w:cs="Arial"/>
          <w:color w:val="0F1115"/>
          <w:kern w:val="0"/>
          <w:sz w:val="22"/>
          <w:szCs w:val="22"/>
          <w:lang w:eastAsia="en-GB"/>
          <w14:ligatures w14:val="none"/>
        </w:rPr>
        <w:pict w14:anchorId="0F152324">
          <v:rect id="_x0000_i1025" style="width:0;height:.75pt" o:hralign="center" o:hrstd="t" o:hr="t" fillcolor="#a0a0a0" stroked="f"/>
        </w:pict>
      </w:r>
    </w:p>
    <w:p w14:paraId="14D0E136" w14:textId="77777777" w:rsidR="00AC38AC" w:rsidRPr="00D474EA" w:rsidRDefault="00AC38AC"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761FC3E7" w14:textId="77777777" w:rsidR="00AC38AC" w:rsidRPr="00D474EA" w:rsidRDefault="00AC38AC"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3B79BADB" w14:textId="77777777" w:rsidR="00AC38AC" w:rsidRPr="00D474EA" w:rsidRDefault="00AC38AC"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164B42A3" w14:textId="77777777" w:rsidR="00AC38AC" w:rsidRPr="00D474EA" w:rsidRDefault="00AC38AC"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1A8C790A" w14:textId="77777777" w:rsidR="00FC3076" w:rsidRDefault="00FC3076"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2E056E17" w14:textId="77777777" w:rsidR="009E6EED" w:rsidRDefault="009E6EE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10B8D5BD" w14:textId="77777777" w:rsidR="009E6EED" w:rsidRDefault="009E6EE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107FC3ED" w14:textId="77777777" w:rsidR="009E6EED" w:rsidRDefault="009E6EE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688AE9E6" w14:textId="77777777" w:rsidR="009E6EED" w:rsidRDefault="009E6EE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7F61E494" w14:textId="77777777" w:rsidR="009E6EED" w:rsidRDefault="009E6EE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149DDB6E" w14:textId="77777777" w:rsidR="009E6EED" w:rsidRDefault="009E6EE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3C9EF948" w14:textId="3325FA5C" w:rsidR="009E6EED" w:rsidRDefault="009E6EE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209E59E9" w14:textId="77777777" w:rsidR="009E6EED" w:rsidRDefault="009E6EE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7A3662C6" w14:textId="77777777" w:rsidR="009E6EED" w:rsidRDefault="009E6EE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04DFFDDE" w14:textId="77777777" w:rsidR="009E6EED" w:rsidRDefault="009E6EE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3F9218F3" w14:textId="77777777" w:rsidR="009E6EED" w:rsidRDefault="009E6EE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764E612B" w14:textId="77777777" w:rsidR="009E6EED" w:rsidRPr="00D474EA" w:rsidRDefault="009E6EED"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6353DED6" w14:textId="77777777" w:rsidR="00FC3076" w:rsidRPr="00D474EA" w:rsidRDefault="00FC3076"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61E62611" w14:textId="1A0C4230" w:rsidR="00AC38AC" w:rsidRPr="00D474EA" w:rsidRDefault="00AC38AC"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lastRenderedPageBreak/>
        <w:t>7. Implementation and Monitoring</w:t>
      </w:r>
    </w:p>
    <w:p w14:paraId="554F5223" w14:textId="77777777" w:rsidR="00AC38AC" w:rsidRPr="00D474EA" w:rsidRDefault="00AC38AC"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7.1 Strategic Objectives and Actions</w:t>
      </w:r>
    </w:p>
    <w:tbl>
      <w:tblPr>
        <w:tblStyle w:val="ListTable2-Accent5"/>
        <w:tblW w:w="8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0"/>
        <w:gridCol w:w="3420"/>
        <w:gridCol w:w="1329"/>
        <w:gridCol w:w="1760"/>
      </w:tblGrid>
      <w:tr w:rsidR="00AC38AC" w:rsidRPr="00D474EA" w14:paraId="112F1D1A" w14:textId="77777777" w:rsidTr="00AC38AC">
        <w:trPr>
          <w:cnfStyle w:val="100000000000" w:firstRow="1" w:lastRow="0" w:firstColumn="0" w:lastColumn="0" w:oddVBand="0" w:evenVBand="0" w:oddHBand="0" w:evenHBand="0" w:firstRowFirstColumn="0" w:firstRowLastColumn="0" w:lastRowFirstColumn="0" w:lastRowLastColumn="0"/>
          <w:trHeight w:val="780"/>
        </w:trPr>
        <w:tc>
          <w:tcPr>
            <w:cnfStyle w:val="001000000000" w:firstRow="0" w:lastRow="0" w:firstColumn="1" w:lastColumn="0" w:oddVBand="0" w:evenVBand="0" w:oddHBand="0" w:evenHBand="0" w:firstRowFirstColumn="0" w:firstRowLastColumn="0" w:lastRowFirstColumn="0" w:lastRowLastColumn="0"/>
            <w:tcW w:w="0" w:type="auto"/>
            <w:hideMark/>
          </w:tcPr>
          <w:p w14:paraId="5F0EDB22" w14:textId="77777777" w:rsidR="00AC38AC" w:rsidRPr="00D474EA" w:rsidRDefault="00AC38AC"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Objective</w:t>
            </w:r>
          </w:p>
        </w:tc>
        <w:tc>
          <w:tcPr>
            <w:tcW w:w="0" w:type="auto"/>
            <w:hideMark/>
          </w:tcPr>
          <w:p w14:paraId="57F9A00F" w14:textId="77777777" w:rsidR="00AC38AC" w:rsidRPr="00D474EA" w:rsidRDefault="00AC38AC" w:rsidP="00D474EA">
            <w:pPr>
              <w:shd w:val="clear" w:color="auto" w:fill="FFFFFF"/>
              <w:spacing w:line="360" w:lineRule="auto"/>
              <w:jc w:val="both"/>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Actions</w:t>
            </w:r>
          </w:p>
        </w:tc>
        <w:tc>
          <w:tcPr>
            <w:tcW w:w="0" w:type="auto"/>
            <w:hideMark/>
          </w:tcPr>
          <w:p w14:paraId="1E7E5131" w14:textId="77777777" w:rsidR="00AC38AC" w:rsidRPr="00D474EA" w:rsidRDefault="00AC38AC" w:rsidP="00D474EA">
            <w:pPr>
              <w:shd w:val="clear" w:color="auto" w:fill="FFFFFF"/>
              <w:spacing w:line="360" w:lineRule="auto"/>
              <w:jc w:val="both"/>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Timeline</w:t>
            </w:r>
          </w:p>
        </w:tc>
        <w:tc>
          <w:tcPr>
            <w:tcW w:w="0" w:type="auto"/>
            <w:hideMark/>
          </w:tcPr>
          <w:p w14:paraId="6EFD944C" w14:textId="77777777" w:rsidR="00AC38AC" w:rsidRPr="00D474EA" w:rsidRDefault="00AC38AC" w:rsidP="00D474EA">
            <w:pPr>
              <w:shd w:val="clear" w:color="auto" w:fill="FFFFFF"/>
              <w:spacing w:line="360" w:lineRule="auto"/>
              <w:jc w:val="both"/>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Responsible</w:t>
            </w:r>
          </w:p>
        </w:tc>
      </w:tr>
      <w:tr w:rsidR="00AC38AC" w:rsidRPr="00D474EA" w14:paraId="558130F2" w14:textId="77777777" w:rsidTr="00AC38AC">
        <w:trPr>
          <w:cnfStyle w:val="000000100000" w:firstRow="0" w:lastRow="0" w:firstColumn="0" w:lastColumn="0" w:oddVBand="0" w:evenVBand="0" w:oddHBand="1" w:evenHBand="0" w:firstRowFirstColumn="0" w:firstRowLastColumn="0" w:lastRowFirstColumn="0" w:lastRowLastColumn="0"/>
          <w:trHeight w:val="1711"/>
        </w:trPr>
        <w:tc>
          <w:tcPr>
            <w:cnfStyle w:val="001000000000" w:firstRow="0" w:lastRow="0" w:firstColumn="1" w:lastColumn="0" w:oddVBand="0" w:evenVBand="0" w:oddHBand="0" w:evenHBand="0" w:firstRowFirstColumn="0" w:firstRowLastColumn="0" w:lastRowFirstColumn="0" w:lastRowLastColumn="0"/>
            <w:tcW w:w="0" w:type="auto"/>
            <w:hideMark/>
          </w:tcPr>
          <w:p w14:paraId="577C1ABA" w14:textId="77777777" w:rsidR="00AC38AC" w:rsidRPr="00D474EA" w:rsidRDefault="00AC38AC"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1. Achieve 5G Standalone Leadership</w:t>
            </w:r>
          </w:p>
        </w:tc>
        <w:tc>
          <w:tcPr>
            <w:tcW w:w="0" w:type="auto"/>
            <w:hideMark/>
          </w:tcPr>
          <w:p w14:paraId="4F1A38D2"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Complete 5G standalone rollout; expand coverage to 99.95% population by 2034; launch new 5G-enabled B2B services</w:t>
            </w:r>
          </w:p>
        </w:tc>
        <w:tc>
          <w:tcPr>
            <w:tcW w:w="0" w:type="auto"/>
            <w:hideMark/>
          </w:tcPr>
          <w:p w14:paraId="3C02B5AB"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Years 1-3</w:t>
            </w:r>
          </w:p>
        </w:tc>
        <w:tc>
          <w:tcPr>
            <w:tcW w:w="0" w:type="auto"/>
            <w:hideMark/>
          </w:tcPr>
          <w:p w14:paraId="4F0031BE"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CTO</w:t>
            </w:r>
          </w:p>
        </w:tc>
      </w:tr>
      <w:tr w:rsidR="00AC38AC" w:rsidRPr="00D474EA" w14:paraId="19965759" w14:textId="77777777" w:rsidTr="00AC38AC">
        <w:trPr>
          <w:trHeight w:val="1716"/>
        </w:trPr>
        <w:tc>
          <w:tcPr>
            <w:cnfStyle w:val="001000000000" w:firstRow="0" w:lastRow="0" w:firstColumn="1" w:lastColumn="0" w:oddVBand="0" w:evenVBand="0" w:oddHBand="0" w:evenHBand="0" w:firstRowFirstColumn="0" w:firstRowLastColumn="0" w:lastRowFirstColumn="0" w:lastRowLastColumn="0"/>
            <w:tcW w:w="0" w:type="auto"/>
            <w:hideMark/>
          </w:tcPr>
          <w:p w14:paraId="583F9578" w14:textId="77777777" w:rsidR="00AC38AC" w:rsidRPr="00D474EA" w:rsidRDefault="00AC38AC"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2. Deliver Annual Synergies</w:t>
            </w:r>
          </w:p>
        </w:tc>
        <w:tc>
          <w:tcPr>
            <w:tcW w:w="0" w:type="auto"/>
            <w:hideMark/>
          </w:tcPr>
          <w:p w14:paraId="1A560978"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Complete MOCN integration; rationalise overlapping functions; consolidate supplier contracts</w:t>
            </w:r>
          </w:p>
        </w:tc>
        <w:tc>
          <w:tcPr>
            <w:tcW w:w="0" w:type="auto"/>
            <w:hideMark/>
          </w:tcPr>
          <w:p w14:paraId="71B5F125"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By 2030</w:t>
            </w:r>
          </w:p>
        </w:tc>
        <w:tc>
          <w:tcPr>
            <w:tcW w:w="0" w:type="auto"/>
            <w:hideMark/>
          </w:tcPr>
          <w:p w14:paraId="6BF10D41"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CFO </w:t>
            </w:r>
          </w:p>
        </w:tc>
      </w:tr>
      <w:tr w:rsidR="00AC38AC" w:rsidRPr="00D474EA" w14:paraId="1ED28329" w14:textId="77777777" w:rsidTr="00AC38AC">
        <w:trPr>
          <w:cnfStyle w:val="000000100000" w:firstRow="0" w:lastRow="0" w:firstColumn="0" w:lastColumn="0" w:oddVBand="0" w:evenVBand="0" w:oddHBand="1" w:evenHBand="0" w:firstRowFirstColumn="0" w:firstRowLastColumn="0" w:lastRowFirstColumn="0" w:lastRowLastColumn="0"/>
          <w:trHeight w:val="1399"/>
        </w:trPr>
        <w:tc>
          <w:tcPr>
            <w:cnfStyle w:val="001000000000" w:firstRow="0" w:lastRow="0" w:firstColumn="1" w:lastColumn="0" w:oddVBand="0" w:evenVBand="0" w:oddHBand="0" w:evenHBand="0" w:firstRowFirstColumn="0" w:firstRowLastColumn="0" w:lastRowFirstColumn="0" w:lastRowLastColumn="0"/>
            <w:tcW w:w="0" w:type="auto"/>
            <w:hideMark/>
          </w:tcPr>
          <w:p w14:paraId="37A1B7FE" w14:textId="77777777" w:rsidR="00AC38AC" w:rsidRPr="00D474EA" w:rsidRDefault="00AC38AC"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3. Improve Customer Experience</w:t>
            </w:r>
          </w:p>
        </w:tc>
        <w:tc>
          <w:tcPr>
            <w:tcW w:w="0" w:type="auto"/>
            <w:hideMark/>
          </w:tcPr>
          <w:p w14:paraId="521C49C3"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Maintain NPS leadership; reduce complaints; expand "Just Ask Once" promise</w:t>
            </w:r>
          </w:p>
        </w:tc>
        <w:tc>
          <w:tcPr>
            <w:tcW w:w="0" w:type="auto"/>
            <w:hideMark/>
          </w:tcPr>
          <w:p w14:paraId="2246AA6A"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Continuous</w:t>
            </w:r>
          </w:p>
        </w:tc>
        <w:tc>
          <w:tcPr>
            <w:tcW w:w="0" w:type="auto"/>
            <w:hideMark/>
          </w:tcPr>
          <w:p w14:paraId="0C045F8E"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Chief Customer Officer </w:t>
            </w:r>
          </w:p>
        </w:tc>
      </w:tr>
      <w:tr w:rsidR="00AC38AC" w:rsidRPr="00D474EA" w14:paraId="74D82F74" w14:textId="77777777" w:rsidTr="00AC38AC">
        <w:trPr>
          <w:trHeight w:val="1716"/>
        </w:trPr>
        <w:tc>
          <w:tcPr>
            <w:cnfStyle w:val="001000000000" w:firstRow="0" w:lastRow="0" w:firstColumn="1" w:lastColumn="0" w:oddVBand="0" w:evenVBand="0" w:oddHBand="0" w:evenHBand="0" w:firstRowFirstColumn="0" w:firstRowLastColumn="0" w:lastRowFirstColumn="0" w:lastRowLastColumn="0"/>
            <w:tcW w:w="0" w:type="auto"/>
            <w:hideMark/>
          </w:tcPr>
          <w:p w14:paraId="0CFE74B2" w14:textId="77777777" w:rsidR="00AC38AC" w:rsidRPr="00D474EA" w:rsidRDefault="00AC38AC"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4. Grow B2B Revenue</w:t>
            </w:r>
          </w:p>
        </w:tc>
        <w:tc>
          <w:tcPr>
            <w:tcW w:w="0" w:type="auto"/>
            <w:hideMark/>
          </w:tcPr>
          <w:p w14:paraId="18CF7801"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Expand private 5G network offerings; develop AI/cloud solutions with Google; monetise "5G Slicing"</w:t>
            </w:r>
          </w:p>
        </w:tc>
        <w:tc>
          <w:tcPr>
            <w:tcW w:w="0" w:type="auto"/>
            <w:hideMark/>
          </w:tcPr>
          <w:p w14:paraId="6A3B7FB3"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Years 2-5</w:t>
            </w:r>
          </w:p>
        </w:tc>
        <w:tc>
          <w:tcPr>
            <w:tcW w:w="0" w:type="auto"/>
            <w:hideMark/>
          </w:tcPr>
          <w:p w14:paraId="079EDEDB"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Vodafone Business Lead </w:t>
            </w:r>
          </w:p>
        </w:tc>
      </w:tr>
      <w:tr w:rsidR="00AC38AC" w:rsidRPr="00D474EA" w14:paraId="05122406" w14:textId="77777777" w:rsidTr="00AC38AC">
        <w:trPr>
          <w:cnfStyle w:val="000000100000" w:firstRow="0" w:lastRow="0" w:firstColumn="0" w:lastColumn="0" w:oddVBand="0" w:evenVBand="0" w:oddHBand="1" w:evenHBand="0" w:firstRowFirstColumn="0" w:firstRowLastColumn="0" w:lastRowFirstColumn="0" w:lastRowLastColumn="0"/>
          <w:trHeight w:val="1399"/>
        </w:trPr>
        <w:tc>
          <w:tcPr>
            <w:cnfStyle w:val="001000000000" w:firstRow="0" w:lastRow="0" w:firstColumn="1" w:lastColumn="0" w:oddVBand="0" w:evenVBand="0" w:oddHBand="0" w:evenHBand="0" w:firstRowFirstColumn="0" w:firstRowLastColumn="0" w:lastRowFirstColumn="0" w:lastRowLastColumn="0"/>
            <w:tcW w:w="0" w:type="auto"/>
            <w:hideMark/>
          </w:tcPr>
          <w:p w14:paraId="24A16250" w14:textId="77777777" w:rsidR="00AC38AC" w:rsidRPr="00D474EA" w:rsidRDefault="00AC38AC"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5. Strengthen Broadband Position</w:t>
            </w:r>
          </w:p>
        </w:tc>
        <w:tc>
          <w:tcPr>
            <w:tcW w:w="0" w:type="auto"/>
            <w:hideMark/>
          </w:tcPr>
          <w:p w14:paraId="5E456390"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Increase broadband customer base; expand FWA; leverage 21.8m household footprint</w:t>
            </w:r>
          </w:p>
        </w:tc>
        <w:tc>
          <w:tcPr>
            <w:tcW w:w="0" w:type="auto"/>
            <w:hideMark/>
          </w:tcPr>
          <w:p w14:paraId="2709769D"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Continuous</w:t>
            </w:r>
          </w:p>
        </w:tc>
        <w:tc>
          <w:tcPr>
            <w:tcW w:w="0" w:type="auto"/>
            <w:hideMark/>
          </w:tcPr>
          <w:p w14:paraId="31181CB5"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Consumer Director </w:t>
            </w:r>
          </w:p>
        </w:tc>
      </w:tr>
    </w:tbl>
    <w:p w14:paraId="4D83F895" w14:textId="77777777" w:rsidR="00AC38AC" w:rsidRPr="00D474EA" w:rsidRDefault="00AC38AC"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05372BEC" w14:textId="77777777" w:rsidR="00AC38AC" w:rsidRPr="00D474EA" w:rsidRDefault="00AC38AC"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046BECF3" w14:textId="77777777" w:rsidR="00AC38AC" w:rsidRPr="00D474EA" w:rsidRDefault="00AC38AC"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02193DD7" w14:textId="77777777" w:rsidR="00AC38AC" w:rsidRDefault="00AC38AC"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53AF4782" w14:textId="77777777" w:rsidR="002152C6" w:rsidRDefault="002152C6"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56A4274A" w14:textId="77777777" w:rsidR="002152C6" w:rsidRDefault="002152C6"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502E4521" w14:textId="77777777" w:rsidR="002152C6" w:rsidRDefault="002152C6"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2EF8EC72" w14:textId="77777777" w:rsidR="002152C6" w:rsidRDefault="002152C6"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1F4F0E9E" w14:textId="77777777" w:rsidR="002152C6" w:rsidRDefault="002152C6"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46E7092E" w14:textId="77777777" w:rsidR="002152C6" w:rsidRPr="00D474EA" w:rsidRDefault="002152C6"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04DAD165" w14:textId="77777777" w:rsidR="00FC3076" w:rsidRPr="00D474EA" w:rsidRDefault="00FC3076"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23FCAC9C" w14:textId="04DF4806" w:rsidR="00AC38AC" w:rsidRPr="00D474EA" w:rsidRDefault="00AC38AC"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lastRenderedPageBreak/>
        <w:t>7.2 Key Performance Indicators</w:t>
      </w:r>
    </w:p>
    <w:tbl>
      <w:tblPr>
        <w:tblStyle w:val="GridTable4"/>
        <w:tblW w:w="0" w:type="auto"/>
        <w:tblLook w:val="04A0" w:firstRow="1" w:lastRow="0" w:firstColumn="1" w:lastColumn="0" w:noHBand="0" w:noVBand="1"/>
      </w:tblPr>
      <w:tblGrid>
        <w:gridCol w:w="2487"/>
        <w:gridCol w:w="2083"/>
        <w:gridCol w:w="2038"/>
        <w:gridCol w:w="2408"/>
      </w:tblGrid>
      <w:tr w:rsidR="00AC38AC" w:rsidRPr="00D474EA" w14:paraId="786E3095" w14:textId="77777777" w:rsidTr="00FC30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769984" w14:textId="77777777" w:rsidR="00AC38AC" w:rsidRPr="00D474EA" w:rsidRDefault="00AC38AC"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KPI</w:t>
            </w:r>
          </w:p>
        </w:tc>
        <w:tc>
          <w:tcPr>
            <w:tcW w:w="0" w:type="auto"/>
            <w:hideMark/>
          </w:tcPr>
          <w:p w14:paraId="73EC234F" w14:textId="77777777" w:rsidR="00AC38AC" w:rsidRPr="00D474EA" w:rsidRDefault="00AC38AC" w:rsidP="00D474EA">
            <w:pPr>
              <w:shd w:val="clear" w:color="auto" w:fill="FFFFFF"/>
              <w:spacing w:line="360" w:lineRule="auto"/>
              <w:jc w:val="both"/>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Baseline</w:t>
            </w:r>
          </w:p>
        </w:tc>
        <w:tc>
          <w:tcPr>
            <w:tcW w:w="0" w:type="auto"/>
            <w:hideMark/>
          </w:tcPr>
          <w:p w14:paraId="45137D0B" w14:textId="77777777" w:rsidR="00AC38AC" w:rsidRPr="00D474EA" w:rsidRDefault="00AC38AC" w:rsidP="00D474EA">
            <w:pPr>
              <w:shd w:val="clear" w:color="auto" w:fill="FFFFFF"/>
              <w:spacing w:line="360" w:lineRule="auto"/>
              <w:jc w:val="both"/>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Target (Year 3)</w:t>
            </w:r>
          </w:p>
        </w:tc>
        <w:tc>
          <w:tcPr>
            <w:tcW w:w="0" w:type="auto"/>
            <w:hideMark/>
          </w:tcPr>
          <w:p w14:paraId="17B0E5D7" w14:textId="77777777" w:rsidR="00AC38AC" w:rsidRPr="00D474EA" w:rsidRDefault="00AC38AC" w:rsidP="00D474EA">
            <w:pPr>
              <w:shd w:val="clear" w:color="auto" w:fill="FFFFFF"/>
              <w:spacing w:line="360" w:lineRule="auto"/>
              <w:jc w:val="both"/>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Measurement</w:t>
            </w:r>
          </w:p>
        </w:tc>
      </w:tr>
      <w:tr w:rsidR="00AC38AC" w:rsidRPr="00D474EA" w14:paraId="0083EF2C" w14:textId="77777777" w:rsidTr="00FC3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4ACF46" w14:textId="77777777" w:rsidR="00AC38AC" w:rsidRPr="00D474EA" w:rsidRDefault="00AC38AC"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UK Service Revenue Growth</w:t>
            </w:r>
          </w:p>
        </w:tc>
        <w:tc>
          <w:tcPr>
            <w:tcW w:w="0" w:type="auto"/>
            <w:hideMark/>
          </w:tcPr>
          <w:p w14:paraId="6EFE6FBE"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+1.2% organic Q2 FY26 </w:t>
            </w:r>
          </w:p>
        </w:tc>
        <w:tc>
          <w:tcPr>
            <w:tcW w:w="0" w:type="auto"/>
            <w:hideMark/>
          </w:tcPr>
          <w:p w14:paraId="3211B885"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+3-5% organic</w:t>
            </w:r>
          </w:p>
        </w:tc>
        <w:tc>
          <w:tcPr>
            <w:tcW w:w="0" w:type="auto"/>
            <w:hideMark/>
          </w:tcPr>
          <w:p w14:paraId="6CE0A0C1"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Quarterly reporting</w:t>
            </w:r>
          </w:p>
        </w:tc>
      </w:tr>
      <w:tr w:rsidR="00AC38AC" w:rsidRPr="00D474EA" w14:paraId="32ADE524" w14:textId="77777777" w:rsidTr="00FC3076">
        <w:tc>
          <w:tcPr>
            <w:cnfStyle w:val="001000000000" w:firstRow="0" w:lastRow="0" w:firstColumn="1" w:lastColumn="0" w:oddVBand="0" w:evenVBand="0" w:oddHBand="0" w:evenHBand="0" w:firstRowFirstColumn="0" w:firstRowLastColumn="0" w:lastRowFirstColumn="0" w:lastRowLastColumn="0"/>
            <w:tcW w:w="0" w:type="auto"/>
            <w:hideMark/>
          </w:tcPr>
          <w:p w14:paraId="607B238E" w14:textId="77777777" w:rsidR="00AC38AC" w:rsidRPr="00D474EA" w:rsidRDefault="00AC38AC"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Cost Synergies Delivered</w:t>
            </w:r>
          </w:p>
        </w:tc>
        <w:tc>
          <w:tcPr>
            <w:tcW w:w="0" w:type="auto"/>
            <w:hideMark/>
          </w:tcPr>
          <w:p w14:paraId="6F0FDDBE"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w:t>
            </w:r>
          </w:p>
        </w:tc>
        <w:tc>
          <w:tcPr>
            <w:tcW w:w="0" w:type="auto"/>
            <w:hideMark/>
          </w:tcPr>
          <w:p w14:paraId="4EBAC18D"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£350M+ (50% of target)</w:t>
            </w:r>
          </w:p>
        </w:tc>
        <w:tc>
          <w:tcPr>
            <w:tcW w:w="0" w:type="auto"/>
            <w:hideMark/>
          </w:tcPr>
          <w:p w14:paraId="6DA01E0E"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Quarterly synergy tracking </w:t>
            </w:r>
          </w:p>
        </w:tc>
      </w:tr>
      <w:tr w:rsidR="00AC38AC" w:rsidRPr="00D474EA" w14:paraId="38101CE8" w14:textId="77777777" w:rsidTr="00FC3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3C58D7" w14:textId="77777777" w:rsidR="00AC38AC" w:rsidRPr="00D474EA" w:rsidRDefault="00AC38AC"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5G Standalone Coverage</w:t>
            </w:r>
          </w:p>
        </w:tc>
        <w:tc>
          <w:tcPr>
            <w:tcW w:w="0" w:type="auto"/>
            <w:hideMark/>
          </w:tcPr>
          <w:p w14:paraId="2A2903E1"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47% population</w:t>
            </w:r>
          </w:p>
        </w:tc>
        <w:tc>
          <w:tcPr>
            <w:tcW w:w="0" w:type="auto"/>
            <w:hideMark/>
          </w:tcPr>
          <w:p w14:paraId="02868511"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90%+ population</w:t>
            </w:r>
          </w:p>
        </w:tc>
        <w:tc>
          <w:tcPr>
            <w:tcW w:w="0" w:type="auto"/>
            <w:hideMark/>
          </w:tcPr>
          <w:p w14:paraId="7DAB84BC"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Network rollout milestones </w:t>
            </w:r>
          </w:p>
        </w:tc>
      </w:tr>
      <w:tr w:rsidR="00AC38AC" w:rsidRPr="00D474EA" w14:paraId="12DDC66E" w14:textId="77777777" w:rsidTr="00FC3076">
        <w:tc>
          <w:tcPr>
            <w:cnfStyle w:val="001000000000" w:firstRow="0" w:lastRow="0" w:firstColumn="1" w:lastColumn="0" w:oddVBand="0" w:evenVBand="0" w:oddHBand="0" w:evenHBand="0" w:firstRowFirstColumn="0" w:firstRowLastColumn="0" w:lastRowFirstColumn="0" w:lastRowLastColumn="0"/>
            <w:tcW w:w="0" w:type="auto"/>
            <w:hideMark/>
          </w:tcPr>
          <w:p w14:paraId="5D31BD62" w14:textId="77777777" w:rsidR="00AC38AC" w:rsidRPr="00D474EA" w:rsidRDefault="00AC38AC"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NPS Lead/Co-Lead Markets</w:t>
            </w:r>
          </w:p>
        </w:tc>
        <w:tc>
          <w:tcPr>
            <w:tcW w:w="0" w:type="auto"/>
            <w:hideMark/>
          </w:tcPr>
          <w:p w14:paraId="583B2EEB"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11 of 15 </w:t>
            </w:r>
          </w:p>
        </w:tc>
        <w:tc>
          <w:tcPr>
            <w:tcW w:w="0" w:type="auto"/>
            <w:hideMark/>
          </w:tcPr>
          <w:p w14:paraId="7183D0CC"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13 of 15</w:t>
            </w:r>
          </w:p>
        </w:tc>
        <w:tc>
          <w:tcPr>
            <w:tcW w:w="0" w:type="auto"/>
            <w:hideMark/>
          </w:tcPr>
          <w:p w14:paraId="68EE23BC"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Quarterly customer surveys</w:t>
            </w:r>
          </w:p>
        </w:tc>
      </w:tr>
      <w:tr w:rsidR="00AC38AC" w:rsidRPr="00D474EA" w14:paraId="2DDC2ACF" w14:textId="77777777" w:rsidTr="00FC30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122959" w14:textId="77777777" w:rsidR="00AC38AC" w:rsidRPr="00D474EA" w:rsidRDefault="00AC38AC"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Broadband Net Additions</w:t>
            </w:r>
          </w:p>
        </w:tc>
        <w:tc>
          <w:tcPr>
            <w:tcW w:w="0" w:type="auto"/>
            <w:hideMark/>
          </w:tcPr>
          <w:p w14:paraId="10C92ECD"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+94,000 H1 FY26 </w:t>
            </w:r>
          </w:p>
        </w:tc>
        <w:tc>
          <w:tcPr>
            <w:tcW w:w="0" w:type="auto"/>
            <w:hideMark/>
          </w:tcPr>
          <w:p w14:paraId="11151E6E"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+300,000+ annual</w:t>
            </w:r>
          </w:p>
        </w:tc>
        <w:tc>
          <w:tcPr>
            <w:tcW w:w="0" w:type="auto"/>
            <w:hideMark/>
          </w:tcPr>
          <w:p w14:paraId="723D1F06" w14:textId="77777777" w:rsidR="00AC38AC" w:rsidRPr="00D474EA" w:rsidRDefault="00AC38AC" w:rsidP="00D474EA">
            <w:pPr>
              <w:shd w:val="clear" w:color="auto" w:fill="FFFFFF"/>
              <w:spacing w:line="360" w:lineRule="auto"/>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Monthly reporting</w:t>
            </w:r>
          </w:p>
        </w:tc>
      </w:tr>
      <w:tr w:rsidR="00AC38AC" w:rsidRPr="00D474EA" w14:paraId="4C93B679" w14:textId="77777777" w:rsidTr="00FC3076">
        <w:tc>
          <w:tcPr>
            <w:cnfStyle w:val="001000000000" w:firstRow="0" w:lastRow="0" w:firstColumn="1" w:lastColumn="0" w:oddVBand="0" w:evenVBand="0" w:oddHBand="0" w:evenHBand="0" w:firstRowFirstColumn="0" w:firstRowLastColumn="0" w:lastRowFirstColumn="0" w:lastRowLastColumn="0"/>
            <w:tcW w:w="0" w:type="auto"/>
            <w:hideMark/>
          </w:tcPr>
          <w:p w14:paraId="726303F7" w14:textId="77777777" w:rsidR="00AC38AC" w:rsidRPr="00D474EA" w:rsidRDefault="00AC38AC" w:rsidP="00D474EA">
            <w:pPr>
              <w:shd w:val="clear" w:color="auto" w:fill="FFFFFF"/>
              <w:spacing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Net Debt to EBITDA</w:t>
            </w:r>
          </w:p>
        </w:tc>
        <w:tc>
          <w:tcPr>
            <w:tcW w:w="0" w:type="auto"/>
            <w:hideMark/>
          </w:tcPr>
          <w:p w14:paraId="5B9C007B"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2.0x </w:t>
            </w:r>
          </w:p>
        </w:tc>
        <w:tc>
          <w:tcPr>
            <w:tcW w:w="0" w:type="auto"/>
            <w:hideMark/>
          </w:tcPr>
          <w:p w14:paraId="0ACB624D"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2.25-2.75x target range</w:t>
            </w:r>
          </w:p>
        </w:tc>
        <w:tc>
          <w:tcPr>
            <w:tcW w:w="0" w:type="auto"/>
            <w:hideMark/>
          </w:tcPr>
          <w:p w14:paraId="3786E1DD" w14:textId="77777777" w:rsidR="00AC38AC" w:rsidRPr="00D474EA" w:rsidRDefault="00AC38AC" w:rsidP="00D474EA">
            <w:pPr>
              <w:shd w:val="clear" w:color="auto" w:fill="FFFFFF"/>
              <w:spacing w:line="360" w:lineRule="auto"/>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Annual reporting</w:t>
            </w:r>
          </w:p>
        </w:tc>
      </w:tr>
    </w:tbl>
    <w:p w14:paraId="620CF992" w14:textId="77777777" w:rsidR="00FC3076" w:rsidRPr="00D474EA" w:rsidRDefault="00FC3076"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p>
    <w:p w14:paraId="59CC1BF8" w14:textId="05FB74FB" w:rsidR="00AC38AC" w:rsidRPr="00D474EA" w:rsidRDefault="00AC38AC"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7.3 Implementation Roadmap</w:t>
      </w:r>
    </w:p>
    <w:p w14:paraId="0659D509"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Year 1 (Integration Phase — FY26-27):</w:t>
      </w:r>
    </w:p>
    <w:p w14:paraId="3F4E68E0" w14:textId="77777777" w:rsidR="00AC38AC" w:rsidRPr="00D474EA" w:rsidRDefault="00AC38AC" w:rsidP="00D474EA">
      <w:pPr>
        <w:numPr>
          <w:ilvl w:val="0"/>
          <w:numId w:val="1"/>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Complete network integration (MOCN across 8,000 sites completed ahead of schedule) </w:t>
      </w:r>
    </w:p>
    <w:p w14:paraId="3E1A3277" w14:textId="77777777" w:rsidR="00AC38AC" w:rsidRPr="00D474EA" w:rsidRDefault="00AC38AC" w:rsidP="00D474EA">
      <w:pPr>
        <w:numPr>
          <w:ilvl w:val="0"/>
          <w:numId w:val="1"/>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Achieve early synergy wins</w:t>
      </w:r>
    </w:p>
    <w:p w14:paraId="0E0ED7F3" w14:textId="77777777" w:rsidR="00AC38AC" w:rsidRPr="00D474EA" w:rsidRDefault="00AC38AC" w:rsidP="00D474EA">
      <w:pPr>
        <w:numPr>
          <w:ilvl w:val="0"/>
          <w:numId w:val="1"/>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Launch "UK's best network" marketing campaign</w:t>
      </w:r>
    </w:p>
    <w:p w14:paraId="6A7F3B26" w14:textId="77777777" w:rsidR="00AC38AC" w:rsidRPr="00D474EA" w:rsidRDefault="00AC38AC" w:rsidP="00D474EA">
      <w:pPr>
        <w:numPr>
          <w:ilvl w:val="0"/>
          <w:numId w:val="1"/>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Priority: Demonstrate early momentum</w:t>
      </w:r>
    </w:p>
    <w:p w14:paraId="2E0D11A6"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Years 2-3 (Growth Phase — FY27-29):</w:t>
      </w:r>
    </w:p>
    <w:p w14:paraId="466AD5E9" w14:textId="77777777" w:rsidR="00AC38AC" w:rsidRPr="00D474EA" w:rsidRDefault="00AC38AC" w:rsidP="00D474EA">
      <w:pPr>
        <w:numPr>
          <w:ilvl w:val="0"/>
          <w:numId w:val="2"/>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Monetise 5G standalone with new B2B services and IoT platforms</w:t>
      </w:r>
    </w:p>
    <w:p w14:paraId="0B9D25DD" w14:textId="77777777" w:rsidR="00AC38AC" w:rsidRPr="00D474EA" w:rsidRDefault="00AC38AC" w:rsidP="00D474EA">
      <w:pPr>
        <w:numPr>
          <w:ilvl w:val="0"/>
          <w:numId w:val="2"/>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Expand fixed-mobile convergent propositions</w:t>
      </w:r>
    </w:p>
    <w:p w14:paraId="26C23713" w14:textId="77777777" w:rsidR="00AC38AC" w:rsidRPr="00D474EA" w:rsidRDefault="00AC38AC" w:rsidP="00D474EA">
      <w:pPr>
        <w:numPr>
          <w:ilvl w:val="0"/>
          <w:numId w:val="2"/>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Deliver £350M+ annual synergies</w:t>
      </w:r>
    </w:p>
    <w:p w14:paraId="03C798B1" w14:textId="77777777" w:rsidR="00AC38AC" w:rsidRPr="00D474EA" w:rsidRDefault="00AC38AC" w:rsidP="00D474EA">
      <w:pPr>
        <w:numPr>
          <w:ilvl w:val="0"/>
          <w:numId w:val="2"/>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Achieve 90% 5G standalone population coverage </w:t>
      </w:r>
    </w:p>
    <w:p w14:paraId="1B39680A" w14:textId="77777777" w:rsidR="00AC38AC" w:rsidRPr="00D474EA" w:rsidRDefault="00AC38AC" w:rsidP="00D474EA">
      <w:pPr>
        <w:numPr>
          <w:ilvl w:val="0"/>
          <w:numId w:val="2"/>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Priority: Translate network investment into revenue growth</w:t>
      </w:r>
    </w:p>
    <w:p w14:paraId="045901C8"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Years 4-5 (Maturity Phase — FY29-31):</w:t>
      </w:r>
    </w:p>
    <w:p w14:paraId="65A60755" w14:textId="77777777" w:rsidR="00AC38AC" w:rsidRPr="00D474EA" w:rsidRDefault="00AC38AC" w:rsidP="00D474EA">
      <w:pPr>
        <w:numPr>
          <w:ilvl w:val="0"/>
          <w:numId w:val="3"/>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Full synergy delivery (£700M annual) </w:t>
      </w:r>
    </w:p>
    <w:p w14:paraId="2D743221" w14:textId="77777777" w:rsidR="00AC38AC" w:rsidRPr="00D474EA" w:rsidRDefault="00AC38AC" w:rsidP="00D474EA">
      <w:pPr>
        <w:numPr>
          <w:ilvl w:val="0"/>
          <w:numId w:val="3"/>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Market share gains against competitors</w:t>
      </w:r>
    </w:p>
    <w:p w14:paraId="5DB3E531" w14:textId="3425CA7B" w:rsidR="00AC38AC" w:rsidRPr="00D474EA" w:rsidRDefault="00AC38AC" w:rsidP="00D474EA">
      <w:pPr>
        <w:numPr>
          <w:ilvl w:val="0"/>
          <w:numId w:val="3"/>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 xml:space="preserve">Position </w:t>
      </w:r>
      <w:r w:rsidR="0031606E" w:rsidRPr="00D474EA">
        <w:rPr>
          <w:rFonts w:ascii="Arial" w:eastAsia="Times New Roman" w:hAnsi="Arial" w:cs="Arial"/>
          <w:color w:val="0F1115"/>
          <w:kern w:val="0"/>
          <w:sz w:val="22"/>
          <w:szCs w:val="22"/>
          <w:lang w:eastAsia="en-GB"/>
          <w14:ligatures w14:val="none"/>
        </w:rPr>
        <w:t>Vodafone Three</w:t>
      </w:r>
      <w:r w:rsidRPr="00D474EA">
        <w:rPr>
          <w:rFonts w:ascii="Arial" w:eastAsia="Times New Roman" w:hAnsi="Arial" w:cs="Arial"/>
          <w:color w:val="0F1115"/>
          <w:kern w:val="0"/>
          <w:sz w:val="22"/>
          <w:szCs w:val="22"/>
          <w:lang w:eastAsia="en-GB"/>
          <w14:ligatures w14:val="none"/>
        </w:rPr>
        <w:t xml:space="preserve"> as undisputed UK network leader</w:t>
      </w:r>
    </w:p>
    <w:p w14:paraId="596C7466" w14:textId="77777777" w:rsidR="00AC38AC" w:rsidRPr="00D474EA" w:rsidRDefault="00AC38AC" w:rsidP="00D474EA">
      <w:pPr>
        <w:numPr>
          <w:ilvl w:val="0"/>
          <w:numId w:val="3"/>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Priority: Consolidate market leadership and deliver sustainable profitability</w:t>
      </w:r>
    </w:p>
    <w:p w14:paraId="30BA409A" w14:textId="2857F384" w:rsidR="00AC38AC"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35E4EAFB" w14:textId="77777777" w:rsidR="002152C6" w:rsidRDefault="002152C6"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5F48E6D8" w14:textId="77777777" w:rsidR="002152C6" w:rsidRPr="00D474EA" w:rsidRDefault="002152C6"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58FDABD3" w14:textId="68FD73CE" w:rsidR="00702CBD" w:rsidRDefault="00AC38AC" w:rsidP="00702CBD">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lastRenderedPageBreak/>
        <w:t>8.</w:t>
      </w:r>
      <w:r w:rsidR="00702CBD">
        <w:rPr>
          <w:rFonts w:ascii="Arial" w:eastAsia="Times New Roman" w:hAnsi="Arial" w:cs="Arial"/>
          <w:b/>
          <w:bCs/>
          <w:color w:val="0F1115"/>
          <w:kern w:val="0"/>
          <w:sz w:val="22"/>
          <w:szCs w:val="22"/>
          <w:lang w:eastAsia="en-GB"/>
          <w14:ligatures w14:val="none"/>
        </w:rPr>
        <w:t xml:space="preserve"> Recommendation</w:t>
      </w:r>
    </w:p>
    <w:p w14:paraId="66E8351D" w14:textId="612163C7" w:rsidR="00AC38AC" w:rsidRDefault="00AC38AC" w:rsidP="00702CBD">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 xml:space="preserve"> </w:t>
      </w:r>
      <w:r w:rsidR="00702CBD" w:rsidRPr="00702CBD">
        <w:rPr>
          <w:rFonts w:ascii="Arial" w:eastAsia="Times New Roman" w:hAnsi="Arial" w:cs="Arial"/>
          <w:color w:val="0F1115"/>
          <w:kern w:val="0"/>
          <w:sz w:val="22"/>
          <w:szCs w:val="22"/>
          <w:lang w:eastAsia="en-GB"/>
          <w14:ligatures w14:val="none"/>
        </w:rPr>
        <w:t>Vodafone UK, following the merger with Three and the CMA's historic approval, stands at a pivotal point to lead the market. This report recommends a focused differentiation strategy supported by cost leadership, leveraging network superiority in 5G and integration synergies. Success rests on three pillars: rapid network integration, improved customer experience, and disciplined cost management. The B2B segment offers the greatest potential, with advanced services such as Network Slicing. To avoid getting stuck in the middle, Vodafone must clearly communicate its value proposition as "the best network at a fair price." With focused execution and strong leadership, the new company is well-positioned to deliver sustainable growth and long-term value</w:t>
      </w:r>
    </w:p>
    <w:p w14:paraId="6EA66D6D" w14:textId="77777777" w:rsidR="002152C6" w:rsidRDefault="002152C6"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67F5E192" w14:textId="77777777" w:rsidR="002152C6" w:rsidRDefault="002152C6"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264A90A0" w14:textId="77777777" w:rsidR="002152C6" w:rsidRPr="00D474EA" w:rsidRDefault="002152C6"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754A8787" w14:textId="77777777" w:rsidR="00AC38AC" w:rsidRPr="00D474EA" w:rsidRDefault="00AC38AC" w:rsidP="00D474EA">
      <w:pPr>
        <w:shd w:val="clear" w:color="auto" w:fill="FFFFFF"/>
        <w:spacing w:after="0" w:line="360" w:lineRule="auto"/>
        <w:jc w:val="both"/>
        <w:outlineLvl w:val="0"/>
        <w:rPr>
          <w:rFonts w:ascii="Arial" w:eastAsia="Times New Roman" w:hAnsi="Arial" w:cs="Arial"/>
          <w:b/>
          <w:bCs/>
          <w:color w:val="0F1115"/>
          <w:kern w:val="0"/>
          <w:sz w:val="22"/>
          <w:szCs w:val="22"/>
          <w:lang w:eastAsia="en-GB"/>
          <w14:ligatures w14:val="none"/>
        </w:rPr>
      </w:pPr>
      <w:r w:rsidRPr="00D474EA">
        <w:rPr>
          <w:rFonts w:ascii="Arial" w:eastAsia="Times New Roman" w:hAnsi="Arial" w:cs="Arial"/>
          <w:b/>
          <w:bCs/>
          <w:color w:val="0F1115"/>
          <w:kern w:val="0"/>
          <w:sz w:val="22"/>
          <w:szCs w:val="22"/>
          <w:lang w:eastAsia="en-GB"/>
          <w14:ligatures w14:val="none"/>
        </w:rPr>
        <w:t>9. References</w:t>
      </w:r>
    </w:p>
    <w:p w14:paraId="473E38C2" w14:textId="77777777" w:rsidR="00AC38AC" w:rsidRPr="00D474EA" w:rsidRDefault="00AC38AC" w:rsidP="00D474EA">
      <w:pPr>
        <w:numPr>
          <w:ilvl w:val="0"/>
          <w:numId w:val="4"/>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Vodafone Group Plc (2025). </w:t>
      </w:r>
      <w:r w:rsidRPr="00D474EA">
        <w:rPr>
          <w:rFonts w:ascii="Arial" w:eastAsia="Times New Roman" w:hAnsi="Arial" w:cs="Arial"/>
          <w:i/>
          <w:iCs/>
          <w:color w:val="0F1115"/>
          <w:kern w:val="0"/>
          <w:sz w:val="22"/>
          <w:szCs w:val="22"/>
          <w:lang w:eastAsia="en-GB"/>
          <w14:ligatures w14:val="none"/>
        </w:rPr>
        <w:t>Annual Report 2025</w:t>
      </w:r>
      <w:r w:rsidRPr="00D474EA">
        <w:rPr>
          <w:rFonts w:ascii="Arial" w:eastAsia="Times New Roman" w:hAnsi="Arial" w:cs="Arial"/>
          <w:color w:val="0F1115"/>
          <w:kern w:val="0"/>
          <w:sz w:val="22"/>
          <w:szCs w:val="22"/>
          <w:lang w:eastAsia="en-GB"/>
          <w14:ligatures w14:val="none"/>
        </w:rPr>
        <w:t>. Newbury: Vodafone Group Plc. Available at: </w:t>
      </w:r>
      <w:hyperlink r:id="rId7" w:tgtFrame="_blank" w:history="1">
        <w:r w:rsidRPr="00D474EA">
          <w:rPr>
            <w:rStyle w:val="Hyperlink"/>
            <w:rFonts w:ascii="Arial" w:eastAsia="Times New Roman" w:hAnsi="Arial" w:cs="Arial"/>
            <w:kern w:val="0"/>
            <w:sz w:val="22"/>
            <w:szCs w:val="22"/>
            <w:lang w:eastAsia="en-GB"/>
            <w14:ligatures w14:val="none"/>
          </w:rPr>
          <w:t>reports.investors.vodafone.com</w:t>
        </w:r>
      </w:hyperlink>
      <w:r w:rsidRPr="00D474EA">
        <w:rPr>
          <w:rFonts w:ascii="Arial" w:eastAsia="Times New Roman" w:hAnsi="Arial" w:cs="Arial"/>
          <w:color w:val="0F1115"/>
          <w:kern w:val="0"/>
          <w:sz w:val="22"/>
          <w:szCs w:val="22"/>
          <w:lang w:eastAsia="en-GB"/>
          <w14:ligatures w14:val="none"/>
        </w:rPr>
        <w:t> </w:t>
      </w:r>
    </w:p>
    <w:p w14:paraId="391447EA" w14:textId="77777777" w:rsidR="00AC38AC" w:rsidRPr="00D474EA" w:rsidRDefault="00AC38AC" w:rsidP="00D474EA">
      <w:pPr>
        <w:numPr>
          <w:ilvl w:val="0"/>
          <w:numId w:val="4"/>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Vodafone Group Plc (2025). </w:t>
      </w:r>
      <w:r w:rsidRPr="00D474EA">
        <w:rPr>
          <w:rFonts w:ascii="Arial" w:eastAsia="Times New Roman" w:hAnsi="Arial" w:cs="Arial"/>
          <w:i/>
          <w:iCs/>
          <w:color w:val="0F1115"/>
          <w:kern w:val="0"/>
          <w:sz w:val="22"/>
          <w:szCs w:val="22"/>
          <w:lang w:eastAsia="en-GB"/>
          <w14:ligatures w14:val="none"/>
        </w:rPr>
        <w:t>H1 FY26 Results Presentation</w:t>
      </w:r>
      <w:r w:rsidRPr="00D474EA">
        <w:rPr>
          <w:rFonts w:ascii="Arial" w:eastAsia="Times New Roman" w:hAnsi="Arial" w:cs="Arial"/>
          <w:color w:val="0F1115"/>
          <w:kern w:val="0"/>
          <w:sz w:val="22"/>
          <w:szCs w:val="22"/>
          <w:lang w:eastAsia="en-GB"/>
          <w14:ligatures w14:val="none"/>
        </w:rPr>
        <w:t>. Newbury: Vodafone Group Plc. Available at: </w:t>
      </w:r>
      <w:hyperlink r:id="rId8" w:tgtFrame="_blank" w:history="1">
        <w:r w:rsidRPr="00D474EA">
          <w:rPr>
            <w:rStyle w:val="Hyperlink"/>
            <w:rFonts w:ascii="Arial" w:eastAsia="Times New Roman" w:hAnsi="Arial" w:cs="Arial"/>
            <w:kern w:val="0"/>
            <w:sz w:val="22"/>
            <w:szCs w:val="22"/>
            <w:lang w:eastAsia="en-GB"/>
            <w14:ligatures w14:val="none"/>
          </w:rPr>
          <w:t>reports.investors.vodafone.com</w:t>
        </w:r>
      </w:hyperlink>
      <w:r w:rsidRPr="00D474EA">
        <w:rPr>
          <w:rFonts w:ascii="Arial" w:eastAsia="Times New Roman" w:hAnsi="Arial" w:cs="Arial"/>
          <w:color w:val="0F1115"/>
          <w:kern w:val="0"/>
          <w:sz w:val="22"/>
          <w:szCs w:val="22"/>
          <w:lang w:eastAsia="en-GB"/>
          <w14:ligatures w14:val="none"/>
        </w:rPr>
        <w:t> </w:t>
      </w:r>
    </w:p>
    <w:p w14:paraId="5A17A2E4" w14:textId="77777777" w:rsidR="00AC38AC" w:rsidRPr="00D474EA" w:rsidRDefault="00AC38AC" w:rsidP="00D474EA">
      <w:pPr>
        <w:numPr>
          <w:ilvl w:val="0"/>
          <w:numId w:val="4"/>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Clifford Chance (2025). </w:t>
      </w:r>
      <w:r w:rsidRPr="00D474EA">
        <w:rPr>
          <w:rFonts w:ascii="Arial" w:eastAsia="Times New Roman" w:hAnsi="Arial" w:cs="Arial"/>
          <w:i/>
          <w:iCs/>
          <w:color w:val="0F1115"/>
          <w:kern w:val="0"/>
          <w:sz w:val="22"/>
          <w:szCs w:val="22"/>
          <w:lang w:eastAsia="en-GB"/>
          <w14:ligatures w14:val="none"/>
        </w:rPr>
        <w:t>Vodafone/Three merger approved with behavioural commitments</w:t>
      </w:r>
      <w:r w:rsidRPr="00D474EA">
        <w:rPr>
          <w:rFonts w:ascii="Arial" w:eastAsia="Times New Roman" w:hAnsi="Arial" w:cs="Arial"/>
          <w:color w:val="0F1115"/>
          <w:kern w:val="0"/>
          <w:sz w:val="22"/>
          <w:szCs w:val="22"/>
          <w:lang w:eastAsia="en-GB"/>
          <w14:ligatures w14:val="none"/>
        </w:rPr>
        <w:t>. London: Clifford Chance. Available at: </w:t>
      </w:r>
      <w:hyperlink r:id="rId9" w:tgtFrame="_blank" w:history="1">
        <w:r w:rsidRPr="00D474EA">
          <w:rPr>
            <w:rStyle w:val="Hyperlink"/>
            <w:rFonts w:ascii="Arial" w:eastAsia="Times New Roman" w:hAnsi="Arial" w:cs="Arial"/>
            <w:kern w:val="0"/>
            <w:sz w:val="22"/>
            <w:szCs w:val="22"/>
            <w:lang w:eastAsia="en-GB"/>
            <w14:ligatures w14:val="none"/>
          </w:rPr>
          <w:t>cliffordchance.com</w:t>
        </w:r>
      </w:hyperlink>
      <w:r w:rsidRPr="00D474EA">
        <w:rPr>
          <w:rFonts w:ascii="Arial" w:eastAsia="Times New Roman" w:hAnsi="Arial" w:cs="Arial"/>
          <w:color w:val="0F1115"/>
          <w:kern w:val="0"/>
          <w:sz w:val="22"/>
          <w:szCs w:val="22"/>
          <w:lang w:eastAsia="en-GB"/>
          <w14:ligatures w14:val="none"/>
        </w:rPr>
        <w:t> </w:t>
      </w:r>
    </w:p>
    <w:p w14:paraId="57D0D839" w14:textId="77777777" w:rsidR="00AC38AC" w:rsidRPr="00D474EA" w:rsidRDefault="00AC38AC" w:rsidP="00D474EA">
      <w:pPr>
        <w:numPr>
          <w:ilvl w:val="0"/>
          <w:numId w:val="4"/>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Vodafone Group Plc (2025). </w:t>
      </w:r>
      <w:r w:rsidRPr="00D474EA">
        <w:rPr>
          <w:rFonts w:ascii="Arial" w:eastAsia="Times New Roman" w:hAnsi="Arial" w:cs="Arial"/>
          <w:i/>
          <w:iCs/>
          <w:color w:val="0F1115"/>
          <w:kern w:val="0"/>
          <w:sz w:val="22"/>
          <w:szCs w:val="22"/>
          <w:lang w:eastAsia="en-GB"/>
          <w14:ligatures w14:val="none"/>
        </w:rPr>
        <w:t>Vodafone advances future-ready radio access network</w:t>
      </w:r>
      <w:r w:rsidRPr="00D474EA">
        <w:rPr>
          <w:rFonts w:ascii="Arial" w:eastAsia="Times New Roman" w:hAnsi="Arial" w:cs="Arial"/>
          <w:color w:val="0F1115"/>
          <w:kern w:val="0"/>
          <w:sz w:val="22"/>
          <w:szCs w:val="22"/>
          <w:lang w:eastAsia="en-GB"/>
          <w14:ligatures w14:val="none"/>
        </w:rPr>
        <w:t>. Newbury: Vodafone Group Plc. Available at: </w:t>
      </w:r>
      <w:hyperlink r:id="rId10" w:tgtFrame="_blank" w:history="1">
        <w:r w:rsidRPr="00D474EA">
          <w:rPr>
            <w:rStyle w:val="Hyperlink"/>
            <w:rFonts w:ascii="Arial" w:eastAsia="Times New Roman" w:hAnsi="Arial" w:cs="Arial"/>
            <w:kern w:val="0"/>
            <w:sz w:val="22"/>
            <w:szCs w:val="22"/>
            <w:lang w:eastAsia="en-GB"/>
            <w14:ligatures w14:val="none"/>
          </w:rPr>
          <w:t>vodafone.com/news</w:t>
        </w:r>
      </w:hyperlink>
      <w:r w:rsidRPr="00D474EA">
        <w:rPr>
          <w:rFonts w:ascii="Arial" w:eastAsia="Times New Roman" w:hAnsi="Arial" w:cs="Arial"/>
          <w:color w:val="0F1115"/>
          <w:kern w:val="0"/>
          <w:sz w:val="22"/>
          <w:szCs w:val="22"/>
          <w:lang w:eastAsia="en-GB"/>
          <w14:ligatures w14:val="none"/>
        </w:rPr>
        <w:t> </w:t>
      </w:r>
    </w:p>
    <w:p w14:paraId="0203E2EB" w14:textId="77777777" w:rsidR="00AC38AC" w:rsidRPr="00D474EA" w:rsidRDefault="00AC38AC" w:rsidP="00D474EA">
      <w:pPr>
        <w:numPr>
          <w:ilvl w:val="0"/>
          <w:numId w:val="4"/>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Vodafone UK (2025). </w:t>
      </w:r>
      <w:r w:rsidRPr="00D474EA">
        <w:rPr>
          <w:rFonts w:ascii="Arial" w:eastAsia="Times New Roman" w:hAnsi="Arial" w:cs="Arial"/>
          <w:i/>
          <w:iCs/>
          <w:color w:val="0F1115"/>
          <w:kern w:val="0"/>
          <w:sz w:val="22"/>
          <w:szCs w:val="22"/>
          <w:lang w:eastAsia="en-GB"/>
          <w14:ligatures w14:val="none"/>
        </w:rPr>
        <w:t>New campaign spotlights Android's AI-powered search feature</w:t>
      </w:r>
      <w:r w:rsidRPr="00D474EA">
        <w:rPr>
          <w:rFonts w:ascii="Arial" w:eastAsia="Times New Roman" w:hAnsi="Arial" w:cs="Arial"/>
          <w:color w:val="0F1115"/>
          <w:kern w:val="0"/>
          <w:sz w:val="22"/>
          <w:szCs w:val="22"/>
          <w:lang w:eastAsia="en-GB"/>
          <w14:ligatures w14:val="none"/>
        </w:rPr>
        <w:t>. Newbury: Vodafone UK. Available at: </w:t>
      </w:r>
      <w:hyperlink r:id="rId11" w:tgtFrame="_blank" w:history="1">
        <w:r w:rsidRPr="00D474EA">
          <w:rPr>
            <w:rStyle w:val="Hyperlink"/>
            <w:rFonts w:ascii="Arial" w:eastAsia="Times New Roman" w:hAnsi="Arial" w:cs="Arial"/>
            <w:kern w:val="0"/>
            <w:sz w:val="22"/>
            <w:szCs w:val="22"/>
            <w:lang w:eastAsia="en-GB"/>
            <w14:ligatures w14:val="none"/>
          </w:rPr>
          <w:t>vodafone.co.uk/</w:t>
        </w:r>
        <w:proofErr w:type="spellStart"/>
        <w:r w:rsidRPr="00D474EA">
          <w:rPr>
            <w:rStyle w:val="Hyperlink"/>
            <w:rFonts w:ascii="Arial" w:eastAsia="Times New Roman" w:hAnsi="Arial" w:cs="Arial"/>
            <w:kern w:val="0"/>
            <w:sz w:val="22"/>
            <w:szCs w:val="22"/>
            <w:lang w:eastAsia="en-GB"/>
            <w14:ligatures w14:val="none"/>
          </w:rPr>
          <w:t>newscentre</w:t>
        </w:r>
        <w:proofErr w:type="spellEnd"/>
      </w:hyperlink>
      <w:r w:rsidRPr="00D474EA">
        <w:rPr>
          <w:rFonts w:ascii="Arial" w:eastAsia="Times New Roman" w:hAnsi="Arial" w:cs="Arial"/>
          <w:color w:val="0F1115"/>
          <w:kern w:val="0"/>
          <w:sz w:val="22"/>
          <w:szCs w:val="22"/>
          <w:lang w:eastAsia="en-GB"/>
          <w14:ligatures w14:val="none"/>
        </w:rPr>
        <w:t> </w:t>
      </w:r>
    </w:p>
    <w:p w14:paraId="6A250D89" w14:textId="77777777" w:rsidR="00AC38AC" w:rsidRPr="00D474EA" w:rsidRDefault="00AC38AC" w:rsidP="00D474EA">
      <w:pPr>
        <w:numPr>
          <w:ilvl w:val="0"/>
          <w:numId w:val="4"/>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proofErr w:type="spellStart"/>
      <w:r w:rsidRPr="00D474EA">
        <w:rPr>
          <w:rFonts w:ascii="Arial" w:eastAsia="Times New Roman" w:hAnsi="Arial" w:cs="Arial"/>
          <w:color w:val="0F1115"/>
          <w:kern w:val="0"/>
          <w:sz w:val="22"/>
          <w:szCs w:val="22"/>
          <w:lang w:eastAsia="en-GB"/>
          <w14:ligatures w14:val="none"/>
        </w:rPr>
        <w:t>Kalkine</w:t>
      </w:r>
      <w:proofErr w:type="spellEnd"/>
      <w:r w:rsidRPr="00D474EA">
        <w:rPr>
          <w:rFonts w:ascii="Arial" w:eastAsia="Times New Roman" w:hAnsi="Arial" w:cs="Arial"/>
          <w:color w:val="0F1115"/>
          <w:kern w:val="0"/>
          <w:sz w:val="22"/>
          <w:szCs w:val="22"/>
          <w:lang w:eastAsia="en-GB"/>
          <w14:ligatures w14:val="none"/>
        </w:rPr>
        <w:t xml:space="preserve"> UK (2025). </w:t>
      </w:r>
      <w:r w:rsidRPr="00D474EA">
        <w:rPr>
          <w:rFonts w:ascii="Arial" w:eastAsia="Times New Roman" w:hAnsi="Arial" w:cs="Arial"/>
          <w:i/>
          <w:iCs/>
          <w:color w:val="0F1115"/>
          <w:kern w:val="0"/>
          <w:sz w:val="22"/>
          <w:szCs w:val="22"/>
          <w:lang w:eastAsia="en-GB"/>
          <w14:ligatures w14:val="none"/>
        </w:rPr>
        <w:t>Vodafone and CK Hutchison Finalise Merger of UK Mobile Businesses</w:t>
      </w:r>
      <w:r w:rsidRPr="00D474EA">
        <w:rPr>
          <w:rFonts w:ascii="Arial" w:eastAsia="Times New Roman" w:hAnsi="Arial" w:cs="Arial"/>
          <w:color w:val="0F1115"/>
          <w:kern w:val="0"/>
          <w:sz w:val="22"/>
          <w:szCs w:val="22"/>
          <w:lang w:eastAsia="en-GB"/>
          <w14:ligatures w14:val="none"/>
        </w:rPr>
        <w:t xml:space="preserve">. London: </w:t>
      </w:r>
      <w:proofErr w:type="spellStart"/>
      <w:r w:rsidRPr="00D474EA">
        <w:rPr>
          <w:rFonts w:ascii="Arial" w:eastAsia="Times New Roman" w:hAnsi="Arial" w:cs="Arial"/>
          <w:color w:val="0F1115"/>
          <w:kern w:val="0"/>
          <w:sz w:val="22"/>
          <w:szCs w:val="22"/>
          <w:lang w:eastAsia="en-GB"/>
          <w14:ligatures w14:val="none"/>
        </w:rPr>
        <w:t>Kalkine</w:t>
      </w:r>
      <w:proofErr w:type="spellEnd"/>
      <w:r w:rsidRPr="00D474EA">
        <w:rPr>
          <w:rFonts w:ascii="Arial" w:eastAsia="Times New Roman" w:hAnsi="Arial" w:cs="Arial"/>
          <w:color w:val="0F1115"/>
          <w:kern w:val="0"/>
          <w:sz w:val="22"/>
          <w:szCs w:val="22"/>
          <w:lang w:eastAsia="en-GB"/>
          <w14:ligatures w14:val="none"/>
        </w:rPr>
        <w:t xml:space="preserve"> UK. Available at: </w:t>
      </w:r>
      <w:hyperlink r:id="rId12" w:tgtFrame="_blank" w:history="1">
        <w:r w:rsidRPr="00D474EA">
          <w:rPr>
            <w:rStyle w:val="Hyperlink"/>
            <w:rFonts w:ascii="Arial" w:eastAsia="Times New Roman" w:hAnsi="Arial" w:cs="Arial"/>
            <w:kern w:val="0"/>
            <w:sz w:val="22"/>
            <w:szCs w:val="22"/>
            <w:lang w:eastAsia="en-GB"/>
            <w14:ligatures w14:val="none"/>
          </w:rPr>
          <w:t>kalkine.co.uk</w:t>
        </w:r>
      </w:hyperlink>
      <w:r w:rsidRPr="00D474EA">
        <w:rPr>
          <w:rFonts w:ascii="Arial" w:eastAsia="Times New Roman" w:hAnsi="Arial" w:cs="Arial"/>
          <w:color w:val="0F1115"/>
          <w:kern w:val="0"/>
          <w:sz w:val="22"/>
          <w:szCs w:val="22"/>
          <w:lang w:eastAsia="en-GB"/>
          <w14:ligatures w14:val="none"/>
        </w:rPr>
        <w:t> </w:t>
      </w:r>
    </w:p>
    <w:p w14:paraId="2A853B82" w14:textId="77777777" w:rsidR="00AC38AC" w:rsidRPr="00D474EA" w:rsidRDefault="00AC38AC" w:rsidP="00D474EA">
      <w:pPr>
        <w:numPr>
          <w:ilvl w:val="0"/>
          <w:numId w:val="4"/>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Vodafone Group Plc (2025). </w:t>
      </w:r>
      <w:r w:rsidRPr="00D474EA">
        <w:rPr>
          <w:rFonts w:ascii="Arial" w:eastAsia="Times New Roman" w:hAnsi="Arial" w:cs="Arial"/>
          <w:i/>
          <w:iCs/>
          <w:color w:val="0F1115"/>
          <w:kern w:val="0"/>
          <w:sz w:val="22"/>
          <w:szCs w:val="22"/>
          <w:lang w:eastAsia="en-GB"/>
          <w14:ligatures w14:val="none"/>
        </w:rPr>
        <w:t>Annual Report and Accounts for the year ended 31 March 2025</w:t>
      </w:r>
      <w:r w:rsidRPr="00D474EA">
        <w:rPr>
          <w:rFonts w:ascii="Arial" w:eastAsia="Times New Roman" w:hAnsi="Arial" w:cs="Arial"/>
          <w:color w:val="0F1115"/>
          <w:kern w:val="0"/>
          <w:sz w:val="22"/>
          <w:szCs w:val="22"/>
          <w:lang w:eastAsia="en-GB"/>
          <w14:ligatures w14:val="none"/>
        </w:rPr>
        <w:t>. Newbury: Vodafone Group Plc. Available at: </w:t>
      </w:r>
      <w:hyperlink r:id="rId13" w:tgtFrame="_blank" w:history="1">
        <w:r w:rsidRPr="00D474EA">
          <w:rPr>
            <w:rStyle w:val="Hyperlink"/>
            <w:rFonts w:ascii="Arial" w:eastAsia="Times New Roman" w:hAnsi="Arial" w:cs="Arial"/>
            <w:kern w:val="0"/>
            <w:sz w:val="22"/>
            <w:szCs w:val="22"/>
            <w:lang w:eastAsia="en-GB"/>
            <w14:ligatures w14:val="none"/>
          </w:rPr>
          <w:t>marketscreener.com</w:t>
        </w:r>
      </w:hyperlink>
      <w:r w:rsidRPr="00D474EA">
        <w:rPr>
          <w:rFonts w:ascii="Arial" w:eastAsia="Times New Roman" w:hAnsi="Arial" w:cs="Arial"/>
          <w:color w:val="0F1115"/>
          <w:kern w:val="0"/>
          <w:sz w:val="22"/>
          <w:szCs w:val="22"/>
          <w:lang w:eastAsia="en-GB"/>
          <w14:ligatures w14:val="none"/>
        </w:rPr>
        <w:t> </w:t>
      </w:r>
    </w:p>
    <w:p w14:paraId="5448A292" w14:textId="79D9F3A3" w:rsidR="00AC38AC" w:rsidRPr="00D474EA" w:rsidRDefault="00AC38AC" w:rsidP="00D474EA">
      <w:pPr>
        <w:numPr>
          <w:ilvl w:val="0"/>
          <w:numId w:val="4"/>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Stock Analysis (2025). </w:t>
      </w:r>
      <w:r w:rsidRPr="00D474EA">
        <w:rPr>
          <w:rFonts w:ascii="Arial" w:eastAsia="Times New Roman" w:hAnsi="Arial" w:cs="Arial"/>
          <w:i/>
          <w:iCs/>
          <w:color w:val="0F1115"/>
          <w:kern w:val="0"/>
          <w:sz w:val="22"/>
          <w:szCs w:val="22"/>
          <w:lang w:eastAsia="en-GB"/>
          <w14:ligatures w14:val="none"/>
        </w:rPr>
        <w:t>Vodafone Group (</w:t>
      </w:r>
      <w:r w:rsidR="0031606E" w:rsidRPr="00D474EA">
        <w:rPr>
          <w:rFonts w:ascii="Arial" w:eastAsia="Times New Roman" w:hAnsi="Arial" w:cs="Arial"/>
          <w:i/>
          <w:iCs/>
          <w:color w:val="0F1115"/>
          <w:kern w:val="0"/>
          <w:sz w:val="22"/>
          <w:szCs w:val="22"/>
          <w:lang w:eastAsia="en-GB"/>
          <w14:ligatures w14:val="none"/>
        </w:rPr>
        <w:t>LON: VOD</w:t>
      </w:r>
      <w:r w:rsidRPr="00D474EA">
        <w:rPr>
          <w:rFonts w:ascii="Arial" w:eastAsia="Times New Roman" w:hAnsi="Arial" w:cs="Arial"/>
          <w:i/>
          <w:iCs/>
          <w:color w:val="0F1115"/>
          <w:kern w:val="0"/>
          <w:sz w:val="22"/>
          <w:szCs w:val="22"/>
          <w:lang w:eastAsia="en-GB"/>
          <w14:ligatures w14:val="none"/>
        </w:rPr>
        <w:t>) Q2 2026 Earnings Call Transcript</w:t>
      </w:r>
      <w:r w:rsidRPr="00D474EA">
        <w:rPr>
          <w:rFonts w:ascii="Arial" w:eastAsia="Times New Roman" w:hAnsi="Arial" w:cs="Arial"/>
          <w:color w:val="0F1115"/>
          <w:kern w:val="0"/>
          <w:sz w:val="22"/>
          <w:szCs w:val="22"/>
          <w:lang w:eastAsia="en-GB"/>
          <w14:ligatures w14:val="none"/>
        </w:rPr>
        <w:t>. Available at: </w:t>
      </w:r>
      <w:hyperlink r:id="rId14" w:tgtFrame="_blank" w:history="1">
        <w:r w:rsidRPr="00D474EA">
          <w:rPr>
            <w:rStyle w:val="Hyperlink"/>
            <w:rFonts w:ascii="Arial" w:eastAsia="Times New Roman" w:hAnsi="Arial" w:cs="Arial"/>
            <w:kern w:val="0"/>
            <w:sz w:val="22"/>
            <w:szCs w:val="22"/>
            <w:lang w:eastAsia="en-GB"/>
            <w14:ligatures w14:val="none"/>
          </w:rPr>
          <w:t>stockanalysis.com</w:t>
        </w:r>
      </w:hyperlink>
      <w:r w:rsidRPr="00D474EA">
        <w:rPr>
          <w:rFonts w:ascii="Arial" w:eastAsia="Times New Roman" w:hAnsi="Arial" w:cs="Arial"/>
          <w:color w:val="0F1115"/>
          <w:kern w:val="0"/>
          <w:sz w:val="22"/>
          <w:szCs w:val="22"/>
          <w:lang w:eastAsia="en-GB"/>
          <w14:ligatures w14:val="none"/>
        </w:rPr>
        <w:t> </w:t>
      </w:r>
    </w:p>
    <w:p w14:paraId="0191ABA9" w14:textId="77777777" w:rsidR="00AC38AC" w:rsidRPr="00D474EA" w:rsidRDefault="00AC38AC" w:rsidP="00D474EA">
      <w:pPr>
        <w:numPr>
          <w:ilvl w:val="0"/>
          <w:numId w:val="4"/>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Shepherd and Wedderburn (2025). </w:t>
      </w:r>
      <w:r w:rsidRPr="00D474EA">
        <w:rPr>
          <w:rFonts w:ascii="Arial" w:eastAsia="Times New Roman" w:hAnsi="Arial" w:cs="Arial"/>
          <w:i/>
          <w:iCs/>
          <w:color w:val="0F1115"/>
          <w:kern w:val="0"/>
          <w:sz w:val="22"/>
          <w:szCs w:val="22"/>
          <w:lang w:eastAsia="en-GB"/>
          <w14:ligatures w14:val="none"/>
        </w:rPr>
        <w:t>Vodafone / Three Merger: The competition law implications of starting a joint venture</w:t>
      </w:r>
      <w:r w:rsidRPr="00D474EA">
        <w:rPr>
          <w:rFonts w:ascii="Arial" w:eastAsia="Times New Roman" w:hAnsi="Arial" w:cs="Arial"/>
          <w:color w:val="0F1115"/>
          <w:kern w:val="0"/>
          <w:sz w:val="22"/>
          <w:szCs w:val="22"/>
          <w:lang w:eastAsia="en-GB"/>
          <w14:ligatures w14:val="none"/>
        </w:rPr>
        <w:t>. Edinburgh: Shepherd and Wedderburn. Available at: </w:t>
      </w:r>
      <w:hyperlink r:id="rId15" w:tgtFrame="_blank" w:history="1">
        <w:r w:rsidRPr="00D474EA">
          <w:rPr>
            <w:rStyle w:val="Hyperlink"/>
            <w:rFonts w:ascii="Arial" w:eastAsia="Times New Roman" w:hAnsi="Arial" w:cs="Arial"/>
            <w:kern w:val="0"/>
            <w:sz w:val="22"/>
            <w:szCs w:val="22"/>
            <w:lang w:eastAsia="en-GB"/>
            <w14:ligatures w14:val="none"/>
          </w:rPr>
          <w:t>shepwedd.com</w:t>
        </w:r>
      </w:hyperlink>
      <w:r w:rsidRPr="00D474EA">
        <w:rPr>
          <w:rFonts w:ascii="Arial" w:eastAsia="Times New Roman" w:hAnsi="Arial" w:cs="Arial"/>
          <w:color w:val="0F1115"/>
          <w:kern w:val="0"/>
          <w:sz w:val="22"/>
          <w:szCs w:val="22"/>
          <w:lang w:eastAsia="en-GB"/>
          <w14:ligatures w14:val="none"/>
        </w:rPr>
        <w:t> </w:t>
      </w:r>
    </w:p>
    <w:p w14:paraId="4C732618" w14:textId="3DBB3BA0" w:rsidR="00AC38AC" w:rsidRPr="00D474EA" w:rsidRDefault="0031606E" w:rsidP="00D474EA">
      <w:pPr>
        <w:numPr>
          <w:ilvl w:val="0"/>
          <w:numId w:val="4"/>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Telecom TV</w:t>
      </w:r>
      <w:r w:rsidR="00AC38AC" w:rsidRPr="00D474EA">
        <w:rPr>
          <w:rFonts w:ascii="Arial" w:eastAsia="Times New Roman" w:hAnsi="Arial" w:cs="Arial"/>
          <w:color w:val="0F1115"/>
          <w:kern w:val="0"/>
          <w:sz w:val="22"/>
          <w:szCs w:val="22"/>
          <w:lang w:eastAsia="en-GB"/>
          <w14:ligatures w14:val="none"/>
        </w:rPr>
        <w:t xml:space="preserve"> (2025). </w:t>
      </w:r>
      <w:r w:rsidR="00AC38AC" w:rsidRPr="00D474EA">
        <w:rPr>
          <w:rFonts w:ascii="Arial" w:eastAsia="Times New Roman" w:hAnsi="Arial" w:cs="Arial"/>
          <w:i/>
          <w:iCs/>
          <w:color w:val="0F1115"/>
          <w:kern w:val="0"/>
          <w:sz w:val="22"/>
          <w:szCs w:val="22"/>
          <w:lang w:eastAsia="en-GB"/>
          <w14:ligatures w14:val="none"/>
        </w:rPr>
        <w:t xml:space="preserve">Samsung squeezed out of </w:t>
      </w:r>
      <w:r w:rsidRPr="00D474EA">
        <w:rPr>
          <w:rFonts w:ascii="Arial" w:eastAsia="Times New Roman" w:hAnsi="Arial" w:cs="Arial"/>
          <w:i/>
          <w:iCs/>
          <w:color w:val="0F1115"/>
          <w:kern w:val="0"/>
          <w:sz w:val="22"/>
          <w:szCs w:val="22"/>
          <w:lang w:eastAsia="en-GB"/>
          <w14:ligatures w14:val="none"/>
        </w:rPr>
        <w:t>Vodafone Three’s</w:t>
      </w:r>
      <w:r w:rsidR="00AC38AC" w:rsidRPr="00D474EA">
        <w:rPr>
          <w:rFonts w:ascii="Arial" w:eastAsia="Times New Roman" w:hAnsi="Arial" w:cs="Arial"/>
          <w:i/>
          <w:iCs/>
          <w:color w:val="0F1115"/>
          <w:kern w:val="0"/>
          <w:sz w:val="22"/>
          <w:szCs w:val="22"/>
          <w:lang w:eastAsia="en-GB"/>
          <w14:ligatures w14:val="none"/>
        </w:rPr>
        <w:t xml:space="preserve"> £2bn UK network refresh</w:t>
      </w:r>
      <w:r w:rsidR="00AC38AC" w:rsidRPr="00D474EA">
        <w:rPr>
          <w:rFonts w:ascii="Arial" w:eastAsia="Times New Roman" w:hAnsi="Arial" w:cs="Arial"/>
          <w:color w:val="0F1115"/>
          <w:kern w:val="0"/>
          <w:sz w:val="22"/>
          <w:szCs w:val="22"/>
          <w:lang w:eastAsia="en-GB"/>
          <w14:ligatures w14:val="none"/>
        </w:rPr>
        <w:t xml:space="preserve">. London: </w:t>
      </w:r>
      <w:r w:rsidRPr="00D474EA">
        <w:rPr>
          <w:rFonts w:ascii="Arial" w:eastAsia="Times New Roman" w:hAnsi="Arial" w:cs="Arial"/>
          <w:color w:val="0F1115"/>
          <w:kern w:val="0"/>
          <w:sz w:val="22"/>
          <w:szCs w:val="22"/>
          <w:lang w:eastAsia="en-GB"/>
          <w14:ligatures w14:val="none"/>
        </w:rPr>
        <w:t>Telecom TV</w:t>
      </w:r>
      <w:r w:rsidR="00AC38AC" w:rsidRPr="00D474EA">
        <w:rPr>
          <w:rFonts w:ascii="Arial" w:eastAsia="Times New Roman" w:hAnsi="Arial" w:cs="Arial"/>
          <w:color w:val="0F1115"/>
          <w:kern w:val="0"/>
          <w:sz w:val="22"/>
          <w:szCs w:val="22"/>
          <w:lang w:eastAsia="en-GB"/>
          <w14:ligatures w14:val="none"/>
        </w:rPr>
        <w:t>. Available at: </w:t>
      </w:r>
      <w:hyperlink r:id="rId16" w:tgtFrame="_blank" w:history="1">
        <w:r w:rsidR="00AC38AC" w:rsidRPr="00D474EA">
          <w:rPr>
            <w:rStyle w:val="Hyperlink"/>
            <w:rFonts w:ascii="Arial" w:eastAsia="Times New Roman" w:hAnsi="Arial" w:cs="Arial"/>
            <w:kern w:val="0"/>
            <w:sz w:val="22"/>
            <w:szCs w:val="22"/>
            <w:lang w:eastAsia="en-GB"/>
            <w14:ligatures w14:val="none"/>
          </w:rPr>
          <w:t>telecomtv.com</w:t>
        </w:r>
      </w:hyperlink>
      <w:r w:rsidR="00AC38AC" w:rsidRPr="00D474EA">
        <w:rPr>
          <w:rFonts w:ascii="Arial" w:eastAsia="Times New Roman" w:hAnsi="Arial" w:cs="Arial"/>
          <w:color w:val="0F1115"/>
          <w:kern w:val="0"/>
          <w:sz w:val="22"/>
          <w:szCs w:val="22"/>
          <w:lang w:eastAsia="en-GB"/>
          <w14:ligatures w14:val="none"/>
        </w:rPr>
        <w:t> </w:t>
      </w:r>
    </w:p>
    <w:p w14:paraId="78894D4B" w14:textId="77777777" w:rsidR="00AC38AC" w:rsidRPr="00D474EA" w:rsidRDefault="00AC38AC" w:rsidP="00D474EA">
      <w:pPr>
        <w:numPr>
          <w:ilvl w:val="0"/>
          <w:numId w:val="4"/>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Telco Magazine (2025). </w:t>
      </w:r>
      <w:r w:rsidRPr="00D474EA">
        <w:rPr>
          <w:rFonts w:ascii="Arial" w:eastAsia="Times New Roman" w:hAnsi="Arial" w:cs="Arial"/>
          <w:i/>
          <w:iCs/>
          <w:color w:val="0F1115"/>
          <w:kern w:val="0"/>
          <w:sz w:val="22"/>
          <w:szCs w:val="22"/>
          <w:lang w:eastAsia="en-GB"/>
          <w14:ligatures w14:val="none"/>
        </w:rPr>
        <w:t>Vodafone &amp; Google enable eSIM for Pixel 9a in one click</w:t>
      </w:r>
      <w:r w:rsidRPr="00D474EA">
        <w:rPr>
          <w:rFonts w:ascii="Arial" w:eastAsia="Times New Roman" w:hAnsi="Arial" w:cs="Arial"/>
          <w:color w:val="0F1115"/>
          <w:kern w:val="0"/>
          <w:sz w:val="22"/>
          <w:szCs w:val="22"/>
          <w:lang w:eastAsia="en-GB"/>
          <w14:ligatures w14:val="none"/>
        </w:rPr>
        <w:t>. Available at: </w:t>
      </w:r>
      <w:hyperlink r:id="rId17" w:tgtFrame="_blank" w:history="1">
        <w:r w:rsidRPr="00D474EA">
          <w:rPr>
            <w:rStyle w:val="Hyperlink"/>
            <w:rFonts w:ascii="Arial" w:eastAsia="Times New Roman" w:hAnsi="Arial" w:cs="Arial"/>
            <w:kern w:val="0"/>
            <w:sz w:val="22"/>
            <w:szCs w:val="22"/>
            <w:lang w:eastAsia="en-GB"/>
            <w14:ligatures w14:val="none"/>
          </w:rPr>
          <w:t>telcomagazine.com</w:t>
        </w:r>
      </w:hyperlink>
      <w:r w:rsidRPr="00D474EA">
        <w:rPr>
          <w:rFonts w:ascii="Arial" w:eastAsia="Times New Roman" w:hAnsi="Arial" w:cs="Arial"/>
          <w:color w:val="0F1115"/>
          <w:kern w:val="0"/>
          <w:sz w:val="22"/>
          <w:szCs w:val="22"/>
          <w:lang w:eastAsia="en-GB"/>
          <w14:ligatures w14:val="none"/>
        </w:rPr>
        <w:t> </w:t>
      </w:r>
    </w:p>
    <w:p w14:paraId="4667351A" w14:textId="3D155CC2" w:rsidR="00AC38AC" w:rsidRPr="00D474EA" w:rsidRDefault="00AC38AC" w:rsidP="00D474EA">
      <w:pPr>
        <w:numPr>
          <w:ilvl w:val="0"/>
          <w:numId w:val="4"/>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lastRenderedPageBreak/>
        <w:t>Light Reading (2025). </w:t>
      </w:r>
      <w:r w:rsidR="0031606E" w:rsidRPr="00D474EA">
        <w:rPr>
          <w:rFonts w:ascii="Arial" w:eastAsia="Times New Roman" w:hAnsi="Arial" w:cs="Arial"/>
          <w:i/>
          <w:iCs/>
          <w:color w:val="0F1115"/>
          <w:kern w:val="0"/>
          <w:sz w:val="22"/>
          <w:szCs w:val="22"/>
          <w:lang w:eastAsia="en-GB"/>
          <w14:ligatures w14:val="none"/>
        </w:rPr>
        <w:t>Vodafone Three</w:t>
      </w:r>
      <w:r w:rsidRPr="00D474EA">
        <w:rPr>
          <w:rFonts w:ascii="Arial" w:eastAsia="Times New Roman" w:hAnsi="Arial" w:cs="Arial"/>
          <w:i/>
          <w:iCs/>
          <w:color w:val="0F1115"/>
          <w:kern w:val="0"/>
          <w:sz w:val="22"/>
          <w:szCs w:val="22"/>
          <w:lang w:eastAsia="en-GB"/>
          <w14:ligatures w14:val="none"/>
        </w:rPr>
        <w:t xml:space="preserve"> fast-tracks network integration</w:t>
      </w:r>
      <w:r w:rsidRPr="00D474EA">
        <w:rPr>
          <w:rFonts w:ascii="Arial" w:eastAsia="Times New Roman" w:hAnsi="Arial" w:cs="Arial"/>
          <w:color w:val="0F1115"/>
          <w:kern w:val="0"/>
          <w:sz w:val="22"/>
          <w:szCs w:val="22"/>
          <w:lang w:eastAsia="en-GB"/>
          <w14:ligatures w14:val="none"/>
        </w:rPr>
        <w:t>. London: Light Reading. Available at: </w:t>
      </w:r>
      <w:hyperlink r:id="rId18" w:tgtFrame="_blank" w:history="1">
        <w:r w:rsidRPr="00D474EA">
          <w:rPr>
            <w:rStyle w:val="Hyperlink"/>
            <w:rFonts w:ascii="Arial" w:eastAsia="Times New Roman" w:hAnsi="Arial" w:cs="Arial"/>
            <w:kern w:val="0"/>
            <w:sz w:val="22"/>
            <w:szCs w:val="22"/>
            <w:lang w:eastAsia="en-GB"/>
            <w14:ligatures w14:val="none"/>
          </w:rPr>
          <w:t>lightreading.com</w:t>
        </w:r>
      </w:hyperlink>
      <w:r w:rsidRPr="00D474EA">
        <w:rPr>
          <w:rFonts w:ascii="Arial" w:eastAsia="Times New Roman" w:hAnsi="Arial" w:cs="Arial"/>
          <w:color w:val="0F1115"/>
          <w:kern w:val="0"/>
          <w:sz w:val="22"/>
          <w:szCs w:val="22"/>
          <w:lang w:eastAsia="en-GB"/>
          <w14:ligatures w14:val="none"/>
        </w:rPr>
        <w:t> </w:t>
      </w:r>
    </w:p>
    <w:p w14:paraId="006CEDDB" w14:textId="652598BD" w:rsidR="00AC38AC" w:rsidRPr="00D474EA" w:rsidRDefault="00AC38AC" w:rsidP="00D474EA">
      <w:pPr>
        <w:numPr>
          <w:ilvl w:val="0"/>
          <w:numId w:val="4"/>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 xml:space="preserve">Johnson, G., Whittington, R., Scholes, K., Angwin, D. &amp; </w:t>
      </w:r>
      <w:r w:rsidR="0031606E" w:rsidRPr="00D474EA">
        <w:rPr>
          <w:rFonts w:ascii="Arial" w:eastAsia="Times New Roman" w:hAnsi="Arial" w:cs="Arial"/>
          <w:color w:val="0F1115"/>
          <w:kern w:val="0"/>
          <w:sz w:val="22"/>
          <w:szCs w:val="22"/>
          <w:lang w:eastAsia="en-GB"/>
          <w14:ligatures w14:val="none"/>
        </w:rPr>
        <w:t>Regner</w:t>
      </w:r>
      <w:r w:rsidRPr="00D474EA">
        <w:rPr>
          <w:rFonts w:ascii="Arial" w:eastAsia="Times New Roman" w:hAnsi="Arial" w:cs="Arial"/>
          <w:color w:val="0F1115"/>
          <w:kern w:val="0"/>
          <w:sz w:val="22"/>
          <w:szCs w:val="22"/>
          <w:lang w:eastAsia="en-GB"/>
          <w14:ligatures w14:val="none"/>
        </w:rPr>
        <w:t>, P. (2023). </w:t>
      </w:r>
      <w:r w:rsidRPr="00D474EA">
        <w:rPr>
          <w:rFonts w:ascii="Arial" w:eastAsia="Times New Roman" w:hAnsi="Arial" w:cs="Arial"/>
          <w:i/>
          <w:iCs/>
          <w:color w:val="0F1115"/>
          <w:kern w:val="0"/>
          <w:sz w:val="22"/>
          <w:szCs w:val="22"/>
          <w:lang w:eastAsia="en-GB"/>
          <w14:ligatures w14:val="none"/>
        </w:rPr>
        <w:t>Exploring Strategy: Text and Cases</w:t>
      </w:r>
      <w:r w:rsidRPr="00D474EA">
        <w:rPr>
          <w:rFonts w:ascii="Arial" w:eastAsia="Times New Roman" w:hAnsi="Arial" w:cs="Arial"/>
          <w:color w:val="0F1115"/>
          <w:kern w:val="0"/>
          <w:sz w:val="22"/>
          <w:szCs w:val="22"/>
          <w:lang w:eastAsia="en-GB"/>
          <w14:ligatures w14:val="none"/>
        </w:rPr>
        <w:t>, 12th ed. Harlow: Pearson.</w:t>
      </w:r>
    </w:p>
    <w:p w14:paraId="6DEDA201" w14:textId="77777777" w:rsidR="00AC38AC" w:rsidRPr="00D474EA" w:rsidRDefault="00AC38AC" w:rsidP="00D474EA">
      <w:pPr>
        <w:numPr>
          <w:ilvl w:val="0"/>
          <w:numId w:val="4"/>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Porter, M.E. (1980). </w:t>
      </w:r>
      <w:r w:rsidRPr="00D474EA">
        <w:rPr>
          <w:rFonts w:ascii="Arial" w:eastAsia="Times New Roman" w:hAnsi="Arial" w:cs="Arial"/>
          <w:i/>
          <w:iCs/>
          <w:color w:val="0F1115"/>
          <w:kern w:val="0"/>
          <w:sz w:val="22"/>
          <w:szCs w:val="22"/>
          <w:lang w:eastAsia="en-GB"/>
          <w14:ligatures w14:val="none"/>
        </w:rPr>
        <w:t>Competitive Strategy: Techniques for Analysing Industries and Competitors</w:t>
      </w:r>
      <w:r w:rsidRPr="00D474EA">
        <w:rPr>
          <w:rFonts w:ascii="Arial" w:eastAsia="Times New Roman" w:hAnsi="Arial" w:cs="Arial"/>
          <w:color w:val="0F1115"/>
          <w:kern w:val="0"/>
          <w:sz w:val="22"/>
          <w:szCs w:val="22"/>
          <w:lang w:eastAsia="en-GB"/>
          <w14:ligatures w14:val="none"/>
        </w:rPr>
        <w:t>. New York: Free Press.</w:t>
      </w:r>
    </w:p>
    <w:p w14:paraId="506CEA16" w14:textId="77777777" w:rsidR="00AC38AC" w:rsidRPr="00D474EA" w:rsidRDefault="00AC38AC" w:rsidP="00D474EA">
      <w:pPr>
        <w:numPr>
          <w:ilvl w:val="0"/>
          <w:numId w:val="4"/>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Porter, M.E. (1985). </w:t>
      </w:r>
      <w:r w:rsidRPr="00D474EA">
        <w:rPr>
          <w:rFonts w:ascii="Arial" w:eastAsia="Times New Roman" w:hAnsi="Arial" w:cs="Arial"/>
          <w:i/>
          <w:iCs/>
          <w:color w:val="0F1115"/>
          <w:kern w:val="0"/>
          <w:sz w:val="22"/>
          <w:szCs w:val="22"/>
          <w:lang w:eastAsia="en-GB"/>
          <w14:ligatures w14:val="none"/>
        </w:rPr>
        <w:t>Competitive Advantage: Creating and Sustaining Superior Performance</w:t>
      </w:r>
      <w:r w:rsidRPr="00D474EA">
        <w:rPr>
          <w:rFonts w:ascii="Arial" w:eastAsia="Times New Roman" w:hAnsi="Arial" w:cs="Arial"/>
          <w:color w:val="0F1115"/>
          <w:kern w:val="0"/>
          <w:sz w:val="22"/>
          <w:szCs w:val="22"/>
          <w:lang w:eastAsia="en-GB"/>
          <w14:ligatures w14:val="none"/>
        </w:rPr>
        <w:t>. New York: Free Press.</w:t>
      </w:r>
    </w:p>
    <w:p w14:paraId="7D5D3EC1" w14:textId="77777777" w:rsidR="00AC38AC" w:rsidRPr="00D474EA" w:rsidRDefault="00AC38AC" w:rsidP="00D474EA">
      <w:pPr>
        <w:numPr>
          <w:ilvl w:val="0"/>
          <w:numId w:val="4"/>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Ansoff, H.I. (1957). 'Strategies for Diversification'. </w:t>
      </w:r>
      <w:r w:rsidRPr="00D474EA">
        <w:rPr>
          <w:rFonts w:ascii="Arial" w:eastAsia="Times New Roman" w:hAnsi="Arial" w:cs="Arial"/>
          <w:i/>
          <w:iCs/>
          <w:color w:val="0F1115"/>
          <w:kern w:val="0"/>
          <w:sz w:val="22"/>
          <w:szCs w:val="22"/>
          <w:lang w:eastAsia="en-GB"/>
          <w14:ligatures w14:val="none"/>
        </w:rPr>
        <w:t>Harvard Business Review</w:t>
      </w:r>
      <w:r w:rsidRPr="00D474EA">
        <w:rPr>
          <w:rFonts w:ascii="Arial" w:eastAsia="Times New Roman" w:hAnsi="Arial" w:cs="Arial"/>
          <w:color w:val="0F1115"/>
          <w:kern w:val="0"/>
          <w:sz w:val="22"/>
          <w:szCs w:val="22"/>
          <w:lang w:eastAsia="en-GB"/>
          <w14:ligatures w14:val="none"/>
        </w:rPr>
        <w:t>, 35(5), pp. 113–124.</w:t>
      </w:r>
    </w:p>
    <w:p w14:paraId="7D3D8079" w14:textId="77777777" w:rsidR="00AC38AC" w:rsidRPr="00D474EA" w:rsidRDefault="00AC38AC" w:rsidP="00D474EA">
      <w:pPr>
        <w:numPr>
          <w:ilvl w:val="0"/>
          <w:numId w:val="4"/>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Bowman, C. &amp; Faulkner, D. (1997). </w:t>
      </w:r>
      <w:r w:rsidRPr="00D474EA">
        <w:rPr>
          <w:rFonts w:ascii="Arial" w:eastAsia="Times New Roman" w:hAnsi="Arial" w:cs="Arial"/>
          <w:i/>
          <w:iCs/>
          <w:color w:val="0F1115"/>
          <w:kern w:val="0"/>
          <w:sz w:val="22"/>
          <w:szCs w:val="22"/>
          <w:lang w:eastAsia="en-GB"/>
          <w14:ligatures w14:val="none"/>
        </w:rPr>
        <w:t>Competitive and Corporate Strategy</w:t>
      </w:r>
      <w:r w:rsidRPr="00D474EA">
        <w:rPr>
          <w:rFonts w:ascii="Arial" w:eastAsia="Times New Roman" w:hAnsi="Arial" w:cs="Arial"/>
          <w:color w:val="0F1115"/>
          <w:kern w:val="0"/>
          <w:sz w:val="22"/>
          <w:szCs w:val="22"/>
          <w:lang w:eastAsia="en-GB"/>
          <w14:ligatures w14:val="none"/>
        </w:rPr>
        <w:t>. London: Irwin.</w:t>
      </w:r>
    </w:p>
    <w:p w14:paraId="3B76A6A8" w14:textId="77777777" w:rsidR="00AC38AC" w:rsidRPr="00D474EA" w:rsidRDefault="00AC38AC" w:rsidP="00D474EA">
      <w:pPr>
        <w:numPr>
          <w:ilvl w:val="0"/>
          <w:numId w:val="4"/>
        </w:numPr>
        <w:shd w:val="clear" w:color="auto" w:fill="FFFFFF"/>
        <w:spacing w:after="0" w:line="360" w:lineRule="auto"/>
        <w:ind w:firstLine="0"/>
        <w:jc w:val="both"/>
        <w:outlineLvl w:val="0"/>
        <w:rPr>
          <w:rFonts w:ascii="Arial" w:eastAsia="Times New Roman" w:hAnsi="Arial" w:cs="Arial"/>
          <w:color w:val="0F1115"/>
          <w:kern w:val="0"/>
          <w:sz w:val="22"/>
          <w:szCs w:val="22"/>
          <w:lang w:eastAsia="en-GB"/>
          <w14:ligatures w14:val="none"/>
        </w:rPr>
      </w:pPr>
      <w:r w:rsidRPr="00D474EA">
        <w:rPr>
          <w:rFonts w:ascii="Arial" w:eastAsia="Times New Roman" w:hAnsi="Arial" w:cs="Arial"/>
          <w:color w:val="0F1115"/>
          <w:kern w:val="0"/>
          <w:sz w:val="22"/>
          <w:szCs w:val="22"/>
          <w:lang w:eastAsia="en-GB"/>
          <w14:ligatures w14:val="none"/>
        </w:rPr>
        <w:t>Henderson, B. (1970). </w:t>
      </w:r>
      <w:r w:rsidRPr="00D474EA">
        <w:rPr>
          <w:rFonts w:ascii="Arial" w:eastAsia="Times New Roman" w:hAnsi="Arial" w:cs="Arial"/>
          <w:i/>
          <w:iCs/>
          <w:color w:val="0F1115"/>
          <w:kern w:val="0"/>
          <w:sz w:val="22"/>
          <w:szCs w:val="22"/>
          <w:lang w:eastAsia="en-GB"/>
          <w14:ligatures w14:val="none"/>
        </w:rPr>
        <w:t>The Product Portfolio</w:t>
      </w:r>
      <w:r w:rsidRPr="00D474EA">
        <w:rPr>
          <w:rFonts w:ascii="Arial" w:eastAsia="Times New Roman" w:hAnsi="Arial" w:cs="Arial"/>
          <w:color w:val="0F1115"/>
          <w:kern w:val="0"/>
          <w:sz w:val="22"/>
          <w:szCs w:val="22"/>
          <w:lang w:eastAsia="en-GB"/>
          <w14:ligatures w14:val="none"/>
        </w:rPr>
        <w:t>. Boston: Boston Consulting Group.</w:t>
      </w:r>
    </w:p>
    <w:p w14:paraId="109DA1A0" w14:textId="77777777" w:rsidR="00AC38AC" w:rsidRPr="00D474EA" w:rsidRDefault="00AC38AC" w:rsidP="00D474EA">
      <w:pPr>
        <w:shd w:val="clear" w:color="auto" w:fill="FFFFFF"/>
        <w:spacing w:after="0" w:line="360" w:lineRule="auto"/>
        <w:jc w:val="both"/>
        <w:outlineLvl w:val="0"/>
        <w:rPr>
          <w:rFonts w:ascii="Arial" w:eastAsia="Times New Roman" w:hAnsi="Arial" w:cs="Arial"/>
          <w:color w:val="0F1115"/>
          <w:kern w:val="0"/>
          <w:sz w:val="22"/>
          <w:szCs w:val="22"/>
          <w:lang w:eastAsia="en-GB"/>
          <w14:ligatures w14:val="none"/>
        </w:rPr>
      </w:pPr>
    </w:p>
    <w:p w14:paraId="54A79A30" w14:textId="77777777" w:rsidR="00FB4ACE" w:rsidRPr="00D474EA" w:rsidRDefault="00FB4ACE" w:rsidP="00D474EA">
      <w:pPr>
        <w:spacing w:after="0" w:line="360" w:lineRule="auto"/>
        <w:jc w:val="both"/>
        <w:outlineLvl w:val="0"/>
        <w:rPr>
          <w:rFonts w:ascii="Arial" w:hAnsi="Arial" w:cs="Arial"/>
          <w:sz w:val="22"/>
          <w:szCs w:val="22"/>
        </w:rPr>
      </w:pPr>
    </w:p>
    <w:p w14:paraId="0B95205F" w14:textId="77777777" w:rsidR="007E19F6" w:rsidRPr="00D474EA" w:rsidRDefault="007E19F6">
      <w:pPr>
        <w:spacing w:after="0" w:line="360" w:lineRule="auto"/>
        <w:jc w:val="both"/>
        <w:outlineLvl w:val="0"/>
        <w:rPr>
          <w:rFonts w:ascii="Arial" w:hAnsi="Arial" w:cs="Arial"/>
          <w:sz w:val="22"/>
          <w:szCs w:val="22"/>
        </w:rPr>
      </w:pPr>
    </w:p>
    <w:sectPr w:rsidR="007E19F6" w:rsidRPr="00D474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D42CFC"/>
    <w:multiLevelType w:val="multilevel"/>
    <w:tmpl w:val="D2208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2131C8"/>
    <w:multiLevelType w:val="multilevel"/>
    <w:tmpl w:val="FF946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6F1147"/>
    <w:multiLevelType w:val="multilevel"/>
    <w:tmpl w:val="E9E80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BB0436"/>
    <w:multiLevelType w:val="multilevel"/>
    <w:tmpl w:val="669E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6162923">
    <w:abstractNumId w:val="3"/>
  </w:num>
  <w:num w:numId="2" w16cid:durableId="1212498098">
    <w:abstractNumId w:val="1"/>
  </w:num>
  <w:num w:numId="3" w16cid:durableId="408236009">
    <w:abstractNumId w:val="0"/>
  </w:num>
  <w:num w:numId="4" w16cid:durableId="17827251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ACE"/>
    <w:rsid w:val="00133B8E"/>
    <w:rsid w:val="001F254F"/>
    <w:rsid w:val="002152C6"/>
    <w:rsid w:val="00253FA8"/>
    <w:rsid w:val="002F32D8"/>
    <w:rsid w:val="0031606E"/>
    <w:rsid w:val="00356077"/>
    <w:rsid w:val="00484719"/>
    <w:rsid w:val="00656B66"/>
    <w:rsid w:val="00702CBD"/>
    <w:rsid w:val="007A2828"/>
    <w:rsid w:val="007B1DE2"/>
    <w:rsid w:val="007E19F6"/>
    <w:rsid w:val="008D564F"/>
    <w:rsid w:val="009E6EED"/>
    <w:rsid w:val="00AC38AC"/>
    <w:rsid w:val="00AD428B"/>
    <w:rsid w:val="00B72C4A"/>
    <w:rsid w:val="00C25633"/>
    <w:rsid w:val="00D474EA"/>
    <w:rsid w:val="00D83F07"/>
    <w:rsid w:val="00FA78D2"/>
    <w:rsid w:val="00FB4ACE"/>
    <w:rsid w:val="00FC3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99F93"/>
  <w15:chartTrackingRefBased/>
  <w15:docId w15:val="{D3F5ED97-AB14-4CC0-82F2-4D160680B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4A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4A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4A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4A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4A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4A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4A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4A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4A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4A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4A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4A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4A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4A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4A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4A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4A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4ACE"/>
    <w:rPr>
      <w:rFonts w:eastAsiaTheme="majorEastAsia" w:cstheme="majorBidi"/>
      <w:color w:val="272727" w:themeColor="text1" w:themeTint="D8"/>
    </w:rPr>
  </w:style>
  <w:style w:type="paragraph" w:styleId="Title">
    <w:name w:val="Title"/>
    <w:basedOn w:val="Normal"/>
    <w:next w:val="Normal"/>
    <w:link w:val="TitleChar"/>
    <w:uiPriority w:val="10"/>
    <w:qFormat/>
    <w:rsid w:val="00FB4A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4A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4A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4A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4ACE"/>
    <w:pPr>
      <w:spacing w:before="160"/>
      <w:jc w:val="center"/>
    </w:pPr>
    <w:rPr>
      <w:i/>
      <w:iCs/>
      <w:color w:val="404040" w:themeColor="text1" w:themeTint="BF"/>
    </w:rPr>
  </w:style>
  <w:style w:type="character" w:customStyle="1" w:styleId="QuoteChar">
    <w:name w:val="Quote Char"/>
    <w:basedOn w:val="DefaultParagraphFont"/>
    <w:link w:val="Quote"/>
    <w:uiPriority w:val="29"/>
    <w:rsid w:val="00FB4ACE"/>
    <w:rPr>
      <w:i/>
      <w:iCs/>
      <w:color w:val="404040" w:themeColor="text1" w:themeTint="BF"/>
    </w:rPr>
  </w:style>
  <w:style w:type="paragraph" w:styleId="ListParagraph">
    <w:name w:val="List Paragraph"/>
    <w:basedOn w:val="Normal"/>
    <w:uiPriority w:val="34"/>
    <w:qFormat/>
    <w:rsid w:val="00FB4ACE"/>
    <w:pPr>
      <w:ind w:left="720"/>
      <w:contextualSpacing/>
    </w:pPr>
  </w:style>
  <w:style w:type="character" w:styleId="IntenseEmphasis">
    <w:name w:val="Intense Emphasis"/>
    <w:basedOn w:val="DefaultParagraphFont"/>
    <w:uiPriority w:val="21"/>
    <w:qFormat/>
    <w:rsid w:val="00FB4ACE"/>
    <w:rPr>
      <w:i/>
      <w:iCs/>
      <w:color w:val="0F4761" w:themeColor="accent1" w:themeShade="BF"/>
    </w:rPr>
  </w:style>
  <w:style w:type="paragraph" w:styleId="IntenseQuote">
    <w:name w:val="Intense Quote"/>
    <w:basedOn w:val="Normal"/>
    <w:next w:val="Normal"/>
    <w:link w:val="IntenseQuoteChar"/>
    <w:uiPriority w:val="30"/>
    <w:qFormat/>
    <w:rsid w:val="00FB4A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4ACE"/>
    <w:rPr>
      <w:i/>
      <w:iCs/>
      <w:color w:val="0F4761" w:themeColor="accent1" w:themeShade="BF"/>
    </w:rPr>
  </w:style>
  <w:style w:type="character" w:styleId="IntenseReference">
    <w:name w:val="Intense Reference"/>
    <w:basedOn w:val="DefaultParagraphFont"/>
    <w:uiPriority w:val="32"/>
    <w:qFormat/>
    <w:rsid w:val="00FB4ACE"/>
    <w:rPr>
      <w:b/>
      <w:bCs/>
      <w:smallCaps/>
      <w:color w:val="0F4761" w:themeColor="accent1" w:themeShade="BF"/>
      <w:spacing w:val="5"/>
    </w:rPr>
  </w:style>
  <w:style w:type="character" w:styleId="Hyperlink">
    <w:name w:val="Hyperlink"/>
    <w:basedOn w:val="DefaultParagraphFont"/>
    <w:uiPriority w:val="99"/>
    <w:unhideWhenUsed/>
    <w:rsid w:val="00AC38AC"/>
    <w:rPr>
      <w:color w:val="467886" w:themeColor="hyperlink"/>
      <w:u w:val="single"/>
    </w:rPr>
  </w:style>
  <w:style w:type="character" w:styleId="UnresolvedMention">
    <w:name w:val="Unresolved Mention"/>
    <w:basedOn w:val="DefaultParagraphFont"/>
    <w:uiPriority w:val="99"/>
    <w:semiHidden/>
    <w:unhideWhenUsed/>
    <w:rsid w:val="00AC38AC"/>
    <w:rPr>
      <w:color w:val="605E5C"/>
      <w:shd w:val="clear" w:color="auto" w:fill="E1DFDD"/>
    </w:rPr>
  </w:style>
  <w:style w:type="table" w:styleId="GridTable2-Accent3">
    <w:name w:val="Grid Table 2 Accent 3"/>
    <w:basedOn w:val="TableNormal"/>
    <w:uiPriority w:val="47"/>
    <w:rsid w:val="00AC38AC"/>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5">
    <w:name w:val="List Table 2 Accent 5"/>
    <w:basedOn w:val="TableNormal"/>
    <w:uiPriority w:val="47"/>
    <w:rsid w:val="00AC38AC"/>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
    <w:name w:val="Grid Table 5 Dark"/>
    <w:basedOn w:val="TableNormal"/>
    <w:uiPriority w:val="50"/>
    <w:rsid w:val="00FC307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FC307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FC307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customStyle="1" w:styleId="Estilo1">
    <w:name w:val="Estilo1"/>
    <w:basedOn w:val="TableNormal"/>
    <w:uiPriority w:val="99"/>
    <w:rsid w:val="00FC3076"/>
    <w:pPr>
      <w:spacing w:after="0" w:line="240" w:lineRule="auto"/>
    </w:pPr>
    <w:tblPr/>
    <w:tcPr>
      <w:shd w:val="clear" w:color="auto" w:fill="ADADAD" w:themeFill="background2" w:themeFillShade="BF"/>
    </w:tcPr>
  </w:style>
  <w:style w:type="table" w:styleId="GridTable4">
    <w:name w:val="Grid Table 4"/>
    <w:basedOn w:val="TableNormal"/>
    <w:uiPriority w:val="49"/>
    <w:rsid w:val="00FC307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3">
    <w:name w:val="Grid Table 1 Light Accent 3"/>
    <w:basedOn w:val="TableNormal"/>
    <w:uiPriority w:val="46"/>
    <w:rsid w:val="00656B66"/>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rts.investors.vodafone.com/" TargetMode="External"/><Relationship Id="rId13" Type="http://schemas.openxmlformats.org/officeDocument/2006/relationships/hyperlink" Target="https://marketscreener.com/" TargetMode="External"/><Relationship Id="rId18" Type="http://schemas.openxmlformats.org/officeDocument/2006/relationships/hyperlink" Target="https://lightreading.com/" TargetMode="External"/><Relationship Id="rId3" Type="http://schemas.openxmlformats.org/officeDocument/2006/relationships/styles" Target="styles.xml"/><Relationship Id="rId7" Type="http://schemas.openxmlformats.org/officeDocument/2006/relationships/hyperlink" Target="https://reports.investors.vodafone.com/" TargetMode="External"/><Relationship Id="rId12" Type="http://schemas.openxmlformats.org/officeDocument/2006/relationships/hyperlink" Target="https://kalkine.co.uk/" TargetMode="External"/><Relationship Id="rId17" Type="http://schemas.openxmlformats.org/officeDocument/2006/relationships/hyperlink" Target="https://telcomagazine.com/" TargetMode="External"/><Relationship Id="rId2" Type="http://schemas.openxmlformats.org/officeDocument/2006/relationships/numbering" Target="numbering.xml"/><Relationship Id="rId16" Type="http://schemas.openxmlformats.org/officeDocument/2006/relationships/hyperlink" Target="https://telecomtv.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vodafone.co.uk/newscentre" TargetMode="External"/><Relationship Id="rId5" Type="http://schemas.openxmlformats.org/officeDocument/2006/relationships/webSettings" Target="webSettings.xml"/><Relationship Id="rId15" Type="http://schemas.openxmlformats.org/officeDocument/2006/relationships/hyperlink" Target="https://shepwedd.com/" TargetMode="External"/><Relationship Id="rId10" Type="http://schemas.openxmlformats.org/officeDocument/2006/relationships/hyperlink" Target="https://vodafone.com/new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liffordchance.com/" TargetMode="External"/><Relationship Id="rId14" Type="http://schemas.openxmlformats.org/officeDocument/2006/relationships/hyperlink" Target="https://stockanalysis.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BC427-DC5F-46F5-80EA-74D03BF9F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3927</Words>
  <Characters>22386</Characters>
  <Application>Microsoft Office Word</Application>
  <DocSecurity>0</DocSecurity>
  <Lines>186</Lines>
  <Paragraphs>52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Jhonson Miguel Reyes</dc:creator>
  <cp:keywords/>
  <dc:description/>
  <cp:lastModifiedBy>Carlos Alvarez</cp:lastModifiedBy>
  <cp:revision>3</cp:revision>
  <dcterms:created xsi:type="dcterms:W3CDTF">2026-08-12T10:41:00Z</dcterms:created>
  <dcterms:modified xsi:type="dcterms:W3CDTF">2026-08-12T10:43:00Z</dcterms:modified>
</cp:coreProperties>
</file>