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1A285" w14:textId="77777777" w:rsidR="00404C98" w:rsidRPr="00404C98" w:rsidRDefault="00404C98" w:rsidP="00404C98">
      <w:pPr>
        <w:jc w:val="center"/>
        <w:rPr>
          <w:rFonts w:ascii="Arial" w:hAnsi="Arial" w:cs="Arial"/>
        </w:rPr>
      </w:pPr>
      <w:r w:rsidRPr="00404C98">
        <w:rPr>
          <w:rFonts w:ascii="Arial" w:hAnsi="Arial" w:cs="Arial"/>
          <w:noProof/>
          <w:color w:val="FF0000"/>
          <w:sz w:val="28"/>
          <w:szCs w:val="28"/>
          <w:lang w:val="en-US"/>
        </w:rPr>
        <w:drawing>
          <wp:inline distT="0" distB="0" distL="0" distR="0" wp14:anchorId="238DD6DA" wp14:editId="1378328E">
            <wp:extent cx="2011680" cy="609600"/>
            <wp:effectExtent l="0" t="0" r="762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609600"/>
                    </a:xfrm>
                    <a:prstGeom prst="rect">
                      <a:avLst/>
                    </a:prstGeom>
                    <a:noFill/>
                  </pic:spPr>
                </pic:pic>
              </a:graphicData>
            </a:graphic>
          </wp:inline>
        </w:drawing>
      </w:r>
    </w:p>
    <w:p w14:paraId="59447605" w14:textId="77777777" w:rsidR="00404C98" w:rsidRPr="00404C98" w:rsidRDefault="00404C98" w:rsidP="00404C98">
      <w:pPr>
        <w:rPr>
          <w:rFonts w:ascii="Arial" w:hAnsi="Arial" w:cs="Arial"/>
          <w:sz w:val="28"/>
          <w:szCs w:val="28"/>
        </w:rPr>
      </w:pPr>
    </w:p>
    <w:p w14:paraId="32709661" w14:textId="77777777" w:rsidR="00404C98" w:rsidRPr="00404C98" w:rsidRDefault="00404C98" w:rsidP="00404C98">
      <w:pPr>
        <w:pStyle w:val="ListBullet"/>
        <w:numPr>
          <w:ilvl w:val="0"/>
          <w:numId w:val="0"/>
        </w:numPr>
        <w:ind w:left="360" w:hanging="360"/>
        <w:jc w:val="center"/>
        <w:rPr>
          <w:rFonts w:ascii="Arial" w:hAnsi="Arial" w:cs="Arial"/>
          <w:sz w:val="28"/>
          <w:szCs w:val="28"/>
        </w:rPr>
      </w:pPr>
      <w:r w:rsidRPr="00404C98">
        <w:rPr>
          <w:rFonts w:ascii="Arial" w:hAnsi="Arial" w:cs="Arial"/>
          <w:sz w:val="28"/>
          <w:szCs w:val="28"/>
        </w:rPr>
        <w:t>Health and Social Care Level 6 Term 1 London Campus</w:t>
      </w:r>
    </w:p>
    <w:p w14:paraId="2445C4AE" w14:textId="77777777" w:rsidR="00404C98" w:rsidRPr="00404C98" w:rsidRDefault="00404C98" w:rsidP="00404C98">
      <w:pPr>
        <w:jc w:val="center"/>
        <w:rPr>
          <w:rFonts w:ascii="Arial" w:hAnsi="Arial" w:cs="Arial"/>
          <w:sz w:val="28"/>
          <w:szCs w:val="28"/>
        </w:rPr>
      </w:pPr>
      <w:r w:rsidRPr="00404C98">
        <w:rPr>
          <w:rFonts w:ascii="Arial" w:hAnsi="Arial" w:cs="Arial"/>
          <w:sz w:val="28"/>
          <w:szCs w:val="28"/>
        </w:rPr>
        <w:t>Module name: Living with Care: The Older Person</w:t>
      </w:r>
    </w:p>
    <w:p w14:paraId="23971EF4" w14:textId="77777777" w:rsidR="00404C98" w:rsidRPr="00404C98" w:rsidRDefault="00404C98" w:rsidP="00404C98">
      <w:pPr>
        <w:jc w:val="center"/>
        <w:rPr>
          <w:rFonts w:ascii="Arial" w:hAnsi="Arial" w:cs="Arial"/>
          <w:sz w:val="28"/>
          <w:szCs w:val="28"/>
        </w:rPr>
      </w:pPr>
      <w:r w:rsidRPr="00404C98">
        <w:rPr>
          <w:rFonts w:ascii="Arial" w:hAnsi="Arial" w:cs="Arial"/>
          <w:sz w:val="28"/>
          <w:szCs w:val="28"/>
        </w:rPr>
        <w:t>Module code: (BMHP6009_LON)</w:t>
      </w:r>
    </w:p>
    <w:p w14:paraId="778B4503" w14:textId="77777777" w:rsidR="00404C98" w:rsidRPr="00404C98" w:rsidRDefault="00404C98" w:rsidP="00404C98">
      <w:pPr>
        <w:jc w:val="center"/>
        <w:rPr>
          <w:rFonts w:ascii="Arial" w:hAnsi="Arial" w:cs="Arial"/>
          <w:sz w:val="28"/>
          <w:szCs w:val="28"/>
        </w:rPr>
      </w:pPr>
      <w:r w:rsidRPr="00404C98">
        <w:rPr>
          <w:rFonts w:ascii="Arial" w:hAnsi="Arial" w:cs="Arial"/>
          <w:sz w:val="28"/>
          <w:szCs w:val="28"/>
        </w:rPr>
        <w:t xml:space="preserve">Lecturer name: Diola </w:t>
      </w:r>
      <w:proofErr w:type="spellStart"/>
      <w:r w:rsidRPr="00404C98">
        <w:rPr>
          <w:rFonts w:ascii="Arial" w:hAnsi="Arial" w:cs="Arial"/>
          <w:sz w:val="28"/>
          <w:szCs w:val="28"/>
        </w:rPr>
        <w:t>Bijlhout</w:t>
      </w:r>
      <w:proofErr w:type="spellEnd"/>
    </w:p>
    <w:p w14:paraId="34E38425" w14:textId="77777777" w:rsidR="00404C98" w:rsidRPr="00404C98" w:rsidRDefault="00404C98" w:rsidP="00404C98">
      <w:pPr>
        <w:jc w:val="center"/>
        <w:rPr>
          <w:rFonts w:ascii="Arial" w:hAnsi="Arial" w:cs="Arial"/>
          <w:sz w:val="28"/>
          <w:szCs w:val="28"/>
        </w:rPr>
      </w:pPr>
      <w:r w:rsidRPr="00404C98">
        <w:rPr>
          <w:rFonts w:ascii="Arial" w:hAnsi="Arial" w:cs="Arial"/>
          <w:sz w:val="28"/>
          <w:szCs w:val="28"/>
        </w:rPr>
        <w:t>Student name: Maria Cristina Dumitru</w:t>
      </w:r>
    </w:p>
    <w:p w14:paraId="17514341" w14:textId="24F7DF87" w:rsidR="00404C98" w:rsidRDefault="00404C98" w:rsidP="00404C98">
      <w:pPr>
        <w:jc w:val="center"/>
        <w:rPr>
          <w:rFonts w:ascii="Arial" w:hAnsi="Arial" w:cs="Arial"/>
          <w:sz w:val="28"/>
          <w:szCs w:val="28"/>
        </w:rPr>
      </w:pPr>
      <w:r w:rsidRPr="00404C98">
        <w:rPr>
          <w:rFonts w:ascii="Arial" w:hAnsi="Arial" w:cs="Arial"/>
          <w:sz w:val="28"/>
          <w:szCs w:val="28"/>
        </w:rPr>
        <w:t>Student id: 2008177</w:t>
      </w:r>
    </w:p>
    <w:p w14:paraId="5447146F" w14:textId="77777777" w:rsidR="00404C98" w:rsidRDefault="00404C98" w:rsidP="00404C98">
      <w:pPr>
        <w:jc w:val="center"/>
        <w:rPr>
          <w:rFonts w:ascii="Arial" w:hAnsi="Arial" w:cs="Arial"/>
          <w:sz w:val="28"/>
          <w:szCs w:val="28"/>
        </w:rPr>
      </w:pPr>
    </w:p>
    <w:p w14:paraId="71F283B2" w14:textId="77777777" w:rsidR="00404C98" w:rsidRPr="00404C98" w:rsidRDefault="00404C98" w:rsidP="00404C98">
      <w:pPr>
        <w:jc w:val="center"/>
        <w:rPr>
          <w:rFonts w:ascii="Arial" w:hAnsi="Arial" w:cs="Arial"/>
          <w:sz w:val="28"/>
          <w:szCs w:val="28"/>
        </w:rPr>
      </w:pPr>
    </w:p>
    <w:p w14:paraId="4FAFE341" w14:textId="7FB33D1F" w:rsidR="00121E6F" w:rsidRDefault="00404C98" w:rsidP="00404C98">
      <w:pPr>
        <w:jc w:val="center"/>
        <w:rPr>
          <w:rFonts w:ascii="Arial" w:hAnsi="Arial" w:cs="Arial"/>
          <w:sz w:val="28"/>
          <w:szCs w:val="28"/>
        </w:rPr>
      </w:pPr>
      <w:r>
        <w:rPr>
          <w:rFonts w:ascii="Arial" w:hAnsi="Arial" w:cs="Arial"/>
          <w:sz w:val="28"/>
          <w:szCs w:val="28"/>
        </w:rPr>
        <w:t>T</w:t>
      </w:r>
      <w:r w:rsidRPr="00404C98">
        <w:rPr>
          <w:rFonts w:ascii="Arial" w:hAnsi="Arial" w:cs="Arial"/>
          <w:sz w:val="28"/>
          <w:szCs w:val="28"/>
        </w:rPr>
        <w:t>he impact of loneliness and social isolation on the elderly population</w:t>
      </w:r>
    </w:p>
    <w:p w14:paraId="5C9CC836" w14:textId="37F7111D" w:rsidR="00404C98" w:rsidRDefault="00404C98" w:rsidP="00404C98">
      <w:pPr>
        <w:jc w:val="center"/>
        <w:rPr>
          <w:rFonts w:ascii="Arial" w:hAnsi="Arial" w:cs="Arial"/>
          <w:sz w:val="28"/>
          <w:szCs w:val="28"/>
        </w:rPr>
      </w:pPr>
      <w:r>
        <w:rPr>
          <w:rFonts w:ascii="Arial" w:hAnsi="Arial" w:cs="Arial"/>
          <w:sz w:val="28"/>
          <w:szCs w:val="28"/>
        </w:rPr>
        <w:t>A comparative report between the United Kingdom and Australia</w:t>
      </w:r>
    </w:p>
    <w:p w14:paraId="269361F7" w14:textId="7F221672" w:rsidR="00404C98" w:rsidRDefault="00404C98" w:rsidP="00404C98">
      <w:pPr>
        <w:jc w:val="center"/>
        <w:rPr>
          <w:rFonts w:ascii="Arial" w:hAnsi="Arial" w:cs="Arial"/>
          <w:sz w:val="28"/>
          <w:szCs w:val="28"/>
        </w:rPr>
      </w:pPr>
    </w:p>
    <w:p w14:paraId="59C40BD3" w14:textId="51067398" w:rsidR="00404C98" w:rsidRDefault="00404C98" w:rsidP="00404C98">
      <w:pPr>
        <w:jc w:val="center"/>
        <w:rPr>
          <w:rFonts w:ascii="Arial" w:hAnsi="Arial" w:cs="Arial"/>
          <w:sz w:val="28"/>
          <w:szCs w:val="28"/>
        </w:rPr>
      </w:pPr>
    </w:p>
    <w:p w14:paraId="7F8D752B" w14:textId="70D4E27D" w:rsidR="00404C98" w:rsidRDefault="00404C98" w:rsidP="00404C98">
      <w:pPr>
        <w:jc w:val="center"/>
        <w:rPr>
          <w:rFonts w:ascii="Arial" w:hAnsi="Arial" w:cs="Arial"/>
          <w:sz w:val="28"/>
          <w:szCs w:val="28"/>
        </w:rPr>
      </w:pPr>
    </w:p>
    <w:p w14:paraId="3201B698" w14:textId="06C6AF54" w:rsidR="00404C98" w:rsidRDefault="00404C98" w:rsidP="00404C98">
      <w:pPr>
        <w:jc w:val="center"/>
        <w:rPr>
          <w:rFonts w:ascii="Arial" w:hAnsi="Arial" w:cs="Arial"/>
          <w:sz w:val="28"/>
          <w:szCs w:val="28"/>
        </w:rPr>
      </w:pPr>
    </w:p>
    <w:p w14:paraId="0F40CF48" w14:textId="445CC59D" w:rsidR="00404C98" w:rsidRDefault="00404C98" w:rsidP="00404C98">
      <w:pPr>
        <w:jc w:val="center"/>
        <w:rPr>
          <w:rFonts w:ascii="Arial" w:hAnsi="Arial" w:cs="Arial"/>
          <w:sz w:val="28"/>
          <w:szCs w:val="28"/>
        </w:rPr>
      </w:pPr>
    </w:p>
    <w:p w14:paraId="3615E450" w14:textId="00E4A776" w:rsidR="00404C98" w:rsidRDefault="00404C98" w:rsidP="00404C98">
      <w:pPr>
        <w:jc w:val="center"/>
        <w:rPr>
          <w:rFonts w:ascii="Arial" w:hAnsi="Arial" w:cs="Arial"/>
          <w:sz w:val="28"/>
          <w:szCs w:val="28"/>
        </w:rPr>
      </w:pPr>
    </w:p>
    <w:p w14:paraId="5EF8F78A" w14:textId="103D4047" w:rsidR="00404C98" w:rsidRDefault="00404C98" w:rsidP="00404C98">
      <w:pPr>
        <w:jc w:val="center"/>
        <w:rPr>
          <w:rFonts w:ascii="Arial" w:hAnsi="Arial" w:cs="Arial"/>
          <w:sz w:val="28"/>
          <w:szCs w:val="28"/>
        </w:rPr>
      </w:pPr>
    </w:p>
    <w:p w14:paraId="18D7AC40" w14:textId="45E7D0B9" w:rsidR="00404C98" w:rsidRDefault="00404C98" w:rsidP="00404C98">
      <w:pPr>
        <w:jc w:val="center"/>
        <w:rPr>
          <w:rFonts w:ascii="Arial" w:hAnsi="Arial" w:cs="Arial"/>
          <w:sz w:val="28"/>
          <w:szCs w:val="28"/>
        </w:rPr>
      </w:pPr>
    </w:p>
    <w:p w14:paraId="693F2059" w14:textId="35C8D9B0" w:rsidR="00404C98" w:rsidRDefault="00404C98" w:rsidP="00404C98">
      <w:pPr>
        <w:jc w:val="center"/>
        <w:rPr>
          <w:rFonts w:ascii="Arial" w:hAnsi="Arial" w:cs="Arial"/>
          <w:sz w:val="28"/>
          <w:szCs w:val="28"/>
        </w:rPr>
      </w:pPr>
    </w:p>
    <w:p w14:paraId="7554093B" w14:textId="33F30389" w:rsidR="00404C98" w:rsidRDefault="00404C98" w:rsidP="00404C98">
      <w:pPr>
        <w:jc w:val="center"/>
        <w:rPr>
          <w:rFonts w:ascii="Arial" w:hAnsi="Arial" w:cs="Arial"/>
          <w:sz w:val="28"/>
          <w:szCs w:val="28"/>
        </w:rPr>
      </w:pPr>
    </w:p>
    <w:p w14:paraId="0CDB7637" w14:textId="5A52CE7B" w:rsidR="00404C98" w:rsidRDefault="00404C98" w:rsidP="00404C98">
      <w:pPr>
        <w:jc w:val="center"/>
        <w:rPr>
          <w:rFonts w:ascii="Arial" w:hAnsi="Arial" w:cs="Arial"/>
          <w:sz w:val="28"/>
          <w:szCs w:val="28"/>
        </w:rPr>
      </w:pPr>
    </w:p>
    <w:p w14:paraId="35C82EDC" w14:textId="5BBA7028" w:rsidR="00404C98" w:rsidRDefault="00404C98" w:rsidP="00404C98">
      <w:pPr>
        <w:jc w:val="center"/>
        <w:rPr>
          <w:rFonts w:ascii="Arial" w:hAnsi="Arial" w:cs="Arial"/>
          <w:sz w:val="28"/>
          <w:szCs w:val="28"/>
        </w:rPr>
      </w:pPr>
    </w:p>
    <w:p w14:paraId="1A6D9E40" w14:textId="7A5CD06B" w:rsidR="00404C98" w:rsidRDefault="00404C98" w:rsidP="00404C98">
      <w:pPr>
        <w:jc w:val="center"/>
        <w:rPr>
          <w:rFonts w:ascii="Arial" w:hAnsi="Arial" w:cs="Arial"/>
          <w:sz w:val="28"/>
          <w:szCs w:val="28"/>
        </w:rPr>
      </w:pPr>
    </w:p>
    <w:p w14:paraId="55B48A89" w14:textId="0A3398BE" w:rsidR="00404C98" w:rsidRDefault="00404C98" w:rsidP="00404C98">
      <w:pPr>
        <w:jc w:val="center"/>
        <w:rPr>
          <w:rFonts w:ascii="Arial" w:hAnsi="Arial" w:cs="Arial"/>
          <w:sz w:val="28"/>
          <w:szCs w:val="28"/>
        </w:rPr>
      </w:pPr>
    </w:p>
    <w:p w14:paraId="787764DF" w14:textId="1765B387" w:rsidR="00404C98" w:rsidRDefault="00404C98" w:rsidP="00404C98">
      <w:pPr>
        <w:jc w:val="center"/>
        <w:rPr>
          <w:rFonts w:ascii="Arial" w:hAnsi="Arial" w:cs="Arial"/>
          <w:sz w:val="28"/>
          <w:szCs w:val="28"/>
        </w:rPr>
      </w:pPr>
    </w:p>
    <w:p w14:paraId="33A506E7" w14:textId="5D06A2FC" w:rsidR="00404C98" w:rsidRDefault="00404C98" w:rsidP="00404C98">
      <w:pPr>
        <w:jc w:val="center"/>
        <w:rPr>
          <w:rFonts w:ascii="Arial" w:hAnsi="Arial" w:cs="Arial"/>
          <w:sz w:val="28"/>
          <w:szCs w:val="28"/>
        </w:rPr>
      </w:pPr>
    </w:p>
    <w:sdt>
      <w:sdtPr>
        <w:rPr>
          <w:rFonts w:asciiTheme="minorHAnsi" w:eastAsiaTheme="minorHAnsi" w:hAnsiTheme="minorHAnsi" w:cstheme="minorBidi"/>
          <w:color w:val="auto"/>
          <w:sz w:val="22"/>
          <w:szCs w:val="22"/>
          <w:lang w:val="en-GB"/>
        </w:rPr>
        <w:id w:val="498463013"/>
        <w:docPartObj>
          <w:docPartGallery w:val="Table of Contents"/>
          <w:docPartUnique/>
        </w:docPartObj>
      </w:sdtPr>
      <w:sdtEndPr>
        <w:rPr>
          <w:rFonts w:ascii="Arial" w:hAnsi="Arial" w:cs="Arial"/>
          <w:b/>
          <w:bCs/>
          <w:noProof/>
        </w:rPr>
      </w:sdtEndPr>
      <w:sdtContent>
        <w:p w14:paraId="1F6D7112" w14:textId="3FC281BC" w:rsidR="000265EA" w:rsidRPr="00CC69AA" w:rsidRDefault="000265EA" w:rsidP="000265EA">
          <w:pPr>
            <w:pStyle w:val="TOCHeading"/>
            <w:jc w:val="center"/>
            <w:rPr>
              <w:rFonts w:ascii="Arial" w:hAnsi="Arial" w:cs="Arial"/>
              <w:color w:val="auto"/>
              <w:sz w:val="28"/>
              <w:szCs w:val="28"/>
            </w:rPr>
          </w:pPr>
          <w:r w:rsidRPr="00CC69AA">
            <w:rPr>
              <w:rFonts w:ascii="Arial" w:hAnsi="Arial" w:cs="Arial"/>
              <w:color w:val="auto"/>
              <w:sz w:val="28"/>
              <w:szCs w:val="28"/>
            </w:rPr>
            <w:t>Table of contents</w:t>
          </w:r>
        </w:p>
        <w:p w14:paraId="7B607DAE" w14:textId="77777777" w:rsidR="000265EA" w:rsidRPr="00C179DA" w:rsidRDefault="000265EA" w:rsidP="000265EA">
          <w:pPr>
            <w:rPr>
              <w:rFonts w:ascii="Arial" w:hAnsi="Arial" w:cs="Arial"/>
              <w:lang w:val="en-US"/>
            </w:rPr>
          </w:pPr>
        </w:p>
        <w:p w14:paraId="485402B8" w14:textId="38E92EA3" w:rsidR="000265EA" w:rsidRPr="00C179DA" w:rsidRDefault="000265EA">
          <w:pPr>
            <w:pStyle w:val="TOC1"/>
            <w:tabs>
              <w:tab w:val="right" w:leader="dot" w:pos="9016"/>
            </w:tabs>
            <w:rPr>
              <w:rFonts w:ascii="Arial" w:hAnsi="Arial" w:cs="Arial"/>
              <w:noProof/>
            </w:rPr>
          </w:pPr>
          <w:r w:rsidRPr="00C179DA">
            <w:rPr>
              <w:rFonts w:ascii="Arial" w:hAnsi="Arial" w:cs="Arial"/>
            </w:rPr>
            <w:fldChar w:fldCharType="begin"/>
          </w:r>
          <w:r w:rsidRPr="00C179DA">
            <w:rPr>
              <w:rFonts w:ascii="Arial" w:hAnsi="Arial" w:cs="Arial"/>
            </w:rPr>
            <w:instrText xml:space="preserve"> TOC \o "1-3" \h \z \u </w:instrText>
          </w:r>
          <w:r w:rsidRPr="00C179DA">
            <w:rPr>
              <w:rFonts w:ascii="Arial" w:hAnsi="Arial" w:cs="Arial"/>
            </w:rPr>
            <w:fldChar w:fldCharType="separate"/>
          </w:r>
          <w:hyperlink w:anchor="_Toc123676120" w:history="1">
            <w:r w:rsidRPr="00C179DA">
              <w:rPr>
                <w:rStyle w:val="Hyperlink"/>
                <w:rFonts w:ascii="Arial" w:hAnsi="Arial" w:cs="Arial"/>
                <w:noProof/>
              </w:rPr>
              <w:t>1 Introduction</w:t>
            </w:r>
            <w:r w:rsidRPr="00C179DA">
              <w:rPr>
                <w:rFonts w:ascii="Arial" w:hAnsi="Arial" w:cs="Arial"/>
                <w:noProof/>
                <w:webHidden/>
              </w:rPr>
              <w:tab/>
            </w:r>
            <w:r w:rsidRPr="00C179DA">
              <w:rPr>
                <w:rFonts w:ascii="Arial" w:hAnsi="Arial" w:cs="Arial"/>
                <w:noProof/>
                <w:webHidden/>
              </w:rPr>
              <w:fldChar w:fldCharType="begin"/>
            </w:r>
            <w:r w:rsidRPr="00C179DA">
              <w:rPr>
                <w:rFonts w:ascii="Arial" w:hAnsi="Arial" w:cs="Arial"/>
                <w:noProof/>
                <w:webHidden/>
              </w:rPr>
              <w:instrText xml:space="preserve"> PAGEREF _Toc123676120 \h </w:instrText>
            </w:r>
            <w:r w:rsidRPr="00C179DA">
              <w:rPr>
                <w:rFonts w:ascii="Arial" w:hAnsi="Arial" w:cs="Arial"/>
                <w:noProof/>
                <w:webHidden/>
              </w:rPr>
            </w:r>
            <w:r w:rsidRPr="00C179DA">
              <w:rPr>
                <w:rFonts w:ascii="Arial" w:hAnsi="Arial" w:cs="Arial"/>
                <w:noProof/>
                <w:webHidden/>
              </w:rPr>
              <w:fldChar w:fldCharType="separate"/>
            </w:r>
            <w:r w:rsidRPr="00C179DA">
              <w:rPr>
                <w:rFonts w:ascii="Arial" w:hAnsi="Arial" w:cs="Arial"/>
                <w:noProof/>
                <w:webHidden/>
              </w:rPr>
              <w:t>3</w:t>
            </w:r>
            <w:r w:rsidRPr="00C179DA">
              <w:rPr>
                <w:rFonts w:ascii="Arial" w:hAnsi="Arial" w:cs="Arial"/>
                <w:noProof/>
                <w:webHidden/>
              </w:rPr>
              <w:fldChar w:fldCharType="end"/>
            </w:r>
          </w:hyperlink>
        </w:p>
        <w:p w14:paraId="59F93165" w14:textId="06ACF95B" w:rsidR="000265EA" w:rsidRPr="00C179DA" w:rsidRDefault="00000000">
          <w:pPr>
            <w:pStyle w:val="TOC1"/>
            <w:tabs>
              <w:tab w:val="right" w:leader="dot" w:pos="9016"/>
            </w:tabs>
            <w:rPr>
              <w:rFonts w:ascii="Arial" w:hAnsi="Arial" w:cs="Arial"/>
              <w:noProof/>
            </w:rPr>
          </w:pPr>
          <w:hyperlink w:anchor="_Toc123676121" w:history="1">
            <w:r w:rsidR="000265EA" w:rsidRPr="00C179DA">
              <w:rPr>
                <w:rStyle w:val="Hyperlink"/>
                <w:rFonts w:ascii="Arial" w:hAnsi="Arial" w:cs="Arial"/>
                <w:noProof/>
              </w:rPr>
              <w:t>2 Factors impacting old age</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_Toc123676121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3</w:t>
            </w:r>
            <w:r w:rsidR="000265EA" w:rsidRPr="00C179DA">
              <w:rPr>
                <w:rFonts w:ascii="Arial" w:hAnsi="Arial" w:cs="Arial"/>
                <w:noProof/>
                <w:webHidden/>
              </w:rPr>
              <w:fldChar w:fldCharType="end"/>
            </w:r>
          </w:hyperlink>
        </w:p>
        <w:p w14:paraId="47E8E6C1" w14:textId="5D95E069" w:rsidR="000265EA" w:rsidRPr="00C179DA" w:rsidRDefault="00000000">
          <w:pPr>
            <w:pStyle w:val="TOC1"/>
            <w:tabs>
              <w:tab w:val="right" w:leader="dot" w:pos="9016"/>
            </w:tabs>
            <w:rPr>
              <w:rFonts w:ascii="Arial" w:hAnsi="Arial" w:cs="Arial"/>
              <w:noProof/>
            </w:rPr>
          </w:pPr>
          <w:hyperlink w:anchor="_Toc123676122" w:history="1">
            <w:r w:rsidR="000265EA" w:rsidRPr="00C179DA">
              <w:rPr>
                <w:rStyle w:val="Hyperlink"/>
                <w:rFonts w:ascii="Arial" w:hAnsi="Arial" w:cs="Arial"/>
                <w:noProof/>
              </w:rPr>
              <w:t>3</w:t>
            </w:r>
            <w:r w:rsidR="00C179DA" w:rsidRPr="00C179DA">
              <w:rPr>
                <w:rStyle w:val="Hyperlink"/>
                <w:rFonts w:ascii="Arial" w:hAnsi="Arial" w:cs="Arial"/>
                <w:noProof/>
              </w:rPr>
              <w:t xml:space="preserve"> Global and national statistics of aging population</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_Toc123676122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4</w:t>
            </w:r>
            <w:r w:rsidR="000265EA" w:rsidRPr="00C179DA">
              <w:rPr>
                <w:rFonts w:ascii="Arial" w:hAnsi="Arial" w:cs="Arial"/>
                <w:noProof/>
                <w:webHidden/>
              </w:rPr>
              <w:fldChar w:fldCharType="end"/>
            </w:r>
          </w:hyperlink>
        </w:p>
        <w:p w14:paraId="4CE945A4" w14:textId="11BDC165" w:rsidR="000265EA" w:rsidRPr="00C179DA" w:rsidRDefault="00000000">
          <w:pPr>
            <w:pStyle w:val="TOC1"/>
            <w:tabs>
              <w:tab w:val="right" w:leader="dot" w:pos="9016"/>
            </w:tabs>
            <w:rPr>
              <w:rFonts w:ascii="Arial" w:hAnsi="Arial" w:cs="Arial"/>
              <w:noProof/>
            </w:rPr>
          </w:pPr>
          <w:hyperlink w:anchor="_Toc123676123" w:history="1">
            <w:r w:rsidR="000265EA" w:rsidRPr="00C179DA">
              <w:rPr>
                <w:rStyle w:val="Hyperlink"/>
                <w:rFonts w:ascii="Arial" w:hAnsi="Arial" w:cs="Arial"/>
                <w:noProof/>
              </w:rPr>
              <w:t>4 What it means to be an elderly person in the UK and Australia</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_Toc123676123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4</w:t>
            </w:r>
            <w:r w:rsidR="000265EA" w:rsidRPr="00C179DA">
              <w:rPr>
                <w:rFonts w:ascii="Arial" w:hAnsi="Arial" w:cs="Arial"/>
                <w:noProof/>
                <w:webHidden/>
              </w:rPr>
              <w:fldChar w:fldCharType="end"/>
            </w:r>
          </w:hyperlink>
        </w:p>
        <w:p w14:paraId="2C218204" w14:textId="70D0C0B1" w:rsidR="000265EA" w:rsidRPr="00C179DA" w:rsidRDefault="00000000">
          <w:pPr>
            <w:pStyle w:val="TOC1"/>
            <w:tabs>
              <w:tab w:val="right" w:leader="dot" w:pos="9016"/>
            </w:tabs>
            <w:rPr>
              <w:rFonts w:ascii="Arial" w:hAnsi="Arial" w:cs="Arial"/>
              <w:noProof/>
            </w:rPr>
          </w:pPr>
          <w:hyperlink w:anchor="_Toc123676124" w:history="1">
            <w:r w:rsidR="000265EA" w:rsidRPr="00C179DA">
              <w:rPr>
                <w:rStyle w:val="Hyperlink"/>
                <w:rFonts w:ascii="Arial" w:hAnsi="Arial" w:cs="Arial"/>
                <w:noProof/>
              </w:rPr>
              <w:t>5 Elderly care settings in the UK and Australia</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_Toc123676124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4</w:t>
            </w:r>
            <w:r w:rsidR="000265EA" w:rsidRPr="00C179DA">
              <w:rPr>
                <w:rFonts w:ascii="Arial" w:hAnsi="Arial" w:cs="Arial"/>
                <w:noProof/>
                <w:webHidden/>
              </w:rPr>
              <w:fldChar w:fldCharType="end"/>
            </w:r>
          </w:hyperlink>
        </w:p>
        <w:p w14:paraId="1C859A56" w14:textId="339A3838" w:rsidR="000265EA" w:rsidRPr="00C179DA" w:rsidRDefault="00000000">
          <w:pPr>
            <w:pStyle w:val="TOC1"/>
            <w:tabs>
              <w:tab w:val="right" w:leader="dot" w:pos="9016"/>
            </w:tabs>
            <w:rPr>
              <w:rFonts w:ascii="Arial" w:hAnsi="Arial" w:cs="Arial"/>
              <w:noProof/>
            </w:rPr>
          </w:pPr>
          <w:hyperlink w:anchor="_Toc123676125" w:history="1">
            <w:r w:rsidR="000265EA" w:rsidRPr="00C179DA">
              <w:rPr>
                <w:rStyle w:val="Hyperlink"/>
                <w:rFonts w:ascii="Arial" w:hAnsi="Arial" w:cs="Arial"/>
                <w:noProof/>
              </w:rPr>
              <w:t>6 Loneliness and social isolation</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_Toc123676125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5</w:t>
            </w:r>
            <w:r w:rsidR="000265EA" w:rsidRPr="00C179DA">
              <w:rPr>
                <w:rFonts w:ascii="Arial" w:hAnsi="Arial" w:cs="Arial"/>
                <w:noProof/>
                <w:webHidden/>
              </w:rPr>
              <w:fldChar w:fldCharType="end"/>
            </w:r>
          </w:hyperlink>
        </w:p>
        <w:p w14:paraId="4C7EA8A3" w14:textId="0CFF4DB0" w:rsidR="000265EA" w:rsidRPr="00C179DA" w:rsidRDefault="00000000">
          <w:pPr>
            <w:pStyle w:val="TOC1"/>
            <w:tabs>
              <w:tab w:val="right" w:leader="dot" w:pos="9016"/>
            </w:tabs>
            <w:rPr>
              <w:rFonts w:ascii="Arial" w:hAnsi="Arial" w:cs="Arial"/>
              <w:noProof/>
            </w:rPr>
          </w:pPr>
          <w:hyperlink w:anchor="_Toc123676126" w:history="1">
            <w:r w:rsidR="000265EA" w:rsidRPr="00C179DA">
              <w:rPr>
                <w:rStyle w:val="Hyperlink"/>
                <w:rFonts w:ascii="Arial" w:hAnsi="Arial" w:cs="Arial"/>
                <w:noProof/>
              </w:rPr>
              <w:t>7 Relevant theories of loneliness and isolation</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_Toc123676126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5</w:t>
            </w:r>
            <w:r w:rsidR="000265EA" w:rsidRPr="00C179DA">
              <w:rPr>
                <w:rFonts w:ascii="Arial" w:hAnsi="Arial" w:cs="Arial"/>
                <w:noProof/>
                <w:webHidden/>
              </w:rPr>
              <w:fldChar w:fldCharType="end"/>
            </w:r>
          </w:hyperlink>
        </w:p>
        <w:p w14:paraId="3218556D" w14:textId="5EDA68FE" w:rsidR="000265EA" w:rsidRPr="00C179DA" w:rsidRDefault="00000000">
          <w:pPr>
            <w:pStyle w:val="TOC1"/>
            <w:tabs>
              <w:tab w:val="right" w:leader="dot" w:pos="9016"/>
            </w:tabs>
            <w:rPr>
              <w:rFonts w:ascii="Arial" w:hAnsi="Arial" w:cs="Arial"/>
              <w:noProof/>
            </w:rPr>
          </w:pPr>
          <w:hyperlink w:anchor="_Toc123676127" w:history="1">
            <w:r w:rsidR="000265EA" w:rsidRPr="00C179DA">
              <w:rPr>
                <w:rStyle w:val="Hyperlink"/>
                <w:rFonts w:ascii="Arial" w:hAnsi="Arial" w:cs="Arial"/>
                <w:noProof/>
              </w:rPr>
              <w:t xml:space="preserve">8 </w:t>
            </w:r>
            <w:r w:rsidR="00C179DA" w:rsidRPr="00C179DA">
              <w:rPr>
                <w:rStyle w:val="Hyperlink"/>
                <w:rFonts w:ascii="Arial" w:hAnsi="Arial" w:cs="Arial"/>
                <w:noProof/>
              </w:rPr>
              <w:t>I</w:t>
            </w:r>
            <w:r w:rsidR="000265EA" w:rsidRPr="00C179DA">
              <w:rPr>
                <w:rStyle w:val="Hyperlink"/>
                <w:rFonts w:ascii="Arial" w:hAnsi="Arial" w:cs="Arial"/>
                <w:noProof/>
              </w:rPr>
              <w:t>mpact of loneliness and isolation on an older person living within care settings</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_Toc123676127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6</w:t>
            </w:r>
            <w:r w:rsidR="000265EA" w:rsidRPr="00C179DA">
              <w:rPr>
                <w:rFonts w:ascii="Arial" w:hAnsi="Arial" w:cs="Arial"/>
                <w:noProof/>
                <w:webHidden/>
              </w:rPr>
              <w:fldChar w:fldCharType="end"/>
            </w:r>
          </w:hyperlink>
        </w:p>
        <w:p w14:paraId="6A91F2C3" w14:textId="5163E859" w:rsidR="000265EA" w:rsidRPr="00C179DA" w:rsidRDefault="00000000">
          <w:pPr>
            <w:pStyle w:val="TOC1"/>
            <w:tabs>
              <w:tab w:val="right" w:leader="dot" w:pos="9016"/>
            </w:tabs>
            <w:rPr>
              <w:rFonts w:ascii="Arial" w:hAnsi="Arial" w:cs="Arial"/>
              <w:noProof/>
            </w:rPr>
          </w:pPr>
          <w:hyperlink w:anchor="_Toc123676128" w:history="1">
            <w:r w:rsidR="000265EA" w:rsidRPr="00C179DA">
              <w:rPr>
                <w:rStyle w:val="Hyperlink"/>
                <w:rFonts w:ascii="Arial" w:hAnsi="Arial" w:cs="Arial"/>
                <w:noProof/>
              </w:rPr>
              <w:t>9 Current legislation and policies that aim to raise awareness or reduce loneliness and isolation in the elderly population.</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_Toc123676128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7</w:t>
            </w:r>
            <w:r w:rsidR="000265EA" w:rsidRPr="00C179DA">
              <w:rPr>
                <w:rFonts w:ascii="Arial" w:hAnsi="Arial" w:cs="Arial"/>
                <w:noProof/>
                <w:webHidden/>
              </w:rPr>
              <w:fldChar w:fldCharType="end"/>
            </w:r>
          </w:hyperlink>
        </w:p>
        <w:p w14:paraId="7C1B1D92" w14:textId="085BE941" w:rsidR="000265EA" w:rsidRPr="00C179DA" w:rsidRDefault="00000000">
          <w:pPr>
            <w:pStyle w:val="TOC1"/>
            <w:tabs>
              <w:tab w:val="right" w:leader="dot" w:pos="9016"/>
            </w:tabs>
            <w:rPr>
              <w:rFonts w:ascii="Arial" w:hAnsi="Arial" w:cs="Arial"/>
              <w:noProof/>
            </w:rPr>
          </w:pPr>
          <w:hyperlink w:anchor="_Toc123676129" w:history="1">
            <w:r w:rsidR="000265EA" w:rsidRPr="00C179DA">
              <w:rPr>
                <w:rStyle w:val="Hyperlink"/>
                <w:rFonts w:ascii="Arial" w:hAnsi="Arial" w:cs="Arial"/>
                <w:noProof/>
              </w:rPr>
              <w:t>10 National provision of services for the older person</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_Toc123676129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8</w:t>
            </w:r>
            <w:r w:rsidR="000265EA" w:rsidRPr="00C179DA">
              <w:rPr>
                <w:rFonts w:ascii="Arial" w:hAnsi="Arial" w:cs="Arial"/>
                <w:noProof/>
                <w:webHidden/>
              </w:rPr>
              <w:fldChar w:fldCharType="end"/>
            </w:r>
          </w:hyperlink>
        </w:p>
        <w:p w14:paraId="374A581C" w14:textId="7A61DE31" w:rsidR="000265EA" w:rsidRPr="00C179DA" w:rsidRDefault="00000000">
          <w:pPr>
            <w:pStyle w:val="TOC1"/>
            <w:tabs>
              <w:tab w:val="right" w:leader="dot" w:pos="9016"/>
            </w:tabs>
            <w:rPr>
              <w:rFonts w:ascii="Arial" w:hAnsi="Arial" w:cs="Arial"/>
              <w:noProof/>
            </w:rPr>
          </w:pPr>
          <w:hyperlink w:anchor="_Toc123676130" w:history="1">
            <w:r w:rsidR="000265EA" w:rsidRPr="00C179DA">
              <w:rPr>
                <w:rStyle w:val="Hyperlink"/>
                <w:rFonts w:ascii="Arial" w:hAnsi="Arial" w:cs="Arial"/>
                <w:noProof/>
              </w:rPr>
              <w:t>11. Technology addressing loneliness and social isolation</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_Toc123676130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8</w:t>
            </w:r>
            <w:r w:rsidR="000265EA" w:rsidRPr="00C179DA">
              <w:rPr>
                <w:rFonts w:ascii="Arial" w:hAnsi="Arial" w:cs="Arial"/>
                <w:noProof/>
                <w:webHidden/>
              </w:rPr>
              <w:fldChar w:fldCharType="end"/>
            </w:r>
          </w:hyperlink>
        </w:p>
        <w:p w14:paraId="3A22FD91" w14:textId="7FF6E314" w:rsidR="000265EA" w:rsidRPr="00C179DA" w:rsidRDefault="00000000">
          <w:pPr>
            <w:pStyle w:val="TOC1"/>
            <w:tabs>
              <w:tab w:val="right" w:leader="dot" w:pos="9016"/>
            </w:tabs>
            <w:rPr>
              <w:rFonts w:ascii="Arial" w:hAnsi="Arial" w:cs="Arial"/>
              <w:noProof/>
            </w:rPr>
          </w:pPr>
          <w:hyperlink w:anchor="_Toc123676131" w:history="1">
            <w:r w:rsidR="000265EA" w:rsidRPr="00C179DA">
              <w:rPr>
                <w:rStyle w:val="Hyperlink"/>
                <w:rFonts w:ascii="Arial" w:hAnsi="Arial" w:cs="Arial"/>
                <w:noProof/>
              </w:rPr>
              <w:t>12 Recommendations.</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_Toc123676131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9</w:t>
            </w:r>
            <w:r w:rsidR="000265EA" w:rsidRPr="00C179DA">
              <w:rPr>
                <w:rFonts w:ascii="Arial" w:hAnsi="Arial" w:cs="Arial"/>
                <w:noProof/>
                <w:webHidden/>
              </w:rPr>
              <w:fldChar w:fldCharType="end"/>
            </w:r>
          </w:hyperlink>
        </w:p>
        <w:p w14:paraId="6B6683E2" w14:textId="4464CC84" w:rsidR="000265EA" w:rsidRPr="00C179DA" w:rsidRDefault="00000000">
          <w:pPr>
            <w:pStyle w:val="TOC1"/>
            <w:tabs>
              <w:tab w:val="right" w:leader="dot" w:pos="9016"/>
            </w:tabs>
            <w:rPr>
              <w:rFonts w:ascii="Arial" w:hAnsi="Arial" w:cs="Arial"/>
              <w:noProof/>
            </w:rPr>
          </w:pPr>
          <w:hyperlink w:anchor="_Toc123676132" w:history="1">
            <w:r w:rsidR="000265EA" w:rsidRPr="00C179DA">
              <w:rPr>
                <w:rStyle w:val="Hyperlink"/>
                <w:rFonts w:ascii="Arial" w:hAnsi="Arial" w:cs="Arial"/>
                <w:noProof/>
              </w:rPr>
              <w:t>13 Reference list</w:t>
            </w:r>
            <w:r w:rsidR="000265EA" w:rsidRPr="00C179DA">
              <w:rPr>
                <w:rFonts w:ascii="Arial" w:hAnsi="Arial" w:cs="Arial"/>
                <w:noProof/>
                <w:webHidden/>
              </w:rPr>
              <w:tab/>
            </w:r>
            <w:r w:rsidR="000265EA" w:rsidRPr="00C179DA">
              <w:rPr>
                <w:rFonts w:ascii="Arial" w:hAnsi="Arial" w:cs="Arial"/>
                <w:noProof/>
                <w:webHidden/>
              </w:rPr>
              <w:fldChar w:fldCharType="begin"/>
            </w:r>
            <w:r w:rsidR="000265EA" w:rsidRPr="00C179DA">
              <w:rPr>
                <w:rFonts w:ascii="Arial" w:hAnsi="Arial" w:cs="Arial"/>
                <w:noProof/>
                <w:webHidden/>
              </w:rPr>
              <w:instrText xml:space="preserve"> PAGEREF _Toc123676132 \h </w:instrText>
            </w:r>
            <w:r w:rsidR="000265EA" w:rsidRPr="00C179DA">
              <w:rPr>
                <w:rFonts w:ascii="Arial" w:hAnsi="Arial" w:cs="Arial"/>
                <w:noProof/>
                <w:webHidden/>
              </w:rPr>
            </w:r>
            <w:r w:rsidR="000265EA" w:rsidRPr="00C179DA">
              <w:rPr>
                <w:rFonts w:ascii="Arial" w:hAnsi="Arial" w:cs="Arial"/>
                <w:noProof/>
                <w:webHidden/>
              </w:rPr>
              <w:fldChar w:fldCharType="separate"/>
            </w:r>
            <w:r w:rsidR="000265EA" w:rsidRPr="00C179DA">
              <w:rPr>
                <w:rFonts w:ascii="Arial" w:hAnsi="Arial" w:cs="Arial"/>
                <w:noProof/>
                <w:webHidden/>
              </w:rPr>
              <w:t>10</w:t>
            </w:r>
            <w:r w:rsidR="000265EA" w:rsidRPr="00C179DA">
              <w:rPr>
                <w:rFonts w:ascii="Arial" w:hAnsi="Arial" w:cs="Arial"/>
                <w:noProof/>
                <w:webHidden/>
              </w:rPr>
              <w:fldChar w:fldCharType="end"/>
            </w:r>
          </w:hyperlink>
        </w:p>
        <w:p w14:paraId="449778B6" w14:textId="6A06C2BC" w:rsidR="000265EA" w:rsidRPr="000265EA" w:rsidRDefault="000265EA">
          <w:pPr>
            <w:rPr>
              <w:rFonts w:ascii="Arial" w:hAnsi="Arial" w:cs="Arial"/>
            </w:rPr>
          </w:pPr>
          <w:r w:rsidRPr="00C179DA">
            <w:rPr>
              <w:rFonts w:ascii="Arial" w:hAnsi="Arial" w:cs="Arial"/>
              <w:b/>
              <w:bCs/>
              <w:noProof/>
            </w:rPr>
            <w:fldChar w:fldCharType="end"/>
          </w:r>
        </w:p>
      </w:sdtContent>
    </w:sdt>
    <w:p w14:paraId="62A779EF" w14:textId="7717C8B0" w:rsidR="00404C98" w:rsidRPr="000265EA" w:rsidRDefault="000265EA" w:rsidP="000265EA">
      <w:pPr>
        <w:tabs>
          <w:tab w:val="left" w:pos="2622"/>
        </w:tabs>
        <w:rPr>
          <w:rFonts w:ascii="Arial" w:hAnsi="Arial" w:cs="Arial"/>
          <w:sz w:val="28"/>
          <w:szCs w:val="28"/>
        </w:rPr>
      </w:pPr>
      <w:r w:rsidRPr="000265EA">
        <w:rPr>
          <w:rFonts w:ascii="Arial" w:hAnsi="Arial" w:cs="Arial"/>
          <w:sz w:val="28"/>
          <w:szCs w:val="28"/>
        </w:rPr>
        <w:tab/>
      </w:r>
    </w:p>
    <w:p w14:paraId="15AC70E4" w14:textId="13738F6E" w:rsidR="00404C98" w:rsidRPr="000265EA" w:rsidRDefault="00404C98" w:rsidP="00404C98">
      <w:pPr>
        <w:jc w:val="center"/>
        <w:rPr>
          <w:rFonts w:ascii="Arial" w:hAnsi="Arial" w:cs="Arial"/>
          <w:sz w:val="28"/>
          <w:szCs w:val="28"/>
        </w:rPr>
      </w:pPr>
    </w:p>
    <w:p w14:paraId="53523611" w14:textId="13F1127B" w:rsidR="00404C98" w:rsidRPr="000265EA" w:rsidRDefault="00404C98" w:rsidP="00404C98">
      <w:pPr>
        <w:jc w:val="center"/>
        <w:rPr>
          <w:rFonts w:ascii="Arial" w:hAnsi="Arial" w:cs="Arial"/>
          <w:sz w:val="28"/>
          <w:szCs w:val="28"/>
        </w:rPr>
      </w:pPr>
    </w:p>
    <w:p w14:paraId="225EA62B" w14:textId="24197CEA" w:rsidR="00404C98" w:rsidRPr="000265EA" w:rsidRDefault="00404C98" w:rsidP="00404C98">
      <w:pPr>
        <w:jc w:val="center"/>
        <w:rPr>
          <w:rFonts w:ascii="Arial" w:hAnsi="Arial" w:cs="Arial"/>
          <w:sz w:val="28"/>
          <w:szCs w:val="28"/>
        </w:rPr>
      </w:pPr>
    </w:p>
    <w:p w14:paraId="00D9E6D1" w14:textId="4278902E" w:rsidR="00404C98" w:rsidRPr="000265EA" w:rsidRDefault="00404C98" w:rsidP="00404C98">
      <w:pPr>
        <w:jc w:val="center"/>
        <w:rPr>
          <w:rFonts w:ascii="Arial" w:hAnsi="Arial" w:cs="Arial"/>
          <w:sz w:val="28"/>
          <w:szCs w:val="28"/>
        </w:rPr>
      </w:pPr>
    </w:p>
    <w:p w14:paraId="26400DA7" w14:textId="025895EA" w:rsidR="00404C98" w:rsidRPr="000265EA" w:rsidRDefault="00404C98" w:rsidP="00404C98">
      <w:pPr>
        <w:jc w:val="center"/>
        <w:rPr>
          <w:rFonts w:ascii="Arial" w:hAnsi="Arial" w:cs="Arial"/>
          <w:sz w:val="28"/>
          <w:szCs w:val="28"/>
        </w:rPr>
      </w:pPr>
    </w:p>
    <w:p w14:paraId="1B7BE81C" w14:textId="7B843331" w:rsidR="00404C98" w:rsidRPr="000265EA" w:rsidRDefault="00404C98" w:rsidP="00404C98">
      <w:pPr>
        <w:jc w:val="center"/>
        <w:rPr>
          <w:rFonts w:ascii="Arial" w:hAnsi="Arial" w:cs="Arial"/>
          <w:sz w:val="28"/>
          <w:szCs w:val="28"/>
        </w:rPr>
      </w:pPr>
    </w:p>
    <w:p w14:paraId="19ACD869" w14:textId="16F7067E" w:rsidR="00404C98" w:rsidRPr="000265EA" w:rsidRDefault="00404C98" w:rsidP="00404C98">
      <w:pPr>
        <w:jc w:val="center"/>
        <w:rPr>
          <w:rFonts w:ascii="Arial" w:hAnsi="Arial" w:cs="Arial"/>
          <w:sz w:val="28"/>
          <w:szCs w:val="28"/>
        </w:rPr>
      </w:pPr>
    </w:p>
    <w:p w14:paraId="1DC0DB27" w14:textId="0AA436AC" w:rsidR="00404C98" w:rsidRPr="000265EA" w:rsidRDefault="00404C98" w:rsidP="00404C98">
      <w:pPr>
        <w:jc w:val="center"/>
        <w:rPr>
          <w:rFonts w:ascii="Arial" w:hAnsi="Arial" w:cs="Arial"/>
          <w:sz w:val="28"/>
          <w:szCs w:val="28"/>
        </w:rPr>
      </w:pPr>
    </w:p>
    <w:p w14:paraId="797F74E2" w14:textId="29B3FE69" w:rsidR="0005333D" w:rsidRDefault="0005333D" w:rsidP="0005333D"/>
    <w:p w14:paraId="7933C2CE" w14:textId="51C54FAC" w:rsidR="0005333D" w:rsidRDefault="0005333D" w:rsidP="0005333D"/>
    <w:p w14:paraId="1D6D3372" w14:textId="77777777" w:rsidR="000265EA" w:rsidRPr="000265EA" w:rsidRDefault="000265EA" w:rsidP="000265EA"/>
    <w:p w14:paraId="49D42845" w14:textId="5D64AE28" w:rsidR="009F5D16" w:rsidRPr="00B700B3" w:rsidRDefault="009F5D16" w:rsidP="009F5D16">
      <w:pPr>
        <w:pStyle w:val="Heading1"/>
        <w:rPr>
          <w:rFonts w:ascii="Arial" w:hAnsi="Arial" w:cs="Arial"/>
          <w:sz w:val="22"/>
          <w:szCs w:val="22"/>
        </w:rPr>
      </w:pPr>
      <w:bookmarkStart w:id="0" w:name="_Toc123676120"/>
      <w:r w:rsidRPr="00B700B3">
        <w:rPr>
          <w:rFonts w:ascii="Arial" w:hAnsi="Arial" w:cs="Arial"/>
          <w:sz w:val="22"/>
          <w:szCs w:val="22"/>
        </w:rPr>
        <w:lastRenderedPageBreak/>
        <w:t>1 Introduction</w:t>
      </w:r>
      <w:bookmarkEnd w:id="0"/>
      <w:r w:rsidRPr="00B700B3">
        <w:rPr>
          <w:rFonts w:ascii="Arial" w:hAnsi="Arial" w:cs="Arial"/>
          <w:sz w:val="22"/>
          <w:szCs w:val="22"/>
        </w:rPr>
        <w:t xml:space="preserve"> </w:t>
      </w:r>
    </w:p>
    <w:p w14:paraId="5419B655" w14:textId="55009382" w:rsidR="00C726BE" w:rsidRPr="00B700B3" w:rsidRDefault="00C726BE" w:rsidP="00C726BE">
      <w:pPr>
        <w:rPr>
          <w:rFonts w:ascii="Arial" w:hAnsi="Arial" w:cs="Arial"/>
        </w:rPr>
      </w:pPr>
      <w:r w:rsidRPr="00B700B3">
        <w:rPr>
          <w:rFonts w:ascii="Arial" w:hAnsi="Arial" w:cs="Arial"/>
        </w:rPr>
        <w:t>This report will offer a clear understanding on the effects of loneliness and isolation on</w:t>
      </w:r>
      <w:r w:rsidR="00B700B3" w:rsidRPr="00B700B3">
        <w:rPr>
          <w:rFonts w:ascii="Arial" w:hAnsi="Arial" w:cs="Arial"/>
        </w:rPr>
        <w:t xml:space="preserve"> </w:t>
      </w:r>
      <w:r w:rsidRPr="00B700B3">
        <w:rPr>
          <w:rFonts w:ascii="Arial" w:hAnsi="Arial" w:cs="Arial"/>
        </w:rPr>
        <w:t xml:space="preserve">populations form both United Kingdom and Australia. </w:t>
      </w:r>
      <w:r w:rsidR="00B700B3" w:rsidRPr="00B700B3">
        <w:rPr>
          <w:rFonts w:ascii="Arial" w:hAnsi="Arial" w:cs="Arial"/>
        </w:rPr>
        <w:t xml:space="preserve">Factors impacting old age will also be explored alongside care settings available in both countries. This report will present the legislation serving to protect older populations, the policies implemented by both countries to help prevent and address loneliness and social </w:t>
      </w:r>
      <w:proofErr w:type="gramStart"/>
      <w:r w:rsidR="00B700B3" w:rsidRPr="00B700B3">
        <w:rPr>
          <w:rFonts w:ascii="Arial" w:hAnsi="Arial" w:cs="Arial"/>
        </w:rPr>
        <w:t>isolation, and</w:t>
      </w:r>
      <w:proofErr w:type="gramEnd"/>
      <w:r w:rsidR="00B700B3" w:rsidRPr="00B700B3">
        <w:rPr>
          <w:rFonts w:ascii="Arial" w:hAnsi="Arial" w:cs="Arial"/>
        </w:rPr>
        <w:t xml:space="preserve"> will end with future recommendations. </w:t>
      </w:r>
    </w:p>
    <w:p w14:paraId="0EC218D8" w14:textId="1A497096" w:rsidR="009F5D16" w:rsidRPr="00B700B3" w:rsidRDefault="009F5D16" w:rsidP="009F5D16">
      <w:pPr>
        <w:rPr>
          <w:rFonts w:ascii="Arial" w:hAnsi="Arial" w:cs="Arial"/>
        </w:rPr>
      </w:pPr>
      <w:r w:rsidRPr="00B700B3">
        <w:rPr>
          <w:rFonts w:ascii="Arial" w:hAnsi="Arial" w:cs="Arial"/>
        </w:rPr>
        <w:t xml:space="preserve">Old age can be defined from many </w:t>
      </w:r>
      <w:r w:rsidR="008F4FE1" w:rsidRPr="00B700B3">
        <w:rPr>
          <w:rFonts w:ascii="Arial" w:hAnsi="Arial" w:cs="Arial"/>
        </w:rPr>
        <w:t>standpoints whilst taking in consideration a plethora of factors, as there is no universal definition to the concept. When referring to biological factors, old age is the final stage of lifespan.</w:t>
      </w:r>
      <w:r w:rsidR="00350831" w:rsidRPr="00B700B3">
        <w:rPr>
          <w:rFonts w:ascii="Arial" w:hAnsi="Arial" w:cs="Arial"/>
        </w:rPr>
        <w:t xml:space="preserve"> Ageing at the cellular level is caused by the gradual accumulation of damage at the molecular and cellular level. This results in a decline in physical and mental abilities, an increased risk of illness, and ultimately death. The rate of ageing is not consistent and does not necessarily correspond with a person's chronological age. In addition to biological changes, ageing may also involve other life changes such as retirement, moving to a new home, and the loss of loved ones. (World Health Organization, 2022).</w:t>
      </w:r>
      <w:r w:rsidR="008F4FE1" w:rsidRPr="00B700B3">
        <w:rPr>
          <w:rFonts w:ascii="Arial" w:hAnsi="Arial" w:cs="Arial"/>
        </w:rPr>
        <w:t xml:space="preserve"> If referring to sociology, old age is widely believed to start with retirement age. This starts generically with the age of 60 or 65. (The Editors of </w:t>
      </w:r>
      <w:r w:rsidR="00B700B3" w:rsidRPr="00B700B3">
        <w:rPr>
          <w:rFonts w:ascii="Arial" w:hAnsi="Arial" w:cs="Arial"/>
        </w:rPr>
        <w:t>Encyclopaedia</w:t>
      </w:r>
      <w:r w:rsidR="008F4FE1" w:rsidRPr="00B700B3">
        <w:rPr>
          <w:rFonts w:ascii="Arial" w:hAnsi="Arial" w:cs="Arial"/>
        </w:rPr>
        <w:t xml:space="preserve"> Britannica, 2018).</w:t>
      </w:r>
    </w:p>
    <w:p w14:paraId="690265CF" w14:textId="1552FEB4" w:rsidR="004D60EB" w:rsidRPr="00B700B3" w:rsidRDefault="00F92B80" w:rsidP="004D60EB">
      <w:pPr>
        <w:rPr>
          <w:rFonts w:ascii="Arial" w:hAnsi="Arial" w:cs="Arial"/>
        </w:rPr>
      </w:pPr>
      <w:r w:rsidRPr="00B700B3">
        <w:rPr>
          <w:rFonts w:ascii="Arial" w:hAnsi="Arial" w:cs="Arial"/>
        </w:rPr>
        <w:t xml:space="preserve">There are various perceptions of old age and aging across different cultures around the world. The social representation theory defines this as shared values and believed within a society that is shared by most of its members. Studies have evaluated aging aspects of performing daily activities, to knowledge and wisdom the older person possess, wellbeing and </w:t>
      </w:r>
      <w:r w:rsidR="00040B02" w:rsidRPr="00B700B3">
        <w:rPr>
          <w:rFonts w:ascii="Arial" w:hAnsi="Arial" w:cs="Arial"/>
        </w:rPr>
        <w:t xml:space="preserve">socioeconomic impacts. For example, Asian cultures have a more positive societal views on aging. A study conducted in 2009 </w:t>
      </w:r>
      <w:r w:rsidR="00C726BE" w:rsidRPr="00B700B3">
        <w:rPr>
          <w:rFonts w:ascii="Arial" w:hAnsi="Arial" w:cs="Arial"/>
        </w:rPr>
        <w:t xml:space="preserve">that included 26 countries across 6 continents </w:t>
      </w:r>
      <w:r w:rsidR="00040B02" w:rsidRPr="00B700B3">
        <w:rPr>
          <w:rFonts w:ascii="Arial" w:hAnsi="Arial" w:cs="Arial"/>
        </w:rPr>
        <w:t xml:space="preserve">found that frequent intergenerational contact can lead to a more positive perception of old age. </w:t>
      </w:r>
      <w:r w:rsidR="00C726BE" w:rsidRPr="00B700B3">
        <w:rPr>
          <w:rFonts w:ascii="Arial" w:hAnsi="Arial" w:cs="Arial"/>
        </w:rPr>
        <w:t>According to the study, some countries like, Argentina, United Kingdom (UK), and Serbia had mostly negative societal views when referring to aging. (</w:t>
      </w:r>
      <w:proofErr w:type="spellStart"/>
      <w:r w:rsidR="00C726BE" w:rsidRPr="00B700B3">
        <w:rPr>
          <w:rFonts w:ascii="Arial" w:hAnsi="Arial" w:cs="Arial"/>
        </w:rPr>
        <w:t>Löckenhoff</w:t>
      </w:r>
      <w:proofErr w:type="spellEnd"/>
      <w:r w:rsidR="00C726BE" w:rsidRPr="00B700B3">
        <w:rPr>
          <w:rFonts w:ascii="Arial" w:hAnsi="Arial" w:cs="Arial"/>
        </w:rPr>
        <w:t xml:space="preserve"> et al., 2009). </w:t>
      </w:r>
    </w:p>
    <w:p w14:paraId="2C020C6B" w14:textId="77777777" w:rsidR="004D60EB" w:rsidRPr="00B700B3" w:rsidRDefault="004D60EB" w:rsidP="004D60EB">
      <w:pPr>
        <w:rPr>
          <w:rFonts w:ascii="Arial" w:hAnsi="Arial" w:cs="Arial"/>
          <w:u w:val="single"/>
        </w:rPr>
      </w:pPr>
    </w:p>
    <w:p w14:paraId="2CBA3D36" w14:textId="390752DB" w:rsidR="001018BF" w:rsidRPr="00B700B3" w:rsidRDefault="001018BF" w:rsidP="001018BF">
      <w:pPr>
        <w:pStyle w:val="Heading1"/>
        <w:rPr>
          <w:rFonts w:ascii="Arial" w:hAnsi="Arial" w:cs="Arial"/>
          <w:sz w:val="22"/>
          <w:szCs w:val="22"/>
        </w:rPr>
      </w:pPr>
      <w:bookmarkStart w:id="1" w:name="_Toc123676121"/>
      <w:r w:rsidRPr="00B700B3">
        <w:rPr>
          <w:rFonts w:ascii="Arial" w:hAnsi="Arial" w:cs="Arial"/>
          <w:sz w:val="22"/>
          <w:szCs w:val="22"/>
        </w:rPr>
        <w:t xml:space="preserve">2 </w:t>
      </w:r>
      <w:r w:rsidR="009F5D16" w:rsidRPr="00B700B3">
        <w:rPr>
          <w:rFonts w:ascii="Arial" w:hAnsi="Arial" w:cs="Arial"/>
          <w:sz w:val="22"/>
          <w:szCs w:val="22"/>
        </w:rPr>
        <w:t>Factors impacting old age</w:t>
      </w:r>
      <w:bookmarkEnd w:id="1"/>
    </w:p>
    <w:p w14:paraId="7F22547B" w14:textId="01712ABA" w:rsidR="009F5D16" w:rsidRPr="00B700B3" w:rsidRDefault="00CA7A31" w:rsidP="009F5D16">
      <w:pPr>
        <w:rPr>
          <w:rFonts w:ascii="Arial" w:hAnsi="Arial" w:cs="Arial"/>
        </w:rPr>
      </w:pPr>
      <w:r w:rsidRPr="00CA7A31">
        <w:rPr>
          <w:rFonts w:ascii="Arial" w:hAnsi="Arial" w:cs="Arial"/>
        </w:rPr>
        <w:t xml:space="preserve">Environmental and lifestyle factors are known to influence the aging process. Genetics is another factor that plays an important role in this process. Most of the differences in the health status of older people can be traced back to their physical and social environment. B. Home, neighbourhood, community, and personal characteristics such as gender, ethnicity, and socioeconomic status. These environments and traits can have long-term effects on human aging. The physical and social environment can influence health either directly or through barriers and incentives that influence opportunities, choices, and health behaviours. Healthy lifelong </w:t>
      </w:r>
      <w:proofErr w:type="spellStart"/>
      <w:r w:rsidRPr="00CA7A31">
        <w:rPr>
          <w:rFonts w:ascii="Arial" w:hAnsi="Arial" w:cs="Arial"/>
        </w:rPr>
        <w:t>behaviors</w:t>
      </w:r>
      <w:proofErr w:type="spellEnd"/>
      <w:r w:rsidRPr="00CA7A31">
        <w:rPr>
          <w:rFonts w:ascii="Arial" w:hAnsi="Arial" w:cs="Arial"/>
        </w:rPr>
        <w:t xml:space="preserve">, such as a balanced diet, regular </w:t>
      </w:r>
      <w:proofErr w:type="gramStart"/>
      <w:r w:rsidRPr="00CA7A31">
        <w:rPr>
          <w:rFonts w:ascii="Arial" w:hAnsi="Arial" w:cs="Arial"/>
        </w:rPr>
        <w:t>exercise</w:t>
      </w:r>
      <w:proofErr w:type="gramEnd"/>
      <w:r w:rsidRPr="00CA7A31">
        <w:rPr>
          <w:rFonts w:ascii="Arial" w:hAnsi="Arial" w:cs="Arial"/>
        </w:rPr>
        <w:t xml:space="preserve"> and avoidance of tobacco use, reduce the risk of non-communicable diseases, improve physical and mental functioning, and reduce the need for long-term care. A supportive physical and social environment also allows people to continue doing the things that matter to them even when they are incapacitated. When developing a public health response to aging, it is important to consider both individual and environmental approaches that can ameliorate age-related losses, as well as approaches that can support recovery, adaptation, and psychosocial growth.</w:t>
      </w:r>
      <w:r>
        <w:rPr>
          <w:rFonts w:ascii="Arial" w:hAnsi="Arial" w:cs="Arial"/>
        </w:rPr>
        <w:t xml:space="preserve"> </w:t>
      </w:r>
      <w:r w:rsidRPr="00CA7A31">
        <w:rPr>
          <w:rFonts w:ascii="Arial" w:hAnsi="Arial" w:cs="Arial"/>
        </w:rPr>
        <w:t>(World Health Organization, 2022c)</w:t>
      </w:r>
      <w:r>
        <w:rPr>
          <w:rFonts w:ascii="Arial" w:hAnsi="Arial" w:cs="Arial"/>
        </w:rPr>
        <w:t xml:space="preserve">. </w:t>
      </w:r>
    </w:p>
    <w:p w14:paraId="72CBE0D0" w14:textId="77777777" w:rsidR="009F5D16" w:rsidRPr="00B700B3" w:rsidRDefault="009F5D16" w:rsidP="009F5D16">
      <w:pPr>
        <w:rPr>
          <w:rFonts w:ascii="Arial" w:hAnsi="Arial" w:cs="Arial"/>
        </w:rPr>
      </w:pPr>
    </w:p>
    <w:p w14:paraId="53B51B04" w14:textId="77777777" w:rsidR="009F5D16" w:rsidRPr="00B700B3" w:rsidRDefault="009F5D16" w:rsidP="00404C98">
      <w:pPr>
        <w:jc w:val="center"/>
        <w:rPr>
          <w:rFonts w:ascii="Arial" w:hAnsi="Arial" w:cs="Arial"/>
        </w:rPr>
      </w:pPr>
    </w:p>
    <w:p w14:paraId="789A13CF" w14:textId="4A336AEC" w:rsidR="00404C98" w:rsidRPr="00B700B3" w:rsidRDefault="00D15EF7" w:rsidP="00404C98">
      <w:pPr>
        <w:pStyle w:val="Heading1"/>
        <w:rPr>
          <w:rFonts w:ascii="Arial" w:hAnsi="Arial" w:cs="Arial"/>
          <w:sz w:val="22"/>
          <w:szCs w:val="22"/>
        </w:rPr>
      </w:pPr>
      <w:bookmarkStart w:id="2" w:name="_Toc123676122"/>
      <w:r w:rsidRPr="00B700B3">
        <w:rPr>
          <w:rFonts w:ascii="Arial" w:hAnsi="Arial" w:cs="Arial"/>
          <w:sz w:val="22"/>
          <w:szCs w:val="22"/>
        </w:rPr>
        <w:lastRenderedPageBreak/>
        <w:t xml:space="preserve">3 </w:t>
      </w:r>
      <w:bookmarkEnd w:id="2"/>
      <w:r w:rsidR="001C2917">
        <w:rPr>
          <w:rFonts w:ascii="Arial" w:hAnsi="Arial" w:cs="Arial"/>
          <w:sz w:val="22"/>
          <w:szCs w:val="22"/>
        </w:rPr>
        <w:t xml:space="preserve">Global and national statistics of aging population </w:t>
      </w:r>
    </w:p>
    <w:p w14:paraId="49F6D4F3" w14:textId="7A4E1784" w:rsidR="00404C98" w:rsidRPr="00B700B3" w:rsidRDefault="00F2235D" w:rsidP="00D15EF7">
      <w:pPr>
        <w:rPr>
          <w:rFonts w:ascii="Arial" w:hAnsi="Arial" w:cs="Arial"/>
        </w:rPr>
      </w:pPr>
      <w:r w:rsidRPr="00B700B3">
        <w:rPr>
          <w:rFonts w:ascii="Arial" w:hAnsi="Arial" w:cs="Arial"/>
        </w:rPr>
        <w:t xml:space="preserve">The world's population is ageing. Most people can today anticipate living into their 60s or beyond. The proportion of elderly persons in each nation's population is rising, as is their overall number. One in six individuals on the earth will be 60 or older by the year 2030. A total of 2.1 billion individuals will be over the age of 60 by 2050, and 426 million people will be over the age of 80. The "population ageing" trend, sometimes known as the "ageing of the population," started in high-income countries but is currently spreading more quickly to low- and middle-income nations. (World Health Organization, 2022b). </w:t>
      </w:r>
    </w:p>
    <w:p w14:paraId="66741CE9" w14:textId="565E325A" w:rsidR="00C6501A" w:rsidRPr="00B700B3" w:rsidRDefault="00C6501A" w:rsidP="00D15EF7">
      <w:pPr>
        <w:rPr>
          <w:rFonts w:ascii="Arial" w:hAnsi="Arial" w:cs="Arial"/>
        </w:rPr>
      </w:pPr>
      <w:r w:rsidRPr="00B700B3">
        <w:rPr>
          <w:rFonts w:ascii="Arial" w:hAnsi="Arial" w:cs="Arial"/>
        </w:rPr>
        <w:t xml:space="preserve">In the next 10 years, the UK will be seeing 59,000 more deaths compared to births. This will lead to a growth of older people ratios and an increase in generational discrepancies. The segment of population aged 85 and over will increase from </w:t>
      </w:r>
      <w:r w:rsidR="00B700B3" w:rsidRPr="00B700B3">
        <w:rPr>
          <w:rFonts w:ascii="Arial" w:hAnsi="Arial" w:cs="Arial"/>
        </w:rPr>
        <w:t>2.5%</w:t>
      </w:r>
      <w:r w:rsidRPr="00B700B3">
        <w:rPr>
          <w:rFonts w:ascii="Arial" w:hAnsi="Arial" w:cs="Arial"/>
        </w:rPr>
        <w:t xml:space="preserve"> of total UK population, registered in 2020, to 4.3% by the year 2045. This will sum up to a total of 3,1 million people over the age of 85 years. (Office for National Statistics, 2022). </w:t>
      </w:r>
      <w:r w:rsidR="002609DF" w:rsidRPr="00B700B3">
        <w:rPr>
          <w:rFonts w:ascii="Arial" w:hAnsi="Arial" w:cs="Arial"/>
        </w:rPr>
        <w:t xml:space="preserve">The population 65 years and over it is expected to reach over 17 million people by middle of this century, number representing close to 25% of Great Britain population. (Office for National Statistics, 2019). </w:t>
      </w:r>
    </w:p>
    <w:p w14:paraId="0F002700" w14:textId="65A33438" w:rsidR="002609DF" w:rsidRPr="00B700B3" w:rsidRDefault="00C6501A" w:rsidP="00D15EF7">
      <w:pPr>
        <w:rPr>
          <w:rFonts w:ascii="Arial" w:hAnsi="Arial" w:cs="Arial"/>
        </w:rPr>
      </w:pPr>
      <w:r w:rsidRPr="00B700B3">
        <w:rPr>
          <w:rFonts w:ascii="Arial" w:hAnsi="Arial" w:cs="Arial"/>
        </w:rPr>
        <w:t xml:space="preserve">Australia is also experiencing similar trends with a fast rate of aging population. As of </w:t>
      </w:r>
      <w:r w:rsidR="00DB1C55" w:rsidRPr="00B700B3">
        <w:rPr>
          <w:rFonts w:ascii="Arial" w:hAnsi="Arial" w:cs="Arial"/>
        </w:rPr>
        <w:t>2021, it is reported that 1 in 6 Australians are over the age of 65. In the year 2020, 16% of Australia population was over 65 years, that is over 4 million people. Future projections show that this number will increase to 21% by the year 2066. Similar trends can also be seen when referring to population aged 85 and over. In 2020 statistic show that this was represented by 2.1% of total population and is expected to reach 4.4% by the year 2066. (Australian Institute of Health and Welfare, 2021).</w:t>
      </w:r>
    </w:p>
    <w:p w14:paraId="41172FE5" w14:textId="77777777" w:rsidR="004D60EB" w:rsidRPr="00B700B3" w:rsidRDefault="004D60EB" w:rsidP="00D15EF7">
      <w:pPr>
        <w:rPr>
          <w:rFonts w:ascii="Arial" w:hAnsi="Arial" w:cs="Arial"/>
        </w:rPr>
      </w:pPr>
    </w:p>
    <w:p w14:paraId="2291AF55" w14:textId="032326DF" w:rsidR="00D15EF7" w:rsidRPr="00B700B3" w:rsidRDefault="00E96D98" w:rsidP="00D15EF7">
      <w:pPr>
        <w:pStyle w:val="Heading1"/>
        <w:rPr>
          <w:rFonts w:ascii="Arial" w:hAnsi="Arial" w:cs="Arial"/>
          <w:sz w:val="22"/>
          <w:szCs w:val="22"/>
        </w:rPr>
      </w:pPr>
      <w:bookmarkStart w:id="3" w:name="_Toc123676123"/>
      <w:r w:rsidRPr="00B700B3">
        <w:rPr>
          <w:rFonts w:ascii="Arial" w:hAnsi="Arial" w:cs="Arial"/>
          <w:sz w:val="22"/>
          <w:szCs w:val="22"/>
        </w:rPr>
        <w:t>4</w:t>
      </w:r>
      <w:r w:rsidR="00D15EF7" w:rsidRPr="00B700B3">
        <w:rPr>
          <w:rFonts w:ascii="Arial" w:hAnsi="Arial" w:cs="Arial"/>
          <w:sz w:val="22"/>
          <w:szCs w:val="22"/>
        </w:rPr>
        <w:t xml:space="preserve"> What it means to be an elderly person in the UK and Australia</w:t>
      </w:r>
      <w:bookmarkEnd w:id="3"/>
    </w:p>
    <w:p w14:paraId="4527097F" w14:textId="18EF8D82" w:rsidR="00A46756" w:rsidRPr="00B700B3" w:rsidRDefault="00A46756" w:rsidP="00A46756">
      <w:pPr>
        <w:rPr>
          <w:rFonts w:ascii="Arial" w:hAnsi="Arial" w:cs="Arial"/>
        </w:rPr>
      </w:pPr>
      <w:r w:rsidRPr="00B700B3">
        <w:rPr>
          <w:rFonts w:ascii="Arial" w:hAnsi="Arial" w:cs="Arial"/>
        </w:rPr>
        <w:t xml:space="preserve">Old age increases the predisposition of certain health conditions. Age-related health issues include </w:t>
      </w:r>
      <w:r w:rsidR="00EB110F">
        <w:rPr>
          <w:rFonts w:ascii="Arial" w:hAnsi="Arial" w:cs="Arial"/>
        </w:rPr>
        <w:t xml:space="preserve">the loss of </w:t>
      </w:r>
      <w:r w:rsidRPr="00B700B3">
        <w:rPr>
          <w:rFonts w:ascii="Arial" w:hAnsi="Arial" w:cs="Arial"/>
        </w:rPr>
        <w:t xml:space="preserve">hearing, cataracts, back and neck pain and osteoarthritis, chronic obstructive pulmonary disease, diabetes, depression, and dementia are common conditions </w:t>
      </w:r>
      <w:r w:rsidR="00EB110F">
        <w:rPr>
          <w:rFonts w:ascii="Arial" w:hAnsi="Arial" w:cs="Arial"/>
        </w:rPr>
        <w:t>with older</w:t>
      </w:r>
      <w:r w:rsidRPr="00B700B3">
        <w:rPr>
          <w:rFonts w:ascii="Arial" w:hAnsi="Arial" w:cs="Arial"/>
        </w:rPr>
        <w:t xml:space="preserve"> people. </w:t>
      </w:r>
      <w:r w:rsidR="00EB110F">
        <w:rPr>
          <w:rFonts w:ascii="Arial" w:hAnsi="Arial" w:cs="Arial"/>
        </w:rPr>
        <w:t xml:space="preserve">People have a higher predisposition to developing multiple aliments </w:t>
      </w:r>
      <w:proofErr w:type="gramStart"/>
      <w:r w:rsidR="00EB110F">
        <w:rPr>
          <w:rFonts w:ascii="Arial" w:hAnsi="Arial" w:cs="Arial"/>
        </w:rPr>
        <w:t>in</w:t>
      </w:r>
      <w:proofErr w:type="gramEnd"/>
      <w:r w:rsidR="00EB110F">
        <w:rPr>
          <w:rFonts w:ascii="Arial" w:hAnsi="Arial" w:cs="Arial"/>
        </w:rPr>
        <w:t xml:space="preserve"> the same time as they get older, </w:t>
      </w:r>
      <w:r w:rsidR="00EB110F" w:rsidRPr="00B700B3">
        <w:rPr>
          <w:rFonts w:ascii="Arial" w:hAnsi="Arial" w:cs="Arial"/>
        </w:rPr>
        <w:t>also referred to as co-occurring conditions</w:t>
      </w:r>
    </w:p>
    <w:p w14:paraId="03DA719D" w14:textId="5301D34A" w:rsidR="00D15EF7" w:rsidRPr="00B700B3" w:rsidRDefault="00EB110F" w:rsidP="00A46756">
      <w:pPr>
        <w:rPr>
          <w:rFonts w:ascii="Arial" w:hAnsi="Arial" w:cs="Arial"/>
        </w:rPr>
      </w:pPr>
      <w:r>
        <w:rPr>
          <w:rFonts w:ascii="Arial" w:hAnsi="Arial" w:cs="Arial"/>
        </w:rPr>
        <w:t>Geriatric syndrome is characterised by the rise in complex health conditions and illnesses and is exclusive to older populations.</w:t>
      </w:r>
      <w:r w:rsidR="00A46756" w:rsidRPr="00B700B3">
        <w:rPr>
          <w:rFonts w:ascii="Arial" w:hAnsi="Arial" w:cs="Arial"/>
        </w:rPr>
        <w:t xml:space="preserve"> </w:t>
      </w:r>
      <w:r>
        <w:rPr>
          <w:rFonts w:ascii="Arial" w:hAnsi="Arial" w:cs="Arial"/>
        </w:rPr>
        <w:t>F</w:t>
      </w:r>
      <w:r w:rsidR="00BB5EF4" w:rsidRPr="00B700B3">
        <w:rPr>
          <w:rFonts w:ascii="Arial" w:hAnsi="Arial" w:cs="Arial"/>
        </w:rPr>
        <w:t>railty</w:t>
      </w:r>
      <w:r w:rsidR="00A46756" w:rsidRPr="00B700B3">
        <w:rPr>
          <w:rFonts w:ascii="Arial" w:hAnsi="Arial" w:cs="Arial"/>
        </w:rPr>
        <w:t xml:space="preserve">, urine incontinence, stumbles, delirium, and pressure ulcers, are </w:t>
      </w:r>
      <w:r>
        <w:rPr>
          <w:rFonts w:ascii="Arial" w:hAnsi="Arial" w:cs="Arial"/>
        </w:rPr>
        <w:t>oftentimes</w:t>
      </w:r>
      <w:r w:rsidR="00A46756" w:rsidRPr="00B700B3">
        <w:rPr>
          <w:rFonts w:ascii="Arial" w:hAnsi="Arial" w:cs="Arial"/>
        </w:rPr>
        <w:t xml:space="preserve"> the result of other underlying conditions.</w:t>
      </w:r>
      <w:r w:rsidR="00A96DF7" w:rsidRPr="00B700B3">
        <w:rPr>
          <w:rFonts w:ascii="Arial" w:hAnsi="Arial" w:cs="Arial"/>
        </w:rPr>
        <w:t xml:space="preserve"> </w:t>
      </w:r>
      <w:r w:rsidR="00BB5EF4" w:rsidRPr="00B700B3">
        <w:rPr>
          <w:rFonts w:ascii="Arial" w:hAnsi="Arial" w:cs="Arial"/>
        </w:rPr>
        <w:t xml:space="preserve">Dementia is one of the most prevalent illnesses that affects elderly around the world. Alzheimer and vascular dementia are the most common types of dementia. In the UK 1 in 6 people over the age of 80 suffer with dementia. (Age UK, 2021). In Australia, in 2021 there were close to half of million of sufferers. </w:t>
      </w:r>
      <w:r w:rsidR="0026331D" w:rsidRPr="00B700B3">
        <w:rPr>
          <w:rFonts w:ascii="Arial" w:hAnsi="Arial" w:cs="Arial"/>
        </w:rPr>
        <w:t xml:space="preserve">(Australian Institute of Health and Welfare, 2021a). </w:t>
      </w:r>
      <w:r w:rsidR="00BB5EF4" w:rsidRPr="00B700B3">
        <w:rPr>
          <w:rFonts w:ascii="Arial" w:hAnsi="Arial" w:cs="Arial"/>
        </w:rPr>
        <w:t xml:space="preserve"> </w:t>
      </w:r>
    </w:p>
    <w:p w14:paraId="45A1C8C4" w14:textId="77777777" w:rsidR="004D60EB" w:rsidRPr="00B700B3" w:rsidRDefault="004D60EB" w:rsidP="00A46756">
      <w:pPr>
        <w:rPr>
          <w:rFonts w:ascii="Arial" w:hAnsi="Arial" w:cs="Arial"/>
        </w:rPr>
      </w:pPr>
    </w:p>
    <w:p w14:paraId="6C350F07" w14:textId="781E666A" w:rsidR="0026331D" w:rsidRPr="00B700B3" w:rsidRDefault="00E96D98" w:rsidP="0026331D">
      <w:pPr>
        <w:pStyle w:val="Heading1"/>
        <w:rPr>
          <w:rFonts w:ascii="Arial" w:hAnsi="Arial" w:cs="Arial"/>
          <w:sz w:val="22"/>
          <w:szCs w:val="22"/>
        </w:rPr>
      </w:pPr>
      <w:bookmarkStart w:id="4" w:name="_Toc123676124"/>
      <w:r w:rsidRPr="00B700B3">
        <w:rPr>
          <w:rFonts w:ascii="Arial" w:hAnsi="Arial" w:cs="Arial"/>
          <w:sz w:val="22"/>
          <w:szCs w:val="22"/>
        </w:rPr>
        <w:t xml:space="preserve">5 </w:t>
      </w:r>
      <w:r w:rsidR="0026331D" w:rsidRPr="00B700B3">
        <w:rPr>
          <w:rFonts w:ascii="Arial" w:hAnsi="Arial" w:cs="Arial"/>
          <w:sz w:val="22"/>
          <w:szCs w:val="22"/>
        </w:rPr>
        <w:t>Elderly care settings</w:t>
      </w:r>
      <w:r w:rsidR="00222EA3" w:rsidRPr="00B700B3">
        <w:rPr>
          <w:rFonts w:ascii="Arial" w:hAnsi="Arial" w:cs="Arial"/>
          <w:sz w:val="22"/>
          <w:szCs w:val="22"/>
        </w:rPr>
        <w:t xml:space="preserve"> in the UK and Australia</w:t>
      </w:r>
      <w:bookmarkEnd w:id="4"/>
    </w:p>
    <w:p w14:paraId="1C2C702A" w14:textId="3286A534" w:rsidR="0026331D" w:rsidRPr="00B700B3" w:rsidRDefault="0026331D" w:rsidP="00A46756">
      <w:pPr>
        <w:rPr>
          <w:rFonts w:ascii="Arial" w:hAnsi="Arial" w:cs="Arial"/>
        </w:rPr>
      </w:pPr>
      <w:r w:rsidRPr="00B700B3">
        <w:rPr>
          <w:rFonts w:ascii="Arial" w:hAnsi="Arial" w:cs="Arial"/>
        </w:rPr>
        <w:t xml:space="preserve">Care settings available for elderly in the UK include residential, hospital and domiciliary care, residential nursing care and assisted living. These services are provided by either local and national authorises through government support and initiatives, but also by charities. The NHS is offering support for the elderly population in various forms. </w:t>
      </w:r>
      <w:r w:rsidR="00FD515D" w:rsidRPr="00B700B3">
        <w:rPr>
          <w:rFonts w:ascii="Arial" w:hAnsi="Arial" w:cs="Arial"/>
        </w:rPr>
        <w:t>Adult Social Care offers support and promotes independent living. This Government founded NHS programme offers support to people living with physical or mental disabilities, and it includes personal care support, domiciliary care and help with daily activities, financial funding with home adaptations and some equipment</w:t>
      </w:r>
      <w:r w:rsidR="00E96D98" w:rsidRPr="00B700B3">
        <w:rPr>
          <w:rFonts w:ascii="Arial" w:hAnsi="Arial" w:cs="Arial"/>
        </w:rPr>
        <w:t>,</w:t>
      </w:r>
      <w:r w:rsidR="00FD515D" w:rsidRPr="00B700B3">
        <w:rPr>
          <w:rFonts w:ascii="Arial" w:hAnsi="Arial" w:cs="Arial"/>
        </w:rPr>
        <w:t xml:space="preserve"> and community engagement. (The Kings Fund, 2019).</w:t>
      </w:r>
    </w:p>
    <w:p w14:paraId="747A2E37" w14:textId="6A9FF39F" w:rsidR="00FD515D" w:rsidRPr="00B700B3" w:rsidRDefault="00FD515D" w:rsidP="00A46756">
      <w:pPr>
        <w:rPr>
          <w:rFonts w:ascii="Arial" w:hAnsi="Arial" w:cs="Arial"/>
        </w:rPr>
      </w:pPr>
      <w:r w:rsidRPr="00B700B3">
        <w:rPr>
          <w:rFonts w:ascii="Arial" w:hAnsi="Arial" w:cs="Arial"/>
        </w:rPr>
        <w:lastRenderedPageBreak/>
        <w:t xml:space="preserve">Australia’s approach </w:t>
      </w:r>
      <w:r w:rsidR="00E96D98" w:rsidRPr="00B700B3">
        <w:rPr>
          <w:rFonts w:ascii="Arial" w:hAnsi="Arial" w:cs="Arial"/>
        </w:rPr>
        <w:t>through</w:t>
      </w:r>
      <w:r w:rsidRPr="00B700B3">
        <w:rPr>
          <w:rFonts w:ascii="Arial" w:hAnsi="Arial" w:cs="Arial"/>
        </w:rPr>
        <w:t xml:space="preserve"> governmental support towards older population is monitored by legislative bodies like Aged Care and Safety Commission</w:t>
      </w:r>
      <w:r w:rsidR="00F55C53" w:rsidRPr="00B700B3">
        <w:rPr>
          <w:rFonts w:ascii="Arial" w:hAnsi="Arial" w:cs="Arial"/>
        </w:rPr>
        <w:t xml:space="preserve"> that measure standards o</w:t>
      </w:r>
      <w:r w:rsidR="00E96D98" w:rsidRPr="00B700B3">
        <w:rPr>
          <w:rFonts w:ascii="Arial" w:hAnsi="Arial" w:cs="Arial"/>
        </w:rPr>
        <w:t>f</w:t>
      </w:r>
      <w:r w:rsidR="00F55C53" w:rsidRPr="00B700B3">
        <w:rPr>
          <w:rFonts w:ascii="Arial" w:hAnsi="Arial" w:cs="Arial"/>
        </w:rPr>
        <w:t xml:space="preserve"> care. Care settings available in Australia are very similar to the UK’s. The availability of support with daily living, personal care and home living modification that address frailty and mobility issues</w:t>
      </w:r>
      <w:r w:rsidR="00E96D98" w:rsidRPr="00B700B3">
        <w:rPr>
          <w:rFonts w:ascii="Arial" w:hAnsi="Arial" w:cs="Arial"/>
        </w:rPr>
        <w:t>,</w:t>
      </w:r>
      <w:r w:rsidR="00F55C53" w:rsidRPr="00B700B3">
        <w:rPr>
          <w:rFonts w:ascii="Arial" w:hAnsi="Arial" w:cs="Arial"/>
        </w:rPr>
        <w:t xml:space="preserve"> are also available. These government programmes have a common aim, and that is to promote independent living </w:t>
      </w:r>
      <w:r w:rsidR="00E96D98" w:rsidRPr="00B700B3">
        <w:rPr>
          <w:rFonts w:ascii="Arial" w:hAnsi="Arial" w:cs="Arial"/>
        </w:rPr>
        <w:t>if</w:t>
      </w:r>
      <w:r w:rsidR="00F55C53" w:rsidRPr="00B700B3">
        <w:rPr>
          <w:rFonts w:ascii="Arial" w:hAnsi="Arial" w:cs="Arial"/>
        </w:rPr>
        <w:t xml:space="preserve"> possible, and when this does not represent an option anymore, long-term services are put in practice. (Health, 2019). </w:t>
      </w:r>
    </w:p>
    <w:p w14:paraId="15521499" w14:textId="77777777" w:rsidR="004D60EB" w:rsidRPr="00B700B3" w:rsidRDefault="004D60EB" w:rsidP="00A46756">
      <w:pPr>
        <w:rPr>
          <w:rFonts w:ascii="Arial" w:hAnsi="Arial" w:cs="Arial"/>
        </w:rPr>
      </w:pPr>
    </w:p>
    <w:p w14:paraId="45037CB5" w14:textId="71C6D267" w:rsidR="00404C98" w:rsidRPr="00B700B3" w:rsidRDefault="006666CF" w:rsidP="00404C98">
      <w:pPr>
        <w:pStyle w:val="Heading1"/>
        <w:rPr>
          <w:rFonts w:ascii="Arial" w:hAnsi="Arial" w:cs="Arial"/>
          <w:sz w:val="22"/>
          <w:szCs w:val="22"/>
        </w:rPr>
      </w:pPr>
      <w:bookmarkStart w:id="5" w:name="_Toc123676125"/>
      <w:r w:rsidRPr="00B700B3">
        <w:rPr>
          <w:rFonts w:ascii="Arial" w:hAnsi="Arial" w:cs="Arial"/>
          <w:sz w:val="22"/>
          <w:szCs w:val="22"/>
        </w:rPr>
        <w:t>6</w:t>
      </w:r>
      <w:r w:rsidR="00404C98" w:rsidRPr="00B700B3">
        <w:rPr>
          <w:rFonts w:ascii="Arial" w:hAnsi="Arial" w:cs="Arial"/>
          <w:sz w:val="22"/>
          <w:szCs w:val="22"/>
        </w:rPr>
        <w:t xml:space="preserve"> </w:t>
      </w:r>
      <w:r w:rsidR="00275900" w:rsidRPr="00B700B3">
        <w:rPr>
          <w:rFonts w:ascii="Arial" w:hAnsi="Arial" w:cs="Arial"/>
          <w:sz w:val="22"/>
          <w:szCs w:val="22"/>
        </w:rPr>
        <w:t>Loneliness and social isolation</w:t>
      </w:r>
      <w:bookmarkEnd w:id="5"/>
      <w:r w:rsidR="00275900" w:rsidRPr="00B700B3">
        <w:rPr>
          <w:rFonts w:ascii="Arial" w:hAnsi="Arial" w:cs="Arial"/>
          <w:sz w:val="22"/>
          <w:szCs w:val="22"/>
        </w:rPr>
        <w:t xml:space="preserve"> </w:t>
      </w:r>
    </w:p>
    <w:p w14:paraId="23048C46" w14:textId="3E198CB3" w:rsidR="00793380" w:rsidRPr="00B700B3" w:rsidRDefault="00793380" w:rsidP="00793380">
      <w:pPr>
        <w:rPr>
          <w:rFonts w:ascii="Arial" w:hAnsi="Arial" w:cs="Arial"/>
        </w:rPr>
      </w:pPr>
      <w:r w:rsidRPr="00B700B3">
        <w:rPr>
          <w:rFonts w:ascii="Arial" w:hAnsi="Arial" w:cs="Arial"/>
        </w:rPr>
        <w:t>Loneliness and social isolation have been found to have detrimental health effects on human being</w:t>
      </w:r>
      <w:r w:rsidR="006666CF" w:rsidRPr="00B700B3">
        <w:rPr>
          <w:rFonts w:ascii="Arial" w:hAnsi="Arial" w:cs="Arial"/>
        </w:rPr>
        <w:t>s</w:t>
      </w:r>
      <w:r w:rsidRPr="00B700B3">
        <w:rPr>
          <w:rFonts w:ascii="Arial" w:hAnsi="Arial" w:cs="Arial"/>
        </w:rPr>
        <w:t xml:space="preserve">. Many older people are vulnerable to social isolation and loneliness. Studies have found that these two factors are contributing to cognitive decline, developing depression and anxiety and even heart disease. Social isolation is defined as the process of separating from other people, whilst loneliness </w:t>
      </w:r>
      <w:r w:rsidR="006666CF" w:rsidRPr="00B700B3">
        <w:rPr>
          <w:rFonts w:ascii="Arial" w:hAnsi="Arial" w:cs="Arial"/>
        </w:rPr>
        <w:t xml:space="preserve">can be explained as the feeling one experiences when being left alone and or separated. These processes are explained by the neuroscientist, Cacioppo in the Evolutionary Theory of Loneliness. He believed that loneliness can even lead to a premature death as this affects a person psychology and body functions. Research shows that the feeling of loneliness can trigger an immune response that increases the body inflammation and reduces the ability to heal from illness, therefore increasing the prevalence of developing chronic diseases. (National Institute on Aging, 2019). </w:t>
      </w:r>
    </w:p>
    <w:p w14:paraId="6FBB309C" w14:textId="7344C5C7" w:rsidR="001B1B9B" w:rsidRPr="00B700B3" w:rsidRDefault="001B1B9B" w:rsidP="001B1B9B">
      <w:pPr>
        <w:rPr>
          <w:rFonts w:ascii="Arial" w:hAnsi="Arial" w:cs="Arial"/>
        </w:rPr>
      </w:pPr>
      <w:r w:rsidRPr="00B700B3">
        <w:rPr>
          <w:rFonts w:ascii="Arial" w:hAnsi="Arial" w:cs="Arial"/>
        </w:rPr>
        <w:t xml:space="preserve">Causes of loneliness and isolation can vary from leaving the employment environment, disability incidence and the death of life partners and friends. The lack of family connections and social </w:t>
      </w:r>
      <w:r w:rsidR="004855F6" w:rsidRPr="00B700B3">
        <w:rPr>
          <w:rFonts w:ascii="Arial" w:hAnsi="Arial" w:cs="Arial"/>
        </w:rPr>
        <w:t xml:space="preserve">relationships are also contributing factors. (Singh and </w:t>
      </w:r>
      <w:proofErr w:type="spellStart"/>
      <w:r w:rsidR="004855F6" w:rsidRPr="00B700B3">
        <w:rPr>
          <w:rFonts w:ascii="Arial" w:hAnsi="Arial" w:cs="Arial"/>
        </w:rPr>
        <w:t>Misra</w:t>
      </w:r>
      <w:proofErr w:type="spellEnd"/>
      <w:r w:rsidR="004855F6" w:rsidRPr="00B700B3">
        <w:rPr>
          <w:rFonts w:ascii="Arial" w:hAnsi="Arial" w:cs="Arial"/>
        </w:rPr>
        <w:t>, 2022).</w:t>
      </w:r>
    </w:p>
    <w:p w14:paraId="778ADCE5" w14:textId="5568F65C" w:rsidR="001B1B9B" w:rsidRPr="00B700B3" w:rsidRDefault="001B1B9B" w:rsidP="00793380">
      <w:pPr>
        <w:rPr>
          <w:rFonts w:ascii="Arial" w:hAnsi="Arial" w:cs="Arial"/>
        </w:rPr>
      </w:pPr>
      <w:r w:rsidRPr="00B700B3">
        <w:rPr>
          <w:rFonts w:ascii="Arial" w:hAnsi="Arial" w:cs="Arial"/>
        </w:rPr>
        <w:t xml:space="preserve">In the UK, it is more common for people over 75 to experience loneliness and societal isolation. An estimate of over 2 million people over this age are living alone. Statistics also show that over half of them can spend more than a month at a time without speaking to someone. </w:t>
      </w:r>
      <w:r w:rsidR="004855F6" w:rsidRPr="00B700B3">
        <w:rPr>
          <w:rFonts w:ascii="Arial" w:hAnsi="Arial" w:cs="Arial"/>
        </w:rPr>
        <w:t xml:space="preserve">(NHS, 2021). The link between disease development and loneliness is also shown in A&amp;E visits. It is believed that people living alone are 50% more likely to access A&amp;E services compared to those who live with other people. Over 20% of older people visit their </w:t>
      </w:r>
      <w:r w:rsidR="003E562D" w:rsidRPr="00B700B3">
        <w:rPr>
          <w:rFonts w:ascii="Arial" w:hAnsi="Arial" w:cs="Arial"/>
        </w:rPr>
        <w:t>GPs</w:t>
      </w:r>
      <w:r w:rsidR="004855F6" w:rsidRPr="00B700B3">
        <w:rPr>
          <w:rFonts w:ascii="Arial" w:hAnsi="Arial" w:cs="Arial"/>
        </w:rPr>
        <w:t xml:space="preserve"> in the UK at least monthly, whereas only 14% of elderly who live with someone do</w:t>
      </w:r>
      <w:r w:rsidR="003E562D" w:rsidRPr="00B700B3">
        <w:rPr>
          <w:rFonts w:ascii="Arial" w:hAnsi="Arial" w:cs="Arial"/>
        </w:rPr>
        <w:t xml:space="preserve"> so. (The Health Foundation, 2018). </w:t>
      </w:r>
    </w:p>
    <w:p w14:paraId="5B36B58A" w14:textId="1ED08BDF" w:rsidR="003E562D" w:rsidRPr="00B700B3" w:rsidRDefault="003E562D" w:rsidP="00793380">
      <w:pPr>
        <w:rPr>
          <w:rFonts w:ascii="Arial" w:hAnsi="Arial" w:cs="Arial"/>
        </w:rPr>
      </w:pPr>
      <w:r w:rsidRPr="00B700B3">
        <w:rPr>
          <w:rFonts w:ascii="Arial" w:hAnsi="Arial" w:cs="Arial"/>
        </w:rPr>
        <w:t xml:space="preserve">Statistics in Australia are very similar, with over 75-year-olds being most likely to experience loneliness and social isolation, and over 65-year-olds experiencing more and more the effects of living alone. (Relationships Australia, 2022). </w:t>
      </w:r>
      <w:r w:rsidR="0073432D" w:rsidRPr="00B700B3">
        <w:rPr>
          <w:rFonts w:ascii="Arial" w:hAnsi="Arial" w:cs="Arial"/>
        </w:rPr>
        <w:t xml:space="preserve">Before the Covid-19 pandemic, one in five elderly adults were experiencing social isolation. </w:t>
      </w:r>
      <w:r w:rsidR="00651276" w:rsidRPr="00B700B3">
        <w:rPr>
          <w:rFonts w:ascii="Arial" w:hAnsi="Arial" w:cs="Arial"/>
        </w:rPr>
        <w:t xml:space="preserve">(Thompson, </w:t>
      </w:r>
      <w:proofErr w:type="gramStart"/>
      <w:r w:rsidR="00651276" w:rsidRPr="00B700B3">
        <w:rPr>
          <w:rFonts w:ascii="Arial" w:hAnsi="Arial" w:cs="Arial"/>
        </w:rPr>
        <w:t>Morris</w:t>
      </w:r>
      <w:proofErr w:type="gramEnd"/>
      <w:r w:rsidR="00651276" w:rsidRPr="00B700B3">
        <w:rPr>
          <w:rFonts w:ascii="Arial" w:hAnsi="Arial" w:cs="Arial"/>
        </w:rPr>
        <w:t xml:space="preserve"> and Bird, 2022). </w:t>
      </w:r>
    </w:p>
    <w:p w14:paraId="3F386E5B" w14:textId="72EE80D5" w:rsidR="00275900" w:rsidRPr="00B700B3" w:rsidRDefault="00275900" w:rsidP="00793380">
      <w:pPr>
        <w:rPr>
          <w:rFonts w:ascii="Arial" w:hAnsi="Arial" w:cs="Arial"/>
        </w:rPr>
      </w:pPr>
    </w:p>
    <w:p w14:paraId="42D15B2C" w14:textId="74A3811F" w:rsidR="00275900" w:rsidRPr="00B700B3" w:rsidRDefault="00275900" w:rsidP="00793380">
      <w:pPr>
        <w:rPr>
          <w:rFonts w:ascii="Arial" w:hAnsi="Arial" w:cs="Arial"/>
        </w:rPr>
      </w:pPr>
    </w:p>
    <w:p w14:paraId="3F9D6FCF" w14:textId="3FEC7F1C" w:rsidR="00275900" w:rsidRPr="00B700B3" w:rsidRDefault="00275900" w:rsidP="00275900">
      <w:pPr>
        <w:pStyle w:val="Heading1"/>
        <w:rPr>
          <w:rFonts w:ascii="Arial" w:hAnsi="Arial" w:cs="Arial"/>
          <w:sz w:val="22"/>
          <w:szCs w:val="22"/>
        </w:rPr>
      </w:pPr>
      <w:bookmarkStart w:id="6" w:name="_Toc123676126"/>
      <w:r w:rsidRPr="00B700B3">
        <w:rPr>
          <w:rFonts w:ascii="Arial" w:hAnsi="Arial" w:cs="Arial"/>
          <w:sz w:val="22"/>
          <w:szCs w:val="22"/>
        </w:rPr>
        <w:t>7 Relevant theories of loneliness and isolation</w:t>
      </w:r>
      <w:bookmarkEnd w:id="6"/>
    </w:p>
    <w:p w14:paraId="705BCAED" w14:textId="1643B9B7" w:rsidR="00155B9A" w:rsidRPr="00B700B3" w:rsidRDefault="005236F5" w:rsidP="00793380">
      <w:pPr>
        <w:rPr>
          <w:rFonts w:ascii="Arial" w:hAnsi="Arial" w:cs="Arial"/>
        </w:rPr>
      </w:pPr>
      <w:r w:rsidRPr="00B700B3">
        <w:rPr>
          <w:rFonts w:ascii="Arial" w:hAnsi="Arial" w:cs="Arial"/>
        </w:rPr>
        <w:t>Psychological theories of aging address the social and personal adjustments an older person goes through once older age is reached.</w:t>
      </w:r>
      <w:r w:rsidR="00146931" w:rsidRPr="00B700B3">
        <w:rPr>
          <w:rFonts w:ascii="Arial" w:hAnsi="Arial" w:cs="Arial"/>
        </w:rPr>
        <w:t xml:space="preserve"> These theories are a result of American researchers and explore the levels of an individual satisfaction </w:t>
      </w:r>
      <w:r w:rsidR="00ED5754" w:rsidRPr="00B700B3">
        <w:rPr>
          <w:rFonts w:ascii="Arial" w:hAnsi="Arial" w:cs="Arial"/>
        </w:rPr>
        <w:t>because of</w:t>
      </w:r>
      <w:r w:rsidR="00146931" w:rsidRPr="00B700B3">
        <w:rPr>
          <w:rFonts w:ascii="Arial" w:hAnsi="Arial" w:cs="Arial"/>
        </w:rPr>
        <w:t xml:space="preserve"> social interaction and engagement. </w:t>
      </w:r>
      <w:r w:rsidRPr="00B700B3">
        <w:rPr>
          <w:rFonts w:ascii="Arial" w:hAnsi="Arial" w:cs="Arial"/>
        </w:rPr>
        <w:t xml:space="preserve"> Disengagement theory address the process that occurs once one is retired and gradually </w:t>
      </w:r>
      <w:r w:rsidR="00146931" w:rsidRPr="00B700B3">
        <w:rPr>
          <w:rFonts w:ascii="Arial" w:hAnsi="Arial" w:cs="Arial"/>
        </w:rPr>
        <w:t>withdrawing from society. This theory refers to the aspects of an older person once they are no longer the centre of their family and their children. This is viewed as an inevitable process where the older person slowly separates from social activities</w:t>
      </w:r>
      <w:r w:rsidR="00DA7462" w:rsidRPr="00B700B3">
        <w:rPr>
          <w:rFonts w:ascii="Arial" w:hAnsi="Arial" w:cs="Arial"/>
        </w:rPr>
        <w:t xml:space="preserve"> and </w:t>
      </w:r>
      <w:r w:rsidR="00DA7462" w:rsidRPr="00B700B3">
        <w:rPr>
          <w:rFonts w:ascii="Arial" w:hAnsi="Arial" w:cs="Arial"/>
        </w:rPr>
        <w:lastRenderedPageBreak/>
        <w:t>institutions</w:t>
      </w:r>
      <w:r w:rsidR="00146931" w:rsidRPr="00B700B3">
        <w:rPr>
          <w:rFonts w:ascii="Arial" w:hAnsi="Arial" w:cs="Arial"/>
        </w:rPr>
        <w:t xml:space="preserve">. (Science Direct, 2016). </w:t>
      </w:r>
      <w:r w:rsidR="00DA7462" w:rsidRPr="00B700B3">
        <w:rPr>
          <w:rFonts w:ascii="Arial" w:hAnsi="Arial" w:cs="Arial"/>
        </w:rPr>
        <w:t xml:space="preserve">The American researchers, </w:t>
      </w:r>
      <w:proofErr w:type="gramStart"/>
      <w:r w:rsidR="00DA7462" w:rsidRPr="00B700B3">
        <w:rPr>
          <w:rFonts w:ascii="Arial" w:hAnsi="Arial" w:cs="Arial"/>
        </w:rPr>
        <w:t>Cumming</w:t>
      </w:r>
      <w:proofErr w:type="gramEnd"/>
      <w:r w:rsidR="00DA7462" w:rsidRPr="00B700B3">
        <w:rPr>
          <w:rFonts w:ascii="Arial" w:hAnsi="Arial" w:cs="Arial"/>
        </w:rPr>
        <w:t xml:space="preserve"> and Henry, have developed these theories explaining the older person withdrawal from society in anticipation of death. This process is seen to improve the older person quality of life according to the theory. This has been widely criticised and various other studies were conducted to help discredit it. Future studies showed opposite to the theory results, with very social engaged older people having higher life satisfaction. But this has been proven to be subjective, with many older adults choosing to separate from society and retire at a young </w:t>
      </w:r>
      <w:r w:rsidR="003964AC" w:rsidRPr="00B700B3">
        <w:rPr>
          <w:rFonts w:ascii="Arial" w:hAnsi="Arial" w:cs="Arial"/>
        </w:rPr>
        <w:t>age and</w:t>
      </w:r>
      <w:r w:rsidR="00DA7462" w:rsidRPr="00B700B3">
        <w:rPr>
          <w:rFonts w:ascii="Arial" w:hAnsi="Arial" w:cs="Arial"/>
        </w:rPr>
        <w:t xml:space="preserve"> having great levels of satisfaction. </w:t>
      </w:r>
      <w:r w:rsidR="003964AC" w:rsidRPr="00B700B3">
        <w:rPr>
          <w:rFonts w:ascii="Arial" w:hAnsi="Arial" w:cs="Arial"/>
        </w:rPr>
        <w:t xml:space="preserve">(Palmore, Branch and Harris, 2016, pp.113–116). </w:t>
      </w:r>
    </w:p>
    <w:p w14:paraId="1DE5AE49" w14:textId="08ECF266" w:rsidR="001C7FA5" w:rsidRPr="00B700B3" w:rsidRDefault="00155B9A" w:rsidP="00793380">
      <w:pPr>
        <w:rPr>
          <w:rFonts w:ascii="Arial" w:hAnsi="Arial" w:cs="Arial"/>
        </w:rPr>
      </w:pPr>
      <w:r w:rsidRPr="00B700B3">
        <w:rPr>
          <w:rFonts w:ascii="Arial" w:hAnsi="Arial" w:cs="Arial"/>
        </w:rPr>
        <w:t xml:space="preserve">Activity, Continuity, Disengagement, </w:t>
      </w:r>
      <w:proofErr w:type="spellStart"/>
      <w:r w:rsidRPr="00B700B3">
        <w:rPr>
          <w:rFonts w:ascii="Arial" w:hAnsi="Arial" w:cs="Arial"/>
        </w:rPr>
        <w:t>Gerotranscedence</w:t>
      </w:r>
      <w:proofErr w:type="spellEnd"/>
      <w:r w:rsidRPr="00B700B3">
        <w:rPr>
          <w:rFonts w:ascii="Arial" w:hAnsi="Arial" w:cs="Arial"/>
        </w:rPr>
        <w:t xml:space="preserve">, Modernisation and Socioemotional Selectivity, are the most common psychosocial theories when discussing aging. </w:t>
      </w:r>
      <w:r w:rsidR="001C7FA5" w:rsidRPr="00B700B3">
        <w:rPr>
          <w:rFonts w:ascii="Arial" w:hAnsi="Arial" w:cs="Arial"/>
        </w:rPr>
        <w:t xml:space="preserve"> The Activity Theory developed by Cavan et al. state that the more socially active an older person is, the greatest the life satisfaction is. This is the opposite of disengagement. The increased levels of activity only influence positively one’s life, and that successful aging is closely linked to these factors. Atchley Continuity Theory explains hoe older people have the desire to maintain same hobbies, preoccupations, and habits as they grow older. This offers a sense of stability and security. Giving up old activities leads to social disengagement. </w:t>
      </w:r>
      <w:proofErr w:type="spellStart"/>
      <w:r w:rsidR="001C7FA5" w:rsidRPr="00B700B3">
        <w:rPr>
          <w:rFonts w:ascii="Arial" w:hAnsi="Arial" w:cs="Arial"/>
        </w:rPr>
        <w:t>Grotranscedence</w:t>
      </w:r>
      <w:proofErr w:type="spellEnd"/>
      <w:r w:rsidR="001C7FA5" w:rsidRPr="00B700B3">
        <w:rPr>
          <w:rFonts w:ascii="Arial" w:hAnsi="Arial" w:cs="Arial"/>
        </w:rPr>
        <w:t xml:space="preserve"> Theory belonging to Lars </w:t>
      </w:r>
      <w:proofErr w:type="spellStart"/>
      <w:r w:rsidR="001C7FA5" w:rsidRPr="00B700B3">
        <w:rPr>
          <w:rFonts w:ascii="Arial" w:hAnsi="Arial" w:cs="Arial"/>
        </w:rPr>
        <w:t>Tornstam</w:t>
      </w:r>
      <w:proofErr w:type="spellEnd"/>
      <w:r w:rsidR="001C7FA5" w:rsidRPr="00B700B3">
        <w:rPr>
          <w:rFonts w:ascii="Arial" w:hAnsi="Arial" w:cs="Arial"/>
        </w:rPr>
        <w:t>, explains how older people give life a more peaceful and positive meaning. This leads to a better state of health and is powerfully linked to spirituality. Modernisation Theory</w:t>
      </w:r>
      <w:r w:rsidR="00275900" w:rsidRPr="00B700B3">
        <w:rPr>
          <w:rFonts w:ascii="Arial" w:hAnsi="Arial" w:cs="Arial"/>
        </w:rPr>
        <w:t xml:space="preserve"> explain the negative more modern approach towards aging. This explains the limited use older people have in a more modern world. As urbanisation have replaced agricultural era, the older person has lost the social status. The proposed Socioemotional Selectivity Theory proposed by Carstensen go on to describe the process of narrowing of social networks for old people. This is a result of a more emotional significance of things when facing the end of life. (Heinz et al., 2017). </w:t>
      </w:r>
    </w:p>
    <w:p w14:paraId="051BEB1B" w14:textId="77777777" w:rsidR="004D60EB" w:rsidRPr="00B700B3" w:rsidRDefault="004D60EB" w:rsidP="00793380">
      <w:pPr>
        <w:rPr>
          <w:rFonts w:ascii="Arial" w:hAnsi="Arial" w:cs="Arial"/>
        </w:rPr>
      </w:pPr>
    </w:p>
    <w:p w14:paraId="31D415EE" w14:textId="6F036EB6" w:rsidR="00404C98" w:rsidRDefault="005C02EF" w:rsidP="00404C98">
      <w:pPr>
        <w:pStyle w:val="Heading1"/>
        <w:rPr>
          <w:rFonts w:ascii="Arial" w:hAnsi="Arial" w:cs="Arial"/>
          <w:sz w:val="22"/>
          <w:szCs w:val="22"/>
        </w:rPr>
      </w:pPr>
      <w:bookmarkStart w:id="7" w:name="_Toc123676127"/>
      <w:r w:rsidRPr="00B700B3">
        <w:rPr>
          <w:rFonts w:ascii="Arial" w:hAnsi="Arial" w:cs="Arial"/>
          <w:sz w:val="22"/>
          <w:szCs w:val="22"/>
        </w:rPr>
        <w:t>8</w:t>
      </w:r>
      <w:r w:rsidR="00404C98" w:rsidRPr="00B700B3">
        <w:rPr>
          <w:rFonts w:ascii="Arial" w:hAnsi="Arial" w:cs="Arial"/>
          <w:sz w:val="22"/>
          <w:szCs w:val="22"/>
        </w:rPr>
        <w:t xml:space="preserve"> </w:t>
      </w:r>
      <w:r w:rsidR="00C179DA">
        <w:rPr>
          <w:rFonts w:ascii="Arial" w:hAnsi="Arial" w:cs="Arial"/>
          <w:sz w:val="22"/>
          <w:szCs w:val="22"/>
        </w:rPr>
        <w:t>I</w:t>
      </w:r>
      <w:r w:rsidR="00404C98" w:rsidRPr="00B700B3">
        <w:rPr>
          <w:rFonts w:ascii="Arial" w:hAnsi="Arial" w:cs="Arial"/>
          <w:sz w:val="22"/>
          <w:szCs w:val="22"/>
        </w:rPr>
        <w:t>mpact of loneliness and isolation on an older person living within</w:t>
      </w:r>
      <w:r w:rsidR="004D60EB" w:rsidRPr="00B700B3">
        <w:rPr>
          <w:rFonts w:ascii="Arial" w:hAnsi="Arial" w:cs="Arial"/>
          <w:sz w:val="22"/>
          <w:szCs w:val="22"/>
        </w:rPr>
        <w:t xml:space="preserve"> care settings</w:t>
      </w:r>
      <w:bookmarkEnd w:id="7"/>
    </w:p>
    <w:p w14:paraId="5CBBA945" w14:textId="6D7A74F3" w:rsidR="00434162" w:rsidRPr="00B700B3" w:rsidRDefault="00434162" w:rsidP="00434162">
      <w:pPr>
        <w:rPr>
          <w:rFonts w:ascii="Arial" w:hAnsi="Arial" w:cs="Arial"/>
        </w:rPr>
      </w:pPr>
      <w:r w:rsidRPr="00B700B3">
        <w:rPr>
          <w:rFonts w:ascii="Arial" w:hAnsi="Arial" w:cs="Arial"/>
        </w:rPr>
        <w:t>The average life expectancy in Australia has risen to above 80 years for both sexes. Australians over 65 are the demographic group that is expanding the quickest. A brand-new image of the need for community aged care services is emerging on a national and worldwide scale. Greater numbers of older individuals in the population</w:t>
      </w:r>
      <w:r w:rsidR="007837F7" w:rsidRPr="00B700B3">
        <w:rPr>
          <w:rFonts w:ascii="Arial" w:hAnsi="Arial" w:cs="Arial"/>
        </w:rPr>
        <w:t>,</w:t>
      </w:r>
      <w:r w:rsidRPr="00B700B3">
        <w:rPr>
          <w:rFonts w:ascii="Arial" w:hAnsi="Arial" w:cs="Arial"/>
        </w:rPr>
        <w:t xml:space="preserve"> and a growing choice </w:t>
      </w:r>
      <w:r w:rsidR="007837F7" w:rsidRPr="00B700B3">
        <w:rPr>
          <w:rFonts w:ascii="Arial" w:hAnsi="Arial" w:cs="Arial"/>
        </w:rPr>
        <w:t>to</w:t>
      </w:r>
      <w:r w:rsidRPr="00B700B3">
        <w:rPr>
          <w:rFonts w:ascii="Arial" w:hAnsi="Arial" w:cs="Arial"/>
        </w:rPr>
        <w:t xml:space="preserve"> receive help in one's own home are driving this shift in demand. According to research, lonely older persons are tw</w:t>
      </w:r>
      <w:r w:rsidR="001C2917">
        <w:rPr>
          <w:rFonts w:ascii="Arial" w:hAnsi="Arial" w:cs="Arial"/>
        </w:rPr>
        <w:t>o times more</w:t>
      </w:r>
      <w:r w:rsidRPr="00B700B3">
        <w:rPr>
          <w:rFonts w:ascii="Arial" w:hAnsi="Arial" w:cs="Arial"/>
        </w:rPr>
        <w:t xml:space="preserve"> </w:t>
      </w:r>
      <w:r w:rsidR="001C2917">
        <w:rPr>
          <w:rFonts w:ascii="Arial" w:hAnsi="Arial" w:cs="Arial"/>
        </w:rPr>
        <w:t>prone</w:t>
      </w:r>
      <w:r w:rsidRPr="00B700B3">
        <w:rPr>
          <w:rFonts w:ascii="Arial" w:hAnsi="Arial" w:cs="Arial"/>
        </w:rPr>
        <w:t xml:space="preserve"> to be admitted to residential aged care than non-lonely older adults, and lonely people are 60% more likely to need emergency services.</w:t>
      </w:r>
      <w:r w:rsidR="001C2917">
        <w:rPr>
          <w:rFonts w:ascii="Arial" w:hAnsi="Arial" w:cs="Arial"/>
        </w:rPr>
        <w:t xml:space="preserve"> </w:t>
      </w:r>
      <w:r w:rsidRPr="00B700B3">
        <w:rPr>
          <w:rFonts w:ascii="Arial" w:hAnsi="Arial" w:cs="Arial"/>
        </w:rPr>
        <w:t>The negative effects on one's health are severe because loneliness can cause sleep disturbances, high blood pressure,</w:t>
      </w:r>
      <w:r w:rsidR="007837F7" w:rsidRPr="00B700B3">
        <w:rPr>
          <w:rFonts w:ascii="Arial" w:hAnsi="Arial" w:cs="Arial"/>
        </w:rPr>
        <w:t xml:space="preserve"> detrimental immune </w:t>
      </w:r>
      <w:r w:rsidR="001C2917" w:rsidRPr="00B700B3">
        <w:rPr>
          <w:rFonts w:ascii="Arial" w:hAnsi="Arial" w:cs="Arial"/>
        </w:rPr>
        <w:t>responses,</w:t>
      </w:r>
      <w:r w:rsidR="007837F7" w:rsidRPr="00B700B3">
        <w:rPr>
          <w:rFonts w:ascii="Arial" w:hAnsi="Arial" w:cs="Arial"/>
        </w:rPr>
        <w:t xml:space="preserve"> and depression. (The University of Melbourne, 2019). </w:t>
      </w:r>
    </w:p>
    <w:p w14:paraId="3BC8FCDF" w14:textId="77777777" w:rsidR="003C360D" w:rsidRPr="00B700B3" w:rsidRDefault="007837F7" w:rsidP="00434162">
      <w:pPr>
        <w:rPr>
          <w:rFonts w:ascii="Arial" w:hAnsi="Arial" w:cs="Arial"/>
        </w:rPr>
      </w:pPr>
      <w:r w:rsidRPr="00B700B3">
        <w:rPr>
          <w:rFonts w:ascii="Arial" w:hAnsi="Arial" w:cs="Arial"/>
        </w:rPr>
        <w:t>Loneliness is a regular occurrence for senior citizens living in long-term care facilities, and cross-sectional studies have linked it to depression, suicide ideation, and frailty. (</w:t>
      </w:r>
      <w:proofErr w:type="spellStart"/>
      <w:r w:rsidRPr="00B700B3">
        <w:rPr>
          <w:rFonts w:ascii="Arial" w:hAnsi="Arial" w:cs="Arial"/>
        </w:rPr>
        <w:t>Lapane</w:t>
      </w:r>
      <w:proofErr w:type="spellEnd"/>
      <w:r w:rsidRPr="00B700B3">
        <w:rPr>
          <w:rFonts w:ascii="Arial" w:hAnsi="Arial" w:cs="Arial"/>
        </w:rPr>
        <w:t xml:space="preserve"> et al., 2022).</w:t>
      </w:r>
    </w:p>
    <w:p w14:paraId="2BF9B2CC" w14:textId="0FD38EDE" w:rsidR="007837F7" w:rsidRPr="00B700B3" w:rsidRDefault="003C360D" w:rsidP="00434162">
      <w:pPr>
        <w:rPr>
          <w:rFonts w:ascii="Arial" w:hAnsi="Arial" w:cs="Arial"/>
        </w:rPr>
      </w:pPr>
      <w:r w:rsidRPr="00B700B3">
        <w:rPr>
          <w:rFonts w:ascii="Arial" w:hAnsi="Arial" w:cs="Arial"/>
        </w:rPr>
        <w:t xml:space="preserve">After Covid-19 pandemic happened, there were some very important highlights drawn from the social isolation the elderly faced in care homes. Some voices went as far as deeming social connections as basic human rights. Studies have found social isolation to have serious impact on the quality of life of elderly residents. They are referred to as devastating issues concerning human dignity and equality. The restrictive rules surrounding close </w:t>
      </w:r>
      <w:proofErr w:type="gramStart"/>
      <w:r w:rsidRPr="00B700B3">
        <w:rPr>
          <w:rFonts w:ascii="Arial" w:hAnsi="Arial" w:cs="Arial"/>
        </w:rPr>
        <w:t>relatives</w:t>
      </w:r>
      <w:proofErr w:type="gramEnd"/>
      <w:r w:rsidRPr="00B700B3">
        <w:rPr>
          <w:rFonts w:ascii="Arial" w:hAnsi="Arial" w:cs="Arial"/>
        </w:rPr>
        <w:t xml:space="preserve"> visitation of older people in care home settings have been seen to impact their mental health. There have been seen a decline in mental health overall state</w:t>
      </w:r>
      <w:r w:rsidR="0081294F" w:rsidRPr="00B700B3">
        <w:rPr>
          <w:rFonts w:ascii="Arial" w:hAnsi="Arial" w:cs="Arial"/>
        </w:rPr>
        <w:t xml:space="preserve"> and</w:t>
      </w:r>
      <w:r w:rsidRPr="00B700B3">
        <w:rPr>
          <w:rFonts w:ascii="Arial" w:hAnsi="Arial" w:cs="Arial"/>
        </w:rPr>
        <w:t xml:space="preserve"> an increase in symptoms in schizophrenia and depression</w:t>
      </w:r>
      <w:r w:rsidR="0081294F" w:rsidRPr="00B700B3">
        <w:rPr>
          <w:rFonts w:ascii="Arial" w:hAnsi="Arial" w:cs="Arial"/>
        </w:rPr>
        <w:t xml:space="preserve">. UK studies found the “no visitors” </w:t>
      </w:r>
      <w:r w:rsidR="0081294F" w:rsidRPr="00B700B3">
        <w:rPr>
          <w:rFonts w:ascii="Arial" w:hAnsi="Arial" w:cs="Arial"/>
        </w:rPr>
        <w:lastRenderedPageBreak/>
        <w:t>allowed policies, leading to social isolation and loneliness have contributed as factors to premature deaths. For people living with dementia, especially, the lockdown measures have stopped them from having social contact and a daily routine. This is very important for the sufferers as these factors have major benefits on their health and symptoms management. The overall health decline in care home residents has enabled the UK Government thru the Department of Health and Social Care to implement</w:t>
      </w:r>
      <w:r w:rsidR="00604AF3" w:rsidRPr="00B700B3">
        <w:rPr>
          <w:rFonts w:ascii="Arial" w:hAnsi="Arial" w:cs="Arial"/>
        </w:rPr>
        <w:t xml:space="preserve"> in 2021</w:t>
      </w:r>
      <w:r w:rsidR="0081294F" w:rsidRPr="00B700B3">
        <w:rPr>
          <w:rFonts w:ascii="Arial" w:hAnsi="Arial" w:cs="Arial"/>
        </w:rPr>
        <w:t xml:space="preserve"> a new guidance</w:t>
      </w:r>
      <w:r w:rsidR="00604AF3" w:rsidRPr="00B700B3">
        <w:rPr>
          <w:rFonts w:ascii="Arial" w:hAnsi="Arial" w:cs="Arial"/>
        </w:rPr>
        <w:t xml:space="preserve">. The “essential care giver” is a new tool that enables each older person in care homes to have one person that can visit them without experiencing any form of limitations. (NIHR, 2022). </w:t>
      </w:r>
    </w:p>
    <w:p w14:paraId="421C8F66" w14:textId="77777777" w:rsidR="004D60EB" w:rsidRPr="00B700B3" w:rsidRDefault="004D60EB" w:rsidP="00434162">
      <w:pPr>
        <w:rPr>
          <w:rFonts w:ascii="Arial" w:hAnsi="Arial" w:cs="Arial"/>
        </w:rPr>
      </w:pPr>
    </w:p>
    <w:p w14:paraId="09CC5563" w14:textId="0591EC03" w:rsidR="00404C98" w:rsidRPr="00B700B3" w:rsidRDefault="005C02EF" w:rsidP="00404C98">
      <w:pPr>
        <w:pStyle w:val="Heading1"/>
        <w:rPr>
          <w:rFonts w:ascii="Arial" w:hAnsi="Arial" w:cs="Arial"/>
          <w:sz w:val="22"/>
          <w:szCs w:val="22"/>
        </w:rPr>
      </w:pPr>
      <w:bookmarkStart w:id="8" w:name="_Toc123676128"/>
      <w:r w:rsidRPr="00B700B3">
        <w:rPr>
          <w:rFonts w:ascii="Arial" w:hAnsi="Arial" w:cs="Arial"/>
          <w:sz w:val="22"/>
          <w:szCs w:val="22"/>
        </w:rPr>
        <w:t>9</w:t>
      </w:r>
      <w:r w:rsidR="00404C98" w:rsidRPr="00B700B3">
        <w:rPr>
          <w:rFonts w:ascii="Arial" w:hAnsi="Arial" w:cs="Arial"/>
          <w:sz w:val="22"/>
          <w:szCs w:val="22"/>
        </w:rPr>
        <w:t xml:space="preserve"> </w:t>
      </w:r>
      <w:r w:rsidRPr="00B700B3">
        <w:rPr>
          <w:rFonts w:ascii="Arial" w:hAnsi="Arial" w:cs="Arial"/>
          <w:sz w:val="22"/>
          <w:szCs w:val="22"/>
        </w:rPr>
        <w:t>C</w:t>
      </w:r>
      <w:r w:rsidR="00404C98" w:rsidRPr="00B700B3">
        <w:rPr>
          <w:rFonts w:ascii="Arial" w:hAnsi="Arial" w:cs="Arial"/>
          <w:sz w:val="22"/>
          <w:szCs w:val="22"/>
        </w:rPr>
        <w:t>urrent legislation and policies that aim to raise awareness or reduce loneliness and isolation in the elderly population.</w:t>
      </w:r>
      <w:bookmarkEnd w:id="8"/>
    </w:p>
    <w:p w14:paraId="7A957F7A" w14:textId="3039BF28" w:rsidR="009134EF" w:rsidRPr="00B700B3" w:rsidRDefault="00793380" w:rsidP="00793380">
      <w:pPr>
        <w:rPr>
          <w:rFonts w:ascii="Arial" w:hAnsi="Arial" w:cs="Arial"/>
        </w:rPr>
      </w:pPr>
      <w:r w:rsidRPr="00B700B3">
        <w:rPr>
          <w:rFonts w:ascii="Arial" w:hAnsi="Arial" w:cs="Arial"/>
        </w:rPr>
        <w:t xml:space="preserve">Main issues the elderly population is facing are various. Ageism is one of them and is a form of discrimination based on stereotypes affecting both health and wellbeing of a person. </w:t>
      </w:r>
      <w:r w:rsidR="005C02EF" w:rsidRPr="00B700B3">
        <w:rPr>
          <w:rFonts w:ascii="Arial" w:hAnsi="Arial" w:cs="Arial"/>
        </w:rPr>
        <w:t xml:space="preserve">Age discrimination is protected under the Equality Act 2010. The act aims to protect discrimination in the form of services and goods provision and employment. </w:t>
      </w:r>
      <w:r w:rsidR="005666F6" w:rsidRPr="00B700B3">
        <w:rPr>
          <w:rFonts w:ascii="Arial" w:hAnsi="Arial" w:cs="Arial"/>
        </w:rPr>
        <w:t xml:space="preserve">Discrepancies have been found even in recent years. In the UK, in the year 2017 36% of people over 50 have experienced disadvantages in employment settings. It has also been found that people between 70 and 75 have experience poor treatment access to common health issues. </w:t>
      </w:r>
      <w:r w:rsidR="00996FD4" w:rsidRPr="00B700B3">
        <w:rPr>
          <w:rFonts w:ascii="Arial" w:hAnsi="Arial" w:cs="Arial"/>
        </w:rPr>
        <w:t xml:space="preserve">(Age UK, 2018). </w:t>
      </w:r>
      <w:r w:rsidR="00712DF4" w:rsidRPr="00B700B3">
        <w:rPr>
          <w:rFonts w:ascii="Arial" w:hAnsi="Arial" w:cs="Arial"/>
        </w:rPr>
        <w:t xml:space="preserve">Ageism invades many institutions and sectors of society, including health and social care agencies, the workplace, the </w:t>
      </w:r>
      <w:proofErr w:type="gramStart"/>
      <w:r w:rsidR="00712DF4" w:rsidRPr="00B700B3">
        <w:rPr>
          <w:rFonts w:ascii="Arial" w:hAnsi="Arial" w:cs="Arial"/>
        </w:rPr>
        <w:t>media</w:t>
      </w:r>
      <w:proofErr w:type="gramEnd"/>
      <w:r w:rsidR="00712DF4" w:rsidRPr="00B700B3">
        <w:rPr>
          <w:rFonts w:ascii="Arial" w:hAnsi="Arial" w:cs="Arial"/>
        </w:rPr>
        <w:t xml:space="preserve"> and the legal system. Age-limited rationing of health care is widespread. A 2020 systematic review showed that age determined who received a particular medical procedure or treatment in 85% of 149 studies. (World Health Organization, 2021). </w:t>
      </w:r>
    </w:p>
    <w:p w14:paraId="65A3B7B0" w14:textId="32674065" w:rsidR="00793380" w:rsidRPr="00B700B3" w:rsidRDefault="009134EF" w:rsidP="00793380">
      <w:pPr>
        <w:rPr>
          <w:rFonts w:ascii="Arial" w:hAnsi="Arial" w:cs="Arial"/>
        </w:rPr>
      </w:pPr>
      <w:r w:rsidRPr="00B700B3">
        <w:rPr>
          <w:rFonts w:ascii="Arial" w:hAnsi="Arial" w:cs="Arial"/>
        </w:rPr>
        <w:t>High-quality care has been demonstrated to be facilitated by a more person-cantered approach that builds on shared decision-making with care recipients, systematically explores and documents the person's subjective experiences, expectations, preferences, and needs, and incorporates these in care plans and delivery. (</w:t>
      </w:r>
      <w:proofErr w:type="spellStart"/>
      <w:r w:rsidRPr="00B700B3">
        <w:rPr>
          <w:rFonts w:ascii="Arial" w:hAnsi="Arial" w:cs="Arial"/>
        </w:rPr>
        <w:t>Bölenius</w:t>
      </w:r>
      <w:proofErr w:type="spellEnd"/>
      <w:r w:rsidRPr="00B700B3">
        <w:rPr>
          <w:rFonts w:ascii="Arial" w:hAnsi="Arial" w:cs="Arial"/>
        </w:rPr>
        <w:t xml:space="preserve"> et al., 2017). </w:t>
      </w:r>
    </w:p>
    <w:p w14:paraId="3E1E2B86" w14:textId="7D2A68BD" w:rsidR="00712DF4" w:rsidRPr="00B700B3" w:rsidRDefault="00712DF4" w:rsidP="00793380">
      <w:pPr>
        <w:rPr>
          <w:rFonts w:ascii="Arial" w:hAnsi="Arial" w:cs="Arial"/>
        </w:rPr>
      </w:pPr>
      <w:r w:rsidRPr="00B700B3">
        <w:rPr>
          <w:rFonts w:ascii="Arial" w:hAnsi="Arial" w:cs="Arial"/>
        </w:rPr>
        <w:t xml:space="preserve">Loneliness in also explored in the Care Act 2014. This sets care and support criteria and is </w:t>
      </w:r>
      <w:r w:rsidR="007D59D8" w:rsidRPr="00B700B3">
        <w:rPr>
          <w:rFonts w:ascii="Arial" w:hAnsi="Arial" w:cs="Arial"/>
        </w:rPr>
        <w:t xml:space="preserve">an </w:t>
      </w:r>
      <w:r w:rsidRPr="00B700B3">
        <w:rPr>
          <w:rFonts w:ascii="Arial" w:hAnsi="Arial" w:cs="Arial"/>
        </w:rPr>
        <w:t>eligible</w:t>
      </w:r>
      <w:r w:rsidR="007D59D8" w:rsidRPr="00B700B3">
        <w:rPr>
          <w:rFonts w:ascii="Arial" w:hAnsi="Arial" w:cs="Arial"/>
        </w:rPr>
        <w:t xml:space="preserve"> need</w:t>
      </w:r>
      <w:r w:rsidRPr="00B700B3">
        <w:rPr>
          <w:rFonts w:ascii="Arial" w:hAnsi="Arial" w:cs="Arial"/>
        </w:rPr>
        <w:t xml:space="preserve"> under the “Developing and maintaining family and other personal relationships”</w:t>
      </w:r>
      <w:r w:rsidR="007D59D8" w:rsidRPr="00B700B3">
        <w:rPr>
          <w:rFonts w:ascii="Arial" w:hAnsi="Arial" w:cs="Arial"/>
        </w:rPr>
        <w:t>, part of Care Act under the statutory guidance</w:t>
      </w:r>
      <w:r w:rsidRPr="00B700B3">
        <w:rPr>
          <w:rFonts w:ascii="Arial" w:hAnsi="Arial" w:cs="Arial"/>
        </w:rPr>
        <w:t xml:space="preserve">. This is addressed as a basic need in care. As a path of treatment in the </w:t>
      </w:r>
      <w:r w:rsidR="007D59D8" w:rsidRPr="00B700B3">
        <w:rPr>
          <w:rFonts w:ascii="Arial" w:hAnsi="Arial" w:cs="Arial"/>
        </w:rPr>
        <w:t>UK</w:t>
      </w:r>
      <w:r w:rsidRPr="00B700B3">
        <w:rPr>
          <w:rFonts w:ascii="Arial" w:hAnsi="Arial" w:cs="Arial"/>
        </w:rPr>
        <w:t xml:space="preserve"> the Care Act </w:t>
      </w:r>
      <w:r w:rsidR="007D59D8" w:rsidRPr="00B700B3">
        <w:rPr>
          <w:rFonts w:ascii="Arial" w:hAnsi="Arial" w:cs="Arial"/>
        </w:rPr>
        <w:t xml:space="preserve">provides support and programmes that address loneliness. Effective approaches have been made in the UK, for example the Campaign to end loneliness. Key principles are protected under the act and are free of discrimination, like, protection from abuse, the right to dignity and treatment, and physical and mental health wellbeing. (GOV.UK, 1980). </w:t>
      </w:r>
    </w:p>
    <w:p w14:paraId="5F010894" w14:textId="213A33EF" w:rsidR="00355D8F" w:rsidRPr="00B700B3" w:rsidRDefault="00355D8F" w:rsidP="00793380">
      <w:pPr>
        <w:rPr>
          <w:rFonts w:ascii="Arial" w:hAnsi="Arial" w:cs="Arial"/>
        </w:rPr>
      </w:pPr>
      <w:r w:rsidRPr="00B700B3">
        <w:rPr>
          <w:rFonts w:ascii="Arial" w:hAnsi="Arial" w:cs="Arial"/>
        </w:rPr>
        <w:t xml:space="preserve">Mental Capacity Act 2005 protects vulnerable people that are unable to decide for themselves. This introduced the statutory role of the Independent Mental Capacity Advocate (IMCA). Older people subject to this legislation usually are cognitive and dementia sufferers. This protects older people and encourages participation. If decisions would to be made by an advocate, they </w:t>
      </w:r>
      <w:r w:rsidR="00634547" w:rsidRPr="00B700B3">
        <w:rPr>
          <w:rFonts w:ascii="Arial" w:hAnsi="Arial" w:cs="Arial"/>
        </w:rPr>
        <w:t>need to be interfering the least with basic rights and freedoms. (NHS, 2021b). For example, the Huma</w:t>
      </w:r>
      <w:r w:rsidR="00867292" w:rsidRPr="00B700B3">
        <w:rPr>
          <w:rFonts w:ascii="Arial" w:hAnsi="Arial" w:cs="Arial"/>
        </w:rPr>
        <w:t>n</w:t>
      </w:r>
      <w:r w:rsidR="00634547" w:rsidRPr="00B700B3">
        <w:rPr>
          <w:rFonts w:ascii="Arial" w:hAnsi="Arial" w:cs="Arial"/>
        </w:rPr>
        <w:t xml:space="preserve"> Rights 1998 that addresses elementary rights such as the right of freedom, respect, </w:t>
      </w:r>
      <w:proofErr w:type="gramStart"/>
      <w:r w:rsidR="00634547" w:rsidRPr="00B700B3">
        <w:rPr>
          <w:rFonts w:ascii="Arial" w:hAnsi="Arial" w:cs="Arial"/>
        </w:rPr>
        <w:t>dignity</w:t>
      </w:r>
      <w:proofErr w:type="gramEnd"/>
      <w:r w:rsidR="00634547" w:rsidRPr="00B700B3">
        <w:rPr>
          <w:rFonts w:ascii="Arial" w:hAnsi="Arial" w:cs="Arial"/>
        </w:rPr>
        <w:t xml:space="preserve"> and autonomy. (Age UK, 2017). </w:t>
      </w:r>
    </w:p>
    <w:p w14:paraId="0950CD4E" w14:textId="77777777" w:rsidR="009134EF" w:rsidRPr="00B700B3" w:rsidRDefault="009134EF" w:rsidP="00793380">
      <w:pPr>
        <w:rPr>
          <w:rFonts w:ascii="Arial" w:hAnsi="Arial" w:cs="Arial"/>
        </w:rPr>
      </w:pPr>
    </w:p>
    <w:p w14:paraId="70FBA51D" w14:textId="3C44E2B6" w:rsidR="00404C98" w:rsidRPr="00B700B3" w:rsidRDefault="005C02EF" w:rsidP="00404C98">
      <w:pPr>
        <w:pStyle w:val="Heading1"/>
        <w:rPr>
          <w:rFonts w:ascii="Arial" w:hAnsi="Arial" w:cs="Arial"/>
          <w:sz w:val="22"/>
          <w:szCs w:val="22"/>
        </w:rPr>
      </w:pPr>
      <w:bookmarkStart w:id="9" w:name="_Toc123676129"/>
      <w:r w:rsidRPr="00B700B3">
        <w:rPr>
          <w:rFonts w:ascii="Arial" w:hAnsi="Arial" w:cs="Arial"/>
          <w:sz w:val="22"/>
          <w:szCs w:val="22"/>
        </w:rPr>
        <w:t>10</w:t>
      </w:r>
      <w:r w:rsidR="00404C98" w:rsidRPr="00B700B3">
        <w:rPr>
          <w:rFonts w:ascii="Arial" w:hAnsi="Arial" w:cs="Arial"/>
          <w:sz w:val="22"/>
          <w:szCs w:val="22"/>
        </w:rPr>
        <w:t xml:space="preserve"> </w:t>
      </w:r>
      <w:r w:rsidR="00012E11" w:rsidRPr="00B700B3">
        <w:rPr>
          <w:rFonts w:ascii="Arial" w:hAnsi="Arial" w:cs="Arial"/>
          <w:sz w:val="22"/>
          <w:szCs w:val="22"/>
        </w:rPr>
        <w:t>National</w:t>
      </w:r>
      <w:r w:rsidR="00404C98" w:rsidRPr="00B700B3">
        <w:rPr>
          <w:rFonts w:ascii="Arial" w:hAnsi="Arial" w:cs="Arial"/>
          <w:sz w:val="22"/>
          <w:szCs w:val="22"/>
        </w:rPr>
        <w:t xml:space="preserve"> provision of services for the older person</w:t>
      </w:r>
      <w:bookmarkEnd w:id="9"/>
      <w:r w:rsidR="00404C98" w:rsidRPr="00B700B3">
        <w:rPr>
          <w:rFonts w:ascii="Arial" w:hAnsi="Arial" w:cs="Arial"/>
          <w:sz w:val="22"/>
          <w:szCs w:val="22"/>
        </w:rPr>
        <w:t xml:space="preserve"> </w:t>
      </w:r>
    </w:p>
    <w:p w14:paraId="670A5BC2" w14:textId="499C9467" w:rsidR="00404C98" w:rsidRPr="00B700B3" w:rsidRDefault="00F533BF" w:rsidP="00404C98">
      <w:pPr>
        <w:rPr>
          <w:rFonts w:ascii="Arial" w:hAnsi="Arial" w:cs="Arial"/>
          <w:bCs/>
          <w:color w:val="000000" w:themeColor="text1"/>
        </w:rPr>
      </w:pPr>
      <w:r w:rsidRPr="00B700B3">
        <w:rPr>
          <w:rFonts w:ascii="Arial" w:hAnsi="Arial" w:cs="Arial"/>
        </w:rPr>
        <w:t xml:space="preserve">The national provision of services in the UK is the </w:t>
      </w:r>
      <w:r w:rsidRPr="00B700B3">
        <w:rPr>
          <w:rFonts w:ascii="Arial" w:hAnsi="Arial" w:cs="Arial"/>
          <w:bCs/>
          <w:color w:val="000000" w:themeColor="text1"/>
        </w:rPr>
        <w:t>NHS.</w:t>
      </w:r>
      <w:r w:rsidRPr="00B700B3">
        <w:rPr>
          <w:rFonts w:ascii="Arial" w:hAnsi="Arial" w:cs="Arial"/>
          <w:b/>
          <w:color w:val="000000" w:themeColor="text1"/>
        </w:rPr>
        <w:t xml:space="preserve"> </w:t>
      </w:r>
      <w:r w:rsidRPr="00B700B3">
        <w:rPr>
          <w:rFonts w:ascii="Arial" w:hAnsi="Arial" w:cs="Arial"/>
          <w:bCs/>
          <w:color w:val="000000" w:themeColor="text1"/>
        </w:rPr>
        <w:t xml:space="preserve">The Government has launched a national strategy that aims to combat loneliness by 2023. Under this strategy, all GPs in </w:t>
      </w:r>
      <w:r w:rsidRPr="00B700B3">
        <w:rPr>
          <w:rFonts w:ascii="Arial" w:hAnsi="Arial" w:cs="Arial"/>
          <w:bCs/>
          <w:color w:val="000000" w:themeColor="text1"/>
        </w:rPr>
        <w:lastRenderedPageBreak/>
        <w:t xml:space="preserve">England will have the option of referring their patients to community and charity services that tackle loneliness, by 2023. The new social prescribing </w:t>
      </w:r>
      <w:r w:rsidR="007B073A" w:rsidRPr="00B700B3">
        <w:rPr>
          <w:rFonts w:ascii="Arial" w:hAnsi="Arial" w:cs="Arial"/>
          <w:bCs/>
          <w:color w:val="000000" w:themeColor="text1"/>
        </w:rPr>
        <w:t xml:space="preserve">programmes enable GPs to refer patients to community workers under NHS funding. These include activities like cooking and art groups and walking classes. And additional £1.8 million have been pledged to increase community spaces like cafes, art clubs and gardens.  (GOV.UK, 2018). The National Strategy on Loneliness has a Minister of Loneliness that ensures all programme policies are put in practice. Age UK is one of many charities that partnered with the government in the battle. (AGE UK, 2019). </w:t>
      </w:r>
    </w:p>
    <w:p w14:paraId="1F7A04BD" w14:textId="77777777" w:rsidR="00A279B5" w:rsidRPr="00B700B3" w:rsidRDefault="004D60EB" w:rsidP="00404C98">
      <w:pPr>
        <w:rPr>
          <w:rFonts w:ascii="Arial" w:hAnsi="Arial" w:cs="Arial"/>
          <w:bCs/>
          <w:color w:val="000000" w:themeColor="text1"/>
        </w:rPr>
      </w:pPr>
      <w:r w:rsidRPr="00B700B3">
        <w:rPr>
          <w:rFonts w:ascii="Arial" w:hAnsi="Arial" w:cs="Arial"/>
          <w:bCs/>
          <w:color w:val="000000" w:themeColor="text1"/>
        </w:rPr>
        <w:t xml:space="preserve">Support for loneliness is available thru the NHS in various forms. There are charities supporting the older population by offering a telephone “buddy”. Independent Age and Royal Voluntary Service both offer this service. The Casserole Club is a project meant to bring older people suffering from loneliness together. Winter illnesses can be debilitating and can strand older people for prolonged period of times. Free jabs and flu vaccines are available thru the NHS. (NHS, 2021b). </w:t>
      </w:r>
    </w:p>
    <w:p w14:paraId="16F61DD2" w14:textId="555596D9" w:rsidR="004D60EB" w:rsidRPr="00B700B3" w:rsidRDefault="00A279B5" w:rsidP="00404C98">
      <w:pPr>
        <w:rPr>
          <w:rFonts w:ascii="Arial" w:hAnsi="Arial" w:cs="Arial"/>
          <w:bCs/>
          <w:color w:val="000000" w:themeColor="text1"/>
        </w:rPr>
      </w:pPr>
      <w:r w:rsidRPr="00B700B3">
        <w:rPr>
          <w:rFonts w:ascii="Arial" w:hAnsi="Arial" w:cs="Arial"/>
          <w:bCs/>
          <w:color w:val="000000" w:themeColor="text1"/>
        </w:rPr>
        <w:t xml:space="preserve">The Australian health and social care system is very complex and is a result of a mix of services, providers, and organisations. The Australian Institute of Health and Welfare is funded by territory governments. (Australian Institute of Health and Welfare, 2020). The Seniors Connected Program aims to tackle loneliness and social isolation for senior Australians. </w:t>
      </w:r>
      <w:r w:rsidR="00012E11" w:rsidRPr="00B700B3">
        <w:rPr>
          <w:rFonts w:ascii="Arial" w:hAnsi="Arial" w:cs="Arial"/>
          <w:bCs/>
          <w:color w:val="000000" w:themeColor="text1"/>
        </w:rPr>
        <w:t xml:space="preserve">Funding allocated for 2023 and 2024 reach £10 million. Friend Line is one of the services provided, an anonymous chat with volunteers. Village Hubs is a support network, free to access, offering, mental health wellbeing therapies, social interactions, walking clubs and social events. (The Australian Institute of Health and Welfare, 2022). </w:t>
      </w:r>
    </w:p>
    <w:p w14:paraId="203C6FDF" w14:textId="77777777" w:rsidR="004D60EB" w:rsidRPr="00B700B3" w:rsidRDefault="004D60EB" w:rsidP="00404C98">
      <w:pPr>
        <w:rPr>
          <w:rFonts w:ascii="Arial" w:hAnsi="Arial" w:cs="Arial"/>
          <w:bCs/>
          <w:color w:val="000000" w:themeColor="text1"/>
        </w:rPr>
      </w:pPr>
    </w:p>
    <w:p w14:paraId="4FBACC24" w14:textId="77777777" w:rsidR="004D60EB" w:rsidRPr="00B700B3" w:rsidRDefault="004D60EB" w:rsidP="00404C98">
      <w:pPr>
        <w:rPr>
          <w:rFonts w:ascii="Arial" w:hAnsi="Arial" w:cs="Arial"/>
          <w:bCs/>
        </w:rPr>
      </w:pPr>
    </w:p>
    <w:p w14:paraId="1E1F7D04" w14:textId="3B1D400C" w:rsidR="00404C98" w:rsidRPr="00B700B3" w:rsidRDefault="005C02EF" w:rsidP="00404C98">
      <w:pPr>
        <w:pStyle w:val="Heading1"/>
        <w:rPr>
          <w:rFonts w:ascii="Arial" w:hAnsi="Arial" w:cs="Arial"/>
          <w:sz w:val="22"/>
          <w:szCs w:val="22"/>
        </w:rPr>
      </w:pPr>
      <w:bookmarkStart w:id="10" w:name="_Toc123676130"/>
      <w:r w:rsidRPr="00B700B3">
        <w:rPr>
          <w:rFonts w:ascii="Arial" w:hAnsi="Arial" w:cs="Arial"/>
          <w:sz w:val="22"/>
          <w:szCs w:val="22"/>
        </w:rPr>
        <w:t>11</w:t>
      </w:r>
      <w:r w:rsidR="00404C98" w:rsidRPr="00B700B3">
        <w:rPr>
          <w:rFonts w:ascii="Arial" w:hAnsi="Arial" w:cs="Arial"/>
          <w:sz w:val="22"/>
          <w:szCs w:val="22"/>
        </w:rPr>
        <w:t>.</w:t>
      </w:r>
      <w:r w:rsidR="007B073A" w:rsidRPr="00B700B3">
        <w:rPr>
          <w:rFonts w:ascii="Arial" w:hAnsi="Arial" w:cs="Arial"/>
          <w:sz w:val="22"/>
          <w:szCs w:val="22"/>
        </w:rPr>
        <w:t xml:space="preserve"> </w:t>
      </w:r>
      <w:r w:rsidR="004D60EB" w:rsidRPr="00B700B3">
        <w:rPr>
          <w:rFonts w:ascii="Arial" w:hAnsi="Arial" w:cs="Arial"/>
          <w:sz w:val="22"/>
          <w:szCs w:val="22"/>
        </w:rPr>
        <w:t>Technology</w:t>
      </w:r>
      <w:r w:rsidR="007B073A" w:rsidRPr="00B700B3">
        <w:rPr>
          <w:rFonts w:ascii="Arial" w:hAnsi="Arial" w:cs="Arial"/>
          <w:sz w:val="22"/>
          <w:szCs w:val="22"/>
        </w:rPr>
        <w:t xml:space="preserve"> </w:t>
      </w:r>
      <w:r w:rsidR="004D60EB" w:rsidRPr="00B700B3">
        <w:rPr>
          <w:rFonts w:ascii="Arial" w:hAnsi="Arial" w:cs="Arial"/>
          <w:sz w:val="22"/>
          <w:szCs w:val="22"/>
        </w:rPr>
        <w:t>addressing loneliness and social isolation</w:t>
      </w:r>
      <w:bookmarkEnd w:id="10"/>
    </w:p>
    <w:p w14:paraId="4AB4DA20" w14:textId="4F1DC0F2" w:rsidR="00867292" w:rsidRPr="00B700B3" w:rsidRDefault="002546F4" w:rsidP="00F2235D">
      <w:pPr>
        <w:rPr>
          <w:rFonts w:ascii="Arial" w:hAnsi="Arial" w:cs="Arial"/>
          <w:color w:val="000000" w:themeColor="text1"/>
        </w:rPr>
      </w:pPr>
      <w:r w:rsidRPr="00B700B3">
        <w:rPr>
          <w:rFonts w:ascii="Arial" w:hAnsi="Arial" w:cs="Arial"/>
          <w:color w:val="000000" w:themeColor="text1"/>
        </w:rPr>
        <w:t xml:space="preserve">Older adults often rely on the health care system more than younger populations, making it important for the system to find ways to identify and address social isolation and loneliness. This can be done through clinical and public health interventions tailored to the needs of individual patients. Health care professionals and direct care workers should be trained to recognize and address social isolation, and telehealth options can improve access to care for older adults and their families. By implementing these strategies, we can help address the issue of social isolation in high-need populations. To combat social isolation in the elderly population, it is necessary to utilize technology-based solutions. Mobile devices can be particularly effective in enabling communication, access to information, and access to resources and services. A recent study found that a high percentage of Chinese American seniors with low income and education owned smart devices and used social media apps like WeChat to stay connected with others. To create more effective interventions, it is important to involve older adults and their families in the development of technology-based solutions and consider adapting existing evidence-based interventions for use on social media platforms. While social media can offer peer support in addition to professional support, it is also important to consider ethical and legal issues when using technology to address loneliness and isolation. (Wu, 2020). </w:t>
      </w:r>
    </w:p>
    <w:p w14:paraId="437FF5F4" w14:textId="35E4F871" w:rsidR="002546F4" w:rsidRPr="00B700B3" w:rsidRDefault="002546F4" w:rsidP="00F2235D">
      <w:pPr>
        <w:rPr>
          <w:rFonts w:ascii="Arial" w:hAnsi="Arial" w:cs="Arial"/>
          <w:color w:val="000000" w:themeColor="text1"/>
        </w:rPr>
      </w:pPr>
      <w:r w:rsidRPr="00B700B3">
        <w:rPr>
          <w:rFonts w:ascii="Arial" w:hAnsi="Arial" w:cs="Arial"/>
          <w:color w:val="000000" w:themeColor="text1"/>
        </w:rPr>
        <w:t>Australia has taken initiative in helping older people gaining the digital literacy skills with the initiative “Be Connected”, where the Department of Social Services have invested $50 million</w:t>
      </w:r>
      <w:r w:rsidR="00B2388F" w:rsidRPr="00B700B3">
        <w:rPr>
          <w:rFonts w:ascii="Arial" w:hAnsi="Arial" w:cs="Arial"/>
          <w:color w:val="000000" w:themeColor="text1"/>
        </w:rPr>
        <w:t xml:space="preserve">. The initiative brings joint efforts from both families and communities in the efforts to teach older Australians the use of technology. The country has over 30% of its population 50 </w:t>
      </w:r>
      <w:r w:rsidR="00B2388F" w:rsidRPr="00B700B3">
        <w:rPr>
          <w:rFonts w:ascii="Arial" w:hAnsi="Arial" w:cs="Arial"/>
          <w:color w:val="000000" w:themeColor="text1"/>
        </w:rPr>
        <w:lastRenderedPageBreak/>
        <w:t xml:space="preserve">and over, with low digital literacy skills. As technology can be intimidating, the programme aims to decrease this misconception. (Gov and Au, 2018). </w:t>
      </w:r>
    </w:p>
    <w:p w14:paraId="4723ABBB" w14:textId="6138614C" w:rsidR="00B2388F" w:rsidRPr="00B700B3" w:rsidRDefault="00B2388F" w:rsidP="00B2388F">
      <w:pPr>
        <w:rPr>
          <w:rFonts w:ascii="Arial" w:hAnsi="Arial" w:cs="Arial"/>
          <w:color w:val="000000" w:themeColor="text1"/>
        </w:rPr>
      </w:pPr>
      <w:r w:rsidRPr="00B700B3">
        <w:rPr>
          <w:rFonts w:ascii="Arial" w:hAnsi="Arial" w:cs="Arial"/>
          <w:color w:val="000000" w:themeColor="text1"/>
        </w:rPr>
        <w:t xml:space="preserve">In the UK, over 4 million people of ages 65 and over have never accessed the internet. </w:t>
      </w:r>
      <w:proofErr w:type="gramStart"/>
      <w:r w:rsidRPr="00B700B3">
        <w:rPr>
          <w:rFonts w:ascii="Arial" w:hAnsi="Arial" w:cs="Arial"/>
          <w:color w:val="000000" w:themeColor="text1"/>
        </w:rPr>
        <w:t>In</w:t>
      </w:r>
      <w:proofErr w:type="gramEnd"/>
      <w:r w:rsidRPr="00B700B3">
        <w:rPr>
          <w:rFonts w:ascii="Arial" w:hAnsi="Arial" w:cs="Arial"/>
          <w:color w:val="000000" w:themeColor="text1"/>
        </w:rPr>
        <w:t xml:space="preserve"> the same time, other old people stop using the internet as the grow older. Approximately 1 every 20 people over the age of 75 have used the internet in the past but have stopped with old age. (</w:t>
      </w:r>
      <w:r w:rsidR="00D3243C" w:rsidRPr="00B700B3">
        <w:rPr>
          <w:rFonts w:ascii="Arial" w:hAnsi="Arial" w:cs="Arial"/>
          <w:color w:val="000000" w:themeColor="text1"/>
        </w:rPr>
        <w:t>Age</w:t>
      </w:r>
      <w:r w:rsidRPr="00B700B3">
        <w:rPr>
          <w:rFonts w:ascii="Arial" w:hAnsi="Arial" w:cs="Arial"/>
          <w:color w:val="000000" w:themeColor="text1"/>
        </w:rPr>
        <w:t xml:space="preserve"> UK, 2016). </w:t>
      </w:r>
      <w:r w:rsidR="00D3243C" w:rsidRPr="00B700B3">
        <w:rPr>
          <w:rFonts w:ascii="Arial" w:hAnsi="Arial" w:cs="Arial"/>
          <w:color w:val="000000" w:themeColor="text1"/>
        </w:rPr>
        <w:t xml:space="preserve">Like Australia, the UK also has implemented plans to make technology inclusive to older people, where they can learn digital skills. The inclusion is meant to also benefit older people by facilitating public service access. The digital inclusion initiative lacks in funding though. (Age UK, 2015). </w:t>
      </w:r>
    </w:p>
    <w:p w14:paraId="26864340" w14:textId="1F6B4E63" w:rsidR="00404C98" w:rsidRPr="00B700B3" w:rsidRDefault="005C02EF" w:rsidP="00D3243C">
      <w:pPr>
        <w:pStyle w:val="Heading1"/>
        <w:rPr>
          <w:rFonts w:ascii="Arial" w:hAnsi="Arial" w:cs="Arial"/>
          <w:color w:val="000000" w:themeColor="text1"/>
          <w:sz w:val="22"/>
          <w:szCs w:val="22"/>
        </w:rPr>
      </w:pPr>
      <w:bookmarkStart w:id="11" w:name="_Toc123676131"/>
      <w:r w:rsidRPr="00B700B3">
        <w:rPr>
          <w:rFonts w:ascii="Arial" w:hAnsi="Arial" w:cs="Arial"/>
          <w:sz w:val="22"/>
          <w:szCs w:val="22"/>
        </w:rPr>
        <w:t>12</w:t>
      </w:r>
      <w:r w:rsidR="00404C98" w:rsidRPr="00B700B3">
        <w:rPr>
          <w:rFonts w:ascii="Arial" w:hAnsi="Arial" w:cs="Arial"/>
          <w:sz w:val="22"/>
          <w:szCs w:val="22"/>
        </w:rPr>
        <w:t xml:space="preserve"> </w:t>
      </w:r>
      <w:r w:rsidR="004D60EB" w:rsidRPr="00B700B3">
        <w:rPr>
          <w:rFonts w:ascii="Arial" w:hAnsi="Arial" w:cs="Arial"/>
          <w:sz w:val="22"/>
          <w:szCs w:val="22"/>
        </w:rPr>
        <w:t>R</w:t>
      </w:r>
      <w:r w:rsidR="00404C98" w:rsidRPr="00B700B3">
        <w:rPr>
          <w:rFonts w:ascii="Arial" w:hAnsi="Arial" w:cs="Arial"/>
          <w:sz w:val="22"/>
          <w:szCs w:val="22"/>
        </w:rPr>
        <w:t>ecommendations.</w:t>
      </w:r>
      <w:bookmarkEnd w:id="11"/>
    </w:p>
    <w:p w14:paraId="563B1190" w14:textId="77777777" w:rsidR="00823953" w:rsidRPr="00B700B3" w:rsidRDefault="00AD18F6" w:rsidP="009C3629">
      <w:pPr>
        <w:rPr>
          <w:rFonts w:ascii="Arial" w:hAnsi="Arial" w:cs="Arial"/>
        </w:rPr>
      </w:pPr>
      <w:r w:rsidRPr="00B700B3">
        <w:rPr>
          <w:rFonts w:ascii="Arial" w:hAnsi="Arial" w:cs="Arial"/>
        </w:rPr>
        <w:t xml:space="preserve">The developing of a data-based instrument that could measure social isolation and loneliness in the future could increase prevention. </w:t>
      </w:r>
      <w:r w:rsidR="009C3629" w:rsidRPr="00B700B3">
        <w:rPr>
          <w:rFonts w:ascii="Arial" w:hAnsi="Arial" w:cs="Arial"/>
        </w:rPr>
        <w:t xml:space="preserve">Data must be collected with the aim of predicting future trend. The implementation of a national measuring tool </w:t>
      </w:r>
      <w:r w:rsidRPr="00B700B3">
        <w:rPr>
          <w:rFonts w:ascii="Arial" w:hAnsi="Arial" w:cs="Arial"/>
        </w:rPr>
        <w:t xml:space="preserve">could improve the understanding of the incidence of older people suffering from isolation and loneliness. This tool could enable the prediction of future and current trends and make interventions more accessible and effective. </w:t>
      </w:r>
      <w:r w:rsidR="00823953" w:rsidRPr="00B700B3">
        <w:rPr>
          <w:rFonts w:ascii="Arial" w:hAnsi="Arial" w:cs="Arial"/>
        </w:rPr>
        <w:t xml:space="preserve">(World Health Organisation, 2021).  </w:t>
      </w:r>
    </w:p>
    <w:p w14:paraId="5473015B" w14:textId="0EC5AECD" w:rsidR="00AD18F6" w:rsidRPr="00B700B3" w:rsidRDefault="00823953" w:rsidP="009C3629">
      <w:pPr>
        <w:rPr>
          <w:rFonts w:ascii="Arial" w:hAnsi="Arial" w:cs="Arial"/>
        </w:rPr>
      </w:pPr>
      <w:r w:rsidRPr="00B700B3">
        <w:rPr>
          <w:rFonts w:ascii="Arial" w:hAnsi="Arial" w:cs="Arial"/>
        </w:rPr>
        <w:t>As seen, most of policy implementation regarding older people isolation and loneliness have been developed in recent years, with some to be put in practice in future years. WHO has created a guidance for countries wanting to put a stop to the devastating effects these factors have on elderly. It is recommended for both countries to include training for social skills as part of their community plans of development. It is obvious both countries have taken initiatives in the attempt to resolve these issues. Further interventions could see the formation of a global coalition that could analyse and compare results in effectiveness of national strategies with the best success rates</w:t>
      </w:r>
      <w:r w:rsidR="00B700B3" w:rsidRPr="00B700B3">
        <w:rPr>
          <w:rFonts w:ascii="Arial" w:hAnsi="Arial" w:cs="Arial"/>
        </w:rPr>
        <w:t xml:space="preserve">, and better help in putting in practice the </w:t>
      </w:r>
      <w:proofErr w:type="spellStart"/>
      <w:r w:rsidR="00B700B3" w:rsidRPr="00B700B3">
        <w:rPr>
          <w:rFonts w:ascii="Arial" w:hAnsi="Arial" w:cs="Arial"/>
        </w:rPr>
        <w:t>ines</w:t>
      </w:r>
      <w:proofErr w:type="spellEnd"/>
      <w:r w:rsidR="00B700B3" w:rsidRPr="00B700B3">
        <w:rPr>
          <w:rFonts w:ascii="Arial" w:hAnsi="Arial" w:cs="Arial"/>
        </w:rPr>
        <w:t xml:space="preserve"> with favourable results.</w:t>
      </w:r>
      <w:r w:rsidRPr="00B700B3">
        <w:rPr>
          <w:rFonts w:ascii="Arial" w:hAnsi="Arial" w:cs="Arial"/>
        </w:rPr>
        <w:t xml:space="preserve"> </w:t>
      </w:r>
      <w:r w:rsidR="00B700B3" w:rsidRPr="00B700B3">
        <w:rPr>
          <w:rFonts w:ascii="Arial" w:hAnsi="Arial" w:cs="Arial"/>
        </w:rPr>
        <w:t>(</w:t>
      </w:r>
      <w:proofErr w:type="spellStart"/>
      <w:r w:rsidR="00B700B3" w:rsidRPr="00B700B3">
        <w:rPr>
          <w:rFonts w:ascii="Arial" w:hAnsi="Arial" w:cs="Arial"/>
        </w:rPr>
        <w:t>Wold</w:t>
      </w:r>
      <w:proofErr w:type="spellEnd"/>
      <w:r w:rsidR="00B700B3" w:rsidRPr="00B700B3">
        <w:rPr>
          <w:rFonts w:ascii="Arial" w:hAnsi="Arial" w:cs="Arial"/>
        </w:rPr>
        <w:t xml:space="preserve"> Health Organisation, n.d.)</w:t>
      </w:r>
    </w:p>
    <w:p w14:paraId="5912C5BB" w14:textId="170A84F9" w:rsidR="00823953" w:rsidRDefault="00823953" w:rsidP="009C3629">
      <w:pPr>
        <w:rPr>
          <w:rFonts w:ascii="Arial" w:hAnsi="Arial" w:cs="Arial"/>
        </w:rPr>
      </w:pPr>
    </w:p>
    <w:p w14:paraId="099BF41D" w14:textId="3EF0C418" w:rsidR="00B700B3" w:rsidRDefault="00B700B3" w:rsidP="009C3629">
      <w:pPr>
        <w:rPr>
          <w:rFonts w:ascii="Arial" w:hAnsi="Arial" w:cs="Arial"/>
        </w:rPr>
      </w:pPr>
    </w:p>
    <w:p w14:paraId="359F921A" w14:textId="45B4D0ED" w:rsidR="00B700B3" w:rsidRDefault="00B700B3" w:rsidP="009C3629">
      <w:pPr>
        <w:rPr>
          <w:rFonts w:ascii="Arial" w:hAnsi="Arial" w:cs="Arial"/>
        </w:rPr>
      </w:pPr>
    </w:p>
    <w:p w14:paraId="44BFFA00" w14:textId="13E6AD0A" w:rsidR="00B700B3" w:rsidRDefault="00B700B3" w:rsidP="009C3629">
      <w:pPr>
        <w:rPr>
          <w:rFonts w:ascii="Arial" w:hAnsi="Arial" w:cs="Arial"/>
        </w:rPr>
      </w:pPr>
    </w:p>
    <w:p w14:paraId="138926B6" w14:textId="0F9ED1F0" w:rsidR="00B700B3" w:rsidRDefault="00B700B3" w:rsidP="009C3629">
      <w:pPr>
        <w:rPr>
          <w:rFonts w:ascii="Arial" w:hAnsi="Arial" w:cs="Arial"/>
        </w:rPr>
      </w:pPr>
    </w:p>
    <w:p w14:paraId="5AE8920B" w14:textId="27379022" w:rsidR="00B700B3" w:rsidRDefault="00B700B3" w:rsidP="009C3629">
      <w:pPr>
        <w:rPr>
          <w:rFonts w:ascii="Arial" w:hAnsi="Arial" w:cs="Arial"/>
        </w:rPr>
      </w:pPr>
    </w:p>
    <w:p w14:paraId="19A11D8E" w14:textId="54F782B6" w:rsidR="00B700B3" w:rsidRDefault="00B700B3" w:rsidP="009C3629">
      <w:pPr>
        <w:rPr>
          <w:rFonts w:ascii="Arial" w:hAnsi="Arial" w:cs="Arial"/>
        </w:rPr>
      </w:pPr>
    </w:p>
    <w:p w14:paraId="365E6DD0" w14:textId="5FA79B67" w:rsidR="00B700B3" w:rsidRDefault="00B700B3" w:rsidP="009C3629">
      <w:pPr>
        <w:rPr>
          <w:rFonts w:ascii="Arial" w:hAnsi="Arial" w:cs="Arial"/>
        </w:rPr>
      </w:pPr>
    </w:p>
    <w:p w14:paraId="3C01AC43" w14:textId="273A6B1F" w:rsidR="00B700B3" w:rsidRDefault="00B700B3" w:rsidP="009C3629">
      <w:pPr>
        <w:rPr>
          <w:rFonts w:ascii="Arial" w:hAnsi="Arial" w:cs="Arial"/>
        </w:rPr>
      </w:pPr>
    </w:p>
    <w:p w14:paraId="072C4381" w14:textId="48266B07" w:rsidR="00B700B3" w:rsidRDefault="00B700B3" w:rsidP="009C3629">
      <w:pPr>
        <w:rPr>
          <w:rFonts w:ascii="Arial" w:hAnsi="Arial" w:cs="Arial"/>
        </w:rPr>
      </w:pPr>
    </w:p>
    <w:p w14:paraId="04E4CA1B" w14:textId="582A2A20" w:rsidR="00B700B3" w:rsidRDefault="00B700B3" w:rsidP="009C3629">
      <w:pPr>
        <w:rPr>
          <w:rFonts w:ascii="Arial" w:hAnsi="Arial" w:cs="Arial"/>
        </w:rPr>
      </w:pPr>
    </w:p>
    <w:p w14:paraId="649EEFEE" w14:textId="015B573D" w:rsidR="00B700B3" w:rsidRDefault="00B700B3" w:rsidP="009C3629">
      <w:pPr>
        <w:rPr>
          <w:rFonts w:ascii="Arial" w:hAnsi="Arial" w:cs="Arial"/>
        </w:rPr>
      </w:pPr>
    </w:p>
    <w:p w14:paraId="282E62D4" w14:textId="77777777" w:rsidR="000265EA" w:rsidRDefault="000265EA" w:rsidP="009C3629">
      <w:pPr>
        <w:rPr>
          <w:rFonts w:ascii="Arial" w:hAnsi="Arial" w:cs="Arial"/>
        </w:rPr>
      </w:pPr>
    </w:p>
    <w:p w14:paraId="5958E1F3" w14:textId="41E11FD6" w:rsidR="00B700B3" w:rsidRDefault="00B700B3" w:rsidP="009C3629">
      <w:pPr>
        <w:rPr>
          <w:rFonts w:ascii="Arial" w:hAnsi="Arial" w:cs="Arial"/>
        </w:rPr>
      </w:pPr>
    </w:p>
    <w:p w14:paraId="748F388B" w14:textId="00692529" w:rsidR="00B700B3" w:rsidRPr="00B700B3" w:rsidRDefault="00B700B3" w:rsidP="00B700B3">
      <w:pPr>
        <w:pStyle w:val="Heading1"/>
        <w:rPr>
          <w:rFonts w:ascii="Arial" w:hAnsi="Arial" w:cs="Arial"/>
          <w:sz w:val="22"/>
          <w:szCs w:val="22"/>
        </w:rPr>
      </w:pPr>
      <w:bookmarkStart w:id="12" w:name="_Toc123676132"/>
      <w:r w:rsidRPr="00B700B3">
        <w:rPr>
          <w:rFonts w:ascii="Arial" w:hAnsi="Arial" w:cs="Arial"/>
          <w:sz w:val="22"/>
          <w:szCs w:val="22"/>
        </w:rPr>
        <w:lastRenderedPageBreak/>
        <w:t>13 Reference list</w:t>
      </w:r>
      <w:bookmarkEnd w:id="12"/>
      <w:r w:rsidRPr="00B700B3">
        <w:rPr>
          <w:rFonts w:ascii="Arial" w:hAnsi="Arial" w:cs="Arial"/>
          <w:sz w:val="22"/>
          <w:szCs w:val="22"/>
        </w:rPr>
        <w:t xml:space="preserve"> </w:t>
      </w:r>
    </w:p>
    <w:p w14:paraId="46F3DDBB" w14:textId="77777777" w:rsidR="00FA15FA" w:rsidRDefault="00FA15FA" w:rsidP="00FA15FA">
      <w:pPr>
        <w:pStyle w:val="NormalWeb"/>
        <w:spacing w:before="0" w:beforeAutospacing="0" w:after="240" w:afterAutospacing="0" w:line="360" w:lineRule="auto"/>
        <w:rPr>
          <w:rFonts w:ascii="Arial" w:hAnsi="Arial" w:cs="Arial"/>
          <w:sz w:val="33"/>
          <w:szCs w:val="33"/>
        </w:rPr>
      </w:pPr>
    </w:p>
    <w:p w14:paraId="03187494" w14:textId="5E60FD10"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(2019). </w:t>
      </w:r>
      <w:r>
        <w:rPr>
          <w:rFonts w:ascii="Arial" w:hAnsi="Arial" w:cs="Arial"/>
          <w:i/>
          <w:iCs/>
          <w:sz w:val="22"/>
          <w:szCs w:val="22"/>
        </w:rPr>
        <w:t>Policy Position Paper Loneliness</w:t>
      </w:r>
      <w:r>
        <w:rPr>
          <w:rFonts w:ascii="Arial" w:hAnsi="Arial" w:cs="Arial"/>
          <w:sz w:val="22"/>
          <w:szCs w:val="22"/>
        </w:rPr>
        <w:t xml:space="preserve">. [online] </w:t>
      </w:r>
      <w:r>
        <w:rPr>
          <w:rFonts w:ascii="Arial" w:hAnsi="Arial" w:cs="Arial"/>
          <w:i/>
          <w:iCs/>
          <w:sz w:val="22"/>
          <w:szCs w:val="22"/>
        </w:rPr>
        <w:t>https://www.ageuk.org.uk/globalassets/age-uk/documents/policy-positions/health-and-wellbeing/ppp_loneliness_and_isolation_uk.pdf</w:t>
      </w:r>
      <w:r>
        <w:rPr>
          <w:rFonts w:ascii="Arial" w:hAnsi="Arial" w:cs="Arial"/>
          <w:sz w:val="22"/>
          <w:szCs w:val="22"/>
        </w:rPr>
        <w:t xml:space="preserve">. Available at: </w:t>
      </w:r>
      <w:hyperlink r:id="rId9" w:history="1">
        <w:r w:rsidR="00CA7A31" w:rsidRPr="00814C69">
          <w:rPr>
            <w:rStyle w:val="Hyperlink"/>
            <w:rFonts w:ascii="Arial" w:hAnsi="Arial" w:cs="Arial"/>
            <w:sz w:val="22"/>
            <w:szCs w:val="22"/>
          </w:rPr>
          <w:t>https://www.ageuk.org.uk/globalassets/age-uk/documents/policy-positions/health-and-wellbeing/ppp_loneliness_and_isolation_uk.pdf</w:t>
        </w:r>
      </w:hyperlink>
      <w:r w:rsidR="00CA7A31">
        <w:rPr>
          <w:rFonts w:ascii="Arial" w:hAnsi="Arial" w:cs="Arial"/>
          <w:sz w:val="22"/>
          <w:szCs w:val="22"/>
        </w:rPr>
        <w:t xml:space="preserve"> </w:t>
      </w:r>
      <w:r>
        <w:rPr>
          <w:rFonts w:ascii="Arial" w:hAnsi="Arial" w:cs="Arial"/>
          <w:sz w:val="22"/>
          <w:szCs w:val="22"/>
        </w:rPr>
        <w:t>[Accessed 8 Dec. 2022].</w:t>
      </w:r>
    </w:p>
    <w:p w14:paraId="5C3D1127" w14:textId="06AB2A19"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(2015). </w:t>
      </w:r>
      <w:r>
        <w:rPr>
          <w:rFonts w:ascii="Arial" w:hAnsi="Arial" w:cs="Arial"/>
          <w:i/>
          <w:iCs/>
          <w:sz w:val="22"/>
          <w:szCs w:val="22"/>
        </w:rPr>
        <w:t>Later Life in a Digital World</w:t>
      </w:r>
      <w:r>
        <w:rPr>
          <w:rFonts w:ascii="Arial" w:hAnsi="Arial" w:cs="Arial"/>
          <w:sz w:val="22"/>
          <w:szCs w:val="22"/>
        </w:rPr>
        <w:t xml:space="preserve">. [online] Available at: </w:t>
      </w:r>
      <w:hyperlink r:id="rId10" w:history="1">
        <w:r w:rsidR="00CA7A31" w:rsidRPr="00814C69">
          <w:rPr>
            <w:rStyle w:val="Hyperlink"/>
            <w:rFonts w:ascii="Arial" w:hAnsi="Arial" w:cs="Arial"/>
            <w:sz w:val="22"/>
            <w:szCs w:val="22"/>
          </w:rPr>
          <w:t>https://www.ageuk.org.uk/globalassets/age-uk/documents/reports-and-publications/reports-and-briefings/active-communities/later_life_in_a_digital_world.pdf</w:t>
        </w:r>
      </w:hyperlink>
      <w:r w:rsidR="00CA7A31">
        <w:rPr>
          <w:rFonts w:ascii="Arial" w:hAnsi="Arial" w:cs="Arial"/>
          <w:sz w:val="22"/>
          <w:szCs w:val="22"/>
        </w:rPr>
        <w:t xml:space="preserve"> </w:t>
      </w:r>
      <w:r>
        <w:rPr>
          <w:rFonts w:ascii="Arial" w:hAnsi="Arial" w:cs="Arial"/>
          <w:sz w:val="22"/>
          <w:szCs w:val="22"/>
        </w:rPr>
        <w:t>[Accessed 8 Dec. 2022].</w:t>
      </w:r>
    </w:p>
    <w:p w14:paraId="2DC7F8A3" w14:textId="1AA9369C"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(2016). </w:t>
      </w:r>
      <w:r>
        <w:rPr>
          <w:rFonts w:ascii="Arial" w:hAnsi="Arial" w:cs="Arial"/>
          <w:i/>
          <w:iCs/>
          <w:sz w:val="22"/>
          <w:szCs w:val="22"/>
        </w:rPr>
        <w:t>The Internet and Older People in the UK -Key Statistics</w:t>
      </w:r>
      <w:r>
        <w:rPr>
          <w:rFonts w:ascii="Arial" w:hAnsi="Arial" w:cs="Arial"/>
          <w:sz w:val="22"/>
          <w:szCs w:val="22"/>
        </w:rPr>
        <w:t xml:space="preserve">. [online] Available at: </w:t>
      </w:r>
      <w:hyperlink r:id="rId11" w:history="1">
        <w:r w:rsidR="00CA7A31" w:rsidRPr="00814C69">
          <w:rPr>
            <w:rStyle w:val="Hyperlink"/>
            <w:rFonts w:ascii="Arial" w:hAnsi="Arial" w:cs="Arial"/>
            <w:sz w:val="22"/>
            <w:szCs w:val="22"/>
          </w:rPr>
          <w:t>https://www.ageuk.org.uk/globalassets/age-uk/documents/reports-and-publications/reports-and-briefings/active-communities/rb_july16_older_people_and_internet_use_stats.pdf</w:t>
        </w:r>
      </w:hyperlink>
      <w:r w:rsidR="00CA7A31">
        <w:rPr>
          <w:rFonts w:ascii="Arial" w:hAnsi="Arial" w:cs="Arial"/>
          <w:sz w:val="22"/>
          <w:szCs w:val="22"/>
        </w:rPr>
        <w:t xml:space="preserve"> </w:t>
      </w:r>
      <w:r>
        <w:rPr>
          <w:rFonts w:ascii="Arial" w:hAnsi="Arial" w:cs="Arial"/>
          <w:sz w:val="22"/>
          <w:szCs w:val="22"/>
        </w:rPr>
        <w:t>[Accessed 7 Dec. 2022].</w:t>
      </w:r>
    </w:p>
    <w:p w14:paraId="6B9A4C2B" w14:textId="195CEBD0"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(2017). </w:t>
      </w:r>
      <w:r>
        <w:rPr>
          <w:rFonts w:ascii="Arial" w:hAnsi="Arial" w:cs="Arial"/>
          <w:i/>
          <w:iCs/>
          <w:sz w:val="22"/>
          <w:szCs w:val="22"/>
        </w:rPr>
        <w:t>Briefing: Human Rights of Older Persons and Their Comprehensive Care</w:t>
      </w:r>
      <w:r>
        <w:rPr>
          <w:rFonts w:ascii="Arial" w:hAnsi="Arial" w:cs="Arial"/>
          <w:sz w:val="22"/>
          <w:szCs w:val="22"/>
        </w:rPr>
        <w:t xml:space="preserve">. [online] Available at: </w:t>
      </w:r>
      <w:hyperlink r:id="rId12" w:history="1">
        <w:r w:rsidR="00CA7A31" w:rsidRPr="00814C69">
          <w:rPr>
            <w:rStyle w:val="Hyperlink"/>
            <w:rFonts w:ascii="Arial" w:hAnsi="Arial" w:cs="Arial"/>
            <w:sz w:val="22"/>
            <w:szCs w:val="22"/>
          </w:rPr>
          <w:t>https://www.ageuk.org.uk/globalassets/age-uk/documents/reports-and-publications/reports-and-briefings/equality-and-human-rights/age-uk---human-rights-of-older-persons-and-their-comprehensive-care---july-2017.pdf</w:t>
        </w:r>
      </w:hyperlink>
      <w:r w:rsidR="00CA7A31">
        <w:rPr>
          <w:rFonts w:ascii="Arial" w:hAnsi="Arial" w:cs="Arial"/>
          <w:sz w:val="22"/>
          <w:szCs w:val="22"/>
        </w:rPr>
        <w:t xml:space="preserve"> </w:t>
      </w:r>
      <w:r>
        <w:rPr>
          <w:rFonts w:ascii="Arial" w:hAnsi="Arial" w:cs="Arial"/>
          <w:sz w:val="22"/>
          <w:szCs w:val="22"/>
        </w:rPr>
        <w:t>[Accessed 7 Dec. 2022].</w:t>
      </w:r>
    </w:p>
    <w:p w14:paraId="19690E5A" w14:textId="3E9B71DC"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(2018). </w:t>
      </w:r>
      <w:r>
        <w:rPr>
          <w:rFonts w:ascii="Arial" w:hAnsi="Arial" w:cs="Arial"/>
          <w:i/>
          <w:iCs/>
          <w:sz w:val="22"/>
          <w:szCs w:val="22"/>
        </w:rPr>
        <w:t>Policy Position Paper Ageism and Age Equality</w:t>
      </w:r>
      <w:r>
        <w:rPr>
          <w:rFonts w:ascii="Arial" w:hAnsi="Arial" w:cs="Arial"/>
          <w:sz w:val="22"/>
          <w:szCs w:val="22"/>
        </w:rPr>
        <w:t xml:space="preserve">. [online] </w:t>
      </w:r>
      <w:r>
        <w:rPr>
          <w:rFonts w:ascii="Arial" w:hAnsi="Arial" w:cs="Arial"/>
          <w:i/>
          <w:iCs/>
          <w:sz w:val="22"/>
          <w:szCs w:val="22"/>
        </w:rPr>
        <w:t>https://www.ageuk.org.uk/globalassets/age-uk/documents/policy-positions/cross-cutting-issues/ageism-and-age-equality-pp-great-britain-august-2018.pdf</w:t>
      </w:r>
      <w:r>
        <w:rPr>
          <w:rFonts w:ascii="Arial" w:hAnsi="Arial" w:cs="Arial"/>
          <w:sz w:val="22"/>
          <w:szCs w:val="22"/>
        </w:rPr>
        <w:t xml:space="preserve">, pp.1–2. Available at: </w:t>
      </w:r>
      <w:hyperlink r:id="rId13" w:history="1">
        <w:r w:rsidR="00CA7A31" w:rsidRPr="00814C69">
          <w:rPr>
            <w:rStyle w:val="Hyperlink"/>
            <w:rFonts w:ascii="Arial" w:hAnsi="Arial" w:cs="Arial"/>
            <w:sz w:val="22"/>
            <w:szCs w:val="22"/>
          </w:rPr>
          <w:t>https://www.ageuk.org.uk/globalassets/age-uk/documents/policy-positions/cross-cutting-issues/ageism-and-age-equality-pp-great-britain-august-2018.pdf</w:t>
        </w:r>
      </w:hyperlink>
      <w:r w:rsidR="00CA7A31">
        <w:rPr>
          <w:rFonts w:ascii="Arial" w:hAnsi="Arial" w:cs="Arial"/>
          <w:sz w:val="22"/>
          <w:szCs w:val="22"/>
        </w:rPr>
        <w:t xml:space="preserve"> </w:t>
      </w:r>
      <w:r>
        <w:rPr>
          <w:rFonts w:ascii="Arial" w:hAnsi="Arial" w:cs="Arial"/>
          <w:sz w:val="22"/>
          <w:szCs w:val="22"/>
        </w:rPr>
        <w:t>[Accessed 6 Dec. 2022].</w:t>
      </w:r>
    </w:p>
    <w:p w14:paraId="6E584891" w14:textId="2A91FDDE"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Age UK (2021). </w:t>
      </w:r>
      <w:r>
        <w:rPr>
          <w:rFonts w:ascii="Arial" w:hAnsi="Arial" w:cs="Arial"/>
          <w:i/>
          <w:iCs/>
          <w:sz w:val="22"/>
          <w:szCs w:val="22"/>
        </w:rPr>
        <w:t>Dementia: The Signs, Symptoms and Types | Age UK</w:t>
      </w:r>
      <w:r>
        <w:rPr>
          <w:rFonts w:ascii="Arial" w:hAnsi="Arial" w:cs="Arial"/>
          <w:sz w:val="22"/>
          <w:szCs w:val="22"/>
        </w:rPr>
        <w:t xml:space="preserve">. [online] www.ageuk.org.uk. Available at: </w:t>
      </w:r>
      <w:hyperlink r:id="rId14" w:history="1">
        <w:r w:rsidR="00CA7A31" w:rsidRPr="00814C69">
          <w:rPr>
            <w:rStyle w:val="Hyperlink"/>
            <w:rFonts w:ascii="Arial" w:hAnsi="Arial" w:cs="Arial"/>
            <w:sz w:val="22"/>
            <w:szCs w:val="22"/>
          </w:rPr>
          <w:t>https://www.ageuk.org.uk/information-advice/health-wellbeing/conditions-illnesses/dementia/understanding-dementia/</w:t>
        </w:r>
      </w:hyperlink>
      <w:r w:rsidR="00CA7A31">
        <w:rPr>
          <w:rFonts w:ascii="Arial" w:hAnsi="Arial" w:cs="Arial"/>
          <w:sz w:val="22"/>
          <w:szCs w:val="22"/>
        </w:rPr>
        <w:t xml:space="preserve"> </w:t>
      </w:r>
      <w:r>
        <w:rPr>
          <w:rFonts w:ascii="Arial" w:hAnsi="Arial" w:cs="Arial"/>
          <w:sz w:val="22"/>
          <w:szCs w:val="22"/>
        </w:rPr>
        <w:t>[Accessed 3 Dec. 2022].</w:t>
      </w:r>
    </w:p>
    <w:p w14:paraId="4BE4D384" w14:textId="1182632E"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Australian Institute of Health and Welfare (2020). </w:t>
      </w:r>
      <w:r>
        <w:rPr>
          <w:rFonts w:ascii="Arial" w:hAnsi="Arial" w:cs="Arial"/>
          <w:i/>
          <w:iCs/>
          <w:sz w:val="22"/>
          <w:szCs w:val="22"/>
        </w:rPr>
        <w:t>Health system overview</w:t>
      </w:r>
      <w:r>
        <w:rPr>
          <w:rFonts w:ascii="Arial" w:hAnsi="Arial" w:cs="Arial"/>
          <w:sz w:val="22"/>
          <w:szCs w:val="22"/>
        </w:rPr>
        <w:t xml:space="preserve">. [online] Australian Institute of Health and Welfare. Available at: </w:t>
      </w:r>
      <w:hyperlink r:id="rId15" w:history="1">
        <w:r w:rsidR="00CA7A31" w:rsidRPr="00814C69">
          <w:rPr>
            <w:rStyle w:val="Hyperlink"/>
            <w:rFonts w:ascii="Arial" w:hAnsi="Arial" w:cs="Arial"/>
            <w:sz w:val="22"/>
            <w:szCs w:val="22"/>
          </w:rPr>
          <w:t>https://www.aihw.gov.au/reports/australias-health/health-system-overview</w:t>
        </w:r>
      </w:hyperlink>
      <w:r w:rsidR="00CA7A31">
        <w:rPr>
          <w:rFonts w:ascii="Arial" w:hAnsi="Arial" w:cs="Arial"/>
          <w:sz w:val="22"/>
          <w:szCs w:val="22"/>
        </w:rPr>
        <w:t xml:space="preserve"> </w:t>
      </w:r>
      <w:r>
        <w:rPr>
          <w:rFonts w:ascii="Arial" w:hAnsi="Arial" w:cs="Arial"/>
          <w:sz w:val="22"/>
          <w:szCs w:val="22"/>
        </w:rPr>
        <w:t>[Accessed 8 Dec. 2022].</w:t>
      </w:r>
    </w:p>
    <w:p w14:paraId="24935E13" w14:textId="6033E227"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Australian Institute of Health and Welfare (2021a). </w:t>
      </w:r>
      <w:r>
        <w:rPr>
          <w:rFonts w:ascii="Arial" w:hAnsi="Arial" w:cs="Arial"/>
          <w:i/>
          <w:iCs/>
          <w:sz w:val="22"/>
          <w:szCs w:val="22"/>
        </w:rPr>
        <w:t>Dementia in Australia, Prevalence of dementia</w:t>
      </w:r>
      <w:r>
        <w:rPr>
          <w:rFonts w:ascii="Arial" w:hAnsi="Arial" w:cs="Arial"/>
          <w:sz w:val="22"/>
          <w:szCs w:val="22"/>
        </w:rPr>
        <w:t xml:space="preserve">. [online] Australian Institute of Health and Welfare. Available at: </w:t>
      </w:r>
      <w:hyperlink r:id="rId16" w:history="1">
        <w:r w:rsidR="00CA7A31" w:rsidRPr="00814C69">
          <w:rPr>
            <w:rStyle w:val="Hyperlink"/>
            <w:rFonts w:ascii="Arial" w:hAnsi="Arial" w:cs="Arial"/>
            <w:sz w:val="22"/>
            <w:szCs w:val="22"/>
          </w:rPr>
          <w:t>https://www.aihw.gov.au/reports/dementia/dementia-in-aus/contents/population-health-impacts-of-dementia/prevalence-of-dementia</w:t>
        </w:r>
      </w:hyperlink>
      <w:r w:rsidR="00CA7A31">
        <w:rPr>
          <w:rFonts w:ascii="Arial" w:hAnsi="Arial" w:cs="Arial"/>
          <w:sz w:val="22"/>
          <w:szCs w:val="22"/>
        </w:rPr>
        <w:t xml:space="preserve"> </w:t>
      </w:r>
      <w:r>
        <w:rPr>
          <w:rFonts w:ascii="Arial" w:hAnsi="Arial" w:cs="Arial"/>
          <w:sz w:val="22"/>
          <w:szCs w:val="22"/>
        </w:rPr>
        <w:t>[Accessed 3 Dec. 2022].</w:t>
      </w:r>
    </w:p>
    <w:p w14:paraId="448CC0B0" w14:textId="5A0E116E"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Australian Institute of Health and Welfare (2021b). </w:t>
      </w:r>
      <w:r>
        <w:rPr>
          <w:rFonts w:ascii="Arial" w:hAnsi="Arial" w:cs="Arial"/>
          <w:i/>
          <w:iCs/>
          <w:sz w:val="22"/>
          <w:szCs w:val="22"/>
        </w:rPr>
        <w:t>Older Australians, Demographic profile</w:t>
      </w:r>
      <w:r>
        <w:rPr>
          <w:rFonts w:ascii="Arial" w:hAnsi="Arial" w:cs="Arial"/>
          <w:sz w:val="22"/>
          <w:szCs w:val="22"/>
        </w:rPr>
        <w:t xml:space="preserve">. [online] Australian Institute of Health and Welfare. Available at: </w:t>
      </w:r>
      <w:hyperlink r:id="rId17" w:history="1">
        <w:r w:rsidR="00CA7A31" w:rsidRPr="00814C69">
          <w:rPr>
            <w:rStyle w:val="Hyperlink"/>
            <w:rFonts w:ascii="Arial" w:hAnsi="Arial" w:cs="Arial"/>
            <w:sz w:val="22"/>
            <w:szCs w:val="22"/>
          </w:rPr>
          <w:t>https://www.aihw.gov.au/reports/older-people/older-australians/contents/demographic-profile#</w:t>
        </w:r>
      </w:hyperlink>
      <w:r w:rsidR="00CA7A31">
        <w:rPr>
          <w:rFonts w:ascii="Arial" w:hAnsi="Arial" w:cs="Arial"/>
          <w:sz w:val="22"/>
          <w:szCs w:val="22"/>
        </w:rPr>
        <w:t xml:space="preserve"> </w:t>
      </w:r>
      <w:r>
        <w:rPr>
          <w:rFonts w:ascii="Arial" w:hAnsi="Arial" w:cs="Arial"/>
          <w:sz w:val="22"/>
          <w:szCs w:val="22"/>
        </w:rPr>
        <w:t>[Accessed 3 Dec. 2022].</w:t>
      </w:r>
    </w:p>
    <w:p w14:paraId="66C90C35" w14:textId="04BFD734" w:rsidR="00FA15FA" w:rsidRDefault="00FA15FA" w:rsidP="00FA15F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Bölenius</w:t>
      </w:r>
      <w:proofErr w:type="spellEnd"/>
      <w:r>
        <w:rPr>
          <w:rFonts w:ascii="Arial" w:hAnsi="Arial" w:cs="Arial"/>
          <w:sz w:val="22"/>
          <w:szCs w:val="22"/>
        </w:rPr>
        <w:t xml:space="preserve">, K., </w:t>
      </w:r>
      <w:proofErr w:type="spellStart"/>
      <w:r>
        <w:rPr>
          <w:rFonts w:ascii="Arial" w:hAnsi="Arial" w:cs="Arial"/>
          <w:sz w:val="22"/>
          <w:szCs w:val="22"/>
        </w:rPr>
        <w:t>Lämås</w:t>
      </w:r>
      <w:proofErr w:type="spellEnd"/>
      <w:r>
        <w:rPr>
          <w:rFonts w:ascii="Arial" w:hAnsi="Arial" w:cs="Arial"/>
          <w:sz w:val="22"/>
          <w:szCs w:val="22"/>
        </w:rPr>
        <w:t xml:space="preserve">, K., Sandman, P.-O. and </w:t>
      </w:r>
      <w:proofErr w:type="spellStart"/>
      <w:r>
        <w:rPr>
          <w:rFonts w:ascii="Arial" w:hAnsi="Arial" w:cs="Arial"/>
          <w:sz w:val="22"/>
          <w:szCs w:val="22"/>
        </w:rPr>
        <w:t>Edvardsson</w:t>
      </w:r>
      <w:proofErr w:type="spellEnd"/>
      <w:r>
        <w:rPr>
          <w:rFonts w:ascii="Arial" w:hAnsi="Arial" w:cs="Arial"/>
          <w:sz w:val="22"/>
          <w:szCs w:val="22"/>
        </w:rPr>
        <w:t xml:space="preserve">, D. (2017). Effects and meanings of a person-centred and health-promoting intervention in home care services - a study protocol of a non-randomised controlled trial. </w:t>
      </w:r>
      <w:r>
        <w:rPr>
          <w:rFonts w:ascii="Arial" w:hAnsi="Arial" w:cs="Arial"/>
          <w:i/>
          <w:iCs/>
          <w:sz w:val="22"/>
          <w:szCs w:val="22"/>
        </w:rPr>
        <w:t>BMC Geriatrics</w:t>
      </w:r>
      <w:r>
        <w:rPr>
          <w:rFonts w:ascii="Arial" w:hAnsi="Arial" w:cs="Arial"/>
          <w:sz w:val="22"/>
          <w:szCs w:val="22"/>
        </w:rPr>
        <w:t>,</w:t>
      </w:r>
      <w:r w:rsidR="00CA7A31">
        <w:rPr>
          <w:rFonts w:ascii="Arial" w:hAnsi="Arial" w:cs="Arial"/>
          <w:sz w:val="22"/>
          <w:szCs w:val="22"/>
        </w:rPr>
        <w:t xml:space="preserve"> </w:t>
      </w:r>
      <w:r>
        <w:rPr>
          <w:rFonts w:ascii="Arial" w:hAnsi="Arial" w:cs="Arial"/>
          <w:sz w:val="22"/>
          <w:szCs w:val="22"/>
        </w:rPr>
        <w:t>[online] 17(1). doi:10.1186/s12877-017-0445-0.</w:t>
      </w:r>
    </w:p>
    <w:p w14:paraId="49E63926" w14:textId="53F529F4"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 and Au (2018). </w:t>
      </w:r>
      <w:r>
        <w:rPr>
          <w:rFonts w:ascii="Arial" w:hAnsi="Arial" w:cs="Arial"/>
          <w:i/>
          <w:iCs/>
          <w:sz w:val="22"/>
          <w:szCs w:val="22"/>
        </w:rPr>
        <w:t>Understanding the digital behaviours of older Australians Summary of national survey and qualitative research</w:t>
      </w:r>
      <w:r>
        <w:rPr>
          <w:rFonts w:ascii="Arial" w:hAnsi="Arial" w:cs="Arial"/>
          <w:sz w:val="22"/>
          <w:szCs w:val="22"/>
        </w:rPr>
        <w:t xml:space="preserve">. [online] Available at: </w:t>
      </w:r>
      <w:hyperlink r:id="rId18" w:history="1">
        <w:r w:rsidR="00CA7A31" w:rsidRPr="00814C69">
          <w:rPr>
            <w:rStyle w:val="Hyperlink"/>
            <w:rFonts w:ascii="Arial" w:hAnsi="Arial" w:cs="Arial"/>
            <w:sz w:val="22"/>
            <w:szCs w:val="22"/>
          </w:rPr>
          <w:t>https://www.esafety.gov.au/sites/default/files/2019-08/Understanding-digital-behaviours-older-Australians-summary-report-2018.pdf</w:t>
        </w:r>
      </w:hyperlink>
      <w:r w:rsidR="00CA7A31">
        <w:rPr>
          <w:rFonts w:ascii="Arial" w:hAnsi="Arial" w:cs="Arial"/>
          <w:sz w:val="22"/>
          <w:szCs w:val="22"/>
        </w:rPr>
        <w:t xml:space="preserve"> </w:t>
      </w:r>
      <w:r>
        <w:rPr>
          <w:rFonts w:ascii="Arial" w:hAnsi="Arial" w:cs="Arial"/>
          <w:sz w:val="22"/>
          <w:szCs w:val="22"/>
        </w:rPr>
        <w:t>[Accessed 8 Dec. 2022].</w:t>
      </w:r>
    </w:p>
    <w:p w14:paraId="202B563A" w14:textId="77777777"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(1980). Background and Overview. </w:t>
      </w:r>
      <w:r>
        <w:rPr>
          <w:rFonts w:ascii="Arial" w:hAnsi="Arial" w:cs="Arial"/>
          <w:i/>
          <w:iCs/>
          <w:sz w:val="22"/>
          <w:szCs w:val="22"/>
        </w:rPr>
        <w:t>Medical Care</w:t>
      </w:r>
      <w:r>
        <w:rPr>
          <w:rFonts w:ascii="Arial" w:hAnsi="Arial" w:cs="Arial"/>
          <w:sz w:val="22"/>
          <w:szCs w:val="22"/>
        </w:rPr>
        <w:t>, [online] 18(Supplement), pp.1–2. doi:10.1097/00005650-198008001-00003.</w:t>
      </w:r>
    </w:p>
    <w:p w14:paraId="3997A65E" w14:textId="4A47F437"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GOV.UK (2018). </w:t>
      </w:r>
      <w:r>
        <w:rPr>
          <w:rFonts w:ascii="Arial" w:hAnsi="Arial" w:cs="Arial"/>
          <w:i/>
          <w:iCs/>
          <w:sz w:val="22"/>
          <w:szCs w:val="22"/>
        </w:rPr>
        <w:t>PM launches Government’s first loneliness strategy</w:t>
      </w:r>
      <w:r>
        <w:rPr>
          <w:rFonts w:ascii="Arial" w:hAnsi="Arial" w:cs="Arial"/>
          <w:sz w:val="22"/>
          <w:szCs w:val="22"/>
        </w:rPr>
        <w:t xml:space="preserve">. [online] GOV.UK. Available at: </w:t>
      </w:r>
      <w:hyperlink r:id="rId19" w:anchor=":~:text=Loneliness%20is%20one%20of%20the" w:history="1">
        <w:r w:rsidR="00CA7A31" w:rsidRPr="00814C69">
          <w:rPr>
            <w:rStyle w:val="Hyperlink"/>
            <w:rFonts w:ascii="Arial" w:hAnsi="Arial" w:cs="Arial"/>
            <w:sz w:val="22"/>
            <w:szCs w:val="22"/>
          </w:rPr>
          <w:t>https://www.gov.uk/government/news/pm-launches-governments-first-loneliness-strategy#:~:text=Loneliness%20is%20one%20of%20the</w:t>
        </w:r>
      </w:hyperlink>
      <w:r w:rsidR="00CA7A31">
        <w:rPr>
          <w:rFonts w:ascii="Arial" w:hAnsi="Arial" w:cs="Arial"/>
          <w:sz w:val="22"/>
          <w:szCs w:val="22"/>
        </w:rPr>
        <w:t xml:space="preserve"> </w:t>
      </w:r>
      <w:r>
        <w:rPr>
          <w:rFonts w:ascii="Arial" w:hAnsi="Arial" w:cs="Arial"/>
          <w:sz w:val="22"/>
          <w:szCs w:val="22"/>
        </w:rPr>
        <w:t>[Accessed 8 Dec. 2022].</w:t>
      </w:r>
    </w:p>
    <w:p w14:paraId="09D63FF0" w14:textId="1D5A73B1"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Health (2019). </w:t>
      </w:r>
      <w:r>
        <w:rPr>
          <w:rFonts w:ascii="Arial" w:hAnsi="Arial" w:cs="Arial"/>
          <w:i/>
          <w:iCs/>
          <w:sz w:val="22"/>
          <w:szCs w:val="22"/>
        </w:rPr>
        <w:t>What is aged care?</w:t>
      </w:r>
      <w:r>
        <w:rPr>
          <w:rFonts w:ascii="Arial" w:hAnsi="Arial" w:cs="Arial"/>
          <w:sz w:val="22"/>
          <w:szCs w:val="22"/>
        </w:rPr>
        <w:t xml:space="preserve"> [online] Australian Government Department of Health and Aged Care. Available at: </w:t>
      </w:r>
      <w:hyperlink r:id="rId20" w:history="1">
        <w:r w:rsidR="00CA7A31" w:rsidRPr="00814C69">
          <w:rPr>
            <w:rStyle w:val="Hyperlink"/>
            <w:rFonts w:ascii="Arial" w:hAnsi="Arial" w:cs="Arial"/>
            <w:sz w:val="22"/>
            <w:szCs w:val="22"/>
          </w:rPr>
          <w:t>https://www.health.gov.au/topics/aged-care/about-aged-care/what-is-aged-care</w:t>
        </w:r>
      </w:hyperlink>
      <w:r w:rsidR="00CA7A31">
        <w:rPr>
          <w:rFonts w:ascii="Arial" w:hAnsi="Arial" w:cs="Arial"/>
          <w:sz w:val="22"/>
          <w:szCs w:val="22"/>
        </w:rPr>
        <w:t xml:space="preserve"> </w:t>
      </w:r>
      <w:r>
        <w:rPr>
          <w:rFonts w:ascii="Arial" w:hAnsi="Arial" w:cs="Arial"/>
          <w:sz w:val="22"/>
          <w:szCs w:val="22"/>
        </w:rPr>
        <w:t>[Accessed 3 Dec. 2022].</w:t>
      </w:r>
    </w:p>
    <w:p w14:paraId="7B5FA137" w14:textId="543CE98E"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Heinz, M., Cone, N., da Rosa, G., Bishop, A. and </w:t>
      </w:r>
      <w:proofErr w:type="spellStart"/>
      <w:r>
        <w:rPr>
          <w:rFonts w:ascii="Arial" w:hAnsi="Arial" w:cs="Arial"/>
          <w:sz w:val="22"/>
          <w:szCs w:val="22"/>
        </w:rPr>
        <w:t>Finchum</w:t>
      </w:r>
      <w:proofErr w:type="spellEnd"/>
      <w:r>
        <w:rPr>
          <w:rFonts w:ascii="Arial" w:hAnsi="Arial" w:cs="Arial"/>
          <w:sz w:val="22"/>
          <w:szCs w:val="22"/>
        </w:rPr>
        <w:t xml:space="preserve">, T. (2017). Examining Supportive Evidence for Psychosocial Theories of Aging within the Oral History Narratives of Centenarians. </w:t>
      </w:r>
      <w:r>
        <w:rPr>
          <w:rFonts w:ascii="Arial" w:hAnsi="Arial" w:cs="Arial"/>
          <w:i/>
          <w:iCs/>
          <w:sz w:val="22"/>
          <w:szCs w:val="22"/>
        </w:rPr>
        <w:t>Societies</w:t>
      </w:r>
      <w:r>
        <w:rPr>
          <w:rFonts w:ascii="Arial" w:hAnsi="Arial" w:cs="Arial"/>
          <w:sz w:val="22"/>
          <w:szCs w:val="22"/>
        </w:rPr>
        <w:t>,</w:t>
      </w:r>
      <w:r w:rsidR="00CA7A31">
        <w:rPr>
          <w:rFonts w:ascii="Arial" w:hAnsi="Arial" w:cs="Arial"/>
          <w:sz w:val="22"/>
          <w:szCs w:val="22"/>
        </w:rPr>
        <w:t xml:space="preserve"> </w:t>
      </w:r>
      <w:r>
        <w:rPr>
          <w:rFonts w:ascii="Arial" w:hAnsi="Arial" w:cs="Arial"/>
          <w:sz w:val="22"/>
          <w:szCs w:val="22"/>
        </w:rPr>
        <w:t>[online] 7(2), p.8.</w:t>
      </w:r>
      <w:r w:rsidR="00CA7A31">
        <w:rPr>
          <w:rFonts w:ascii="Arial" w:hAnsi="Arial" w:cs="Arial"/>
          <w:sz w:val="22"/>
          <w:szCs w:val="22"/>
        </w:rPr>
        <w:t xml:space="preserve"> </w:t>
      </w:r>
      <w:r>
        <w:rPr>
          <w:rFonts w:ascii="Arial" w:hAnsi="Arial" w:cs="Arial"/>
          <w:sz w:val="22"/>
          <w:szCs w:val="22"/>
        </w:rPr>
        <w:t>doi:10.3390/soc7020008</w:t>
      </w:r>
      <w:r w:rsidR="00CA7A31">
        <w:rPr>
          <w:rFonts w:ascii="Arial" w:hAnsi="Arial" w:cs="Arial"/>
          <w:sz w:val="22"/>
          <w:szCs w:val="22"/>
        </w:rPr>
        <w:t xml:space="preserve">. </w:t>
      </w:r>
    </w:p>
    <w:p w14:paraId="1EB8C2AE" w14:textId="77777777" w:rsidR="00FA15FA" w:rsidRDefault="00FA15FA" w:rsidP="00FA15F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Lapane</w:t>
      </w:r>
      <w:proofErr w:type="spellEnd"/>
      <w:r>
        <w:rPr>
          <w:rFonts w:ascii="Arial" w:hAnsi="Arial" w:cs="Arial"/>
          <w:sz w:val="22"/>
          <w:szCs w:val="22"/>
        </w:rPr>
        <w:t xml:space="preserve">, K.L., Lim, E., McPhillips, E., </w:t>
      </w:r>
      <w:proofErr w:type="spellStart"/>
      <w:r>
        <w:rPr>
          <w:rFonts w:ascii="Arial" w:hAnsi="Arial" w:cs="Arial"/>
          <w:sz w:val="22"/>
          <w:szCs w:val="22"/>
        </w:rPr>
        <w:t>Barooah</w:t>
      </w:r>
      <w:proofErr w:type="spellEnd"/>
      <w:r>
        <w:rPr>
          <w:rFonts w:ascii="Arial" w:hAnsi="Arial" w:cs="Arial"/>
          <w:sz w:val="22"/>
          <w:szCs w:val="22"/>
        </w:rPr>
        <w:t xml:space="preserve">, A., Yuan, Y. and Dube, C.E. (2022). Health Effects of Loneliness and Social Isolation in Older Adults Living in Congregate Long Term Care settings: a Systematic Review of Quantitative and Qualitative Evidence. </w:t>
      </w:r>
      <w:r>
        <w:rPr>
          <w:rFonts w:ascii="Arial" w:hAnsi="Arial" w:cs="Arial"/>
          <w:i/>
          <w:iCs/>
          <w:sz w:val="22"/>
          <w:szCs w:val="22"/>
        </w:rPr>
        <w:t>Archives of Gerontology and Geriatrics</w:t>
      </w:r>
      <w:r>
        <w:rPr>
          <w:rFonts w:ascii="Arial" w:hAnsi="Arial" w:cs="Arial"/>
          <w:sz w:val="22"/>
          <w:szCs w:val="22"/>
        </w:rPr>
        <w:t xml:space="preserve">, [online] 102, p.104728. </w:t>
      </w:r>
      <w:proofErr w:type="gramStart"/>
      <w:r>
        <w:rPr>
          <w:rFonts w:ascii="Arial" w:hAnsi="Arial" w:cs="Arial"/>
          <w:sz w:val="22"/>
          <w:szCs w:val="22"/>
        </w:rPr>
        <w:t>doi:10.1016/j.archger</w:t>
      </w:r>
      <w:proofErr w:type="gramEnd"/>
      <w:r>
        <w:rPr>
          <w:rFonts w:ascii="Arial" w:hAnsi="Arial" w:cs="Arial"/>
          <w:sz w:val="22"/>
          <w:szCs w:val="22"/>
        </w:rPr>
        <w:t>.2022.104728.</w:t>
      </w:r>
    </w:p>
    <w:p w14:paraId="31113EE4" w14:textId="3A3BD401" w:rsidR="00FA15FA" w:rsidRDefault="00FA15FA" w:rsidP="00FA15F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Löckenhoff</w:t>
      </w:r>
      <w:proofErr w:type="spellEnd"/>
      <w:r>
        <w:rPr>
          <w:rFonts w:ascii="Arial" w:hAnsi="Arial" w:cs="Arial"/>
          <w:sz w:val="22"/>
          <w:szCs w:val="22"/>
        </w:rPr>
        <w:t xml:space="preserve">, C.E., De </w:t>
      </w:r>
      <w:proofErr w:type="spellStart"/>
      <w:r>
        <w:rPr>
          <w:rFonts w:ascii="Arial" w:hAnsi="Arial" w:cs="Arial"/>
          <w:sz w:val="22"/>
          <w:szCs w:val="22"/>
        </w:rPr>
        <w:t>Fruyt</w:t>
      </w:r>
      <w:proofErr w:type="spellEnd"/>
      <w:r>
        <w:rPr>
          <w:rFonts w:ascii="Arial" w:hAnsi="Arial" w:cs="Arial"/>
          <w:sz w:val="22"/>
          <w:szCs w:val="22"/>
        </w:rPr>
        <w:t xml:space="preserve">, F., </w:t>
      </w:r>
      <w:proofErr w:type="spellStart"/>
      <w:r>
        <w:rPr>
          <w:rFonts w:ascii="Arial" w:hAnsi="Arial" w:cs="Arial"/>
          <w:sz w:val="22"/>
          <w:szCs w:val="22"/>
        </w:rPr>
        <w:t>Terracciano</w:t>
      </w:r>
      <w:proofErr w:type="spellEnd"/>
      <w:r>
        <w:rPr>
          <w:rFonts w:ascii="Arial" w:hAnsi="Arial" w:cs="Arial"/>
          <w:sz w:val="22"/>
          <w:szCs w:val="22"/>
        </w:rPr>
        <w:t xml:space="preserve">, A., McCrae, R.R., De </w:t>
      </w:r>
      <w:proofErr w:type="spellStart"/>
      <w:r>
        <w:rPr>
          <w:rFonts w:ascii="Arial" w:hAnsi="Arial" w:cs="Arial"/>
          <w:sz w:val="22"/>
          <w:szCs w:val="22"/>
        </w:rPr>
        <w:t>Bolle</w:t>
      </w:r>
      <w:proofErr w:type="spellEnd"/>
      <w:r>
        <w:rPr>
          <w:rFonts w:ascii="Arial" w:hAnsi="Arial" w:cs="Arial"/>
          <w:sz w:val="22"/>
          <w:szCs w:val="22"/>
        </w:rPr>
        <w:t>, M., Costa, P.T., Aguilar-</w:t>
      </w:r>
      <w:proofErr w:type="spellStart"/>
      <w:r>
        <w:rPr>
          <w:rFonts w:ascii="Arial" w:hAnsi="Arial" w:cs="Arial"/>
          <w:sz w:val="22"/>
          <w:szCs w:val="22"/>
        </w:rPr>
        <w:t>Vafaie</w:t>
      </w:r>
      <w:proofErr w:type="spellEnd"/>
      <w:r>
        <w:rPr>
          <w:rFonts w:ascii="Arial" w:hAnsi="Arial" w:cs="Arial"/>
          <w:sz w:val="22"/>
          <w:szCs w:val="22"/>
        </w:rPr>
        <w:t xml:space="preserve">, M.E., </w:t>
      </w:r>
      <w:proofErr w:type="spellStart"/>
      <w:r>
        <w:rPr>
          <w:rFonts w:ascii="Arial" w:hAnsi="Arial" w:cs="Arial"/>
          <w:sz w:val="22"/>
          <w:szCs w:val="22"/>
        </w:rPr>
        <w:t>Ahn</w:t>
      </w:r>
      <w:proofErr w:type="spellEnd"/>
      <w:r>
        <w:rPr>
          <w:rFonts w:ascii="Arial" w:hAnsi="Arial" w:cs="Arial"/>
          <w:sz w:val="22"/>
          <w:szCs w:val="22"/>
        </w:rPr>
        <w:t xml:space="preserve">, C., </w:t>
      </w:r>
      <w:proofErr w:type="spellStart"/>
      <w:r>
        <w:rPr>
          <w:rFonts w:ascii="Arial" w:hAnsi="Arial" w:cs="Arial"/>
          <w:sz w:val="22"/>
          <w:szCs w:val="22"/>
        </w:rPr>
        <w:t>Ahn</w:t>
      </w:r>
      <w:proofErr w:type="spellEnd"/>
      <w:r>
        <w:rPr>
          <w:rFonts w:ascii="Arial" w:hAnsi="Arial" w:cs="Arial"/>
          <w:sz w:val="22"/>
          <w:szCs w:val="22"/>
        </w:rPr>
        <w:t xml:space="preserve">, H., Alcalay, L., </w:t>
      </w:r>
      <w:proofErr w:type="spellStart"/>
      <w:r>
        <w:rPr>
          <w:rFonts w:ascii="Arial" w:hAnsi="Arial" w:cs="Arial"/>
          <w:sz w:val="22"/>
          <w:szCs w:val="22"/>
        </w:rPr>
        <w:t>Allik</w:t>
      </w:r>
      <w:proofErr w:type="spellEnd"/>
      <w:r>
        <w:rPr>
          <w:rFonts w:ascii="Arial" w:hAnsi="Arial" w:cs="Arial"/>
          <w:sz w:val="22"/>
          <w:szCs w:val="22"/>
        </w:rPr>
        <w:t xml:space="preserve">, J., Avdeyeva, T.V., </w:t>
      </w:r>
      <w:proofErr w:type="spellStart"/>
      <w:r>
        <w:rPr>
          <w:rFonts w:ascii="Arial" w:hAnsi="Arial" w:cs="Arial"/>
          <w:sz w:val="22"/>
          <w:szCs w:val="22"/>
        </w:rPr>
        <w:t>Barbaranelli</w:t>
      </w:r>
      <w:proofErr w:type="spellEnd"/>
      <w:r>
        <w:rPr>
          <w:rFonts w:ascii="Arial" w:hAnsi="Arial" w:cs="Arial"/>
          <w:sz w:val="22"/>
          <w:szCs w:val="22"/>
        </w:rPr>
        <w:t xml:space="preserve">, C., </w:t>
      </w:r>
      <w:r>
        <w:rPr>
          <w:rFonts w:ascii="Arial" w:hAnsi="Arial" w:cs="Arial"/>
          <w:sz w:val="22"/>
          <w:szCs w:val="22"/>
        </w:rPr>
        <w:lastRenderedPageBreak/>
        <w:t xml:space="preserve">Benet-Martínez, V., </w:t>
      </w:r>
      <w:proofErr w:type="spellStart"/>
      <w:r>
        <w:rPr>
          <w:rFonts w:ascii="Arial" w:hAnsi="Arial" w:cs="Arial"/>
          <w:sz w:val="22"/>
          <w:szCs w:val="22"/>
        </w:rPr>
        <w:t>Blatný</w:t>
      </w:r>
      <w:proofErr w:type="spellEnd"/>
      <w:r>
        <w:rPr>
          <w:rFonts w:ascii="Arial" w:hAnsi="Arial" w:cs="Arial"/>
          <w:sz w:val="22"/>
          <w:szCs w:val="22"/>
        </w:rPr>
        <w:t xml:space="preserve">, M., </w:t>
      </w:r>
      <w:proofErr w:type="spellStart"/>
      <w:r>
        <w:rPr>
          <w:rFonts w:ascii="Arial" w:hAnsi="Arial" w:cs="Arial"/>
          <w:sz w:val="22"/>
          <w:szCs w:val="22"/>
        </w:rPr>
        <w:t>Bratko</w:t>
      </w:r>
      <w:proofErr w:type="spellEnd"/>
      <w:r>
        <w:rPr>
          <w:rFonts w:ascii="Arial" w:hAnsi="Arial" w:cs="Arial"/>
          <w:sz w:val="22"/>
          <w:szCs w:val="22"/>
        </w:rPr>
        <w:t xml:space="preserve">, D., Cain, T.R., Crawford, J.T., Lima, M.P. and </w:t>
      </w:r>
      <w:proofErr w:type="spellStart"/>
      <w:r>
        <w:rPr>
          <w:rFonts w:ascii="Arial" w:hAnsi="Arial" w:cs="Arial"/>
          <w:sz w:val="22"/>
          <w:szCs w:val="22"/>
        </w:rPr>
        <w:t>Ficková</w:t>
      </w:r>
      <w:proofErr w:type="spellEnd"/>
      <w:r>
        <w:rPr>
          <w:rFonts w:ascii="Arial" w:hAnsi="Arial" w:cs="Arial"/>
          <w:sz w:val="22"/>
          <w:szCs w:val="22"/>
        </w:rPr>
        <w:t xml:space="preserve">, E. (2009). Perceptions of aging across 26 cultures and their culture-level associates. </w:t>
      </w:r>
      <w:r>
        <w:rPr>
          <w:rFonts w:ascii="Arial" w:hAnsi="Arial" w:cs="Arial"/>
          <w:i/>
          <w:iCs/>
          <w:sz w:val="22"/>
          <w:szCs w:val="22"/>
        </w:rPr>
        <w:t>Psychology and Aging</w:t>
      </w:r>
      <w:r>
        <w:rPr>
          <w:rFonts w:ascii="Arial" w:hAnsi="Arial" w:cs="Arial"/>
          <w:sz w:val="22"/>
          <w:szCs w:val="22"/>
        </w:rPr>
        <w:t>, [online] 24(4), pp.941–954.</w:t>
      </w:r>
      <w:r w:rsidR="00D60B40">
        <w:rPr>
          <w:rFonts w:ascii="Arial" w:hAnsi="Arial" w:cs="Arial"/>
          <w:sz w:val="22"/>
          <w:szCs w:val="22"/>
        </w:rPr>
        <w:t xml:space="preserve"> </w:t>
      </w:r>
      <w:r>
        <w:rPr>
          <w:rFonts w:ascii="Arial" w:hAnsi="Arial" w:cs="Arial"/>
          <w:sz w:val="22"/>
          <w:szCs w:val="22"/>
        </w:rPr>
        <w:t>doi:10.1037/a001690</w:t>
      </w:r>
      <w:r w:rsidR="00D60B40">
        <w:rPr>
          <w:rFonts w:ascii="Arial" w:hAnsi="Arial" w:cs="Arial"/>
          <w:sz w:val="22"/>
          <w:szCs w:val="22"/>
        </w:rPr>
        <w:t>1.</w:t>
      </w:r>
    </w:p>
    <w:p w14:paraId="7DA674B6" w14:textId="332E91E3"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National Institute on Aging (2019). </w:t>
      </w:r>
      <w:r>
        <w:rPr>
          <w:rFonts w:ascii="Arial" w:hAnsi="Arial" w:cs="Arial"/>
          <w:i/>
          <w:iCs/>
          <w:sz w:val="22"/>
          <w:szCs w:val="22"/>
        </w:rPr>
        <w:t>Social isolation, Loneliness in Older People Pose Health Risks</w:t>
      </w:r>
      <w:r>
        <w:rPr>
          <w:rFonts w:ascii="Arial" w:hAnsi="Arial" w:cs="Arial"/>
          <w:sz w:val="22"/>
          <w:szCs w:val="22"/>
        </w:rPr>
        <w:t xml:space="preserve">. [online] National Institute on Aging. Available at: </w:t>
      </w:r>
      <w:hyperlink r:id="rId21" w:history="1">
        <w:r w:rsidR="00D60B40" w:rsidRPr="00814C69">
          <w:rPr>
            <w:rStyle w:val="Hyperlink"/>
            <w:rFonts w:ascii="Arial" w:hAnsi="Arial" w:cs="Arial"/>
            <w:sz w:val="22"/>
            <w:szCs w:val="22"/>
          </w:rPr>
          <w:t>https://www.nia.nih.gov/news/social-isolation-loneliness-older-people-pose-health-risks</w:t>
        </w:r>
      </w:hyperlink>
      <w:r w:rsidR="00D60B40">
        <w:rPr>
          <w:rFonts w:ascii="Arial" w:hAnsi="Arial" w:cs="Arial"/>
          <w:sz w:val="22"/>
          <w:szCs w:val="22"/>
        </w:rPr>
        <w:t xml:space="preserve"> </w:t>
      </w:r>
      <w:r>
        <w:rPr>
          <w:rFonts w:ascii="Arial" w:hAnsi="Arial" w:cs="Arial"/>
          <w:sz w:val="22"/>
          <w:szCs w:val="22"/>
        </w:rPr>
        <w:t>[Accessed 3 Dec. 2022].</w:t>
      </w:r>
    </w:p>
    <w:p w14:paraId="75D859AF" w14:textId="2877C730"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(2021a). </w:t>
      </w:r>
      <w:r>
        <w:rPr>
          <w:rFonts w:ascii="Arial" w:hAnsi="Arial" w:cs="Arial"/>
          <w:i/>
          <w:iCs/>
          <w:sz w:val="22"/>
          <w:szCs w:val="22"/>
        </w:rPr>
        <w:t>Loneliness in older people</w:t>
      </w:r>
      <w:r>
        <w:rPr>
          <w:rFonts w:ascii="Arial" w:hAnsi="Arial" w:cs="Arial"/>
          <w:sz w:val="22"/>
          <w:szCs w:val="22"/>
        </w:rPr>
        <w:t xml:space="preserve">. [online] nhs.uk. Available at: </w:t>
      </w:r>
      <w:hyperlink r:id="rId22" w:history="1">
        <w:r w:rsidR="00D60B40" w:rsidRPr="00814C69">
          <w:rPr>
            <w:rStyle w:val="Hyperlink"/>
            <w:rFonts w:ascii="Arial" w:hAnsi="Arial" w:cs="Arial"/>
            <w:sz w:val="22"/>
            <w:szCs w:val="22"/>
          </w:rPr>
          <w:t>https://www.nhs.uk/mental-health/feelings-symptoms-behaviours/feelings-and-symptoms/loneliness-in-older-people/</w:t>
        </w:r>
      </w:hyperlink>
      <w:r w:rsidR="00D60B40">
        <w:rPr>
          <w:rFonts w:ascii="Arial" w:hAnsi="Arial" w:cs="Arial"/>
          <w:sz w:val="22"/>
          <w:szCs w:val="22"/>
        </w:rPr>
        <w:t xml:space="preserve"> </w:t>
      </w:r>
      <w:r>
        <w:rPr>
          <w:rFonts w:ascii="Arial" w:hAnsi="Arial" w:cs="Arial"/>
          <w:sz w:val="22"/>
          <w:szCs w:val="22"/>
        </w:rPr>
        <w:t>[Accessed 4 Dec. 2022].</w:t>
      </w:r>
    </w:p>
    <w:p w14:paraId="07F57A40" w14:textId="37FD54BF"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(2021b). </w:t>
      </w:r>
      <w:r>
        <w:rPr>
          <w:rFonts w:ascii="Arial" w:hAnsi="Arial" w:cs="Arial"/>
          <w:i/>
          <w:iCs/>
          <w:sz w:val="22"/>
          <w:szCs w:val="22"/>
        </w:rPr>
        <w:t>Loneliness in the elderly: how to help</w:t>
      </w:r>
      <w:r>
        <w:rPr>
          <w:rFonts w:ascii="Arial" w:hAnsi="Arial" w:cs="Arial"/>
          <w:sz w:val="22"/>
          <w:szCs w:val="22"/>
        </w:rPr>
        <w:t xml:space="preserve">. [online] nhs.uk. Available at: </w:t>
      </w:r>
      <w:hyperlink r:id="rId23" w:history="1">
        <w:r w:rsidR="00D60B40" w:rsidRPr="00814C69">
          <w:rPr>
            <w:rStyle w:val="Hyperlink"/>
            <w:rFonts w:ascii="Arial" w:hAnsi="Arial" w:cs="Arial"/>
            <w:sz w:val="22"/>
            <w:szCs w:val="22"/>
          </w:rPr>
          <w:t>https://www.nhs.uk/mental-health/advice-for-life-situations-and-events/loneliness-in-the-elderly/</w:t>
        </w:r>
      </w:hyperlink>
      <w:r w:rsidR="00D60B40">
        <w:rPr>
          <w:rFonts w:ascii="Arial" w:hAnsi="Arial" w:cs="Arial"/>
          <w:sz w:val="22"/>
          <w:szCs w:val="22"/>
        </w:rPr>
        <w:t xml:space="preserve"> </w:t>
      </w:r>
      <w:r>
        <w:rPr>
          <w:rFonts w:ascii="Arial" w:hAnsi="Arial" w:cs="Arial"/>
          <w:sz w:val="22"/>
          <w:szCs w:val="22"/>
        </w:rPr>
        <w:t>[Accessed 9 Dec. 2022].</w:t>
      </w:r>
    </w:p>
    <w:p w14:paraId="6F5F9D79" w14:textId="02B0950D"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NHS (2021c). </w:t>
      </w:r>
      <w:r>
        <w:rPr>
          <w:rFonts w:ascii="Arial" w:hAnsi="Arial" w:cs="Arial"/>
          <w:i/>
          <w:iCs/>
          <w:sz w:val="22"/>
          <w:szCs w:val="22"/>
        </w:rPr>
        <w:t>Mental Capacity Act</w:t>
      </w:r>
      <w:r>
        <w:rPr>
          <w:rFonts w:ascii="Arial" w:hAnsi="Arial" w:cs="Arial"/>
          <w:sz w:val="22"/>
          <w:szCs w:val="22"/>
        </w:rPr>
        <w:t xml:space="preserve">. [online] NHS. Available at: </w:t>
      </w:r>
      <w:hyperlink r:id="rId24" w:history="1">
        <w:r w:rsidR="00D60B40" w:rsidRPr="00814C69">
          <w:rPr>
            <w:rStyle w:val="Hyperlink"/>
            <w:rFonts w:ascii="Arial" w:hAnsi="Arial" w:cs="Arial"/>
            <w:sz w:val="22"/>
            <w:szCs w:val="22"/>
          </w:rPr>
          <w:t>https://www.nhs.uk/conditions/social-care-and-support-guide/making-decisions-for-someone-else/mental-capacity-act/</w:t>
        </w:r>
      </w:hyperlink>
      <w:r w:rsidR="00D60B40">
        <w:rPr>
          <w:rFonts w:ascii="Arial" w:hAnsi="Arial" w:cs="Arial"/>
          <w:sz w:val="22"/>
          <w:szCs w:val="22"/>
        </w:rPr>
        <w:t xml:space="preserve"> </w:t>
      </w:r>
      <w:r>
        <w:rPr>
          <w:rFonts w:ascii="Arial" w:hAnsi="Arial" w:cs="Arial"/>
          <w:sz w:val="22"/>
          <w:szCs w:val="22"/>
        </w:rPr>
        <w:t>[Accessed 7 Dec. 2022].</w:t>
      </w:r>
    </w:p>
    <w:p w14:paraId="42291BF3" w14:textId="348A8F65"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NIHR (2022). </w:t>
      </w:r>
      <w:r>
        <w:rPr>
          <w:rFonts w:ascii="Arial" w:hAnsi="Arial" w:cs="Arial"/>
          <w:i/>
          <w:iCs/>
          <w:sz w:val="22"/>
          <w:szCs w:val="22"/>
        </w:rPr>
        <w:t xml:space="preserve">Social isolation, </w:t>
      </w:r>
      <w:proofErr w:type="gramStart"/>
      <w:r>
        <w:rPr>
          <w:rFonts w:ascii="Arial" w:hAnsi="Arial" w:cs="Arial"/>
          <w:i/>
          <w:iCs/>
          <w:sz w:val="22"/>
          <w:szCs w:val="22"/>
        </w:rPr>
        <w:t>loneliness</w:t>
      </w:r>
      <w:proofErr w:type="gramEnd"/>
      <w:r>
        <w:rPr>
          <w:rFonts w:ascii="Arial" w:hAnsi="Arial" w:cs="Arial"/>
          <w:i/>
          <w:iCs/>
          <w:sz w:val="22"/>
          <w:szCs w:val="22"/>
        </w:rPr>
        <w:t xml:space="preserve"> and the mental health of care home residents – lessons from the Covid-19 pandemic</w:t>
      </w:r>
      <w:r>
        <w:rPr>
          <w:rFonts w:ascii="Arial" w:hAnsi="Arial" w:cs="Arial"/>
          <w:sz w:val="22"/>
          <w:szCs w:val="22"/>
        </w:rPr>
        <w:t xml:space="preserve">. [online] arc-sl.nihr.ac.uk. Available at: </w:t>
      </w:r>
      <w:hyperlink r:id="rId25" w:history="1">
        <w:r w:rsidR="00D60B40" w:rsidRPr="00814C69">
          <w:rPr>
            <w:rStyle w:val="Hyperlink"/>
            <w:rFonts w:ascii="Arial" w:hAnsi="Arial" w:cs="Arial"/>
            <w:sz w:val="22"/>
            <w:szCs w:val="22"/>
          </w:rPr>
          <w:t>https://arc-sl.nihr.ac.uk/news-insights/blog-and-commentary/social-isolation-loneliness-and-mental-health-care-home-residents</w:t>
        </w:r>
      </w:hyperlink>
      <w:r w:rsidR="00D60B40">
        <w:rPr>
          <w:rFonts w:ascii="Arial" w:hAnsi="Arial" w:cs="Arial"/>
          <w:sz w:val="22"/>
          <w:szCs w:val="22"/>
        </w:rPr>
        <w:t xml:space="preserve"> </w:t>
      </w:r>
      <w:r>
        <w:rPr>
          <w:rFonts w:ascii="Arial" w:hAnsi="Arial" w:cs="Arial"/>
          <w:sz w:val="22"/>
          <w:szCs w:val="22"/>
        </w:rPr>
        <w:t>[Accessed 6 Dec. 2022].</w:t>
      </w:r>
    </w:p>
    <w:p w14:paraId="3E220FD2" w14:textId="2DE9E310"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Office for National Statistics (2019). </w:t>
      </w:r>
      <w:r>
        <w:rPr>
          <w:rFonts w:ascii="Arial" w:hAnsi="Arial" w:cs="Arial"/>
          <w:i/>
          <w:iCs/>
          <w:sz w:val="22"/>
          <w:szCs w:val="22"/>
        </w:rPr>
        <w:t>Living longer: is age 70 the new age 65? - Office for National Statistics</w:t>
      </w:r>
      <w:r>
        <w:rPr>
          <w:rFonts w:ascii="Arial" w:hAnsi="Arial" w:cs="Arial"/>
          <w:sz w:val="22"/>
          <w:szCs w:val="22"/>
        </w:rPr>
        <w:t xml:space="preserve">. [online] Ons.gov.uk. Available at: </w:t>
      </w:r>
      <w:hyperlink r:id="rId26" w:history="1">
        <w:r w:rsidR="00D60B40" w:rsidRPr="00814C69">
          <w:rPr>
            <w:rStyle w:val="Hyperlink"/>
            <w:rFonts w:ascii="Arial" w:hAnsi="Arial" w:cs="Arial"/>
            <w:sz w:val="22"/>
            <w:szCs w:val="22"/>
          </w:rPr>
          <w:t>https://www.ons.gov.uk/peoplepopulationandcommunity/birthsdeathsandmarriages/ageing/articles/livinglongerisage70thenewage65/2019-11-19</w:t>
        </w:r>
      </w:hyperlink>
      <w:r w:rsidR="00D60B40">
        <w:rPr>
          <w:rFonts w:ascii="Arial" w:hAnsi="Arial" w:cs="Arial"/>
          <w:sz w:val="22"/>
          <w:szCs w:val="22"/>
        </w:rPr>
        <w:t xml:space="preserve"> </w:t>
      </w:r>
      <w:r>
        <w:rPr>
          <w:rFonts w:ascii="Arial" w:hAnsi="Arial" w:cs="Arial"/>
          <w:sz w:val="22"/>
          <w:szCs w:val="22"/>
        </w:rPr>
        <w:t>[Accessed 3 Dec. 2022].</w:t>
      </w:r>
    </w:p>
    <w:p w14:paraId="3BC5BD43" w14:textId="51AB5065"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Office for National Statistics (2022). </w:t>
      </w:r>
      <w:r>
        <w:rPr>
          <w:rFonts w:ascii="Arial" w:hAnsi="Arial" w:cs="Arial"/>
          <w:i/>
          <w:iCs/>
          <w:sz w:val="22"/>
          <w:szCs w:val="22"/>
        </w:rPr>
        <w:t>National population projections - Office for National Statistics</w:t>
      </w:r>
      <w:r>
        <w:rPr>
          <w:rFonts w:ascii="Arial" w:hAnsi="Arial" w:cs="Arial"/>
          <w:sz w:val="22"/>
          <w:szCs w:val="22"/>
        </w:rPr>
        <w:t xml:space="preserve">. [online] www.ons.gov.uk. Available at: </w:t>
      </w:r>
      <w:hyperlink r:id="rId27" w:history="1">
        <w:r w:rsidR="00D60B40" w:rsidRPr="00814C69">
          <w:rPr>
            <w:rStyle w:val="Hyperlink"/>
            <w:rFonts w:ascii="Arial" w:hAnsi="Arial" w:cs="Arial"/>
            <w:sz w:val="22"/>
            <w:szCs w:val="22"/>
          </w:rPr>
          <w:t>https://www.ons.gov.uk/peoplepopulationandcommunity/populationandmigration/populationprojections/bulletins/nationalpopulationprojections/2020basedinterim</w:t>
        </w:r>
      </w:hyperlink>
      <w:r w:rsidR="00D60B40">
        <w:rPr>
          <w:rFonts w:ascii="Arial" w:hAnsi="Arial" w:cs="Arial"/>
          <w:sz w:val="22"/>
          <w:szCs w:val="22"/>
        </w:rPr>
        <w:t xml:space="preserve"> </w:t>
      </w:r>
      <w:r>
        <w:rPr>
          <w:rFonts w:ascii="Arial" w:hAnsi="Arial" w:cs="Arial"/>
          <w:sz w:val="22"/>
          <w:szCs w:val="22"/>
        </w:rPr>
        <w:t>[Accessed 3 Dec. 2022].</w:t>
      </w:r>
    </w:p>
    <w:p w14:paraId="2BFA823E" w14:textId="5D2D440A"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Palmore, E.B., Branch, L. and Harris, D. (2016). </w:t>
      </w:r>
      <w:proofErr w:type="spellStart"/>
      <w:r>
        <w:rPr>
          <w:rFonts w:ascii="Arial" w:hAnsi="Arial" w:cs="Arial"/>
          <w:i/>
          <w:iCs/>
          <w:sz w:val="22"/>
          <w:szCs w:val="22"/>
        </w:rPr>
        <w:t>Encyclopedia</w:t>
      </w:r>
      <w:proofErr w:type="spellEnd"/>
      <w:r>
        <w:rPr>
          <w:rFonts w:ascii="Arial" w:hAnsi="Arial" w:cs="Arial"/>
          <w:i/>
          <w:iCs/>
          <w:sz w:val="22"/>
          <w:szCs w:val="22"/>
        </w:rPr>
        <w:t xml:space="preserve"> of Ageism</w:t>
      </w:r>
      <w:r>
        <w:rPr>
          <w:rFonts w:ascii="Arial" w:hAnsi="Arial" w:cs="Arial"/>
          <w:sz w:val="22"/>
          <w:szCs w:val="22"/>
        </w:rPr>
        <w:t xml:space="preserve">. [online] </w:t>
      </w:r>
      <w:r>
        <w:rPr>
          <w:rFonts w:ascii="Arial" w:hAnsi="Arial" w:cs="Arial"/>
          <w:i/>
          <w:iCs/>
          <w:sz w:val="22"/>
          <w:szCs w:val="22"/>
        </w:rPr>
        <w:t>Google Books</w:t>
      </w:r>
      <w:r>
        <w:rPr>
          <w:rFonts w:ascii="Arial" w:hAnsi="Arial" w:cs="Arial"/>
          <w:sz w:val="22"/>
          <w:szCs w:val="22"/>
        </w:rPr>
        <w:t xml:space="preserve">, Routledge, pp.113–116. Available at: </w:t>
      </w:r>
      <w:hyperlink r:id="rId28" w:anchor="v=onepage&amp;q=disengagement%20and%20activity%20theory%20of%20aging&amp;f=false" w:history="1">
        <w:r w:rsidR="00D60B40" w:rsidRPr="00814C69">
          <w:rPr>
            <w:rStyle w:val="Hyperlink"/>
            <w:rFonts w:ascii="Arial" w:hAnsi="Arial" w:cs="Arial"/>
            <w:sz w:val="22"/>
            <w:szCs w:val="22"/>
          </w:rPr>
          <w:t>https://books.google.co.uk/books?hl=en&amp;lr=&amp;id=yA4fDAAAQBAJ&amp;oi=fnd&amp;pg=PA113&amp;dq=disengagement+and+activity+theory+of+aging&amp;ots=HMvxYK4cgF&amp;sig=hXOaBrZQPdsD2BsZf</w:t>
        </w:r>
        <w:r w:rsidR="00D60B40" w:rsidRPr="00814C69">
          <w:rPr>
            <w:rStyle w:val="Hyperlink"/>
            <w:rFonts w:ascii="Arial" w:hAnsi="Arial" w:cs="Arial"/>
            <w:sz w:val="22"/>
            <w:szCs w:val="22"/>
          </w:rPr>
          <w:lastRenderedPageBreak/>
          <w:t>0xqSAGhPCA#v=onepage&amp;q=disengagement%20and%20activity%20theory%20of%20aging&amp;f=false</w:t>
        </w:r>
      </w:hyperlink>
      <w:r w:rsidR="00D60B40">
        <w:rPr>
          <w:rFonts w:ascii="Arial" w:hAnsi="Arial" w:cs="Arial"/>
          <w:sz w:val="22"/>
          <w:szCs w:val="22"/>
        </w:rPr>
        <w:t xml:space="preserve"> </w:t>
      </w:r>
      <w:r>
        <w:rPr>
          <w:rFonts w:ascii="Arial" w:hAnsi="Arial" w:cs="Arial"/>
          <w:sz w:val="22"/>
          <w:szCs w:val="22"/>
        </w:rPr>
        <w:t>[Accessed 5 Dec. 2022].</w:t>
      </w:r>
    </w:p>
    <w:p w14:paraId="44634244" w14:textId="6EF8DE39"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Relationships Australia (2022). </w:t>
      </w:r>
      <w:r>
        <w:rPr>
          <w:rFonts w:ascii="Arial" w:hAnsi="Arial" w:cs="Arial"/>
          <w:i/>
          <w:iCs/>
          <w:sz w:val="22"/>
          <w:szCs w:val="22"/>
        </w:rPr>
        <w:t>Social Isolation in Older Adults | Relationships Australia QLD</w:t>
      </w:r>
      <w:r>
        <w:rPr>
          <w:rFonts w:ascii="Arial" w:hAnsi="Arial" w:cs="Arial"/>
          <w:sz w:val="22"/>
          <w:szCs w:val="22"/>
        </w:rPr>
        <w:t xml:space="preserve">. [online] www.raq.org.au. Available at: </w:t>
      </w:r>
      <w:hyperlink r:id="rId29" w:history="1">
        <w:r w:rsidR="00D60B40" w:rsidRPr="00814C69">
          <w:rPr>
            <w:rStyle w:val="Hyperlink"/>
            <w:rFonts w:ascii="Arial" w:hAnsi="Arial" w:cs="Arial"/>
            <w:sz w:val="22"/>
            <w:szCs w:val="22"/>
          </w:rPr>
          <w:t>https://www.raq.org.au/blog/social-isolation-older-adults</w:t>
        </w:r>
      </w:hyperlink>
      <w:r w:rsidR="00D60B40">
        <w:rPr>
          <w:rFonts w:ascii="Arial" w:hAnsi="Arial" w:cs="Arial"/>
          <w:sz w:val="22"/>
          <w:szCs w:val="22"/>
        </w:rPr>
        <w:t xml:space="preserve"> </w:t>
      </w:r>
      <w:r>
        <w:rPr>
          <w:rFonts w:ascii="Arial" w:hAnsi="Arial" w:cs="Arial"/>
          <w:sz w:val="22"/>
          <w:szCs w:val="22"/>
        </w:rPr>
        <w:t>[Accessed 4 Dec. 2022].</w:t>
      </w:r>
    </w:p>
    <w:p w14:paraId="2EF1F7F5" w14:textId="5D3AFF11"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Science Direct (2016). </w:t>
      </w:r>
      <w:r>
        <w:rPr>
          <w:rFonts w:ascii="Arial" w:hAnsi="Arial" w:cs="Arial"/>
          <w:i/>
          <w:iCs/>
          <w:sz w:val="22"/>
          <w:szCs w:val="22"/>
        </w:rPr>
        <w:t>Disengagement Theory - an overview | ScienceDirect Topics</w:t>
      </w:r>
      <w:r>
        <w:rPr>
          <w:rFonts w:ascii="Arial" w:hAnsi="Arial" w:cs="Arial"/>
          <w:sz w:val="22"/>
          <w:szCs w:val="22"/>
        </w:rPr>
        <w:t xml:space="preserve">. [online] Sciencedirect.com. Available at: </w:t>
      </w:r>
      <w:hyperlink r:id="rId30" w:history="1">
        <w:r w:rsidR="00D60B40" w:rsidRPr="00814C69">
          <w:rPr>
            <w:rStyle w:val="Hyperlink"/>
            <w:rFonts w:ascii="Arial" w:hAnsi="Arial" w:cs="Arial"/>
            <w:sz w:val="22"/>
            <w:szCs w:val="22"/>
          </w:rPr>
          <w:t>https://www.sciencedirect.com/topics/psychology/disengagement-theory</w:t>
        </w:r>
      </w:hyperlink>
      <w:r w:rsidR="00D60B40">
        <w:rPr>
          <w:rFonts w:ascii="Arial" w:hAnsi="Arial" w:cs="Arial"/>
          <w:sz w:val="22"/>
          <w:szCs w:val="22"/>
        </w:rPr>
        <w:t xml:space="preserve"> </w:t>
      </w:r>
      <w:r>
        <w:rPr>
          <w:rFonts w:ascii="Arial" w:hAnsi="Arial" w:cs="Arial"/>
          <w:sz w:val="22"/>
          <w:szCs w:val="22"/>
        </w:rPr>
        <w:t>[Accessed 5 Dec. 2022].</w:t>
      </w:r>
    </w:p>
    <w:p w14:paraId="13C22FE6" w14:textId="4C3D899B"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Singh, A. and </w:t>
      </w:r>
      <w:proofErr w:type="spellStart"/>
      <w:r>
        <w:rPr>
          <w:rFonts w:ascii="Arial" w:hAnsi="Arial" w:cs="Arial"/>
          <w:sz w:val="22"/>
          <w:szCs w:val="22"/>
        </w:rPr>
        <w:t>Misra</w:t>
      </w:r>
      <w:proofErr w:type="spellEnd"/>
      <w:r>
        <w:rPr>
          <w:rFonts w:ascii="Arial" w:hAnsi="Arial" w:cs="Arial"/>
          <w:sz w:val="22"/>
          <w:szCs w:val="22"/>
        </w:rPr>
        <w:t xml:space="preserve">, N. (2022). Loneliness, </w:t>
      </w:r>
      <w:proofErr w:type="gramStart"/>
      <w:r>
        <w:rPr>
          <w:rFonts w:ascii="Arial" w:hAnsi="Arial" w:cs="Arial"/>
          <w:sz w:val="22"/>
          <w:szCs w:val="22"/>
        </w:rPr>
        <w:t>depression</w:t>
      </w:r>
      <w:proofErr w:type="gramEnd"/>
      <w:r>
        <w:rPr>
          <w:rFonts w:ascii="Arial" w:hAnsi="Arial" w:cs="Arial"/>
          <w:sz w:val="22"/>
          <w:szCs w:val="22"/>
        </w:rPr>
        <w:t xml:space="preserve"> and sociability in old age. </w:t>
      </w:r>
      <w:r>
        <w:rPr>
          <w:rFonts w:ascii="Arial" w:hAnsi="Arial" w:cs="Arial"/>
          <w:i/>
          <w:iCs/>
          <w:sz w:val="22"/>
          <w:szCs w:val="22"/>
        </w:rPr>
        <w:t>Industrial Psychiatry Journal</w:t>
      </w:r>
      <w:r>
        <w:rPr>
          <w:rFonts w:ascii="Arial" w:hAnsi="Arial" w:cs="Arial"/>
          <w:sz w:val="22"/>
          <w:szCs w:val="22"/>
        </w:rPr>
        <w:t>, [online] 18(1),</w:t>
      </w:r>
      <w:r w:rsidR="00D60B40">
        <w:rPr>
          <w:rFonts w:ascii="Arial" w:hAnsi="Arial" w:cs="Arial"/>
          <w:sz w:val="22"/>
          <w:szCs w:val="22"/>
        </w:rPr>
        <w:t xml:space="preserve"> </w:t>
      </w:r>
      <w:r>
        <w:rPr>
          <w:rFonts w:ascii="Arial" w:hAnsi="Arial" w:cs="Arial"/>
          <w:sz w:val="22"/>
          <w:szCs w:val="22"/>
        </w:rPr>
        <w:t>pp.51–55. doi:10.4103/0972-6748.57861.</w:t>
      </w:r>
    </w:p>
    <w:p w14:paraId="1BB43F62" w14:textId="4C9C37C6"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Australian Institute of Health and Welfare (2022). </w:t>
      </w:r>
      <w:r>
        <w:rPr>
          <w:rFonts w:ascii="Arial" w:hAnsi="Arial" w:cs="Arial"/>
          <w:i/>
          <w:iCs/>
          <w:sz w:val="22"/>
          <w:szCs w:val="22"/>
        </w:rPr>
        <w:t>Seniors Connected Program | Department of Social Services, Australian Government</w:t>
      </w:r>
      <w:r>
        <w:rPr>
          <w:rFonts w:ascii="Arial" w:hAnsi="Arial" w:cs="Arial"/>
          <w:sz w:val="22"/>
          <w:szCs w:val="22"/>
        </w:rPr>
        <w:t xml:space="preserve">. [online] www.dss.gov.au. Available at: </w:t>
      </w:r>
      <w:hyperlink r:id="rId31" w:history="1">
        <w:r w:rsidR="00D60B40" w:rsidRPr="00814C69">
          <w:rPr>
            <w:rStyle w:val="Hyperlink"/>
            <w:rFonts w:ascii="Arial" w:hAnsi="Arial" w:cs="Arial"/>
            <w:sz w:val="22"/>
            <w:szCs w:val="22"/>
          </w:rPr>
          <w:t>https://www.dss.gov.au/communities-and-vulnerable-people-programs-services/seniors-connected-program</w:t>
        </w:r>
      </w:hyperlink>
      <w:r w:rsidR="00D60B40">
        <w:rPr>
          <w:rFonts w:ascii="Arial" w:hAnsi="Arial" w:cs="Arial"/>
          <w:sz w:val="22"/>
          <w:szCs w:val="22"/>
        </w:rPr>
        <w:t xml:space="preserve"> </w:t>
      </w:r>
      <w:r>
        <w:rPr>
          <w:rFonts w:ascii="Arial" w:hAnsi="Arial" w:cs="Arial"/>
          <w:sz w:val="22"/>
          <w:szCs w:val="22"/>
        </w:rPr>
        <w:t>[Accessed 9 Dec. 2022].</w:t>
      </w:r>
    </w:p>
    <w:p w14:paraId="6CF0483F" w14:textId="503F371C"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Editors of </w:t>
      </w:r>
      <w:proofErr w:type="spellStart"/>
      <w:r>
        <w:rPr>
          <w:rFonts w:ascii="Arial" w:hAnsi="Arial" w:cs="Arial"/>
          <w:sz w:val="22"/>
          <w:szCs w:val="22"/>
        </w:rPr>
        <w:t>Encyclopedia</w:t>
      </w:r>
      <w:proofErr w:type="spellEnd"/>
      <w:r>
        <w:rPr>
          <w:rFonts w:ascii="Arial" w:hAnsi="Arial" w:cs="Arial"/>
          <w:sz w:val="22"/>
          <w:szCs w:val="22"/>
        </w:rPr>
        <w:t xml:space="preserve"> Britannica (2018). Old age. In: </w:t>
      </w:r>
      <w:proofErr w:type="spellStart"/>
      <w:r>
        <w:rPr>
          <w:rFonts w:ascii="Arial" w:hAnsi="Arial" w:cs="Arial"/>
          <w:i/>
          <w:iCs/>
          <w:sz w:val="22"/>
          <w:szCs w:val="22"/>
        </w:rPr>
        <w:t>Encyclopædia</w:t>
      </w:r>
      <w:proofErr w:type="spellEnd"/>
      <w:r>
        <w:rPr>
          <w:rFonts w:ascii="Arial" w:hAnsi="Arial" w:cs="Arial"/>
          <w:i/>
          <w:iCs/>
          <w:sz w:val="22"/>
          <w:szCs w:val="22"/>
        </w:rPr>
        <w:t xml:space="preserve"> Britannica</w:t>
      </w:r>
      <w:r>
        <w:rPr>
          <w:rFonts w:ascii="Arial" w:hAnsi="Arial" w:cs="Arial"/>
          <w:sz w:val="22"/>
          <w:szCs w:val="22"/>
        </w:rPr>
        <w:t xml:space="preserve">. [online] Available at: </w:t>
      </w:r>
      <w:hyperlink r:id="rId32" w:history="1">
        <w:r w:rsidR="00D60B40" w:rsidRPr="00814C69">
          <w:rPr>
            <w:rStyle w:val="Hyperlink"/>
            <w:rFonts w:ascii="Arial" w:hAnsi="Arial" w:cs="Arial"/>
            <w:sz w:val="22"/>
            <w:szCs w:val="22"/>
          </w:rPr>
          <w:t>https://www.britannica.com/science/old-age</w:t>
        </w:r>
      </w:hyperlink>
      <w:r w:rsidR="00D60B40">
        <w:rPr>
          <w:rFonts w:ascii="Arial" w:hAnsi="Arial" w:cs="Arial"/>
          <w:sz w:val="22"/>
          <w:szCs w:val="22"/>
        </w:rPr>
        <w:t xml:space="preserve"> </w:t>
      </w:r>
      <w:r>
        <w:rPr>
          <w:rFonts w:ascii="Arial" w:hAnsi="Arial" w:cs="Arial"/>
          <w:sz w:val="22"/>
          <w:szCs w:val="22"/>
        </w:rPr>
        <w:t>[Accessed 3 Dec. 2022].</w:t>
      </w:r>
    </w:p>
    <w:p w14:paraId="59109B30" w14:textId="5AE5BE16"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Health Foundation (2018). </w:t>
      </w:r>
      <w:r>
        <w:rPr>
          <w:rFonts w:ascii="Arial" w:hAnsi="Arial" w:cs="Arial"/>
          <w:i/>
          <w:iCs/>
          <w:sz w:val="22"/>
          <w:szCs w:val="22"/>
        </w:rPr>
        <w:t>Older people living alone are 50% more likely to visit A&amp;E than those who live with others</w:t>
      </w:r>
      <w:r>
        <w:rPr>
          <w:rFonts w:ascii="Arial" w:hAnsi="Arial" w:cs="Arial"/>
          <w:sz w:val="22"/>
          <w:szCs w:val="22"/>
        </w:rPr>
        <w:t xml:space="preserve">. [online] The Health Foundation. Available at: </w:t>
      </w:r>
      <w:hyperlink r:id="rId33" w:history="1">
        <w:r w:rsidR="00D60B40" w:rsidRPr="00814C69">
          <w:rPr>
            <w:rStyle w:val="Hyperlink"/>
            <w:rFonts w:ascii="Arial" w:hAnsi="Arial" w:cs="Arial"/>
            <w:sz w:val="22"/>
            <w:szCs w:val="22"/>
          </w:rPr>
          <w:t>https://www.health.org.uk/news-and-comment/news/older-people-living-alone-are-50-more-likely-to-visit-ae-than-those-who-live-with</w:t>
        </w:r>
      </w:hyperlink>
      <w:r w:rsidR="00D60B40">
        <w:rPr>
          <w:rFonts w:ascii="Arial" w:hAnsi="Arial" w:cs="Arial"/>
          <w:sz w:val="22"/>
          <w:szCs w:val="22"/>
        </w:rPr>
        <w:t xml:space="preserve"> </w:t>
      </w:r>
      <w:r>
        <w:rPr>
          <w:rFonts w:ascii="Arial" w:hAnsi="Arial" w:cs="Arial"/>
          <w:sz w:val="22"/>
          <w:szCs w:val="22"/>
        </w:rPr>
        <w:t>[Accessed 4 Dec. 2022].</w:t>
      </w:r>
    </w:p>
    <w:p w14:paraId="6D1E557B" w14:textId="4E1BA947"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Kings Fund (2019). </w:t>
      </w:r>
      <w:r>
        <w:rPr>
          <w:rFonts w:ascii="Arial" w:hAnsi="Arial" w:cs="Arial"/>
          <w:i/>
          <w:iCs/>
          <w:sz w:val="22"/>
          <w:szCs w:val="22"/>
        </w:rPr>
        <w:t>The King’s Fund</w:t>
      </w:r>
      <w:r>
        <w:rPr>
          <w:rFonts w:ascii="Arial" w:hAnsi="Arial" w:cs="Arial"/>
          <w:sz w:val="22"/>
          <w:szCs w:val="22"/>
        </w:rPr>
        <w:t xml:space="preserve">. [online] The King’s Fund. Available at: </w:t>
      </w:r>
      <w:hyperlink r:id="rId34" w:history="1">
        <w:r w:rsidR="00D60B40" w:rsidRPr="00814C69">
          <w:rPr>
            <w:rStyle w:val="Hyperlink"/>
            <w:rFonts w:ascii="Arial" w:hAnsi="Arial" w:cs="Arial"/>
            <w:sz w:val="22"/>
            <w:szCs w:val="22"/>
          </w:rPr>
          <w:t>https://www.kingsfund.org.uk/audio-video/key-facts-figures-adult-social-care</w:t>
        </w:r>
      </w:hyperlink>
      <w:r w:rsidR="00D60B40">
        <w:rPr>
          <w:rFonts w:ascii="Arial" w:hAnsi="Arial" w:cs="Arial"/>
          <w:sz w:val="22"/>
          <w:szCs w:val="22"/>
        </w:rPr>
        <w:t xml:space="preserve"> </w:t>
      </w:r>
      <w:r>
        <w:rPr>
          <w:rFonts w:ascii="Arial" w:hAnsi="Arial" w:cs="Arial"/>
          <w:sz w:val="22"/>
          <w:szCs w:val="22"/>
        </w:rPr>
        <w:t>[Accessed 3 Dec. 2022].</w:t>
      </w:r>
    </w:p>
    <w:p w14:paraId="3FC22FBE" w14:textId="74AD7264"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The University of Melbourne (2019). </w:t>
      </w:r>
      <w:r>
        <w:rPr>
          <w:rFonts w:ascii="Arial" w:hAnsi="Arial" w:cs="Arial"/>
          <w:i/>
          <w:iCs/>
          <w:sz w:val="22"/>
          <w:szCs w:val="22"/>
        </w:rPr>
        <w:t>The challenge of social isolation and loneliness</w:t>
      </w:r>
      <w:r>
        <w:rPr>
          <w:rFonts w:ascii="Arial" w:hAnsi="Arial" w:cs="Arial"/>
          <w:sz w:val="22"/>
          <w:szCs w:val="22"/>
        </w:rPr>
        <w:t xml:space="preserve">. [online] Melbourne School of Population and Global Health. Available at: </w:t>
      </w:r>
      <w:hyperlink r:id="rId35" w:history="1">
        <w:r w:rsidR="00D60B40" w:rsidRPr="00814C69">
          <w:rPr>
            <w:rStyle w:val="Hyperlink"/>
            <w:rFonts w:ascii="Arial" w:hAnsi="Arial" w:cs="Arial"/>
            <w:sz w:val="22"/>
            <w:szCs w:val="22"/>
          </w:rPr>
          <w:t>https://mspgh.unimelb.edu.au/ageing-industry-network/newsletter-issue-12-may-2019/the-challenge-of-social-isolation-and-loneliness</w:t>
        </w:r>
      </w:hyperlink>
      <w:r w:rsidR="00D60B40">
        <w:rPr>
          <w:rFonts w:ascii="Arial" w:hAnsi="Arial" w:cs="Arial"/>
          <w:sz w:val="22"/>
          <w:szCs w:val="22"/>
        </w:rPr>
        <w:t xml:space="preserve"> </w:t>
      </w:r>
      <w:r>
        <w:rPr>
          <w:rFonts w:ascii="Arial" w:hAnsi="Arial" w:cs="Arial"/>
          <w:sz w:val="22"/>
          <w:szCs w:val="22"/>
        </w:rPr>
        <w:t>[Accessed 4 Dec. 2022].</w:t>
      </w:r>
    </w:p>
    <w:p w14:paraId="17AE60C5" w14:textId="7F9EA549"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Thompson, C., Morris, D. and Bird, S. (2022). </w:t>
      </w:r>
      <w:r>
        <w:rPr>
          <w:rFonts w:ascii="Arial" w:hAnsi="Arial" w:cs="Arial"/>
          <w:i/>
          <w:iCs/>
          <w:sz w:val="22"/>
          <w:szCs w:val="22"/>
        </w:rPr>
        <w:t>Evaluation of the Improving Social Connectedness of Older Australians Project pilot: Informing Future Policy Considerations Released March 2022</w:t>
      </w:r>
      <w:r>
        <w:rPr>
          <w:rFonts w:ascii="Arial" w:hAnsi="Arial" w:cs="Arial"/>
          <w:sz w:val="22"/>
          <w:szCs w:val="22"/>
        </w:rPr>
        <w:t>.</w:t>
      </w:r>
      <w:r w:rsidR="00D60B40">
        <w:rPr>
          <w:rFonts w:ascii="Arial" w:hAnsi="Arial" w:cs="Arial"/>
          <w:sz w:val="22"/>
          <w:szCs w:val="22"/>
        </w:rPr>
        <w:t xml:space="preserve"> </w:t>
      </w:r>
      <w:r>
        <w:rPr>
          <w:rFonts w:ascii="Arial" w:hAnsi="Arial" w:cs="Arial"/>
          <w:sz w:val="22"/>
          <w:szCs w:val="22"/>
        </w:rPr>
        <w:t xml:space="preserve">[online] pp.1–2. Available at: </w:t>
      </w:r>
      <w:hyperlink r:id="rId36" w:history="1">
        <w:r w:rsidR="00D60B40" w:rsidRPr="00814C69">
          <w:rPr>
            <w:rStyle w:val="Hyperlink"/>
            <w:rFonts w:ascii="Arial" w:hAnsi="Arial" w:cs="Arial"/>
            <w:sz w:val="22"/>
            <w:szCs w:val="22"/>
          </w:rPr>
          <w:t>https://www.health.gov.au/sites/default/files/documents/2022/03/iscoa-project-pilot-evaluation-informing-future-policy-evaluation-of-the-improving-social-connectedness-of-older-australians-project-pilot-informing-future-policy-considerations.pdf</w:t>
        </w:r>
      </w:hyperlink>
      <w:r w:rsidR="00D60B40">
        <w:rPr>
          <w:rFonts w:ascii="Arial" w:hAnsi="Arial" w:cs="Arial"/>
          <w:sz w:val="22"/>
          <w:szCs w:val="22"/>
        </w:rPr>
        <w:t xml:space="preserve"> </w:t>
      </w:r>
      <w:r>
        <w:rPr>
          <w:rFonts w:ascii="Arial" w:hAnsi="Arial" w:cs="Arial"/>
          <w:sz w:val="22"/>
          <w:szCs w:val="22"/>
        </w:rPr>
        <w:t>[Accessed 4 Dec. 2022].</w:t>
      </w:r>
    </w:p>
    <w:p w14:paraId="17C329C1" w14:textId="4F70FED3" w:rsidR="00FA15FA" w:rsidRDefault="00FA15FA" w:rsidP="00FA15FA">
      <w:pPr>
        <w:pStyle w:val="NormalWeb"/>
        <w:spacing w:before="0" w:beforeAutospacing="0" w:after="240" w:afterAutospacing="0" w:line="360" w:lineRule="auto"/>
        <w:rPr>
          <w:rFonts w:ascii="Arial" w:hAnsi="Arial" w:cs="Arial"/>
          <w:sz w:val="22"/>
          <w:szCs w:val="22"/>
        </w:rPr>
      </w:pPr>
      <w:proofErr w:type="spellStart"/>
      <w:r>
        <w:rPr>
          <w:rFonts w:ascii="Arial" w:hAnsi="Arial" w:cs="Arial"/>
          <w:sz w:val="22"/>
          <w:szCs w:val="22"/>
        </w:rPr>
        <w:t>Wold</w:t>
      </w:r>
      <w:proofErr w:type="spellEnd"/>
      <w:r>
        <w:rPr>
          <w:rFonts w:ascii="Arial" w:hAnsi="Arial" w:cs="Arial"/>
          <w:sz w:val="22"/>
          <w:szCs w:val="22"/>
        </w:rPr>
        <w:t xml:space="preserve"> Health Organisation (n.d.). </w:t>
      </w:r>
      <w:r>
        <w:rPr>
          <w:rFonts w:ascii="Arial" w:hAnsi="Arial" w:cs="Arial"/>
          <w:i/>
          <w:iCs/>
          <w:sz w:val="22"/>
          <w:szCs w:val="22"/>
        </w:rPr>
        <w:t>Reducing social isolation and loneliness among older people</w:t>
      </w:r>
      <w:r>
        <w:rPr>
          <w:rFonts w:ascii="Arial" w:hAnsi="Arial" w:cs="Arial"/>
          <w:sz w:val="22"/>
          <w:szCs w:val="22"/>
        </w:rPr>
        <w:t xml:space="preserve">. [online] www.who.int. Available at: </w:t>
      </w:r>
      <w:hyperlink r:id="rId37" w:anchor=":~:text=These%20include%20social%20skills%20training" w:history="1">
        <w:r w:rsidR="00D60B40" w:rsidRPr="00814C69">
          <w:rPr>
            <w:rStyle w:val="Hyperlink"/>
            <w:rFonts w:ascii="Arial" w:hAnsi="Arial" w:cs="Arial"/>
            <w:sz w:val="22"/>
            <w:szCs w:val="22"/>
          </w:rPr>
          <w:t>https://www.who.int/activities/reducing-social-isolation-and-loneliness-among-older-people#:~:text=These%20include%20social%20skills%20training</w:t>
        </w:r>
      </w:hyperlink>
      <w:r w:rsidR="00D60B40">
        <w:rPr>
          <w:rFonts w:ascii="Arial" w:hAnsi="Arial" w:cs="Arial"/>
          <w:sz w:val="22"/>
          <w:szCs w:val="22"/>
        </w:rPr>
        <w:t xml:space="preserve"> </w:t>
      </w:r>
      <w:r>
        <w:rPr>
          <w:rFonts w:ascii="Arial" w:hAnsi="Arial" w:cs="Arial"/>
          <w:sz w:val="22"/>
          <w:szCs w:val="22"/>
        </w:rPr>
        <w:t>[Accessed 11 Dec. 2022].</w:t>
      </w:r>
    </w:p>
    <w:p w14:paraId="35258FD4" w14:textId="5D02E755"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World Health Organisation (2021). </w:t>
      </w:r>
      <w:r>
        <w:rPr>
          <w:rFonts w:ascii="Arial" w:hAnsi="Arial" w:cs="Arial"/>
          <w:i/>
          <w:iCs/>
          <w:sz w:val="22"/>
          <w:szCs w:val="22"/>
        </w:rPr>
        <w:t>Social Isolation and Loneliness among Older People</w:t>
      </w:r>
      <w:r>
        <w:rPr>
          <w:rFonts w:ascii="Arial" w:hAnsi="Arial" w:cs="Arial"/>
          <w:sz w:val="22"/>
          <w:szCs w:val="22"/>
        </w:rPr>
        <w:t xml:space="preserve">. </w:t>
      </w:r>
      <w:hyperlink r:id="rId38" w:history="1">
        <w:r w:rsidR="00D60B40" w:rsidRPr="00814C69">
          <w:rPr>
            <w:rStyle w:val="Hyperlink"/>
            <w:rFonts w:ascii="Arial" w:hAnsi="Arial" w:cs="Arial"/>
            <w:i/>
            <w:iCs/>
            <w:sz w:val="22"/>
            <w:szCs w:val="22"/>
          </w:rPr>
          <w:t>https://www.who.int/publications/i/item/9789240030749</w:t>
        </w:r>
      </w:hyperlink>
      <w:r w:rsidR="00D60B40">
        <w:rPr>
          <w:rFonts w:ascii="Arial" w:hAnsi="Arial" w:cs="Arial"/>
          <w:sz w:val="22"/>
          <w:szCs w:val="22"/>
        </w:rPr>
        <w:t xml:space="preserve"> </w:t>
      </w:r>
      <w:r>
        <w:rPr>
          <w:rFonts w:ascii="Arial" w:hAnsi="Arial" w:cs="Arial"/>
          <w:sz w:val="22"/>
          <w:szCs w:val="22"/>
        </w:rPr>
        <w:t xml:space="preserve"> pp.10–13.</w:t>
      </w:r>
    </w:p>
    <w:p w14:paraId="7D0B9320" w14:textId="7CC2CF32"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World Health Organization (2021). </w:t>
      </w:r>
      <w:r>
        <w:rPr>
          <w:rFonts w:ascii="Arial" w:hAnsi="Arial" w:cs="Arial"/>
          <w:i/>
          <w:iCs/>
          <w:sz w:val="22"/>
          <w:szCs w:val="22"/>
        </w:rPr>
        <w:t>Ageism is a global challenge: UN</w:t>
      </w:r>
      <w:r>
        <w:rPr>
          <w:rFonts w:ascii="Arial" w:hAnsi="Arial" w:cs="Arial"/>
          <w:sz w:val="22"/>
          <w:szCs w:val="22"/>
        </w:rPr>
        <w:t xml:space="preserve">. [online] www.who.int. Available at: </w:t>
      </w:r>
      <w:hyperlink r:id="rId39" w:history="1">
        <w:r w:rsidR="00D60B40" w:rsidRPr="00814C69">
          <w:rPr>
            <w:rStyle w:val="Hyperlink"/>
            <w:rFonts w:ascii="Arial" w:hAnsi="Arial" w:cs="Arial"/>
            <w:sz w:val="22"/>
            <w:szCs w:val="22"/>
          </w:rPr>
          <w:t>https://www.who.int/news/item/18-03-2021-ageism-is-a-global-challenge-un</w:t>
        </w:r>
      </w:hyperlink>
      <w:r w:rsidR="00D60B40">
        <w:rPr>
          <w:rFonts w:ascii="Arial" w:hAnsi="Arial" w:cs="Arial"/>
          <w:sz w:val="22"/>
          <w:szCs w:val="22"/>
        </w:rPr>
        <w:t xml:space="preserve"> </w:t>
      </w:r>
      <w:r>
        <w:rPr>
          <w:rFonts w:ascii="Arial" w:hAnsi="Arial" w:cs="Arial"/>
          <w:sz w:val="22"/>
          <w:szCs w:val="22"/>
        </w:rPr>
        <w:t>[Accessed 7 Dec. 2022].</w:t>
      </w:r>
    </w:p>
    <w:p w14:paraId="40182E08" w14:textId="4C72AB89"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World Health Organization (2022a). </w:t>
      </w:r>
      <w:r>
        <w:rPr>
          <w:rFonts w:ascii="Arial" w:hAnsi="Arial" w:cs="Arial"/>
          <w:i/>
          <w:iCs/>
          <w:sz w:val="22"/>
          <w:szCs w:val="22"/>
        </w:rPr>
        <w:t>Ageing and Health</w:t>
      </w:r>
      <w:r>
        <w:rPr>
          <w:rFonts w:ascii="Arial" w:hAnsi="Arial" w:cs="Arial"/>
          <w:sz w:val="22"/>
          <w:szCs w:val="22"/>
        </w:rPr>
        <w:t xml:space="preserve">. [online] World Health Organization. Available at: </w:t>
      </w:r>
      <w:hyperlink r:id="rId40" w:history="1">
        <w:r w:rsidR="00D60B40" w:rsidRPr="00814C69">
          <w:rPr>
            <w:rStyle w:val="Hyperlink"/>
            <w:rFonts w:ascii="Arial" w:hAnsi="Arial" w:cs="Arial"/>
            <w:sz w:val="22"/>
            <w:szCs w:val="22"/>
          </w:rPr>
          <w:t>https://www.who.int/news-room/fact-sheets/detail/ageing-and-health</w:t>
        </w:r>
      </w:hyperlink>
      <w:r w:rsidR="00D60B40">
        <w:rPr>
          <w:rFonts w:ascii="Arial" w:hAnsi="Arial" w:cs="Arial"/>
          <w:sz w:val="22"/>
          <w:szCs w:val="22"/>
        </w:rPr>
        <w:t xml:space="preserve"> </w:t>
      </w:r>
      <w:r>
        <w:rPr>
          <w:rFonts w:ascii="Arial" w:hAnsi="Arial" w:cs="Arial"/>
          <w:sz w:val="22"/>
          <w:szCs w:val="22"/>
        </w:rPr>
        <w:t>[Accessed 3 Dec. 2022].</w:t>
      </w:r>
    </w:p>
    <w:p w14:paraId="7AAAC909" w14:textId="5F1865DF"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World Health Organization (2022b). </w:t>
      </w:r>
      <w:r>
        <w:rPr>
          <w:rFonts w:ascii="Arial" w:hAnsi="Arial" w:cs="Arial"/>
          <w:i/>
          <w:iCs/>
          <w:sz w:val="22"/>
          <w:szCs w:val="22"/>
        </w:rPr>
        <w:t>Ageing and Health</w:t>
      </w:r>
      <w:r>
        <w:rPr>
          <w:rFonts w:ascii="Arial" w:hAnsi="Arial" w:cs="Arial"/>
          <w:sz w:val="22"/>
          <w:szCs w:val="22"/>
        </w:rPr>
        <w:t xml:space="preserve">. [online] World Health Organization. Available at: </w:t>
      </w:r>
      <w:hyperlink r:id="rId41" w:history="1">
        <w:r w:rsidR="00D60B40" w:rsidRPr="00814C69">
          <w:rPr>
            <w:rStyle w:val="Hyperlink"/>
            <w:rFonts w:ascii="Arial" w:hAnsi="Arial" w:cs="Arial"/>
            <w:sz w:val="22"/>
            <w:szCs w:val="22"/>
          </w:rPr>
          <w:t>https://www.who.int/news-room/fact-sheets/detail/ageing-and-health</w:t>
        </w:r>
      </w:hyperlink>
      <w:r w:rsidR="00D60B40">
        <w:rPr>
          <w:rFonts w:ascii="Arial" w:hAnsi="Arial" w:cs="Arial"/>
          <w:sz w:val="22"/>
          <w:szCs w:val="22"/>
        </w:rPr>
        <w:t xml:space="preserve"> </w:t>
      </w:r>
      <w:r>
        <w:rPr>
          <w:rFonts w:ascii="Arial" w:hAnsi="Arial" w:cs="Arial"/>
          <w:sz w:val="22"/>
          <w:szCs w:val="22"/>
        </w:rPr>
        <w:t>[Accessed 3 Dec. 2022].</w:t>
      </w:r>
    </w:p>
    <w:p w14:paraId="03827323" w14:textId="2636C406" w:rsidR="00CA7A31" w:rsidRDefault="00CA7A31"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World Health Organization (2022c). </w:t>
      </w:r>
      <w:r>
        <w:rPr>
          <w:rFonts w:ascii="Arial" w:hAnsi="Arial" w:cs="Arial"/>
          <w:i/>
          <w:iCs/>
          <w:sz w:val="22"/>
          <w:szCs w:val="22"/>
        </w:rPr>
        <w:t>Ageing and Health</w:t>
      </w:r>
      <w:r>
        <w:rPr>
          <w:rFonts w:ascii="Arial" w:hAnsi="Arial" w:cs="Arial"/>
          <w:sz w:val="22"/>
          <w:szCs w:val="22"/>
        </w:rPr>
        <w:t xml:space="preserve">. [online] World Health Organization. Available at: </w:t>
      </w:r>
      <w:hyperlink r:id="rId42" w:history="1">
        <w:r w:rsidR="00D60B40" w:rsidRPr="00814C69">
          <w:rPr>
            <w:rStyle w:val="Hyperlink"/>
            <w:rFonts w:ascii="Arial" w:hAnsi="Arial" w:cs="Arial"/>
            <w:sz w:val="22"/>
            <w:szCs w:val="22"/>
          </w:rPr>
          <w:t>https://www.who.int/news-room/fact-sheets/detail/ageing-and-health</w:t>
        </w:r>
      </w:hyperlink>
      <w:r w:rsidR="00D60B40">
        <w:rPr>
          <w:rFonts w:ascii="Arial" w:hAnsi="Arial" w:cs="Arial"/>
          <w:sz w:val="22"/>
          <w:szCs w:val="22"/>
        </w:rPr>
        <w:t xml:space="preserve"> </w:t>
      </w:r>
      <w:r>
        <w:rPr>
          <w:rFonts w:ascii="Arial" w:hAnsi="Arial" w:cs="Arial"/>
          <w:sz w:val="22"/>
          <w:szCs w:val="22"/>
        </w:rPr>
        <w:t>[Accessed 11 Dec. 2022].</w:t>
      </w:r>
    </w:p>
    <w:p w14:paraId="04EF6033" w14:textId="1F909AF9" w:rsidR="00FA15FA" w:rsidRDefault="00FA15FA" w:rsidP="00FA15FA">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Wu, B. (2020). Social Isolation and Loneliness among Older Adults in the Context of COVID-19: a Global Challenge. </w:t>
      </w:r>
      <w:r>
        <w:rPr>
          <w:rFonts w:ascii="Arial" w:hAnsi="Arial" w:cs="Arial"/>
          <w:i/>
          <w:iCs/>
          <w:sz w:val="22"/>
          <w:szCs w:val="22"/>
        </w:rPr>
        <w:t>Global Health Research and Policy</w:t>
      </w:r>
      <w:r>
        <w:rPr>
          <w:rFonts w:ascii="Arial" w:hAnsi="Arial" w:cs="Arial"/>
          <w:sz w:val="22"/>
          <w:szCs w:val="22"/>
        </w:rPr>
        <w:t xml:space="preserve">, [online] 5(1). Available at: </w:t>
      </w:r>
      <w:hyperlink r:id="rId43" w:history="1">
        <w:r w:rsidR="00D60B40" w:rsidRPr="00814C69">
          <w:rPr>
            <w:rStyle w:val="Hyperlink"/>
            <w:rFonts w:ascii="Arial" w:hAnsi="Arial" w:cs="Arial"/>
            <w:sz w:val="22"/>
            <w:szCs w:val="22"/>
          </w:rPr>
          <w:t>https://ghrp.biomedcentral.com/articles/10.1186/s41256-020-00154-3</w:t>
        </w:r>
      </w:hyperlink>
      <w:r w:rsidR="00D60B40">
        <w:rPr>
          <w:rFonts w:ascii="Arial" w:hAnsi="Arial" w:cs="Arial"/>
          <w:sz w:val="22"/>
          <w:szCs w:val="22"/>
        </w:rPr>
        <w:t xml:space="preserve"> </w:t>
      </w:r>
      <w:r>
        <w:rPr>
          <w:rFonts w:ascii="Arial" w:hAnsi="Arial" w:cs="Arial"/>
          <w:sz w:val="22"/>
          <w:szCs w:val="22"/>
        </w:rPr>
        <w:t>[Accessed 7 Dec. 2022].</w:t>
      </w:r>
    </w:p>
    <w:p w14:paraId="04642466" w14:textId="10D5175A" w:rsidR="00B700B3" w:rsidRDefault="00B700B3" w:rsidP="009C3629">
      <w:pPr>
        <w:rPr>
          <w:rFonts w:ascii="Arial" w:hAnsi="Arial" w:cs="Arial"/>
        </w:rPr>
      </w:pPr>
    </w:p>
    <w:p w14:paraId="59ED974F" w14:textId="0AD293B6" w:rsidR="00B700B3" w:rsidRDefault="00B700B3" w:rsidP="009C3629">
      <w:pPr>
        <w:rPr>
          <w:rFonts w:ascii="Arial" w:hAnsi="Arial" w:cs="Arial"/>
        </w:rPr>
      </w:pPr>
    </w:p>
    <w:p w14:paraId="4B7950B5" w14:textId="081A1450" w:rsidR="00B700B3" w:rsidRDefault="00B700B3" w:rsidP="009C3629">
      <w:pPr>
        <w:rPr>
          <w:rFonts w:ascii="Arial" w:hAnsi="Arial" w:cs="Arial"/>
        </w:rPr>
      </w:pPr>
    </w:p>
    <w:p w14:paraId="6B89EB65" w14:textId="77777777" w:rsidR="00B700B3" w:rsidRPr="009C3629" w:rsidRDefault="00B700B3" w:rsidP="009C3629">
      <w:pPr>
        <w:rPr>
          <w:rFonts w:ascii="Arial" w:hAnsi="Arial" w:cs="Arial"/>
        </w:rPr>
      </w:pPr>
    </w:p>
    <w:sectPr w:rsidR="00B700B3" w:rsidRPr="009C362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269C4" w14:textId="77777777" w:rsidR="00AD7C35" w:rsidRDefault="00AD7C35" w:rsidP="00D15EF7">
      <w:pPr>
        <w:spacing w:after="0" w:line="240" w:lineRule="auto"/>
      </w:pPr>
      <w:r>
        <w:separator/>
      </w:r>
    </w:p>
  </w:endnote>
  <w:endnote w:type="continuationSeparator" w:id="0">
    <w:p w14:paraId="31812677" w14:textId="77777777" w:rsidR="00AD7C35" w:rsidRDefault="00AD7C35" w:rsidP="00D15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656183"/>
      <w:docPartObj>
        <w:docPartGallery w:val="Page Numbers (Bottom of Page)"/>
        <w:docPartUnique/>
      </w:docPartObj>
    </w:sdtPr>
    <w:sdtEndPr>
      <w:rPr>
        <w:noProof/>
      </w:rPr>
    </w:sdtEndPr>
    <w:sdtContent>
      <w:p w14:paraId="01B3905D" w14:textId="21AA152B" w:rsidR="005236F5" w:rsidRDefault="005236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B7FD2" w14:textId="77777777" w:rsidR="005236F5" w:rsidRDefault="00523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1D14E" w14:textId="77777777" w:rsidR="00AD7C35" w:rsidRDefault="00AD7C35" w:rsidP="00D15EF7">
      <w:pPr>
        <w:spacing w:after="0" w:line="240" w:lineRule="auto"/>
      </w:pPr>
      <w:r>
        <w:separator/>
      </w:r>
    </w:p>
  </w:footnote>
  <w:footnote w:type="continuationSeparator" w:id="0">
    <w:p w14:paraId="404CAAF2" w14:textId="77777777" w:rsidR="00AD7C35" w:rsidRDefault="00AD7C35" w:rsidP="00D15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F661388"/>
    <w:lvl w:ilvl="0">
      <w:start w:val="1"/>
      <w:numFmt w:val="bullet"/>
      <w:pStyle w:val="ListBullet"/>
      <w:lvlText w:val=""/>
      <w:lvlJc w:val="left"/>
      <w:pPr>
        <w:tabs>
          <w:tab w:val="num" w:pos="360"/>
        </w:tabs>
        <w:ind w:left="360" w:hanging="360"/>
      </w:pPr>
      <w:rPr>
        <w:rFonts w:ascii="Symbol" w:hAnsi="Symbol" w:hint="default"/>
      </w:rPr>
    </w:lvl>
  </w:abstractNum>
  <w:num w:numId="1" w16cid:durableId="349992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E6F"/>
    <w:rsid w:val="00012E11"/>
    <w:rsid w:val="000265EA"/>
    <w:rsid w:val="00040B02"/>
    <w:rsid w:val="0005333D"/>
    <w:rsid w:val="000A7BE9"/>
    <w:rsid w:val="001018BF"/>
    <w:rsid w:val="00121E6F"/>
    <w:rsid w:val="00146931"/>
    <w:rsid w:val="00155B9A"/>
    <w:rsid w:val="001B1B9B"/>
    <w:rsid w:val="001C2917"/>
    <w:rsid w:val="001C7FA5"/>
    <w:rsid w:val="00222EA3"/>
    <w:rsid w:val="00252F68"/>
    <w:rsid w:val="002546F4"/>
    <w:rsid w:val="002609DF"/>
    <w:rsid w:val="0026331D"/>
    <w:rsid w:val="00275900"/>
    <w:rsid w:val="00350831"/>
    <w:rsid w:val="00355D8F"/>
    <w:rsid w:val="00377E59"/>
    <w:rsid w:val="003964AC"/>
    <w:rsid w:val="003C360D"/>
    <w:rsid w:val="003E562D"/>
    <w:rsid w:val="00404C98"/>
    <w:rsid w:val="00434162"/>
    <w:rsid w:val="004855F6"/>
    <w:rsid w:val="004D60EB"/>
    <w:rsid w:val="005236F5"/>
    <w:rsid w:val="005666F6"/>
    <w:rsid w:val="005C02EF"/>
    <w:rsid w:val="00604AF3"/>
    <w:rsid w:val="00634547"/>
    <w:rsid w:val="00651276"/>
    <w:rsid w:val="00665540"/>
    <w:rsid w:val="006666CF"/>
    <w:rsid w:val="00712DF4"/>
    <w:rsid w:val="00730949"/>
    <w:rsid w:val="0073432D"/>
    <w:rsid w:val="007837F7"/>
    <w:rsid w:val="00793380"/>
    <w:rsid w:val="007A2B56"/>
    <w:rsid w:val="007B073A"/>
    <w:rsid w:val="007D59D8"/>
    <w:rsid w:val="0081294F"/>
    <w:rsid w:val="00823953"/>
    <w:rsid w:val="00867292"/>
    <w:rsid w:val="008F4FE1"/>
    <w:rsid w:val="009134EF"/>
    <w:rsid w:val="00996FD4"/>
    <w:rsid w:val="009C3629"/>
    <w:rsid w:val="009F5D16"/>
    <w:rsid w:val="00A279B5"/>
    <w:rsid w:val="00A46756"/>
    <w:rsid w:val="00A96DF7"/>
    <w:rsid w:val="00AD18F6"/>
    <w:rsid w:val="00AD7C35"/>
    <w:rsid w:val="00B2388F"/>
    <w:rsid w:val="00B700B3"/>
    <w:rsid w:val="00BB5EF4"/>
    <w:rsid w:val="00C179DA"/>
    <w:rsid w:val="00C6501A"/>
    <w:rsid w:val="00C726BE"/>
    <w:rsid w:val="00CA7A31"/>
    <w:rsid w:val="00CC69AA"/>
    <w:rsid w:val="00D15EF7"/>
    <w:rsid w:val="00D3243C"/>
    <w:rsid w:val="00D60B40"/>
    <w:rsid w:val="00DA7462"/>
    <w:rsid w:val="00DB1C55"/>
    <w:rsid w:val="00E96D98"/>
    <w:rsid w:val="00EB110F"/>
    <w:rsid w:val="00ED5754"/>
    <w:rsid w:val="00F2235D"/>
    <w:rsid w:val="00F533BF"/>
    <w:rsid w:val="00F55C53"/>
    <w:rsid w:val="00F92B80"/>
    <w:rsid w:val="00FA15FA"/>
    <w:rsid w:val="00FA65D0"/>
    <w:rsid w:val="00FD5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4CF90"/>
  <w15:chartTrackingRefBased/>
  <w15:docId w15:val="{C6DB1D24-E611-44E9-880E-D4E2A4F9C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C98"/>
  </w:style>
  <w:style w:type="paragraph" w:styleId="Heading1">
    <w:name w:val="heading 1"/>
    <w:basedOn w:val="Normal"/>
    <w:next w:val="Normal"/>
    <w:link w:val="Heading1Char"/>
    <w:uiPriority w:val="9"/>
    <w:qFormat/>
    <w:rsid w:val="00404C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404C98"/>
    <w:pPr>
      <w:numPr>
        <w:numId w:val="1"/>
      </w:numPr>
      <w:contextualSpacing/>
    </w:pPr>
  </w:style>
  <w:style w:type="character" w:customStyle="1" w:styleId="Heading1Char">
    <w:name w:val="Heading 1 Char"/>
    <w:basedOn w:val="DefaultParagraphFont"/>
    <w:link w:val="Heading1"/>
    <w:uiPriority w:val="9"/>
    <w:rsid w:val="00404C9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15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EF7"/>
  </w:style>
  <w:style w:type="paragraph" w:styleId="Footer">
    <w:name w:val="footer"/>
    <w:basedOn w:val="Normal"/>
    <w:link w:val="FooterChar"/>
    <w:uiPriority w:val="99"/>
    <w:unhideWhenUsed/>
    <w:rsid w:val="00D15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EF7"/>
  </w:style>
  <w:style w:type="character" w:styleId="Hyperlink">
    <w:name w:val="Hyperlink"/>
    <w:basedOn w:val="DefaultParagraphFont"/>
    <w:uiPriority w:val="99"/>
    <w:unhideWhenUsed/>
    <w:rsid w:val="00222EA3"/>
    <w:rPr>
      <w:color w:val="0563C1" w:themeColor="hyperlink"/>
      <w:u w:val="single"/>
    </w:rPr>
  </w:style>
  <w:style w:type="character" w:styleId="UnresolvedMention">
    <w:name w:val="Unresolved Mention"/>
    <w:basedOn w:val="DefaultParagraphFont"/>
    <w:uiPriority w:val="99"/>
    <w:semiHidden/>
    <w:unhideWhenUsed/>
    <w:rsid w:val="00222EA3"/>
    <w:rPr>
      <w:color w:val="605E5C"/>
      <w:shd w:val="clear" w:color="auto" w:fill="E1DFDD"/>
    </w:rPr>
  </w:style>
  <w:style w:type="paragraph" w:styleId="NormalWeb">
    <w:name w:val="Normal (Web)"/>
    <w:basedOn w:val="Normal"/>
    <w:uiPriority w:val="99"/>
    <w:semiHidden/>
    <w:unhideWhenUsed/>
    <w:rsid w:val="00FA15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265EA"/>
    <w:pPr>
      <w:outlineLvl w:val="9"/>
    </w:pPr>
    <w:rPr>
      <w:lang w:val="en-US"/>
    </w:rPr>
  </w:style>
  <w:style w:type="paragraph" w:styleId="TOC1">
    <w:name w:val="toc 1"/>
    <w:basedOn w:val="Normal"/>
    <w:next w:val="Normal"/>
    <w:autoRedefine/>
    <w:uiPriority w:val="39"/>
    <w:unhideWhenUsed/>
    <w:rsid w:val="000265E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97037">
      <w:bodyDiv w:val="1"/>
      <w:marLeft w:val="0"/>
      <w:marRight w:val="0"/>
      <w:marTop w:val="0"/>
      <w:marBottom w:val="0"/>
      <w:divBdr>
        <w:top w:val="none" w:sz="0" w:space="0" w:color="auto"/>
        <w:left w:val="none" w:sz="0" w:space="0" w:color="auto"/>
        <w:bottom w:val="none" w:sz="0" w:space="0" w:color="auto"/>
        <w:right w:val="none" w:sz="0" w:space="0" w:color="auto"/>
      </w:divBdr>
      <w:divsChild>
        <w:div w:id="1541551334">
          <w:marLeft w:val="0"/>
          <w:marRight w:val="0"/>
          <w:marTop w:val="0"/>
          <w:marBottom w:val="0"/>
          <w:divBdr>
            <w:top w:val="none" w:sz="0" w:space="0" w:color="auto"/>
            <w:left w:val="none" w:sz="0" w:space="0" w:color="auto"/>
            <w:bottom w:val="none" w:sz="0" w:space="0" w:color="auto"/>
            <w:right w:val="none" w:sz="0" w:space="0" w:color="auto"/>
          </w:divBdr>
        </w:div>
      </w:divsChild>
    </w:div>
    <w:div w:id="782774845">
      <w:bodyDiv w:val="1"/>
      <w:marLeft w:val="0"/>
      <w:marRight w:val="0"/>
      <w:marTop w:val="0"/>
      <w:marBottom w:val="0"/>
      <w:divBdr>
        <w:top w:val="none" w:sz="0" w:space="0" w:color="auto"/>
        <w:left w:val="none" w:sz="0" w:space="0" w:color="auto"/>
        <w:bottom w:val="none" w:sz="0" w:space="0" w:color="auto"/>
        <w:right w:val="none" w:sz="0" w:space="0" w:color="auto"/>
      </w:divBdr>
      <w:divsChild>
        <w:div w:id="20670712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policy-positions/cross-cutting-issues/ageism-and-age-equality-pp-great-britain-august-2018.pdf" TargetMode="External"/><Relationship Id="rId18" Type="http://schemas.openxmlformats.org/officeDocument/2006/relationships/hyperlink" Target="https://www.esafety.gov.au/sites/default/files/2019-08/Understanding-digital-behaviours-older-Australians-summary-report-2018.pdf" TargetMode="External"/><Relationship Id="rId26" Type="http://schemas.openxmlformats.org/officeDocument/2006/relationships/hyperlink" Target="https://www.ons.gov.uk/peoplepopulationandcommunity/birthsdeathsandmarriages/ageing/articles/livinglongerisage70thenewage65/2019-11-19" TargetMode="External"/><Relationship Id="rId39" Type="http://schemas.openxmlformats.org/officeDocument/2006/relationships/hyperlink" Target="https://www.who.int/news/item/18-03-2021-ageism-is-a-global-challenge-un" TargetMode="External"/><Relationship Id="rId21" Type="http://schemas.openxmlformats.org/officeDocument/2006/relationships/hyperlink" Target="https://www.nia.nih.gov/news/social-isolation-loneliness-older-people-pose-health-risks" TargetMode="External"/><Relationship Id="rId34" Type="http://schemas.openxmlformats.org/officeDocument/2006/relationships/hyperlink" Target="https://www.kingsfund.org.uk/audio-video/key-facts-figures-adult-social-care" TargetMode="External"/><Relationship Id="rId42" Type="http://schemas.openxmlformats.org/officeDocument/2006/relationships/hyperlink" Target="https://www.who.int/news-room/fact-sheets/detail/ageing-and-healt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ihw.gov.au/reports/dementia/dementia-in-aus/contents/population-health-impacts-of-dementia/prevalence-of-dementia" TargetMode="External"/><Relationship Id="rId29" Type="http://schemas.openxmlformats.org/officeDocument/2006/relationships/hyperlink" Target="https://www.raq.org.au/blog/social-isolation-older-ad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globalassets/age-uk/documents/reports-and-publications/reports-and-briefings/active-communities/rb_july16_older_people_and_internet_use_stats.pdf" TargetMode="External"/><Relationship Id="rId24" Type="http://schemas.openxmlformats.org/officeDocument/2006/relationships/hyperlink" Target="https://www.nhs.uk/conditions/social-care-and-support-guide/making-decisions-for-someone-else/mental-capacity-act/" TargetMode="External"/><Relationship Id="rId32" Type="http://schemas.openxmlformats.org/officeDocument/2006/relationships/hyperlink" Target="https://www.britannica.com/science/old-age" TargetMode="External"/><Relationship Id="rId37" Type="http://schemas.openxmlformats.org/officeDocument/2006/relationships/hyperlink" Target="https://www.who.int/activities/reducing-social-isolation-and-loneliness-among-older-people" TargetMode="External"/><Relationship Id="rId40" Type="http://schemas.openxmlformats.org/officeDocument/2006/relationships/hyperlink" Target="https://www.who.int/news-room/fact-sheets/detail/ageing-and-health"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ihw.gov.au/reports/australias-health/health-system-overview" TargetMode="External"/><Relationship Id="rId23" Type="http://schemas.openxmlformats.org/officeDocument/2006/relationships/hyperlink" Target="https://www.nhs.uk/mental-health/advice-for-life-situations-and-events/loneliness-in-the-elderly/" TargetMode="External"/><Relationship Id="rId28" Type="http://schemas.openxmlformats.org/officeDocument/2006/relationships/hyperlink" Target="https://books.google.co.uk/books?hl=en&amp;lr=&amp;id=yA4fDAAAQBAJ&amp;oi=fnd&amp;pg=PA113&amp;dq=disengagement+and+activity+theory+of+aging&amp;ots=HMvxYK4cgF&amp;sig=hXOaBrZQPdsD2BsZf0xqSAGhPCA" TargetMode="External"/><Relationship Id="rId36" Type="http://schemas.openxmlformats.org/officeDocument/2006/relationships/hyperlink" Target="https://www.health.gov.au/sites/default/files/documents/2022/03/iscoa-project-pilot-evaluation-informing-future-policy-evaluation-of-the-improving-social-connectedness-of-older-australians-project-pilot-informing-future-policy-considerations.pdf" TargetMode="External"/><Relationship Id="rId10" Type="http://schemas.openxmlformats.org/officeDocument/2006/relationships/hyperlink" Target="https://www.ageuk.org.uk/globalassets/age-uk/documents/reports-and-publications/reports-and-briefings/active-communities/later_life_in_a_digital_world.pdf" TargetMode="External"/><Relationship Id="rId19" Type="http://schemas.openxmlformats.org/officeDocument/2006/relationships/hyperlink" Target="https://www.gov.uk/government/news/pm-launches-governments-first-loneliness-strategy" TargetMode="External"/><Relationship Id="rId31" Type="http://schemas.openxmlformats.org/officeDocument/2006/relationships/hyperlink" Target="https://www.dss.gov.au/communities-and-vulnerable-people-programs-services/seniors-connected-program"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geuk.org.uk/globalassets/age-uk/documents/policy-positions/health-and-wellbeing/ppp_loneliness_and_isolation_uk.pdf" TargetMode="External"/><Relationship Id="rId14" Type="http://schemas.openxmlformats.org/officeDocument/2006/relationships/hyperlink" Target="https://www.ageuk.org.uk/information-advice/health-wellbeing/conditions-illnesses/dementia/understanding-dementia/" TargetMode="External"/><Relationship Id="rId22" Type="http://schemas.openxmlformats.org/officeDocument/2006/relationships/hyperlink" Target="https://www.nhs.uk/mental-health/feelings-symptoms-behaviours/feelings-and-symptoms/loneliness-in-older-people/" TargetMode="External"/><Relationship Id="rId27" Type="http://schemas.openxmlformats.org/officeDocument/2006/relationships/hyperlink" Target="https://www.ons.gov.uk/peoplepopulationandcommunity/populationandmigration/populationprojections/bulletins/nationalpopulationprojections/2020basedinterim" TargetMode="External"/><Relationship Id="rId30" Type="http://schemas.openxmlformats.org/officeDocument/2006/relationships/hyperlink" Target="https://www.sciencedirect.com/topics/psychology/disengagement-theory" TargetMode="External"/><Relationship Id="rId35" Type="http://schemas.openxmlformats.org/officeDocument/2006/relationships/hyperlink" Target="https://mspgh.unimelb.edu.au/ageing-industry-network/newsletter-issue-12-may-2019/the-challenge-of-social-isolation-and-loneliness" TargetMode="External"/><Relationship Id="rId43" Type="http://schemas.openxmlformats.org/officeDocument/2006/relationships/hyperlink" Target="https://ghrp.biomedcentral.com/articles/10.1186/s41256-020-00154-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7" Type="http://schemas.openxmlformats.org/officeDocument/2006/relationships/hyperlink" Target="https://www.aihw.gov.au/reports/older-people/older-australians/contents/demographic-profile" TargetMode="External"/><Relationship Id="rId25" Type="http://schemas.openxmlformats.org/officeDocument/2006/relationships/hyperlink" Target="https://arc-sl.nihr.ac.uk/news-insights/blog-and-commentary/social-isolation-loneliness-and-mental-health-care-home-residents" TargetMode="External"/><Relationship Id="rId33" Type="http://schemas.openxmlformats.org/officeDocument/2006/relationships/hyperlink" Target="https://www.health.org.uk/news-and-comment/news/older-people-living-alone-are-50-more-likely-to-visit-ae-than-those-who-live-with" TargetMode="External"/><Relationship Id="rId38" Type="http://schemas.openxmlformats.org/officeDocument/2006/relationships/hyperlink" Target="https://www.who.int/publications/i/item/9789240030749" TargetMode="External"/><Relationship Id="rId46" Type="http://schemas.openxmlformats.org/officeDocument/2006/relationships/theme" Target="theme/theme1.xml"/><Relationship Id="rId20" Type="http://schemas.openxmlformats.org/officeDocument/2006/relationships/hyperlink" Target="https://www.health.gov.au/topics/aged-care/about-aged-care/what-is-aged-care" TargetMode="External"/><Relationship Id="rId41" Type="http://schemas.openxmlformats.org/officeDocument/2006/relationships/hyperlink" Target="https://www.who.int/news-room/fact-sheets/detail/ageing-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9671E-BB24-4B10-9EC4-F5168CC87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6272</Words>
  <Characters>35754</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Dumitru</dc:creator>
  <cp:keywords/>
  <dc:description/>
  <cp:lastModifiedBy>Cristina Dumitru</cp:lastModifiedBy>
  <cp:revision>10</cp:revision>
  <dcterms:created xsi:type="dcterms:W3CDTF">2023-01-03T22:07:00Z</dcterms:created>
  <dcterms:modified xsi:type="dcterms:W3CDTF">2023-01-03T22:55:00Z</dcterms:modified>
</cp:coreProperties>
</file>