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507A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704EA5A"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EB0A80" w:rsidRPr="00EB0A80">
        <w:rPr>
          <w:rFonts w:ascii="Arial" w:hAnsi="Arial" w:cs="Arial"/>
          <w:b/>
          <w:bCs/>
          <w:sz w:val="28"/>
          <w:szCs w:val="28"/>
        </w:rPr>
        <w:t>Introduction to Health and Social Care</w:t>
      </w:r>
    </w:p>
    <w:p w14:paraId="529D7354" w14:textId="543B1875" w:rsidR="00CD33A8" w:rsidRPr="00EB0A80"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EB0A80">
        <w:rPr>
          <w:rFonts w:ascii="Arial" w:hAnsi="Arial" w:cs="Arial"/>
          <w:sz w:val="28"/>
          <w:szCs w:val="28"/>
        </w:rPr>
        <w:t xml:space="preserve"> </w:t>
      </w:r>
      <w:r w:rsidR="00EB0A80" w:rsidRPr="00EB0A80">
        <w:rPr>
          <w:rFonts w:ascii="Arial" w:hAnsi="Arial" w:cs="Arial"/>
          <w:b/>
          <w:bCs/>
          <w:sz w:val="28"/>
          <w:szCs w:val="28"/>
        </w:rPr>
        <w:t>LCHS4003</w:t>
      </w:r>
    </w:p>
    <w:p w14:paraId="0A48766D" w14:textId="3F596E4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A6359">
        <w:rPr>
          <w:rFonts w:ascii="Arial" w:hAnsi="Arial" w:cs="Arial"/>
          <w:sz w:val="28"/>
          <w:szCs w:val="28"/>
          <w:lang w:val="nl-NL"/>
        </w:rPr>
        <w:t xml:space="preserve"> Junieette Brenes</w:t>
      </w:r>
    </w:p>
    <w:p w14:paraId="5E81F6AD" w14:textId="7A262DD2"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9A6359" w:rsidRPr="009A6359">
        <w:rPr>
          <w:rFonts w:ascii="Arial" w:hAnsi="Arial" w:cs="Arial"/>
          <w:sz w:val="28"/>
          <w:szCs w:val="28"/>
          <w:lang w:val="nl-NL"/>
        </w:rPr>
        <w:t xml:space="preserve"> </w:t>
      </w:r>
      <w:r w:rsidR="009A6359">
        <w:rPr>
          <w:rFonts w:ascii="Arial" w:hAnsi="Arial" w:cs="Arial"/>
          <w:sz w:val="28"/>
          <w:szCs w:val="28"/>
          <w:lang w:val="nl-NL"/>
        </w:rPr>
        <w:t>2525530</w:t>
      </w:r>
    </w:p>
    <w:p w14:paraId="176B0094" w14:textId="3C92CC75" w:rsidR="008B123A" w:rsidRPr="00A341FA" w:rsidRDefault="008E3943" w:rsidP="008B123A">
      <w:pPr>
        <w:tabs>
          <w:tab w:val="left" w:pos="6540"/>
        </w:tabs>
        <w:spacing w:line="360" w:lineRule="auto"/>
        <w:rPr>
          <w:rFonts w:ascii="Arial" w:hAnsi="Arial" w:cs="Arial"/>
          <w:sz w:val="28"/>
          <w:szCs w:val="28"/>
        </w:rPr>
        <w:sectPr w:rsidR="008B123A" w:rsidRPr="00A341FA" w:rsidSect="008B123A">
          <w:footerReference w:type="default" r:id="rId10"/>
          <w:pgSz w:w="11906" w:h="16838"/>
          <w:pgMar w:top="1440" w:right="1440" w:bottom="1440" w:left="1440" w:header="709" w:footer="709" w:gutter="0"/>
          <w:cols w:space="708"/>
          <w:docGrid w:linePitch="360"/>
        </w:sectPr>
      </w:pPr>
      <w:r>
        <w:rPr>
          <w:rFonts w:ascii="Arial" w:hAnsi="Arial" w:cs="Arial"/>
          <w:b/>
          <w:bCs/>
          <w:sz w:val="28"/>
          <w:szCs w:val="28"/>
        </w:rPr>
        <w:t>Lecturer’s name</w:t>
      </w:r>
      <w:r w:rsidR="00074402" w:rsidRPr="00CD33A8">
        <w:rPr>
          <w:rFonts w:ascii="Arial" w:hAnsi="Arial" w:cs="Arial"/>
          <w:sz w:val="28"/>
          <w:szCs w:val="28"/>
        </w:rPr>
        <w:t>:</w:t>
      </w:r>
      <w:r w:rsidR="009A6359">
        <w:rPr>
          <w:rFonts w:ascii="Arial" w:hAnsi="Arial" w:cs="Arial"/>
          <w:sz w:val="28"/>
          <w:szCs w:val="28"/>
        </w:rPr>
        <w:t xml:space="preserve"> Umma Suleiman</w:t>
      </w:r>
    </w:p>
    <w:p w14:paraId="74D9AD91" w14:textId="078C16CD" w:rsidR="003F0440" w:rsidRPr="00C975E6" w:rsidRDefault="00A341FA" w:rsidP="00CD33A8">
      <w:pPr>
        <w:spacing w:line="360" w:lineRule="auto"/>
        <w:rPr>
          <w:rFonts w:ascii="Arial" w:hAnsi="Arial" w:cs="Arial"/>
          <w:sz w:val="28"/>
          <w:szCs w:val="28"/>
        </w:rPr>
      </w:pPr>
      <w:r w:rsidRPr="00C975E6">
        <w:rPr>
          <w:rFonts w:ascii="Arial" w:hAnsi="Arial" w:cs="Arial"/>
          <w:noProof/>
          <w:sz w:val="28"/>
          <w:szCs w:val="28"/>
        </w:rPr>
        <w:lastRenderedPageBreak/>
        <w:drawing>
          <wp:anchor distT="0" distB="0" distL="114300" distR="114300" simplePos="0" relativeHeight="251660288" behindDoc="0" locked="0" layoutInCell="1" allowOverlap="1" wp14:anchorId="21858A17" wp14:editId="3E8E62EF">
            <wp:simplePos x="0" y="0"/>
            <wp:positionH relativeFrom="column">
              <wp:posOffset>-649705</wp:posOffset>
            </wp:positionH>
            <wp:positionV relativeFrom="paragraph">
              <wp:posOffset>421105</wp:posOffset>
            </wp:positionV>
            <wp:extent cx="10177616" cy="6136106"/>
            <wp:effectExtent l="0" t="0" r="0" b="0"/>
            <wp:wrapNone/>
            <wp:docPr id="13365921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92179" name="Picture 1336592179"/>
                    <pic:cNvPicPr/>
                  </pic:nvPicPr>
                  <pic:blipFill>
                    <a:blip r:embed="rId11">
                      <a:extLst>
                        <a:ext uri="{28A0092B-C50C-407E-A947-70E740481C1C}">
                          <a14:useLocalDpi xmlns:a14="http://schemas.microsoft.com/office/drawing/2010/main" val="0"/>
                        </a:ext>
                      </a:extLst>
                    </a:blip>
                    <a:stretch>
                      <a:fillRect/>
                    </a:stretch>
                  </pic:blipFill>
                  <pic:spPr>
                    <a:xfrm>
                      <a:off x="0" y="0"/>
                      <a:ext cx="10190572" cy="6143917"/>
                    </a:xfrm>
                    <a:prstGeom prst="rect">
                      <a:avLst/>
                    </a:prstGeom>
                  </pic:spPr>
                </pic:pic>
              </a:graphicData>
            </a:graphic>
            <wp14:sizeRelH relativeFrom="page">
              <wp14:pctWidth>0</wp14:pctWidth>
            </wp14:sizeRelH>
            <wp14:sizeRelV relativeFrom="page">
              <wp14:pctHeight>0</wp14:pctHeight>
            </wp14:sizeRelV>
          </wp:anchor>
        </w:drawing>
      </w:r>
      <w:r w:rsidRPr="00C975E6">
        <w:rPr>
          <w:rFonts w:ascii="Arial" w:hAnsi="Arial" w:cs="Arial"/>
          <w:sz w:val="28"/>
          <w:szCs w:val="28"/>
        </w:rPr>
        <w:t>T</w:t>
      </w:r>
      <w:r w:rsidR="00962400" w:rsidRPr="00C975E6">
        <w:rPr>
          <w:rFonts w:ascii="Arial" w:hAnsi="Arial" w:cs="Arial"/>
          <w:sz w:val="28"/>
          <w:szCs w:val="28"/>
        </w:rPr>
        <w:t>ask 1. Poster</w:t>
      </w:r>
    </w:p>
    <w:p w14:paraId="22E7C90F" w14:textId="06AF20DB" w:rsidR="003F0440" w:rsidRDefault="003F0440" w:rsidP="00CD33A8">
      <w:pPr>
        <w:spacing w:line="360" w:lineRule="auto"/>
        <w:rPr>
          <w:rFonts w:asciiTheme="minorBidi" w:hAnsiTheme="minorBidi"/>
          <w:sz w:val="28"/>
          <w:szCs w:val="28"/>
        </w:rPr>
      </w:pPr>
    </w:p>
    <w:p w14:paraId="2941CA5D" w14:textId="0243D40C" w:rsidR="003F0440" w:rsidRDefault="003F0440" w:rsidP="00CD33A8">
      <w:pPr>
        <w:spacing w:line="360" w:lineRule="auto"/>
        <w:rPr>
          <w:rFonts w:asciiTheme="minorBidi" w:hAnsiTheme="minorBidi"/>
          <w:sz w:val="28"/>
          <w:szCs w:val="28"/>
        </w:rPr>
      </w:pPr>
    </w:p>
    <w:p w14:paraId="153B4774" w14:textId="5ADA9508" w:rsidR="003F0440" w:rsidRDefault="003F0440" w:rsidP="00CD33A8">
      <w:pPr>
        <w:spacing w:line="360" w:lineRule="auto"/>
        <w:rPr>
          <w:rFonts w:asciiTheme="minorBidi" w:hAnsiTheme="minorBidi"/>
          <w:sz w:val="28"/>
          <w:szCs w:val="28"/>
        </w:rPr>
      </w:pPr>
    </w:p>
    <w:p w14:paraId="564526A0" w14:textId="49469E0D" w:rsidR="003F0440" w:rsidRDefault="003F0440" w:rsidP="00CD33A8">
      <w:pPr>
        <w:spacing w:line="360" w:lineRule="auto"/>
        <w:rPr>
          <w:rFonts w:asciiTheme="minorBidi" w:hAnsiTheme="minorBidi"/>
          <w:sz w:val="28"/>
          <w:szCs w:val="28"/>
        </w:rPr>
      </w:pPr>
    </w:p>
    <w:p w14:paraId="162E4503" w14:textId="77777777" w:rsidR="003F0440" w:rsidRDefault="003F0440" w:rsidP="00CD33A8">
      <w:pPr>
        <w:spacing w:line="360" w:lineRule="auto"/>
        <w:rPr>
          <w:rFonts w:asciiTheme="minorBidi" w:hAnsiTheme="minorBidi"/>
          <w:sz w:val="28"/>
          <w:szCs w:val="28"/>
        </w:rPr>
      </w:pPr>
    </w:p>
    <w:p w14:paraId="72735498" w14:textId="77777777" w:rsidR="003F0440" w:rsidRDefault="003F0440" w:rsidP="00CD33A8">
      <w:pPr>
        <w:spacing w:line="360" w:lineRule="auto"/>
        <w:rPr>
          <w:rFonts w:asciiTheme="minorBidi" w:hAnsiTheme="minorBidi"/>
          <w:sz w:val="28"/>
          <w:szCs w:val="28"/>
        </w:rPr>
      </w:pPr>
    </w:p>
    <w:p w14:paraId="70D606FB" w14:textId="77777777" w:rsidR="003F0440" w:rsidRDefault="003F0440" w:rsidP="00CD33A8">
      <w:pPr>
        <w:spacing w:line="360" w:lineRule="auto"/>
        <w:rPr>
          <w:rFonts w:asciiTheme="minorBidi" w:hAnsiTheme="minorBidi"/>
          <w:sz w:val="28"/>
          <w:szCs w:val="28"/>
        </w:rPr>
      </w:pPr>
    </w:p>
    <w:p w14:paraId="12769B9C" w14:textId="77777777" w:rsidR="003F0440" w:rsidRDefault="003F0440" w:rsidP="00CD33A8">
      <w:pPr>
        <w:spacing w:line="360" w:lineRule="auto"/>
        <w:rPr>
          <w:rFonts w:asciiTheme="minorBidi" w:hAnsiTheme="minorBidi"/>
          <w:sz w:val="28"/>
          <w:szCs w:val="28"/>
        </w:rPr>
      </w:pPr>
    </w:p>
    <w:p w14:paraId="0A6BEFAC" w14:textId="77777777" w:rsidR="003F0440" w:rsidRDefault="003F0440" w:rsidP="00CD33A8">
      <w:pPr>
        <w:spacing w:line="360" w:lineRule="auto"/>
        <w:rPr>
          <w:rFonts w:asciiTheme="minorBidi" w:hAnsiTheme="minorBidi"/>
          <w:sz w:val="28"/>
          <w:szCs w:val="28"/>
        </w:rPr>
      </w:pPr>
    </w:p>
    <w:p w14:paraId="5FD16E54" w14:textId="77777777" w:rsidR="003F0440" w:rsidRDefault="003F0440" w:rsidP="00CD33A8">
      <w:pPr>
        <w:spacing w:line="360" w:lineRule="auto"/>
        <w:rPr>
          <w:rFonts w:asciiTheme="minorBidi" w:hAnsiTheme="minorBidi"/>
          <w:sz w:val="28"/>
          <w:szCs w:val="28"/>
        </w:rPr>
      </w:pPr>
    </w:p>
    <w:p w14:paraId="266C796C" w14:textId="77777777" w:rsidR="003F0440" w:rsidRDefault="003F0440" w:rsidP="00CD33A8">
      <w:pPr>
        <w:spacing w:line="360" w:lineRule="auto"/>
        <w:rPr>
          <w:rFonts w:asciiTheme="minorBidi" w:hAnsiTheme="minorBidi"/>
          <w:sz w:val="28"/>
          <w:szCs w:val="28"/>
        </w:rPr>
      </w:pPr>
    </w:p>
    <w:p w14:paraId="4727ED7A" w14:textId="77777777" w:rsidR="003F0440" w:rsidRDefault="003F0440" w:rsidP="00CD33A8">
      <w:pPr>
        <w:spacing w:line="360" w:lineRule="auto"/>
        <w:rPr>
          <w:rFonts w:asciiTheme="minorBidi" w:hAnsiTheme="minorBidi"/>
          <w:sz w:val="28"/>
          <w:szCs w:val="28"/>
        </w:rPr>
      </w:pPr>
    </w:p>
    <w:p w14:paraId="799C66B6" w14:textId="77777777" w:rsidR="008B123A" w:rsidRDefault="008B123A" w:rsidP="00CD33A8">
      <w:pPr>
        <w:spacing w:line="360" w:lineRule="auto"/>
        <w:rPr>
          <w:rFonts w:asciiTheme="minorBidi" w:hAnsiTheme="minorBidi"/>
          <w:sz w:val="28"/>
          <w:szCs w:val="28"/>
        </w:rPr>
        <w:sectPr w:rsidR="008B123A" w:rsidSect="00962400">
          <w:pgSz w:w="16838" w:h="11906" w:orient="landscape"/>
          <w:pgMar w:top="1440" w:right="1440" w:bottom="1440" w:left="1440" w:header="709" w:footer="709" w:gutter="0"/>
          <w:cols w:space="708"/>
          <w:docGrid w:linePitch="360"/>
        </w:sectPr>
      </w:pPr>
    </w:p>
    <w:p w14:paraId="4A4B3F51" w14:textId="1B392D53" w:rsidR="003F0440" w:rsidRPr="00776F9B" w:rsidRDefault="00776F9B" w:rsidP="00CD33A8">
      <w:pPr>
        <w:spacing w:line="360" w:lineRule="auto"/>
        <w:rPr>
          <w:rFonts w:ascii="Arial" w:hAnsi="Arial" w:cs="Arial"/>
          <w:sz w:val="22"/>
        </w:rPr>
      </w:pPr>
      <w:r w:rsidRPr="00776F9B">
        <w:rPr>
          <w:rFonts w:ascii="Arial" w:hAnsi="Arial" w:cs="Arial"/>
          <w:sz w:val="22"/>
        </w:rPr>
        <w:lastRenderedPageBreak/>
        <w:t>References</w:t>
      </w:r>
    </w:p>
    <w:p w14:paraId="72FC0C34"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s-419"/>
        </w:rPr>
        <w:t xml:space="preserve">Devane, D., Sandall, J., Fernández Turienzo, C., et al. </w:t>
      </w:r>
      <w:r w:rsidRPr="00776F9B">
        <w:rPr>
          <w:rFonts w:ascii="Arial" w:hAnsi="Arial" w:cs="Arial"/>
          <w:sz w:val="22"/>
          <w:lang w:val="en-US"/>
        </w:rPr>
        <w:t>(2024). Midwife continuity of care: mechanisms, evidence and future directions. The Lancet. </w:t>
      </w:r>
    </w:p>
    <w:p w14:paraId="4A6D1BD1"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n-US"/>
        </w:rPr>
        <w:t>Kuipers, J., et al. (2025). Continuity of midwife care and maternal outcomes. Midwifery. </w:t>
      </w:r>
    </w:p>
    <w:p w14:paraId="56D0F8F7"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n-US"/>
        </w:rPr>
        <w:t>NHS England (2023). Maternity Services Statistics 2022–23. </w:t>
      </w:r>
    </w:p>
    <w:p w14:paraId="29EC05FB"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n-US"/>
        </w:rPr>
        <w:t>Roebuck, C., et al. (2025). Impact of continuity of midwife care on maternal and neonatal outcomes. Communications Medicine. </w:t>
      </w:r>
    </w:p>
    <w:p w14:paraId="5EAE3763"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n-US"/>
        </w:rPr>
        <w:t>Sandall, J., et al. (2024). Continuity of midwife care and women's experiences. The Lancet. </w:t>
      </w:r>
    </w:p>
    <w:p w14:paraId="5C8FBC8F" w14:textId="77777777" w:rsidR="00776F9B" w:rsidRPr="00776F9B" w:rsidRDefault="00776F9B" w:rsidP="00776F9B">
      <w:pPr>
        <w:pStyle w:val="ListParagraph"/>
        <w:numPr>
          <w:ilvl w:val="0"/>
          <w:numId w:val="1"/>
        </w:numPr>
        <w:spacing w:line="360" w:lineRule="auto"/>
        <w:rPr>
          <w:rFonts w:ascii="Arial" w:hAnsi="Arial" w:cs="Arial"/>
          <w:sz w:val="22"/>
          <w:lang w:val="en-US"/>
        </w:rPr>
      </w:pPr>
      <w:r w:rsidRPr="00776F9B">
        <w:rPr>
          <w:rFonts w:ascii="Arial" w:hAnsi="Arial" w:cs="Arial"/>
          <w:sz w:val="22"/>
          <w:lang w:val="en-US"/>
        </w:rPr>
        <w:t>Simmelink, D., et al. (2025). Continuity of midwifery care: what matters to women? Women and Birth. </w:t>
      </w:r>
    </w:p>
    <w:p w14:paraId="5C1F49E9" w14:textId="77777777" w:rsidR="00776F9B" w:rsidRPr="00776F9B" w:rsidRDefault="00776F9B" w:rsidP="00CD33A8">
      <w:pPr>
        <w:spacing w:line="360" w:lineRule="auto"/>
        <w:rPr>
          <w:rFonts w:ascii="Arial" w:hAnsi="Arial" w:cs="Arial"/>
          <w:sz w:val="22"/>
        </w:rPr>
      </w:pPr>
    </w:p>
    <w:p w14:paraId="2FC60A0C" w14:textId="77777777" w:rsidR="00962400" w:rsidRDefault="00962400" w:rsidP="00CD33A8">
      <w:pPr>
        <w:spacing w:line="360" w:lineRule="auto"/>
        <w:rPr>
          <w:rFonts w:asciiTheme="minorBidi" w:hAnsiTheme="minorBidi"/>
          <w:sz w:val="28"/>
          <w:szCs w:val="28"/>
        </w:rPr>
      </w:pPr>
    </w:p>
    <w:p w14:paraId="45A64F58" w14:textId="77777777" w:rsidR="00962400" w:rsidRPr="00776F9B" w:rsidRDefault="00962400" w:rsidP="00CD33A8">
      <w:pPr>
        <w:spacing w:line="360" w:lineRule="auto"/>
        <w:rPr>
          <w:rFonts w:ascii="Arial" w:hAnsi="Arial" w:cs="Arial"/>
          <w:sz w:val="22"/>
        </w:rPr>
      </w:pPr>
    </w:p>
    <w:p w14:paraId="38C46F8C" w14:textId="77777777" w:rsidR="00962400" w:rsidRPr="00776F9B" w:rsidRDefault="00962400" w:rsidP="00CD33A8">
      <w:pPr>
        <w:spacing w:line="360" w:lineRule="auto"/>
        <w:rPr>
          <w:rFonts w:ascii="Arial" w:hAnsi="Arial" w:cs="Arial"/>
          <w:sz w:val="22"/>
        </w:rPr>
      </w:pPr>
    </w:p>
    <w:p w14:paraId="624EEFC5" w14:textId="77777777" w:rsidR="00962400" w:rsidRPr="00776F9B" w:rsidRDefault="00962400" w:rsidP="00CD33A8">
      <w:pPr>
        <w:spacing w:line="360" w:lineRule="auto"/>
        <w:rPr>
          <w:rFonts w:ascii="Arial" w:hAnsi="Arial" w:cs="Arial"/>
          <w:sz w:val="22"/>
        </w:rPr>
      </w:pPr>
    </w:p>
    <w:p w14:paraId="0EA527D0" w14:textId="77777777" w:rsidR="00962400" w:rsidRDefault="00962400" w:rsidP="00CD33A8">
      <w:pPr>
        <w:spacing w:line="360" w:lineRule="auto"/>
        <w:rPr>
          <w:rFonts w:asciiTheme="minorBidi" w:hAnsiTheme="minorBidi"/>
          <w:sz w:val="28"/>
          <w:szCs w:val="28"/>
        </w:rPr>
      </w:pPr>
    </w:p>
    <w:p w14:paraId="05D958ED" w14:textId="77777777" w:rsidR="00962400" w:rsidRDefault="00962400" w:rsidP="00CD33A8">
      <w:pPr>
        <w:spacing w:line="360" w:lineRule="auto"/>
        <w:rPr>
          <w:rFonts w:asciiTheme="minorBidi" w:hAnsiTheme="minorBidi"/>
          <w:sz w:val="28"/>
          <w:szCs w:val="28"/>
        </w:rPr>
      </w:pPr>
    </w:p>
    <w:p w14:paraId="59E1E6E6" w14:textId="77777777" w:rsidR="00962400" w:rsidRDefault="00962400" w:rsidP="00CD33A8">
      <w:pPr>
        <w:spacing w:line="360" w:lineRule="auto"/>
        <w:rPr>
          <w:rFonts w:asciiTheme="minorBidi" w:hAnsiTheme="minorBidi"/>
          <w:sz w:val="28"/>
          <w:szCs w:val="28"/>
        </w:rPr>
      </w:pPr>
    </w:p>
    <w:p w14:paraId="787D4952" w14:textId="77777777" w:rsidR="00962400" w:rsidRDefault="00962400" w:rsidP="00CD33A8">
      <w:pPr>
        <w:spacing w:line="360" w:lineRule="auto"/>
        <w:rPr>
          <w:rFonts w:asciiTheme="minorBidi" w:hAnsiTheme="minorBidi"/>
          <w:sz w:val="28"/>
          <w:szCs w:val="28"/>
        </w:rPr>
      </w:pPr>
    </w:p>
    <w:p w14:paraId="430608D5" w14:textId="77777777" w:rsidR="00962400" w:rsidRDefault="00962400" w:rsidP="00CD33A8">
      <w:pPr>
        <w:spacing w:line="360" w:lineRule="auto"/>
        <w:rPr>
          <w:rFonts w:asciiTheme="minorBidi" w:hAnsiTheme="minorBidi"/>
          <w:sz w:val="28"/>
          <w:szCs w:val="28"/>
        </w:rPr>
      </w:pPr>
    </w:p>
    <w:p w14:paraId="2C0445F7" w14:textId="77777777" w:rsidR="00962400" w:rsidRDefault="00962400" w:rsidP="00CD33A8">
      <w:pPr>
        <w:spacing w:line="360" w:lineRule="auto"/>
        <w:rPr>
          <w:rFonts w:asciiTheme="minorBidi" w:hAnsiTheme="minorBidi"/>
          <w:sz w:val="28"/>
          <w:szCs w:val="28"/>
        </w:rPr>
      </w:pPr>
    </w:p>
    <w:p w14:paraId="114B4BE4" w14:textId="77777777" w:rsidR="00962400" w:rsidRDefault="00962400" w:rsidP="00CD33A8">
      <w:pPr>
        <w:spacing w:line="360" w:lineRule="auto"/>
        <w:rPr>
          <w:rFonts w:asciiTheme="minorBidi" w:hAnsiTheme="minorBidi"/>
          <w:sz w:val="28"/>
          <w:szCs w:val="28"/>
        </w:rPr>
      </w:pPr>
    </w:p>
    <w:p w14:paraId="10C0BD4D" w14:textId="77777777" w:rsidR="00962400" w:rsidRDefault="00962400" w:rsidP="00CD33A8">
      <w:pPr>
        <w:spacing w:line="360" w:lineRule="auto"/>
        <w:rPr>
          <w:rFonts w:asciiTheme="minorBidi" w:hAnsiTheme="minorBidi"/>
          <w:sz w:val="28"/>
          <w:szCs w:val="28"/>
        </w:rPr>
      </w:pPr>
    </w:p>
    <w:p w14:paraId="054CF39F" w14:textId="77777777" w:rsidR="00962400" w:rsidRDefault="00962400" w:rsidP="00CD33A8">
      <w:pPr>
        <w:spacing w:line="360" w:lineRule="auto"/>
        <w:rPr>
          <w:rFonts w:asciiTheme="minorBidi" w:hAnsiTheme="minorBidi"/>
          <w:sz w:val="28"/>
          <w:szCs w:val="28"/>
        </w:rPr>
      </w:pPr>
    </w:p>
    <w:p w14:paraId="28A7124D" w14:textId="77777777" w:rsidR="00962400" w:rsidRDefault="00962400" w:rsidP="00CD33A8">
      <w:pPr>
        <w:spacing w:line="360" w:lineRule="auto"/>
        <w:rPr>
          <w:rFonts w:asciiTheme="minorBidi" w:hAnsiTheme="minorBidi"/>
          <w:sz w:val="28"/>
          <w:szCs w:val="28"/>
        </w:rPr>
      </w:pPr>
    </w:p>
    <w:p w14:paraId="266066B8" w14:textId="77777777" w:rsidR="00962400" w:rsidRPr="00776F9B" w:rsidRDefault="00962400" w:rsidP="00CD33A8">
      <w:pPr>
        <w:spacing w:line="360" w:lineRule="auto"/>
        <w:rPr>
          <w:rFonts w:ascii="Arial" w:hAnsi="Arial" w:cs="Arial"/>
          <w:sz w:val="22"/>
        </w:rPr>
      </w:pPr>
    </w:p>
    <w:p w14:paraId="2B3A336C" w14:textId="04C07041" w:rsidR="005F6ADA" w:rsidRPr="00C975E6" w:rsidRDefault="005F6ADA" w:rsidP="00CD33A8">
      <w:pPr>
        <w:spacing w:line="360" w:lineRule="auto"/>
        <w:rPr>
          <w:rFonts w:ascii="Arial" w:hAnsi="Arial" w:cs="Arial"/>
          <w:sz w:val="28"/>
          <w:szCs w:val="28"/>
        </w:rPr>
      </w:pPr>
      <w:r w:rsidRPr="00C975E6">
        <w:rPr>
          <w:rFonts w:ascii="Arial" w:hAnsi="Arial" w:cs="Arial"/>
          <w:sz w:val="28"/>
          <w:szCs w:val="28"/>
        </w:rPr>
        <w:t>Task 2</w:t>
      </w:r>
      <w:r w:rsidR="00C975E6">
        <w:rPr>
          <w:rFonts w:ascii="Arial" w:hAnsi="Arial" w:cs="Arial"/>
          <w:sz w:val="28"/>
          <w:szCs w:val="28"/>
        </w:rPr>
        <w:t>. Essay</w:t>
      </w:r>
    </w:p>
    <w:sdt>
      <w:sdtPr>
        <w:rPr>
          <w:rFonts w:ascii="Arial" w:eastAsiaTheme="minorHAnsi" w:hAnsi="Arial" w:cs="Arial"/>
          <w:color w:val="auto"/>
          <w:sz w:val="22"/>
          <w:szCs w:val="22"/>
          <w:lang w:val="en-GB"/>
        </w:rPr>
        <w:id w:val="-1682972933"/>
        <w:docPartObj>
          <w:docPartGallery w:val="Table of Contents"/>
          <w:docPartUnique/>
        </w:docPartObj>
      </w:sdtPr>
      <w:sdtEndPr>
        <w:rPr>
          <w:b/>
          <w:bCs/>
          <w:noProof/>
        </w:rPr>
      </w:sdtEndPr>
      <w:sdtContent>
        <w:p w14:paraId="5F91C9FB" w14:textId="0E5E2C58" w:rsidR="006676BE" w:rsidRPr="00776F9B" w:rsidRDefault="006676BE">
          <w:pPr>
            <w:pStyle w:val="TOCHeading"/>
            <w:rPr>
              <w:rFonts w:ascii="Arial" w:hAnsi="Arial" w:cs="Arial"/>
              <w:sz w:val="22"/>
              <w:szCs w:val="22"/>
            </w:rPr>
          </w:pPr>
          <w:r w:rsidRPr="00776F9B">
            <w:rPr>
              <w:rFonts w:ascii="Arial" w:hAnsi="Arial" w:cs="Arial"/>
              <w:sz w:val="22"/>
              <w:szCs w:val="22"/>
            </w:rPr>
            <w:t>Contents</w:t>
          </w:r>
        </w:p>
        <w:p w14:paraId="3335472D" w14:textId="1B25A2CF"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r w:rsidRPr="00776F9B">
            <w:rPr>
              <w:rFonts w:ascii="Arial" w:hAnsi="Arial" w:cs="Arial"/>
              <w:sz w:val="22"/>
            </w:rPr>
            <w:fldChar w:fldCharType="begin"/>
          </w:r>
          <w:r w:rsidRPr="00776F9B">
            <w:rPr>
              <w:rFonts w:ascii="Arial" w:hAnsi="Arial" w:cs="Arial"/>
              <w:sz w:val="22"/>
            </w:rPr>
            <w:instrText xml:space="preserve"> TOC \o "1-3" \h \z \u </w:instrText>
          </w:r>
          <w:r w:rsidRPr="00776F9B">
            <w:rPr>
              <w:rFonts w:ascii="Arial" w:hAnsi="Arial" w:cs="Arial"/>
              <w:sz w:val="22"/>
            </w:rPr>
            <w:fldChar w:fldCharType="separate"/>
          </w:r>
          <w:hyperlink w:anchor="_Toc235287932" w:history="1">
            <w:r w:rsidRPr="00776F9B">
              <w:rPr>
                <w:rStyle w:val="Hyperlink"/>
                <w:rFonts w:ascii="Arial" w:hAnsi="Arial" w:cs="Arial"/>
                <w:noProof/>
                <w:sz w:val="22"/>
              </w:rPr>
              <w:t>1. Introduction</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_Toc235287932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1</w:t>
            </w:r>
            <w:r w:rsidRPr="00776F9B">
              <w:rPr>
                <w:rFonts w:ascii="Arial" w:hAnsi="Arial" w:cs="Arial"/>
                <w:noProof/>
                <w:webHidden/>
                <w:sz w:val="22"/>
              </w:rPr>
              <w:fldChar w:fldCharType="end"/>
            </w:r>
          </w:hyperlink>
        </w:p>
        <w:p w14:paraId="1DF864B0" w14:textId="6F873C9E"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hyperlink w:anchor="_Toc235287933" w:history="1">
            <w:r w:rsidRPr="00776F9B">
              <w:rPr>
                <w:rStyle w:val="Hyperlink"/>
                <w:rFonts w:ascii="Arial" w:hAnsi="Arial" w:cs="Arial"/>
                <w:noProof/>
                <w:sz w:val="22"/>
              </w:rPr>
              <w:t>2. Historical context</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_Toc235287933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1</w:t>
            </w:r>
            <w:r w:rsidRPr="00776F9B">
              <w:rPr>
                <w:rFonts w:ascii="Arial" w:hAnsi="Arial" w:cs="Arial"/>
                <w:noProof/>
                <w:webHidden/>
                <w:sz w:val="22"/>
              </w:rPr>
              <w:fldChar w:fldCharType="end"/>
            </w:r>
          </w:hyperlink>
        </w:p>
        <w:p w14:paraId="5D3B7785" w14:textId="163A13B6"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hyperlink w:anchor="_Toc235287934" w:history="1">
            <w:r w:rsidRPr="00776F9B">
              <w:rPr>
                <w:rStyle w:val="Hyperlink"/>
                <w:rFonts w:ascii="Arial" w:hAnsi="Arial" w:cs="Arial"/>
                <w:noProof/>
                <w:sz w:val="22"/>
              </w:rPr>
              <w:t>3. Services today</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_Toc235287934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1</w:t>
            </w:r>
            <w:r w:rsidRPr="00776F9B">
              <w:rPr>
                <w:rFonts w:ascii="Arial" w:hAnsi="Arial" w:cs="Arial"/>
                <w:noProof/>
                <w:webHidden/>
                <w:sz w:val="22"/>
              </w:rPr>
              <w:fldChar w:fldCharType="end"/>
            </w:r>
          </w:hyperlink>
        </w:p>
        <w:p w14:paraId="4D652360" w14:textId="6A5E4072"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hyperlink w:anchor="_Toc235287935" w:history="1">
            <w:r w:rsidRPr="00776F9B">
              <w:rPr>
                <w:rStyle w:val="Hyperlink"/>
                <w:rFonts w:ascii="Arial" w:hAnsi="Arial" w:cs="Arial"/>
                <w:noProof/>
                <w:sz w:val="22"/>
              </w:rPr>
              <w:t>4. Quality of life of service users</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_Toc235287935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2</w:t>
            </w:r>
            <w:r w:rsidRPr="00776F9B">
              <w:rPr>
                <w:rFonts w:ascii="Arial" w:hAnsi="Arial" w:cs="Arial"/>
                <w:noProof/>
                <w:webHidden/>
                <w:sz w:val="22"/>
              </w:rPr>
              <w:fldChar w:fldCharType="end"/>
            </w:r>
          </w:hyperlink>
        </w:p>
        <w:p w14:paraId="3C0AEF98" w14:textId="43A194E4"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hyperlink w:anchor="_Toc235287936" w:history="1">
            <w:r w:rsidRPr="00776F9B">
              <w:rPr>
                <w:rStyle w:val="Hyperlink"/>
                <w:rFonts w:ascii="Arial" w:hAnsi="Arial" w:cs="Arial"/>
                <w:noProof/>
                <w:sz w:val="22"/>
              </w:rPr>
              <w:t>5. Conclusion</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_Toc235287936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3</w:t>
            </w:r>
            <w:r w:rsidRPr="00776F9B">
              <w:rPr>
                <w:rFonts w:ascii="Arial" w:hAnsi="Arial" w:cs="Arial"/>
                <w:noProof/>
                <w:webHidden/>
                <w:sz w:val="22"/>
              </w:rPr>
              <w:fldChar w:fldCharType="end"/>
            </w:r>
          </w:hyperlink>
        </w:p>
        <w:p w14:paraId="0A966C45" w14:textId="4794E70A" w:rsidR="006676BE" w:rsidRPr="00776F9B" w:rsidRDefault="006676BE">
          <w:pPr>
            <w:pStyle w:val="TOC1"/>
            <w:tabs>
              <w:tab w:val="right" w:leader="dot" w:pos="9016"/>
            </w:tabs>
            <w:rPr>
              <w:rFonts w:ascii="Arial" w:eastAsiaTheme="minorEastAsia" w:hAnsi="Arial" w:cs="Arial"/>
              <w:noProof/>
              <w:kern w:val="2"/>
              <w:sz w:val="22"/>
              <w:lang w:eastAsia="en-GB"/>
              <w14:ligatures w14:val="standardContextual"/>
            </w:rPr>
          </w:pPr>
          <w:hyperlink w:anchor="_Toc235287937" w:history="1">
            <w:r w:rsidRPr="00776F9B">
              <w:rPr>
                <w:rStyle w:val="Hyperlink"/>
                <w:rFonts w:ascii="Arial" w:hAnsi="Arial" w:cs="Arial"/>
                <w:noProof/>
                <w:sz w:val="22"/>
              </w:rPr>
              <w:t>6. Reference</w:t>
            </w:r>
            <w:r w:rsidRPr="00776F9B">
              <w:rPr>
                <w:rFonts w:ascii="Arial" w:hAnsi="Arial" w:cs="Arial"/>
                <w:noProof/>
                <w:webHidden/>
                <w:sz w:val="22"/>
              </w:rPr>
              <w:tab/>
            </w:r>
            <w:r w:rsidRPr="00776F9B">
              <w:rPr>
                <w:rFonts w:ascii="Arial" w:hAnsi="Arial" w:cs="Arial"/>
                <w:noProof/>
                <w:webHidden/>
                <w:sz w:val="22"/>
              </w:rPr>
              <w:fldChar w:fldCharType="begin"/>
            </w:r>
            <w:r w:rsidRPr="00776F9B">
              <w:rPr>
                <w:rFonts w:ascii="Arial" w:hAnsi="Arial" w:cs="Arial"/>
                <w:noProof/>
                <w:webHidden/>
                <w:sz w:val="22"/>
              </w:rPr>
              <w:instrText xml:space="preserve"> PAGEREF _Toc235287937 \h </w:instrText>
            </w:r>
            <w:r w:rsidRPr="00776F9B">
              <w:rPr>
                <w:rFonts w:ascii="Arial" w:hAnsi="Arial" w:cs="Arial"/>
                <w:noProof/>
                <w:webHidden/>
                <w:sz w:val="22"/>
              </w:rPr>
            </w:r>
            <w:r w:rsidRPr="00776F9B">
              <w:rPr>
                <w:rFonts w:ascii="Arial" w:hAnsi="Arial" w:cs="Arial"/>
                <w:noProof/>
                <w:webHidden/>
                <w:sz w:val="22"/>
              </w:rPr>
              <w:fldChar w:fldCharType="separate"/>
            </w:r>
            <w:r w:rsidRPr="00776F9B">
              <w:rPr>
                <w:rFonts w:ascii="Arial" w:hAnsi="Arial" w:cs="Arial"/>
                <w:noProof/>
                <w:webHidden/>
                <w:sz w:val="22"/>
              </w:rPr>
              <w:t>3</w:t>
            </w:r>
            <w:r w:rsidRPr="00776F9B">
              <w:rPr>
                <w:rFonts w:ascii="Arial" w:hAnsi="Arial" w:cs="Arial"/>
                <w:noProof/>
                <w:webHidden/>
                <w:sz w:val="22"/>
              </w:rPr>
              <w:fldChar w:fldCharType="end"/>
            </w:r>
          </w:hyperlink>
        </w:p>
        <w:p w14:paraId="76FE7966" w14:textId="36705448" w:rsidR="006676BE" w:rsidRPr="00776F9B" w:rsidRDefault="006676BE">
          <w:pPr>
            <w:rPr>
              <w:rFonts w:ascii="Arial" w:hAnsi="Arial" w:cs="Arial"/>
              <w:sz w:val="22"/>
            </w:rPr>
          </w:pPr>
          <w:r w:rsidRPr="00776F9B">
            <w:rPr>
              <w:rFonts w:ascii="Arial" w:hAnsi="Arial" w:cs="Arial"/>
              <w:b/>
              <w:bCs/>
              <w:noProof/>
              <w:sz w:val="22"/>
            </w:rPr>
            <w:fldChar w:fldCharType="end"/>
          </w:r>
        </w:p>
      </w:sdtContent>
    </w:sdt>
    <w:p w14:paraId="28990078" w14:textId="77777777" w:rsidR="00256547" w:rsidRDefault="00256547" w:rsidP="00CD33A8">
      <w:pPr>
        <w:spacing w:line="360" w:lineRule="auto"/>
        <w:rPr>
          <w:rFonts w:asciiTheme="minorBidi" w:hAnsiTheme="minorBidi"/>
          <w:sz w:val="22"/>
        </w:rPr>
        <w:sectPr w:rsidR="00256547" w:rsidSect="008B123A">
          <w:pgSz w:w="11906" w:h="16838"/>
          <w:pgMar w:top="1440" w:right="1440" w:bottom="1440" w:left="1440" w:header="709" w:footer="709" w:gutter="0"/>
          <w:cols w:space="708"/>
          <w:docGrid w:linePitch="360"/>
        </w:sectPr>
      </w:pPr>
    </w:p>
    <w:p w14:paraId="4F7320CB" w14:textId="44D99EEB" w:rsidR="00B87E75" w:rsidRPr="00CD33A8" w:rsidRDefault="00B87E75" w:rsidP="00CD33A8">
      <w:pPr>
        <w:spacing w:line="360" w:lineRule="auto"/>
        <w:rPr>
          <w:rFonts w:asciiTheme="minorBidi" w:hAnsiTheme="minorBidi"/>
          <w:sz w:val="22"/>
        </w:rPr>
      </w:pPr>
    </w:p>
    <w:p w14:paraId="12D76753" w14:textId="393172FB" w:rsidR="00B87E75" w:rsidRPr="00CD33A8" w:rsidRDefault="00B87E75" w:rsidP="00E620E7">
      <w:pPr>
        <w:pStyle w:val="Heading1"/>
      </w:pPr>
      <w:bookmarkStart w:id="0" w:name="_Toc235287751"/>
      <w:bookmarkStart w:id="1" w:name="_Toc235287932"/>
      <w:r w:rsidRPr="00CD33A8">
        <w:t>1. Introduction</w:t>
      </w:r>
      <w:bookmarkEnd w:id="0"/>
      <w:bookmarkEnd w:id="1"/>
    </w:p>
    <w:p w14:paraId="7EEF1867" w14:textId="5F83732F" w:rsidR="008767E4" w:rsidRDefault="008767E4" w:rsidP="008767E4">
      <w:pPr>
        <w:tabs>
          <w:tab w:val="left" w:pos="6540"/>
        </w:tabs>
        <w:spacing w:line="360" w:lineRule="auto"/>
        <w:rPr>
          <w:rFonts w:ascii="Arial" w:hAnsi="Arial" w:cs="Arial"/>
          <w:sz w:val="22"/>
        </w:rPr>
      </w:pPr>
      <w:r w:rsidRPr="008767E4">
        <w:rPr>
          <w:rFonts w:ascii="Arial" w:hAnsi="Arial" w:cs="Arial"/>
          <w:sz w:val="22"/>
        </w:rPr>
        <w:t>Community Disability Services play an essential role in supporting people with physical, sensory, learning</w:t>
      </w:r>
      <w:r w:rsidR="00525E74">
        <w:rPr>
          <w:rFonts w:ascii="Arial" w:hAnsi="Arial" w:cs="Arial"/>
          <w:sz w:val="22"/>
        </w:rPr>
        <w:t>,</w:t>
      </w:r>
      <w:r w:rsidRPr="008767E4">
        <w:rPr>
          <w:rFonts w:ascii="Arial" w:hAnsi="Arial" w:cs="Arial"/>
          <w:sz w:val="22"/>
        </w:rPr>
        <w:t xml:space="preserve"> and neurodevelopmental disabilities to live independently and participate fully in society. Over time, disability support has changed from focusing mainly on medical care to promoting inclusion, equal opportunities</w:t>
      </w:r>
      <w:r w:rsidR="00525E74">
        <w:rPr>
          <w:rFonts w:ascii="Arial" w:hAnsi="Arial" w:cs="Arial"/>
          <w:sz w:val="22"/>
        </w:rPr>
        <w:t>,</w:t>
      </w:r>
      <w:r w:rsidRPr="008767E4">
        <w:rPr>
          <w:rFonts w:ascii="Arial" w:hAnsi="Arial" w:cs="Arial"/>
          <w:sz w:val="22"/>
        </w:rPr>
        <w:t xml:space="preserve"> and </w:t>
      </w:r>
      <w:r w:rsidR="00525E74">
        <w:rPr>
          <w:rFonts w:ascii="Arial" w:hAnsi="Arial" w:cs="Arial"/>
          <w:sz w:val="22"/>
        </w:rPr>
        <w:t>person-centered</w:t>
      </w:r>
      <w:r w:rsidRPr="008767E4">
        <w:rPr>
          <w:rFonts w:ascii="Arial" w:hAnsi="Arial" w:cs="Arial"/>
          <w:sz w:val="22"/>
        </w:rPr>
        <w:t xml:space="preserve"> care. This change </w:t>
      </w:r>
      <w:r w:rsidR="00525E74">
        <w:rPr>
          <w:rFonts w:ascii="Arial" w:hAnsi="Arial" w:cs="Arial"/>
          <w:sz w:val="22"/>
        </w:rPr>
        <w:t>recognizes</w:t>
      </w:r>
      <w:r w:rsidRPr="008767E4">
        <w:rPr>
          <w:rFonts w:ascii="Arial" w:hAnsi="Arial" w:cs="Arial"/>
          <w:sz w:val="22"/>
        </w:rPr>
        <w:t xml:space="preserve"> that people with disabilities should have the same rights and opportunities as everyone else while receiving support that reflects their individual needs and goals.</w:t>
      </w:r>
    </w:p>
    <w:p w14:paraId="5F042753" w14:textId="77777777" w:rsidR="00525E74" w:rsidRDefault="00525E74" w:rsidP="008767E4">
      <w:pPr>
        <w:tabs>
          <w:tab w:val="left" w:pos="6540"/>
        </w:tabs>
        <w:spacing w:line="360" w:lineRule="auto"/>
        <w:rPr>
          <w:rFonts w:ascii="Arial" w:hAnsi="Arial" w:cs="Arial"/>
          <w:sz w:val="22"/>
        </w:rPr>
      </w:pPr>
    </w:p>
    <w:p w14:paraId="7C7BF572" w14:textId="456E5097" w:rsidR="00525E74" w:rsidRPr="008767E4" w:rsidRDefault="00525E74" w:rsidP="00525E74">
      <w:pPr>
        <w:pStyle w:val="Heading1"/>
      </w:pPr>
      <w:bookmarkStart w:id="2" w:name="_Toc235287752"/>
      <w:bookmarkStart w:id="3" w:name="_Toc235287933"/>
      <w:r>
        <w:t>2. Historical context</w:t>
      </w:r>
      <w:bookmarkEnd w:id="2"/>
      <w:bookmarkEnd w:id="3"/>
    </w:p>
    <w:p w14:paraId="358823BA" w14:textId="23052587" w:rsidR="008767E4" w:rsidRDefault="008767E4" w:rsidP="008767E4">
      <w:pPr>
        <w:tabs>
          <w:tab w:val="left" w:pos="6540"/>
        </w:tabs>
        <w:spacing w:line="360" w:lineRule="auto"/>
        <w:rPr>
          <w:rFonts w:ascii="Arial" w:hAnsi="Arial" w:cs="Arial"/>
          <w:sz w:val="22"/>
        </w:rPr>
      </w:pPr>
      <w:r w:rsidRPr="008767E4">
        <w:rPr>
          <w:rFonts w:ascii="Arial" w:hAnsi="Arial" w:cs="Arial"/>
          <w:sz w:val="22"/>
        </w:rPr>
        <w:t xml:space="preserve">Historically, many disabled people lived in long-term institutions where decisions were made for them, limiting their independence and participation in community life. During the twentieth century, disability rights movements challenged this model and encouraged governments to develop services based on inclusion and human rights. In the UK, legislation such as the Equality Act 2010 and the Care Act 2014 </w:t>
      </w:r>
      <w:r w:rsidR="00525E74">
        <w:rPr>
          <w:rFonts w:ascii="Arial" w:hAnsi="Arial" w:cs="Arial"/>
          <w:sz w:val="22"/>
        </w:rPr>
        <w:t>has strengthened this approach by promoting equality, personalized care,</w:t>
      </w:r>
      <w:r w:rsidRPr="008767E4">
        <w:rPr>
          <w:rFonts w:ascii="Arial" w:hAnsi="Arial" w:cs="Arial"/>
          <w:sz w:val="22"/>
        </w:rPr>
        <w:t xml:space="preserve"> and partnership working across health and social care services (Kuper et al., 2024).</w:t>
      </w:r>
    </w:p>
    <w:p w14:paraId="5CDC4815" w14:textId="77777777" w:rsidR="00525E74" w:rsidRDefault="00525E74" w:rsidP="008767E4">
      <w:pPr>
        <w:tabs>
          <w:tab w:val="left" w:pos="6540"/>
        </w:tabs>
        <w:spacing w:line="360" w:lineRule="auto"/>
        <w:rPr>
          <w:rFonts w:ascii="Arial" w:hAnsi="Arial" w:cs="Arial"/>
          <w:sz w:val="22"/>
        </w:rPr>
      </w:pPr>
    </w:p>
    <w:p w14:paraId="137A4609" w14:textId="34168560" w:rsidR="00525E74" w:rsidRPr="008767E4" w:rsidRDefault="00525E74" w:rsidP="00525E74">
      <w:pPr>
        <w:pStyle w:val="Heading1"/>
      </w:pPr>
      <w:bookmarkStart w:id="4" w:name="_Toc235287753"/>
      <w:bookmarkStart w:id="5" w:name="_Toc235287934"/>
      <w:r>
        <w:t>3. Services today</w:t>
      </w:r>
      <w:bookmarkEnd w:id="4"/>
      <w:bookmarkEnd w:id="5"/>
    </w:p>
    <w:p w14:paraId="42CF573C" w14:textId="4578D1C4" w:rsidR="008767E4" w:rsidRPr="008767E4" w:rsidRDefault="008767E4" w:rsidP="008767E4">
      <w:pPr>
        <w:tabs>
          <w:tab w:val="left" w:pos="6540"/>
        </w:tabs>
        <w:spacing w:line="360" w:lineRule="auto"/>
        <w:rPr>
          <w:rFonts w:ascii="Arial" w:hAnsi="Arial" w:cs="Arial"/>
          <w:sz w:val="22"/>
        </w:rPr>
      </w:pPr>
      <w:r w:rsidRPr="008767E4">
        <w:rPr>
          <w:rFonts w:ascii="Arial" w:hAnsi="Arial" w:cs="Arial"/>
          <w:sz w:val="22"/>
        </w:rPr>
        <w:t>Current research supports this transition. Navas et al. (2025) found that community living improves independence, social participation and emotional wellbeing compared with institutional care because support is tailored to each person's strengths and aspirations. Community Disability Services now begin with a holistic assessment, followed by an individual care plan developed by multidisciplinary teams that may include psychologists, occupational therapists, speech and language therapists, physiotherapists, social workers</w:t>
      </w:r>
      <w:r w:rsidR="00525E74">
        <w:rPr>
          <w:rFonts w:ascii="Arial" w:hAnsi="Arial" w:cs="Arial"/>
          <w:sz w:val="22"/>
        </w:rPr>
        <w:t>,</w:t>
      </w:r>
      <w:r w:rsidRPr="008767E4">
        <w:rPr>
          <w:rFonts w:ascii="Arial" w:hAnsi="Arial" w:cs="Arial"/>
          <w:sz w:val="22"/>
        </w:rPr>
        <w:t xml:space="preserve"> and support workers. According to Wigham et al. (2022), this collaborative approach improves access to healthcare while helping reduce inequalities experienced by people with disabilities.</w:t>
      </w:r>
    </w:p>
    <w:p w14:paraId="6B8328ED" w14:textId="2735870C" w:rsidR="008767E4" w:rsidRDefault="008767E4" w:rsidP="008767E4">
      <w:pPr>
        <w:tabs>
          <w:tab w:val="left" w:pos="6540"/>
        </w:tabs>
        <w:spacing w:line="360" w:lineRule="auto"/>
        <w:rPr>
          <w:rFonts w:ascii="Arial" w:hAnsi="Arial" w:cs="Arial"/>
          <w:sz w:val="22"/>
        </w:rPr>
      </w:pPr>
      <w:r w:rsidRPr="008767E4">
        <w:rPr>
          <w:rFonts w:ascii="Arial" w:hAnsi="Arial" w:cs="Arial"/>
          <w:sz w:val="22"/>
        </w:rPr>
        <w:t xml:space="preserve">These services extend beyond healthcare by supporting individuals </w:t>
      </w:r>
      <w:r w:rsidR="00525E74">
        <w:rPr>
          <w:rFonts w:ascii="Arial" w:hAnsi="Arial" w:cs="Arial"/>
          <w:sz w:val="22"/>
        </w:rPr>
        <w:t>in accessing education, employment, housing,</w:t>
      </w:r>
      <w:r w:rsidRPr="008767E4">
        <w:rPr>
          <w:rFonts w:ascii="Arial" w:hAnsi="Arial" w:cs="Arial"/>
          <w:sz w:val="22"/>
        </w:rPr>
        <w:t xml:space="preserve"> and community activities. Rather than focusing only on disability, they encourage people to develop their abilities, make informed decisions</w:t>
      </w:r>
      <w:r w:rsidR="00525E74">
        <w:rPr>
          <w:rFonts w:ascii="Arial" w:hAnsi="Arial" w:cs="Arial"/>
          <w:sz w:val="22"/>
        </w:rPr>
        <w:t>,</w:t>
      </w:r>
      <w:r w:rsidRPr="008767E4">
        <w:rPr>
          <w:rFonts w:ascii="Arial" w:hAnsi="Arial" w:cs="Arial"/>
          <w:sz w:val="22"/>
        </w:rPr>
        <w:t xml:space="preserve"> and achieve greater independence. This </w:t>
      </w:r>
      <w:r w:rsidR="00525E74">
        <w:rPr>
          <w:rFonts w:ascii="Arial" w:hAnsi="Arial" w:cs="Arial"/>
          <w:sz w:val="22"/>
        </w:rPr>
        <w:t>person-centered</w:t>
      </w:r>
      <w:r w:rsidRPr="008767E4">
        <w:rPr>
          <w:rFonts w:ascii="Arial" w:hAnsi="Arial" w:cs="Arial"/>
          <w:sz w:val="22"/>
        </w:rPr>
        <w:t xml:space="preserve"> approach reflects the belief that successful care should </w:t>
      </w:r>
      <w:r w:rsidRPr="008767E4">
        <w:rPr>
          <w:rFonts w:ascii="Arial" w:hAnsi="Arial" w:cs="Arial"/>
          <w:sz w:val="22"/>
        </w:rPr>
        <w:lastRenderedPageBreak/>
        <w:t>improve not only health outcomes but also quality of life, confidence</w:t>
      </w:r>
      <w:r w:rsidR="00525E74">
        <w:rPr>
          <w:rFonts w:ascii="Arial" w:hAnsi="Arial" w:cs="Arial"/>
          <w:sz w:val="22"/>
        </w:rPr>
        <w:t>,</w:t>
      </w:r>
      <w:r w:rsidRPr="008767E4">
        <w:rPr>
          <w:rFonts w:ascii="Arial" w:hAnsi="Arial" w:cs="Arial"/>
          <w:sz w:val="22"/>
        </w:rPr>
        <w:t xml:space="preserve"> and participation within the community.</w:t>
      </w:r>
      <w:r w:rsidR="002C5916">
        <w:rPr>
          <w:rFonts w:ascii="Arial" w:hAnsi="Arial" w:cs="Arial"/>
          <w:sz w:val="22"/>
        </w:rPr>
        <w:t xml:space="preserve">  </w:t>
      </w:r>
    </w:p>
    <w:p w14:paraId="2248334C" w14:textId="4B820E21" w:rsidR="008767E4" w:rsidRPr="008767E4" w:rsidRDefault="008767E4" w:rsidP="008767E4">
      <w:pPr>
        <w:tabs>
          <w:tab w:val="left" w:pos="6540"/>
        </w:tabs>
        <w:spacing w:line="360" w:lineRule="auto"/>
        <w:rPr>
          <w:rFonts w:ascii="Arial" w:hAnsi="Arial" w:cs="Arial"/>
          <w:sz w:val="22"/>
        </w:rPr>
      </w:pPr>
      <w:r w:rsidRPr="008767E4">
        <w:rPr>
          <w:rFonts w:ascii="Arial" w:hAnsi="Arial" w:cs="Arial"/>
          <w:sz w:val="22"/>
        </w:rPr>
        <w:t>Although Community Disability Services have improved significantly, they still face important challenges. One of the main concerns is unequal access across the UK. Long waiting times, increasing demand and staff shortages often delay assessments and support. Hatzikiriakidis et al. (2023) found that limited resources and poor coordination between services can reduce the effectiveness of interventions and affect people's wellbeing. These challenges show that</w:t>
      </w:r>
      <w:r w:rsidR="005F5F61">
        <w:rPr>
          <w:rFonts w:ascii="Arial" w:hAnsi="Arial" w:cs="Arial"/>
          <w:sz w:val="22"/>
        </w:rPr>
        <w:t xml:space="preserve"> although community-based services are more inclusive than institutional care, further investment and stronger collaboration among</w:t>
      </w:r>
      <w:r w:rsidRPr="008767E4">
        <w:rPr>
          <w:rFonts w:ascii="Arial" w:hAnsi="Arial" w:cs="Arial"/>
          <w:sz w:val="22"/>
        </w:rPr>
        <w:t xml:space="preserve"> </w:t>
      </w:r>
      <w:r w:rsidR="00525E74">
        <w:rPr>
          <w:rFonts w:ascii="Arial" w:hAnsi="Arial" w:cs="Arial"/>
          <w:sz w:val="22"/>
        </w:rPr>
        <w:t>organizations</w:t>
      </w:r>
      <w:r w:rsidRPr="008767E4">
        <w:rPr>
          <w:rFonts w:ascii="Arial" w:hAnsi="Arial" w:cs="Arial"/>
          <w:sz w:val="22"/>
        </w:rPr>
        <w:t xml:space="preserve"> are still needed.</w:t>
      </w:r>
    </w:p>
    <w:p w14:paraId="46E4B889" w14:textId="07F3ECF1" w:rsidR="008767E4" w:rsidRDefault="008767E4" w:rsidP="008767E4">
      <w:pPr>
        <w:tabs>
          <w:tab w:val="left" w:pos="6540"/>
        </w:tabs>
        <w:spacing w:line="360" w:lineRule="auto"/>
        <w:rPr>
          <w:rFonts w:ascii="Arial" w:hAnsi="Arial" w:cs="Arial"/>
          <w:sz w:val="22"/>
        </w:rPr>
      </w:pPr>
      <w:r w:rsidRPr="008767E4">
        <w:rPr>
          <w:rFonts w:ascii="Arial" w:hAnsi="Arial" w:cs="Arial"/>
          <w:sz w:val="22"/>
        </w:rPr>
        <w:t xml:space="preserve">Despite these difficulties, evidence consistently shows that Community Disability Services improve quality of life. Cavallaro et al. (2025) explain that </w:t>
      </w:r>
      <w:r w:rsidR="00525E74">
        <w:rPr>
          <w:rFonts w:ascii="Arial" w:hAnsi="Arial" w:cs="Arial"/>
          <w:sz w:val="22"/>
        </w:rPr>
        <w:t>person-centered</w:t>
      </w:r>
      <w:r w:rsidRPr="008767E4">
        <w:rPr>
          <w:rFonts w:ascii="Arial" w:hAnsi="Arial" w:cs="Arial"/>
          <w:sz w:val="22"/>
        </w:rPr>
        <w:t xml:space="preserve"> support increases independence, social participation and emotional wellbeing because individuals are encouraged to achieve their own goals. Similarly, Friedman (2026) argues that involving people in decisions about their support leads to greater confidence and better long-term outcomes. These findings demonstrate that successful services focus on people's abilities rather than their limitations.</w:t>
      </w:r>
    </w:p>
    <w:p w14:paraId="412D6CD2" w14:textId="77777777" w:rsidR="00525E74" w:rsidRDefault="00525E74" w:rsidP="008767E4">
      <w:pPr>
        <w:tabs>
          <w:tab w:val="left" w:pos="6540"/>
        </w:tabs>
        <w:spacing w:line="360" w:lineRule="auto"/>
        <w:rPr>
          <w:rFonts w:ascii="Arial" w:hAnsi="Arial" w:cs="Arial"/>
          <w:sz w:val="22"/>
        </w:rPr>
      </w:pPr>
    </w:p>
    <w:p w14:paraId="667A926D" w14:textId="5F078984" w:rsidR="00525E74" w:rsidRPr="008767E4" w:rsidRDefault="00525E74" w:rsidP="00525E74">
      <w:pPr>
        <w:pStyle w:val="Heading1"/>
      </w:pPr>
      <w:bookmarkStart w:id="6" w:name="_Toc235287754"/>
      <w:bookmarkStart w:id="7" w:name="_Toc235287935"/>
      <w:r>
        <w:t>4. Quality of life of service users</w:t>
      </w:r>
      <w:bookmarkEnd w:id="6"/>
      <w:bookmarkEnd w:id="7"/>
    </w:p>
    <w:p w14:paraId="4F883603" w14:textId="57995808" w:rsidR="008767E4" w:rsidRPr="008767E4" w:rsidRDefault="008767E4" w:rsidP="008767E4">
      <w:pPr>
        <w:tabs>
          <w:tab w:val="left" w:pos="6540"/>
        </w:tabs>
        <w:spacing w:line="360" w:lineRule="auto"/>
        <w:rPr>
          <w:rFonts w:ascii="Arial" w:hAnsi="Arial" w:cs="Arial"/>
          <w:sz w:val="22"/>
        </w:rPr>
      </w:pPr>
      <w:r w:rsidRPr="008767E4">
        <w:rPr>
          <w:rFonts w:ascii="Arial" w:hAnsi="Arial" w:cs="Arial"/>
          <w:sz w:val="22"/>
        </w:rPr>
        <w:t>Learning about these services became much more meaningful after experiencing them myself. Waiting for my autism assessment was stressful because I did not know what to expect. However, once the assessment began, every professional treated me with patience, respect</w:t>
      </w:r>
      <w:r w:rsidR="00525E74">
        <w:rPr>
          <w:rFonts w:ascii="Arial" w:hAnsi="Arial" w:cs="Arial"/>
          <w:sz w:val="22"/>
        </w:rPr>
        <w:t>,</w:t>
      </w:r>
      <w:r w:rsidRPr="008767E4">
        <w:rPr>
          <w:rFonts w:ascii="Arial" w:hAnsi="Arial" w:cs="Arial"/>
          <w:sz w:val="22"/>
        </w:rPr>
        <w:t xml:space="preserve"> and genuine compassion. I felt listened to throughout the process, which helped reduce my anxiety and made me feel understood.</w:t>
      </w:r>
    </w:p>
    <w:p w14:paraId="378CED8D" w14:textId="143B458B" w:rsidR="008767E4" w:rsidRDefault="008767E4" w:rsidP="008767E4">
      <w:pPr>
        <w:tabs>
          <w:tab w:val="left" w:pos="6540"/>
        </w:tabs>
        <w:spacing w:line="360" w:lineRule="auto"/>
        <w:rPr>
          <w:rFonts w:ascii="Arial" w:hAnsi="Arial" w:cs="Arial"/>
          <w:sz w:val="22"/>
        </w:rPr>
      </w:pPr>
      <w:r w:rsidRPr="008767E4">
        <w:rPr>
          <w:rFonts w:ascii="Arial" w:hAnsi="Arial" w:cs="Arial"/>
          <w:sz w:val="22"/>
        </w:rPr>
        <w:t xml:space="preserve">Receiving my autism diagnosis was not the end of my journey. Instead, it gave me access to </w:t>
      </w:r>
      <w:r w:rsidR="00525E74">
        <w:rPr>
          <w:rFonts w:ascii="Arial" w:hAnsi="Arial" w:cs="Arial"/>
          <w:sz w:val="22"/>
        </w:rPr>
        <w:t>personalized</w:t>
      </w:r>
      <w:r w:rsidRPr="008767E4">
        <w:rPr>
          <w:rFonts w:ascii="Arial" w:hAnsi="Arial" w:cs="Arial"/>
          <w:sz w:val="22"/>
        </w:rPr>
        <w:t xml:space="preserve"> support that made a real difference in my daily life. My specialist prepared recommendation letters for my university, workplace</w:t>
      </w:r>
      <w:r w:rsidR="00525E74">
        <w:rPr>
          <w:rFonts w:ascii="Arial" w:hAnsi="Arial" w:cs="Arial"/>
          <w:sz w:val="22"/>
        </w:rPr>
        <w:t>,</w:t>
      </w:r>
      <w:r w:rsidRPr="008767E4">
        <w:rPr>
          <w:rFonts w:ascii="Arial" w:hAnsi="Arial" w:cs="Arial"/>
          <w:sz w:val="22"/>
        </w:rPr>
        <w:t xml:space="preserve"> and family, explaining my needs and suggesting practical adjustments to create more supportive environments. This experience showed me that Community Disability Services are not only about providing a diagnosis but also about empowering people to succeed in education, employment</w:t>
      </w:r>
      <w:r w:rsidR="00525E74">
        <w:rPr>
          <w:rFonts w:ascii="Arial" w:hAnsi="Arial" w:cs="Arial"/>
          <w:sz w:val="22"/>
        </w:rPr>
        <w:t>,</w:t>
      </w:r>
      <w:r w:rsidRPr="008767E4">
        <w:rPr>
          <w:rFonts w:ascii="Arial" w:hAnsi="Arial" w:cs="Arial"/>
          <w:sz w:val="22"/>
        </w:rPr>
        <w:t xml:space="preserve"> and everyday life. I am currently waiting for my ADHD assessment, and although the process can be difficult, I now understand the value of continuous, </w:t>
      </w:r>
      <w:r w:rsidR="00525E74">
        <w:rPr>
          <w:rFonts w:ascii="Arial" w:hAnsi="Arial" w:cs="Arial"/>
          <w:sz w:val="22"/>
        </w:rPr>
        <w:t>person-centered</w:t>
      </w:r>
      <w:r w:rsidRPr="008767E4">
        <w:rPr>
          <w:rFonts w:ascii="Arial" w:hAnsi="Arial" w:cs="Arial"/>
          <w:sz w:val="22"/>
        </w:rPr>
        <w:t xml:space="preserve"> support.</w:t>
      </w:r>
    </w:p>
    <w:p w14:paraId="566FE8A9" w14:textId="77777777" w:rsidR="00525E74" w:rsidRDefault="00525E74" w:rsidP="008767E4">
      <w:pPr>
        <w:tabs>
          <w:tab w:val="left" w:pos="6540"/>
        </w:tabs>
        <w:spacing w:line="360" w:lineRule="auto"/>
        <w:rPr>
          <w:rFonts w:ascii="Arial" w:hAnsi="Arial" w:cs="Arial"/>
          <w:sz w:val="22"/>
        </w:rPr>
      </w:pPr>
    </w:p>
    <w:p w14:paraId="395C72B9" w14:textId="77777777" w:rsidR="00525E74" w:rsidRDefault="00525E74" w:rsidP="008767E4">
      <w:pPr>
        <w:tabs>
          <w:tab w:val="left" w:pos="6540"/>
        </w:tabs>
        <w:spacing w:line="360" w:lineRule="auto"/>
        <w:rPr>
          <w:rFonts w:ascii="Arial" w:hAnsi="Arial" w:cs="Arial"/>
          <w:sz w:val="22"/>
        </w:rPr>
      </w:pPr>
    </w:p>
    <w:p w14:paraId="3977BECB" w14:textId="3F337E65" w:rsidR="00525E74" w:rsidRPr="008767E4" w:rsidRDefault="00525E74" w:rsidP="00525E74">
      <w:pPr>
        <w:pStyle w:val="Heading1"/>
      </w:pPr>
      <w:bookmarkStart w:id="8" w:name="_Toc235287755"/>
      <w:bookmarkStart w:id="9" w:name="_Toc235287936"/>
      <w:r>
        <w:lastRenderedPageBreak/>
        <w:t>5. Conclusion</w:t>
      </w:r>
      <w:bookmarkEnd w:id="8"/>
      <w:bookmarkEnd w:id="9"/>
    </w:p>
    <w:p w14:paraId="726E3185" w14:textId="0F6B4283" w:rsidR="008767E4" w:rsidRDefault="008767E4" w:rsidP="008767E4">
      <w:pPr>
        <w:tabs>
          <w:tab w:val="left" w:pos="6540"/>
        </w:tabs>
        <w:spacing w:line="360" w:lineRule="auto"/>
        <w:rPr>
          <w:rFonts w:ascii="Arial" w:hAnsi="Arial" w:cs="Arial"/>
          <w:sz w:val="22"/>
        </w:rPr>
      </w:pPr>
      <w:r w:rsidRPr="008767E4">
        <w:rPr>
          <w:rFonts w:ascii="Arial" w:hAnsi="Arial" w:cs="Arial"/>
          <w:sz w:val="22"/>
        </w:rPr>
        <w:t xml:space="preserve">In conclusion, Community Disability Services </w:t>
      </w:r>
      <w:r w:rsidR="00525E74">
        <w:rPr>
          <w:rFonts w:ascii="Arial" w:hAnsi="Arial" w:cs="Arial"/>
          <w:sz w:val="22"/>
        </w:rPr>
        <w:t>has transformed disability support by promoting independence, dignity,</w:t>
      </w:r>
      <w:r w:rsidRPr="008767E4">
        <w:rPr>
          <w:rFonts w:ascii="Arial" w:hAnsi="Arial" w:cs="Arial"/>
          <w:sz w:val="22"/>
        </w:rPr>
        <w:t xml:space="preserve"> and inclusion. Although challenges such as waiting times and limited resources remain, current evidence shows that these services significantly improve quality of life. My own experience confirms that </w:t>
      </w:r>
      <w:r w:rsidR="00525E74">
        <w:rPr>
          <w:rFonts w:ascii="Arial" w:hAnsi="Arial" w:cs="Arial"/>
          <w:sz w:val="22"/>
        </w:rPr>
        <w:t xml:space="preserve">personalized and compassionate support can reduce barriers and help people achieve their goals while fully participating </w:t>
      </w:r>
      <w:r w:rsidRPr="008767E4">
        <w:rPr>
          <w:rFonts w:ascii="Arial" w:hAnsi="Arial" w:cs="Arial"/>
          <w:sz w:val="22"/>
        </w:rPr>
        <w:t>in society.</w:t>
      </w:r>
    </w:p>
    <w:p w14:paraId="57FB7468" w14:textId="77777777" w:rsidR="00525E74" w:rsidRDefault="00525E74" w:rsidP="008767E4">
      <w:pPr>
        <w:tabs>
          <w:tab w:val="left" w:pos="6540"/>
        </w:tabs>
        <w:spacing w:line="360" w:lineRule="auto"/>
        <w:rPr>
          <w:rFonts w:ascii="Arial" w:hAnsi="Arial" w:cs="Arial"/>
          <w:sz w:val="22"/>
        </w:rPr>
      </w:pPr>
    </w:p>
    <w:p w14:paraId="7501AA08" w14:textId="55AB5B9E" w:rsidR="00525E74" w:rsidRPr="004A2DC0" w:rsidRDefault="00525E74" w:rsidP="00525E74">
      <w:pPr>
        <w:pStyle w:val="Heading1"/>
        <w:rPr>
          <w:lang w:val="es-419"/>
        </w:rPr>
      </w:pPr>
      <w:bookmarkStart w:id="10" w:name="_Toc235287756"/>
      <w:bookmarkStart w:id="11" w:name="_Toc235287937"/>
      <w:r w:rsidRPr="004A2DC0">
        <w:rPr>
          <w:lang w:val="es-419"/>
        </w:rPr>
        <w:t>6. Reference</w:t>
      </w:r>
      <w:bookmarkEnd w:id="10"/>
      <w:bookmarkEnd w:id="11"/>
    </w:p>
    <w:p w14:paraId="6399660C" w14:textId="77777777" w:rsidR="005F5F61" w:rsidRPr="006676BE" w:rsidRDefault="005F5F61" w:rsidP="005F5F61">
      <w:pPr>
        <w:rPr>
          <w:rFonts w:ascii="Arial" w:hAnsi="Arial" w:cs="Arial"/>
          <w:sz w:val="22"/>
        </w:rPr>
      </w:pPr>
      <w:r w:rsidRPr="004A2DC0">
        <w:rPr>
          <w:rFonts w:ascii="Arial" w:hAnsi="Arial" w:cs="Arial"/>
          <w:sz w:val="22"/>
          <w:lang w:val="es-419"/>
        </w:rPr>
        <w:t xml:space="preserve">Cavallaro, R. et al. </w:t>
      </w:r>
      <w:r w:rsidRPr="006676BE">
        <w:rPr>
          <w:rFonts w:ascii="Arial" w:hAnsi="Arial" w:cs="Arial"/>
          <w:sz w:val="22"/>
        </w:rPr>
        <w:t>(2025) Beyond disability: A scientometric review of quality of life in developmental disabilities. Research in Developmental Disabilities.</w:t>
      </w:r>
    </w:p>
    <w:p w14:paraId="0EECC882" w14:textId="3A0E0717" w:rsidR="005F5F61" w:rsidRPr="006676BE" w:rsidRDefault="005F5F61" w:rsidP="005F5F61">
      <w:pPr>
        <w:rPr>
          <w:rFonts w:ascii="Arial" w:hAnsi="Arial" w:cs="Arial"/>
          <w:sz w:val="22"/>
        </w:rPr>
      </w:pPr>
      <w:r w:rsidRPr="006676BE">
        <w:rPr>
          <w:rFonts w:ascii="Arial" w:hAnsi="Arial" w:cs="Arial"/>
          <w:sz w:val="22"/>
        </w:rPr>
        <w:t>Friedman, C. (2026). Person-Centered: The Impact of People with IDD Choosing Their Goals on Their Quality of Life Outcomes. Journal of Developmental and Physical Disabilities.</w:t>
      </w:r>
    </w:p>
    <w:p w14:paraId="2CD4D727" w14:textId="3B2A204A" w:rsidR="005F5F61" w:rsidRPr="006676BE" w:rsidRDefault="005F5F61" w:rsidP="005F5F61">
      <w:pPr>
        <w:rPr>
          <w:rFonts w:ascii="Arial" w:hAnsi="Arial" w:cs="Arial"/>
          <w:sz w:val="22"/>
        </w:rPr>
      </w:pPr>
      <w:r w:rsidRPr="006676BE">
        <w:rPr>
          <w:rFonts w:ascii="Arial" w:hAnsi="Arial" w:cs="Arial"/>
          <w:sz w:val="22"/>
        </w:rPr>
        <w:t>Hatzikiriakidis, K. et al. (2023) Barriers and enablers to the implementation of healthy lifestyle interventions for people with disability living in supported accommodation: disability and Health Journal.</w:t>
      </w:r>
    </w:p>
    <w:p w14:paraId="7C4EC848" w14:textId="77777777" w:rsidR="005F5F61" w:rsidRPr="006676BE" w:rsidRDefault="005F5F61" w:rsidP="005F5F61">
      <w:pPr>
        <w:rPr>
          <w:rFonts w:ascii="Arial" w:hAnsi="Arial" w:cs="Arial"/>
          <w:sz w:val="22"/>
        </w:rPr>
      </w:pPr>
      <w:r w:rsidRPr="006676BE">
        <w:rPr>
          <w:rFonts w:ascii="Arial" w:hAnsi="Arial" w:cs="Arial"/>
          <w:sz w:val="22"/>
        </w:rPr>
        <w:t>Kuper, H. et al. (2024) Disability inclusion and health systems. The Lancet Public Health.</w:t>
      </w:r>
    </w:p>
    <w:p w14:paraId="75667F8B" w14:textId="77777777" w:rsidR="005F5F61" w:rsidRPr="006676BE" w:rsidRDefault="005F5F61" w:rsidP="005F5F61">
      <w:pPr>
        <w:rPr>
          <w:rFonts w:ascii="Arial" w:hAnsi="Arial" w:cs="Arial"/>
          <w:sz w:val="22"/>
        </w:rPr>
      </w:pPr>
      <w:r w:rsidRPr="006676BE">
        <w:rPr>
          <w:rFonts w:ascii="Arial" w:hAnsi="Arial" w:cs="Arial"/>
          <w:sz w:val="22"/>
        </w:rPr>
        <w:t>Navas, P. et al. (2025) Empowering lives: How deinstitutionalization and community living improve the quality of life of individuals with intellectual and developmental disabilities. Research in Developmental Disabilities.</w:t>
      </w:r>
    </w:p>
    <w:p w14:paraId="1243241D" w14:textId="7837EE67" w:rsidR="00525E74" w:rsidRPr="006676BE" w:rsidRDefault="005F5F61" w:rsidP="005F5F61">
      <w:pPr>
        <w:rPr>
          <w:rFonts w:ascii="Arial" w:hAnsi="Arial" w:cs="Arial"/>
          <w:sz w:val="22"/>
        </w:rPr>
      </w:pPr>
      <w:r w:rsidRPr="006676BE">
        <w:rPr>
          <w:rFonts w:ascii="Arial" w:hAnsi="Arial" w:cs="Arial"/>
          <w:sz w:val="22"/>
        </w:rPr>
        <w:t>Wigham, S. et al. (2022) Improving access to primary care and annual health checks for people who have a learning disability: a multistakeholder qualitative study. BMJ Open.</w:t>
      </w:r>
    </w:p>
    <w:sectPr w:rsidR="00525E74" w:rsidRPr="006676BE" w:rsidSect="006676BE">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D9993" w14:textId="77777777" w:rsidR="00E77C88" w:rsidRDefault="00E77C88" w:rsidP="003E4ECF">
      <w:pPr>
        <w:spacing w:after="0" w:line="240" w:lineRule="auto"/>
      </w:pPr>
      <w:r>
        <w:separator/>
      </w:r>
    </w:p>
  </w:endnote>
  <w:endnote w:type="continuationSeparator" w:id="0">
    <w:p w14:paraId="672C1D5F" w14:textId="77777777" w:rsidR="00E77C88" w:rsidRDefault="00E77C8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DCB89" w14:textId="7FD28BA5" w:rsidR="003E4ECF" w:rsidRDefault="003E4ECF" w:rsidP="002C5916">
    <w:pPr>
      <w:pStyle w:val="Footer"/>
      <w:tabs>
        <w:tab w:val="clear" w:pos="4513"/>
        <w:tab w:val="clear" w:pos="9026"/>
        <w:tab w:val="left" w:pos="4128"/>
        <w:tab w:val="left" w:pos="4572"/>
        <w:tab w:val="left" w:pos="5664"/>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90248"/>
      <w:docPartObj>
        <w:docPartGallery w:val="Page Numbers (Bottom of Page)"/>
        <w:docPartUnique/>
      </w:docPartObj>
    </w:sdtPr>
    <w:sdtEndPr>
      <w:rPr>
        <w:noProof/>
      </w:rPr>
    </w:sdtEndPr>
    <w:sdtContent>
      <w:p w14:paraId="0E78425C" w14:textId="45D7C1AA" w:rsidR="006676BE" w:rsidRDefault="006676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520D3" w14:textId="77777777" w:rsidR="006676BE" w:rsidRDefault="006676BE" w:rsidP="002C5916">
    <w:pPr>
      <w:pStyle w:val="Footer"/>
      <w:tabs>
        <w:tab w:val="clear" w:pos="4513"/>
        <w:tab w:val="clear" w:pos="9026"/>
        <w:tab w:val="left" w:pos="4128"/>
        <w:tab w:val="left" w:pos="4572"/>
        <w:tab w:val="left" w:pos="566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C2494" w14:textId="77777777" w:rsidR="00E77C88" w:rsidRDefault="00E77C88" w:rsidP="003E4ECF">
      <w:pPr>
        <w:spacing w:after="0" w:line="240" w:lineRule="auto"/>
      </w:pPr>
      <w:r>
        <w:separator/>
      </w:r>
    </w:p>
  </w:footnote>
  <w:footnote w:type="continuationSeparator" w:id="0">
    <w:p w14:paraId="45CA5D91" w14:textId="77777777" w:rsidR="00E77C88" w:rsidRDefault="00E77C8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01940"/>
    <w:multiLevelType w:val="hybridMultilevel"/>
    <w:tmpl w:val="C02CF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716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1B7C"/>
    <w:rsid w:val="00074402"/>
    <w:rsid w:val="001D7C03"/>
    <w:rsid w:val="00216C85"/>
    <w:rsid w:val="00256547"/>
    <w:rsid w:val="0026393A"/>
    <w:rsid w:val="00273EDD"/>
    <w:rsid w:val="00277794"/>
    <w:rsid w:val="002C3965"/>
    <w:rsid w:val="002C5916"/>
    <w:rsid w:val="00321C4C"/>
    <w:rsid w:val="00392BBC"/>
    <w:rsid w:val="003E4ECF"/>
    <w:rsid w:val="003F0440"/>
    <w:rsid w:val="004A2DC0"/>
    <w:rsid w:val="004A736E"/>
    <w:rsid w:val="00525E74"/>
    <w:rsid w:val="005F5F61"/>
    <w:rsid w:val="005F6ADA"/>
    <w:rsid w:val="006676BE"/>
    <w:rsid w:val="006925AA"/>
    <w:rsid w:val="00725177"/>
    <w:rsid w:val="00776F9B"/>
    <w:rsid w:val="007A1B8D"/>
    <w:rsid w:val="00814A9E"/>
    <w:rsid w:val="008507AE"/>
    <w:rsid w:val="008767E4"/>
    <w:rsid w:val="00876EA1"/>
    <w:rsid w:val="008B123A"/>
    <w:rsid w:val="008E3943"/>
    <w:rsid w:val="0090040D"/>
    <w:rsid w:val="00962400"/>
    <w:rsid w:val="00992936"/>
    <w:rsid w:val="009A6359"/>
    <w:rsid w:val="009D052C"/>
    <w:rsid w:val="009D1D1E"/>
    <w:rsid w:val="00A035FD"/>
    <w:rsid w:val="00A341FA"/>
    <w:rsid w:val="00AC665C"/>
    <w:rsid w:val="00AD23A0"/>
    <w:rsid w:val="00AF64B7"/>
    <w:rsid w:val="00B87E75"/>
    <w:rsid w:val="00C975E6"/>
    <w:rsid w:val="00CD33A8"/>
    <w:rsid w:val="00D965E2"/>
    <w:rsid w:val="00E569FD"/>
    <w:rsid w:val="00E620E7"/>
    <w:rsid w:val="00E77C88"/>
    <w:rsid w:val="00EB0A80"/>
    <w:rsid w:val="00F21482"/>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5E2"/>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5F5F61"/>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F5F61"/>
    <w:pPr>
      <w:spacing w:after="100"/>
    </w:pPr>
  </w:style>
  <w:style w:type="character" w:styleId="Hyperlink">
    <w:name w:val="Hyperlink"/>
    <w:basedOn w:val="DefaultParagraphFont"/>
    <w:uiPriority w:val="99"/>
    <w:unhideWhenUsed/>
    <w:rsid w:val="005F5F61"/>
    <w:rPr>
      <w:color w:val="0563C1" w:themeColor="hyperlink"/>
      <w:u w:val="single"/>
    </w:rPr>
  </w:style>
  <w:style w:type="paragraph" w:styleId="ListParagraph">
    <w:name w:val="List Paragraph"/>
    <w:basedOn w:val="Normal"/>
    <w:uiPriority w:val="34"/>
    <w:qFormat/>
    <w:rsid w:val="00776F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EA8A9-6C3C-484B-AAB1-2130A230A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7</Pages>
  <Words>1130</Words>
  <Characters>6442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joan galeano</cp:lastModifiedBy>
  <cp:revision>11</cp:revision>
  <dcterms:created xsi:type="dcterms:W3CDTF">2021-10-31T12:16:00Z</dcterms:created>
  <dcterms:modified xsi:type="dcterms:W3CDTF">2026-07-19T20:53:00Z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55a22fa5-7b81-4f34-8066-9beb75f9d902</vt:lpwstr>
  </property>
</Properties>
</file>