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973D4D" w14:textId="77777777" w:rsidR="00E0429A" w:rsidRPr="00C26F75" w:rsidRDefault="00E0429A">
      <w:pPr>
        <w:rPr>
          <w:rFonts w:ascii="Arial" w:hAnsi="Arial" w:cs="Arial"/>
          <w:sz w:val="44"/>
          <w:szCs w:val="44"/>
        </w:rPr>
      </w:pPr>
      <w:bookmarkStart w:id="0" w:name="OLE_LINK1"/>
      <w:bookmarkStart w:id="1" w:name="OLE_LINK3"/>
      <w:r w:rsidRPr="00C26F75">
        <w:rPr>
          <w:rFonts w:ascii="Arial" w:hAnsi="Arial" w:cs="Arial"/>
          <w:b/>
          <w:bCs/>
          <w:sz w:val="44"/>
          <w:szCs w:val="44"/>
        </w:rPr>
        <w:t>Name:</w:t>
      </w:r>
      <w:r w:rsidRPr="00C26F75">
        <w:rPr>
          <w:rFonts w:ascii="Arial" w:hAnsi="Arial" w:cs="Arial"/>
          <w:sz w:val="44"/>
          <w:szCs w:val="44"/>
        </w:rPr>
        <w:t xml:space="preserve">   Salhma Parveen</w:t>
      </w:r>
    </w:p>
    <w:p w14:paraId="77A1CED4" w14:textId="75698C71" w:rsidR="00E0429A" w:rsidRPr="00C26F75" w:rsidRDefault="00E0429A">
      <w:pPr>
        <w:rPr>
          <w:rFonts w:ascii="Arial" w:hAnsi="Arial" w:cs="Arial"/>
          <w:sz w:val="44"/>
          <w:szCs w:val="44"/>
        </w:rPr>
      </w:pPr>
      <w:r w:rsidRPr="00C26F75">
        <w:rPr>
          <w:rFonts w:ascii="Arial" w:hAnsi="Arial" w:cs="Arial"/>
          <w:b/>
          <w:bCs/>
          <w:sz w:val="44"/>
          <w:szCs w:val="44"/>
        </w:rPr>
        <w:t>Student ID:</w:t>
      </w:r>
      <w:r w:rsidRPr="00C26F75">
        <w:rPr>
          <w:rFonts w:ascii="Arial" w:hAnsi="Arial" w:cs="Arial"/>
          <w:sz w:val="44"/>
          <w:szCs w:val="44"/>
        </w:rPr>
        <w:t xml:space="preserve"> 2315839</w:t>
      </w:r>
    </w:p>
    <w:p w14:paraId="7D1B8C54" w14:textId="60FA06FD" w:rsidR="00412D6A" w:rsidRPr="00C26F75" w:rsidRDefault="00412D6A">
      <w:pPr>
        <w:rPr>
          <w:rFonts w:ascii="Arial" w:hAnsi="Arial" w:cs="Arial"/>
          <w:sz w:val="44"/>
          <w:szCs w:val="44"/>
        </w:rPr>
      </w:pPr>
      <w:r w:rsidRPr="00C26F75">
        <w:rPr>
          <w:rFonts w:ascii="Arial" w:hAnsi="Arial" w:cs="Arial"/>
          <w:b/>
          <w:bCs/>
          <w:sz w:val="44"/>
          <w:szCs w:val="44"/>
        </w:rPr>
        <w:t>Programme:</w:t>
      </w:r>
      <w:r w:rsidRPr="00C26F75">
        <w:rPr>
          <w:rFonts w:ascii="Arial" w:hAnsi="Arial" w:cs="Arial"/>
          <w:sz w:val="44"/>
          <w:szCs w:val="44"/>
        </w:rPr>
        <w:t xml:space="preserve"> BSc (Hons) Health and Social Care</w:t>
      </w:r>
    </w:p>
    <w:p w14:paraId="60C2FFD0" w14:textId="29EF6F25" w:rsidR="00106556" w:rsidRPr="00C26F75" w:rsidRDefault="00106556">
      <w:pPr>
        <w:rPr>
          <w:rFonts w:ascii="Arial" w:hAnsi="Arial" w:cs="Arial"/>
          <w:b/>
          <w:bCs/>
          <w:sz w:val="44"/>
          <w:szCs w:val="44"/>
        </w:rPr>
      </w:pPr>
      <w:r w:rsidRPr="00C26F75">
        <w:rPr>
          <w:rFonts w:ascii="Arial" w:hAnsi="Arial" w:cs="Arial"/>
          <w:b/>
          <w:bCs/>
          <w:sz w:val="44"/>
          <w:szCs w:val="44"/>
        </w:rPr>
        <w:t xml:space="preserve">Module: </w:t>
      </w:r>
      <w:r w:rsidRPr="00C26F75">
        <w:rPr>
          <w:rFonts w:ascii="Arial" w:hAnsi="Arial" w:cs="Arial"/>
          <w:sz w:val="44"/>
          <w:szCs w:val="44"/>
        </w:rPr>
        <w:t>Health, Wellbeing and Sustainable Development</w:t>
      </w:r>
    </w:p>
    <w:p w14:paraId="351DD650" w14:textId="61879896" w:rsidR="00B848AC" w:rsidRPr="00C26F75" w:rsidRDefault="00E0429A">
      <w:pPr>
        <w:rPr>
          <w:rFonts w:ascii="Arial" w:hAnsi="Arial" w:cs="Arial"/>
          <w:sz w:val="44"/>
          <w:szCs w:val="44"/>
        </w:rPr>
      </w:pPr>
      <w:r w:rsidRPr="00C26F75">
        <w:rPr>
          <w:rFonts w:ascii="Arial" w:hAnsi="Arial" w:cs="Arial"/>
          <w:b/>
          <w:bCs/>
          <w:sz w:val="44"/>
          <w:szCs w:val="44"/>
        </w:rPr>
        <w:t xml:space="preserve">Module </w:t>
      </w:r>
      <w:r w:rsidR="00106556" w:rsidRPr="00C26F75">
        <w:rPr>
          <w:rFonts w:ascii="Arial" w:hAnsi="Arial" w:cs="Arial"/>
          <w:b/>
          <w:bCs/>
          <w:sz w:val="44"/>
          <w:szCs w:val="44"/>
        </w:rPr>
        <w:t>Code:</w:t>
      </w:r>
      <w:r w:rsidRPr="00C26F75">
        <w:rPr>
          <w:rFonts w:ascii="Arial" w:hAnsi="Arial" w:cs="Arial"/>
          <w:sz w:val="44"/>
          <w:szCs w:val="44"/>
        </w:rPr>
        <w:t xml:space="preserve"> BMHP6030  </w:t>
      </w:r>
    </w:p>
    <w:p w14:paraId="74D28C4A" w14:textId="23C2A21C" w:rsidR="00E0429A" w:rsidRPr="00C26F75" w:rsidRDefault="00E0429A">
      <w:pPr>
        <w:rPr>
          <w:rFonts w:ascii="Arial" w:hAnsi="Arial" w:cs="Arial"/>
          <w:sz w:val="44"/>
          <w:szCs w:val="44"/>
        </w:rPr>
      </w:pPr>
      <w:r w:rsidRPr="00C26F75">
        <w:rPr>
          <w:rFonts w:ascii="Arial" w:hAnsi="Arial" w:cs="Arial"/>
          <w:b/>
          <w:bCs/>
          <w:sz w:val="44"/>
          <w:szCs w:val="44"/>
        </w:rPr>
        <w:t>A</w:t>
      </w:r>
      <w:r w:rsidR="00106556" w:rsidRPr="00C26F75">
        <w:rPr>
          <w:rFonts w:ascii="Arial" w:hAnsi="Arial" w:cs="Arial"/>
          <w:b/>
          <w:bCs/>
          <w:sz w:val="44"/>
          <w:szCs w:val="44"/>
        </w:rPr>
        <w:t>ssignment Title</w:t>
      </w:r>
      <w:r w:rsidRPr="00C26F75">
        <w:rPr>
          <w:rFonts w:ascii="Arial" w:hAnsi="Arial" w:cs="Arial"/>
          <w:b/>
          <w:bCs/>
          <w:sz w:val="44"/>
          <w:szCs w:val="44"/>
        </w:rPr>
        <w:t>:</w:t>
      </w:r>
      <w:r w:rsidRPr="00C26F75">
        <w:rPr>
          <w:rFonts w:ascii="Arial" w:hAnsi="Arial" w:cs="Arial"/>
          <w:sz w:val="44"/>
          <w:szCs w:val="44"/>
        </w:rPr>
        <w:t xml:space="preserve"> Component 2 – Written </w:t>
      </w:r>
      <w:r w:rsidR="00106556" w:rsidRPr="00C26F75">
        <w:rPr>
          <w:rFonts w:ascii="Arial" w:hAnsi="Arial" w:cs="Arial"/>
          <w:sz w:val="44"/>
          <w:szCs w:val="44"/>
        </w:rPr>
        <w:t>Assignment</w:t>
      </w:r>
    </w:p>
    <w:p w14:paraId="153606A4" w14:textId="5B10EE3F" w:rsidR="00E0429A" w:rsidRPr="00C26F75" w:rsidRDefault="00E0429A">
      <w:pPr>
        <w:rPr>
          <w:rFonts w:ascii="Arial" w:hAnsi="Arial" w:cs="Arial"/>
          <w:sz w:val="44"/>
          <w:szCs w:val="44"/>
        </w:rPr>
      </w:pPr>
      <w:r w:rsidRPr="00C26F75">
        <w:rPr>
          <w:rFonts w:ascii="Arial" w:hAnsi="Arial" w:cs="Arial"/>
          <w:b/>
          <w:bCs/>
          <w:sz w:val="44"/>
          <w:szCs w:val="44"/>
        </w:rPr>
        <w:t>Lecturer:</w:t>
      </w:r>
      <w:r w:rsidRPr="00C26F75">
        <w:rPr>
          <w:rFonts w:ascii="Arial" w:hAnsi="Arial" w:cs="Arial"/>
          <w:sz w:val="44"/>
          <w:szCs w:val="44"/>
        </w:rPr>
        <w:t xml:space="preserve"> Parese Ahmed</w:t>
      </w:r>
    </w:p>
    <w:p w14:paraId="6D16EF57" w14:textId="77777777" w:rsidR="002674C7" w:rsidRPr="00C26F75" w:rsidRDefault="002674C7">
      <w:pPr>
        <w:rPr>
          <w:rFonts w:ascii="Arial" w:hAnsi="Arial" w:cs="Arial"/>
          <w:sz w:val="44"/>
          <w:szCs w:val="44"/>
        </w:rPr>
      </w:pPr>
    </w:p>
    <w:p w14:paraId="37DBDDFA" w14:textId="77777777" w:rsidR="002674C7" w:rsidRDefault="002674C7">
      <w:pPr>
        <w:rPr>
          <w:rFonts w:ascii="Arial" w:hAnsi="Arial" w:cs="Arial"/>
          <w:sz w:val="48"/>
          <w:szCs w:val="48"/>
        </w:rPr>
      </w:pPr>
    </w:p>
    <w:p w14:paraId="06054F56" w14:textId="77777777" w:rsidR="002674C7" w:rsidRDefault="002674C7">
      <w:pPr>
        <w:rPr>
          <w:rFonts w:ascii="Arial" w:hAnsi="Arial" w:cs="Arial"/>
          <w:sz w:val="48"/>
          <w:szCs w:val="48"/>
        </w:rPr>
      </w:pPr>
    </w:p>
    <w:p w14:paraId="56A044BB" w14:textId="77777777" w:rsidR="002674C7" w:rsidRDefault="002674C7">
      <w:pPr>
        <w:rPr>
          <w:rFonts w:ascii="Arial" w:hAnsi="Arial" w:cs="Arial"/>
          <w:sz w:val="48"/>
          <w:szCs w:val="48"/>
        </w:rPr>
      </w:pPr>
    </w:p>
    <w:p w14:paraId="1C3B03B3" w14:textId="77777777" w:rsidR="002674C7" w:rsidRDefault="002674C7">
      <w:pPr>
        <w:rPr>
          <w:rFonts w:ascii="Arial" w:hAnsi="Arial" w:cs="Arial"/>
          <w:sz w:val="48"/>
          <w:szCs w:val="48"/>
        </w:rPr>
      </w:pPr>
    </w:p>
    <w:p w14:paraId="5047FFE3" w14:textId="77777777" w:rsidR="002674C7" w:rsidRDefault="002674C7">
      <w:pPr>
        <w:rPr>
          <w:rFonts w:ascii="Arial" w:hAnsi="Arial" w:cs="Arial"/>
          <w:sz w:val="48"/>
          <w:szCs w:val="48"/>
        </w:rPr>
      </w:pPr>
    </w:p>
    <w:p w14:paraId="60CEFFA7" w14:textId="77777777" w:rsidR="002674C7" w:rsidRDefault="002674C7">
      <w:pPr>
        <w:rPr>
          <w:rFonts w:ascii="Arial" w:hAnsi="Arial" w:cs="Arial"/>
          <w:sz w:val="48"/>
          <w:szCs w:val="48"/>
        </w:rPr>
      </w:pPr>
    </w:p>
    <w:p w14:paraId="2FF400FB" w14:textId="77777777" w:rsidR="002674C7" w:rsidRDefault="002674C7">
      <w:pPr>
        <w:rPr>
          <w:rFonts w:ascii="Arial" w:hAnsi="Arial" w:cs="Arial"/>
          <w:sz w:val="48"/>
          <w:szCs w:val="48"/>
        </w:rPr>
      </w:pPr>
    </w:p>
    <w:p w14:paraId="448A0246" w14:textId="77777777" w:rsidR="002674C7" w:rsidRDefault="002674C7">
      <w:pPr>
        <w:rPr>
          <w:rFonts w:ascii="Arial" w:hAnsi="Arial" w:cs="Arial"/>
          <w:sz w:val="48"/>
          <w:szCs w:val="48"/>
        </w:rPr>
      </w:pPr>
    </w:p>
    <w:p w14:paraId="19B9281B" w14:textId="77777777" w:rsidR="002674C7" w:rsidRDefault="002674C7">
      <w:pPr>
        <w:rPr>
          <w:rFonts w:ascii="Arial" w:hAnsi="Arial" w:cs="Arial"/>
          <w:sz w:val="48"/>
          <w:szCs w:val="48"/>
        </w:rPr>
      </w:pPr>
    </w:p>
    <w:p w14:paraId="2AD3FD28" w14:textId="77777777" w:rsidR="002674C7" w:rsidRDefault="002674C7">
      <w:pPr>
        <w:rPr>
          <w:rFonts w:ascii="Arial" w:hAnsi="Arial" w:cs="Arial"/>
          <w:sz w:val="48"/>
          <w:szCs w:val="48"/>
        </w:rPr>
      </w:pPr>
    </w:p>
    <w:p w14:paraId="18AA9865" w14:textId="77777777" w:rsidR="002674C7" w:rsidRDefault="002674C7">
      <w:pPr>
        <w:rPr>
          <w:rFonts w:ascii="Arial" w:hAnsi="Arial" w:cs="Arial"/>
          <w:sz w:val="48"/>
          <w:szCs w:val="48"/>
        </w:rPr>
      </w:pPr>
    </w:p>
    <w:p w14:paraId="4941E01E" w14:textId="63826CCD" w:rsidR="002674C7" w:rsidRDefault="002674C7">
      <w:pPr>
        <w:rPr>
          <w:rFonts w:ascii="Arial" w:hAnsi="Arial" w:cs="Arial"/>
          <w:b/>
          <w:bCs/>
          <w:sz w:val="48"/>
          <w:szCs w:val="48"/>
          <w:u w:val="single"/>
        </w:rPr>
      </w:pPr>
      <w:r w:rsidRPr="002674C7">
        <w:rPr>
          <w:rFonts w:ascii="Arial" w:hAnsi="Arial" w:cs="Arial"/>
          <w:b/>
          <w:bCs/>
          <w:sz w:val="48"/>
          <w:szCs w:val="48"/>
          <w:u w:val="single"/>
        </w:rPr>
        <w:t>Table Of Contents</w:t>
      </w:r>
    </w:p>
    <w:p w14:paraId="41F26003" w14:textId="77777777" w:rsidR="0003138F" w:rsidRDefault="0003138F">
      <w:pPr>
        <w:rPr>
          <w:rFonts w:ascii="Arial" w:hAnsi="Arial" w:cs="Arial"/>
          <w:b/>
          <w:bCs/>
          <w:sz w:val="48"/>
          <w:szCs w:val="48"/>
          <w:u w:val="single"/>
        </w:rPr>
      </w:pPr>
    </w:p>
    <w:p w14:paraId="20A8B14F" w14:textId="50DA599A" w:rsidR="00DF1CEB" w:rsidRPr="0003138F" w:rsidRDefault="00DF1CEB" w:rsidP="00DF1CEB">
      <w:pPr>
        <w:rPr>
          <w:rFonts w:ascii="Arial" w:hAnsi="Arial" w:cs="Arial"/>
          <w:sz w:val="24"/>
          <w:szCs w:val="24"/>
        </w:rPr>
      </w:pPr>
      <w:r w:rsidRPr="0003138F">
        <w:rPr>
          <w:rFonts w:ascii="Arial" w:hAnsi="Arial" w:cs="Arial"/>
          <w:b/>
          <w:bCs/>
          <w:sz w:val="24"/>
          <w:szCs w:val="24"/>
        </w:rPr>
        <w:t>1.0</w:t>
      </w:r>
      <w:r w:rsidRPr="0003138F">
        <w:rPr>
          <w:rFonts w:ascii="Arial" w:hAnsi="Arial" w:cs="Arial"/>
          <w:sz w:val="24"/>
          <w:szCs w:val="24"/>
        </w:rPr>
        <w:t xml:space="preserve"> Introduction</w:t>
      </w:r>
      <w:r w:rsidR="0003138F" w:rsidRPr="0003138F">
        <w:rPr>
          <w:rFonts w:ascii="Arial" w:hAnsi="Arial" w:cs="Arial"/>
          <w:sz w:val="24"/>
          <w:szCs w:val="24"/>
        </w:rPr>
        <w:t>……………………………………………………...</w:t>
      </w:r>
      <w:r w:rsidR="0003138F">
        <w:rPr>
          <w:rFonts w:ascii="Arial" w:hAnsi="Arial" w:cs="Arial"/>
          <w:sz w:val="24"/>
          <w:szCs w:val="24"/>
        </w:rPr>
        <w:t>.........</w:t>
      </w:r>
      <w:r w:rsidR="0003138F" w:rsidRPr="0003138F">
        <w:rPr>
          <w:rFonts w:ascii="Arial" w:hAnsi="Arial" w:cs="Arial"/>
          <w:sz w:val="24"/>
          <w:szCs w:val="24"/>
        </w:rPr>
        <w:t xml:space="preserve"> pg. 3</w:t>
      </w:r>
    </w:p>
    <w:p w14:paraId="02A6E15F" w14:textId="64CF4ABA" w:rsidR="00DF1CEB" w:rsidRPr="0003138F" w:rsidRDefault="00DF1CEB" w:rsidP="00DF1CEB">
      <w:pPr>
        <w:rPr>
          <w:rFonts w:ascii="Arial" w:hAnsi="Arial" w:cs="Arial"/>
          <w:sz w:val="24"/>
          <w:szCs w:val="24"/>
        </w:rPr>
      </w:pPr>
      <w:r w:rsidRPr="0003138F">
        <w:rPr>
          <w:rFonts w:ascii="Arial" w:hAnsi="Arial" w:cs="Arial"/>
          <w:b/>
          <w:bCs/>
          <w:sz w:val="24"/>
          <w:szCs w:val="24"/>
        </w:rPr>
        <w:t>2.0</w:t>
      </w:r>
      <w:r w:rsidRPr="0003138F">
        <w:rPr>
          <w:rFonts w:ascii="Arial" w:hAnsi="Arial" w:cs="Arial"/>
          <w:sz w:val="24"/>
          <w:szCs w:val="24"/>
        </w:rPr>
        <w:t xml:space="preserve"> Sustainable Development Goal 3: Good Health and </w:t>
      </w:r>
      <w:r w:rsidR="0003138F" w:rsidRPr="0003138F">
        <w:rPr>
          <w:rFonts w:ascii="Arial" w:hAnsi="Arial" w:cs="Arial"/>
          <w:sz w:val="24"/>
          <w:szCs w:val="24"/>
        </w:rPr>
        <w:t>Wellbeing</w:t>
      </w:r>
      <w:r w:rsidR="0003138F">
        <w:rPr>
          <w:rFonts w:ascii="Arial" w:hAnsi="Arial" w:cs="Arial"/>
          <w:sz w:val="24"/>
          <w:szCs w:val="24"/>
        </w:rPr>
        <w:t>….</w:t>
      </w:r>
      <w:r w:rsidR="0003138F" w:rsidRPr="0003138F">
        <w:rPr>
          <w:rFonts w:ascii="Arial" w:hAnsi="Arial" w:cs="Arial"/>
          <w:sz w:val="24"/>
          <w:szCs w:val="24"/>
        </w:rPr>
        <w:t xml:space="preserve"> pg.3-</w:t>
      </w:r>
      <w:r w:rsidR="0003138F">
        <w:rPr>
          <w:rFonts w:ascii="Arial" w:hAnsi="Arial" w:cs="Arial"/>
          <w:sz w:val="24"/>
          <w:szCs w:val="24"/>
        </w:rPr>
        <w:t>6</w:t>
      </w:r>
    </w:p>
    <w:p w14:paraId="5720B06F" w14:textId="11573BE0" w:rsidR="00DF1CEB" w:rsidRPr="0003138F" w:rsidRDefault="00DF1CEB" w:rsidP="00DF1CEB">
      <w:pPr>
        <w:rPr>
          <w:rFonts w:ascii="Arial" w:hAnsi="Arial" w:cs="Arial"/>
          <w:sz w:val="24"/>
          <w:szCs w:val="24"/>
        </w:rPr>
      </w:pPr>
      <w:r w:rsidRPr="0003138F">
        <w:rPr>
          <w:rFonts w:ascii="Arial" w:hAnsi="Arial" w:cs="Arial"/>
          <w:b/>
          <w:bCs/>
          <w:sz w:val="24"/>
          <w:szCs w:val="24"/>
        </w:rPr>
        <w:t>3.0</w:t>
      </w:r>
      <w:r w:rsidRPr="0003138F">
        <w:rPr>
          <w:rFonts w:ascii="Arial" w:hAnsi="Arial" w:cs="Arial"/>
          <w:sz w:val="24"/>
          <w:szCs w:val="24"/>
        </w:rPr>
        <w:t xml:space="preserve"> Sustainable Development Goal 10: Reduced Inequalities</w:t>
      </w:r>
      <w:r w:rsidR="0003138F">
        <w:rPr>
          <w:rFonts w:ascii="Arial" w:hAnsi="Arial" w:cs="Arial"/>
          <w:sz w:val="24"/>
          <w:szCs w:val="24"/>
        </w:rPr>
        <w:t>…………pg. 6-8</w:t>
      </w:r>
    </w:p>
    <w:p w14:paraId="1C1D71A3" w14:textId="1776302E" w:rsidR="00DF1CEB" w:rsidRPr="0003138F" w:rsidRDefault="00DF1CEB" w:rsidP="00DF1CEB">
      <w:pPr>
        <w:rPr>
          <w:rFonts w:ascii="Arial" w:hAnsi="Arial" w:cs="Arial"/>
          <w:sz w:val="24"/>
          <w:szCs w:val="24"/>
        </w:rPr>
      </w:pPr>
      <w:r w:rsidRPr="0003138F">
        <w:rPr>
          <w:rFonts w:ascii="Arial" w:hAnsi="Arial" w:cs="Arial"/>
          <w:b/>
          <w:bCs/>
          <w:sz w:val="24"/>
          <w:szCs w:val="24"/>
        </w:rPr>
        <w:t>4.0</w:t>
      </w:r>
      <w:r w:rsidRPr="0003138F">
        <w:rPr>
          <w:rFonts w:ascii="Arial" w:hAnsi="Arial" w:cs="Arial"/>
          <w:sz w:val="24"/>
          <w:szCs w:val="24"/>
        </w:rPr>
        <w:t xml:space="preserve"> Conclusion</w:t>
      </w:r>
      <w:r w:rsidR="0003138F">
        <w:rPr>
          <w:rFonts w:ascii="Arial" w:hAnsi="Arial" w:cs="Arial"/>
          <w:sz w:val="24"/>
          <w:szCs w:val="24"/>
        </w:rPr>
        <w:t>……………………………………………………………… pg. 8-9</w:t>
      </w:r>
    </w:p>
    <w:p w14:paraId="34A5C2C7" w14:textId="2B553FF7" w:rsidR="00DF1CEB" w:rsidRPr="0003138F" w:rsidRDefault="00DF1CEB" w:rsidP="00DF1CEB">
      <w:pPr>
        <w:rPr>
          <w:rFonts w:ascii="Arial" w:hAnsi="Arial" w:cs="Arial"/>
          <w:sz w:val="28"/>
          <w:szCs w:val="28"/>
        </w:rPr>
      </w:pPr>
      <w:r w:rsidRPr="0003138F">
        <w:rPr>
          <w:rFonts w:ascii="Arial" w:hAnsi="Arial" w:cs="Arial"/>
          <w:b/>
          <w:bCs/>
          <w:sz w:val="24"/>
          <w:szCs w:val="24"/>
        </w:rPr>
        <w:t>5.0</w:t>
      </w:r>
      <w:r w:rsidRPr="0003138F">
        <w:rPr>
          <w:rFonts w:ascii="Arial" w:hAnsi="Arial" w:cs="Arial"/>
          <w:sz w:val="24"/>
          <w:szCs w:val="24"/>
        </w:rPr>
        <w:t xml:space="preserve"> Reference</w:t>
      </w:r>
      <w:r w:rsidR="00874C77" w:rsidRPr="0003138F">
        <w:rPr>
          <w:rFonts w:ascii="Arial" w:hAnsi="Arial" w:cs="Arial"/>
          <w:sz w:val="24"/>
          <w:szCs w:val="24"/>
        </w:rPr>
        <w:t>s</w:t>
      </w:r>
      <w:r w:rsidR="0003138F">
        <w:rPr>
          <w:rFonts w:ascii="Arial" w:hAnsi="Arial" w:cs="Arial"/>
          <w:sz w:val="24"/>
          <w:szCs w:val="24"/>
        </w:rPr>
        <w:t>……………………………………………………………... pg. 9-10</w:t>
      </w:r>
    </w:p>
    <w:p w14:paraId="4508D744" w14:textId="77777777" w:rsidR="007041B9" w:rsidRDefault="007041B9">
      <w:pPr>
        <w:rPr>
          <w:rFonts w:ascii="Arial" w:hAnsi="Arial" w:cs="Arial"/>
          <w:b/>
          <w:bCs/>
          <w:sz w:val="48"/>
          <w:szCs w:val="48"/>
          <w:u w:val="single"/>
        </w:rPr>
      </w:pPr>
    </w:p>
    <w:p w14:paraId="0379C239" w14:textId="77777777" w:rsidR="007041B9" w:rsidRDefault="007041B9">
      <w:pPr>
        <w:rPr>
          <w:rFonts w:ascii="Arial" w:hAnsi="Arial" w:cs="Arial"/>
          <w:b/>
          <w:bCs/>
          <w:sz w:val="48"/>
          <w:szCs w:val="48"/>
          <w:u w:val="single"/>
        </w:rPr>
      </w:pPr>
    </w:p>
    <w:p w14:paraId="73715029" w14:textId="77777777" w:rsidR="007041B9" w:rsidRDefault="007041B9">
      <w:pPr>
        <w:rPr>
          <w:rFonts w:ascii="Arial" w:hAnsi="Arial" w:cs="Arial"/>
          <w:b/>
          <w:bCs/>
          <w:sz w:val="48"/>
          <w:szCs w:val="48"/>
          <w:u w:val="single"/>
        </w:rPr>
      </w:pPr>
    </w:p>
    <w:p w14:paraId="4331E159" w14:textId="77777777" w:rsidR="007041B9" w:rsidRDefault="007041B9">
      <w:pPr>
        <w:rPr>
          <w:rFonts w:ascii="Arial" w:hAnsi="Arial" w:cs="Arial"/>
          <w:b/>
          <w:bCs/>
          <w:sz w:val="48"/>
          <w:szCs w:val="48"/>
          <w:u w:val="single"/>
        </w:rPr>
      </w:pPr>
    </w:p>
    <w:p w14:paraId="4B569EA6" w14:textId="77777777" w:rsidR="007041B9" w:rsidRDefault="007041B9">
      <w:pPr>
        <w:rPr>
          <w:rFonts w:ascii="Arial" w:hAnsi="Arial" w:cs="Arial"/>
          <w:b/>
          <w:bCs/>
          <w:sz w:val="48"/>
          <w:szCs w:val="48"/>
          <w:u w:val="single"/>
        </w:rPr>
      </w:pPr>
    </w:p>
    <w:p w14:paraId="0B16D39F" w14:textId="77777777" w:rsidR="007041B9" w:rsidRDefault="007041B9">
      <w:pPr>
        <w:rPr>
          <w:rFonts w:ascii="Arial" w:hAnsi="Arial" w:cs="Arial"/>
          <w:b/>
          <w:bCs/>
          <w:sz w:val="48"/>
          <w:szCs w:val="48"/>
          <w:u w:val="single"/>
        </w:rPr>
      </w:pPr>
    </w:p>
    <w:p w14:paraId="5D40410A" w14:textId="77777777" w:rsidR="007041B9" w:rsidRDefault="007041B9">
      <w:pPr>
        <w:rPr>
          <w:rFonts w:ascii="Arial" w:hAnsi="Arial" w:cs="Arial"/>
          <w:b/>
          <w:bCs/>
          <w:sz w:val="48"/>
          <w:szCs w:val="48"/>
          <w:u w:val="single"/>
        </w:rPr>
      </w:pPr>
    </w:p>
    <w:p w14:paraId="3A76698A" w14:textId="77777777" w:rsidR="007041B9" w:rsidRDefault="007041B9">
      <w:pPr>
        <w:rPr>
          <w:rFonts w:ascii="Arial" w:hAnsi="Arial" w:cs="Arial"/>
          <w:b/>
          <w:bCs/>
          <w:sz w:val="48"/>
          <w:szCs w:val="48"/>
          <w:u w:val="single"/>
        </w:rPr>
      </w:pPr>
    </w:p>
    <w:p w14:paraId="181BB2D3" w14:textId="77777777" w:rsidR="007041B9" w:rsidRDefault="007041B9">
      <w:pPr>
        <w:rPr>
          <w:rFonts w:ascii="Arial" w:hAnsi="Arial" w:cs="Arial"/>
          <w:b/>
          <w:bCs/>
          <w:sz w:val="48"/>
          <w:szCs w:val="48"/>
          <w:u w:val="single"/>
        </w:rPr>
      </w:pPr>
    </w:p>
    <w:p w14:paraId="3D88C3C3" w14:textId="77777777" w:rsidR="007041B9" w:rsidRDefault="007041B9">
      <w:pPr>
        <w:rPr>
          <w:rFonts w:ascii="Arial" w:hAnsi="Arial" w:cs="Arial"/>
          <w:b/>
          <w:bCs/>
          <w:sz w:val="48"/>
          <w:szCs w:val="48"/>
          <w:u w:val="single"/>
        </w:rPr>
      </w:pPr>
    </w:p>
    <w:p w14:paraId="7E1482A3" w14:textId="77777777" w:rsidR="007041B9" w:rsidRDefault="007041B9">
      <w:pPr>
        <w:rPr>
          <w:rFonts w:ascii="Arial" w:hAnsi="Arial" w:cs="Arial"/>
          <w:b/>
          <w:bCs/>
          <w:sz w:val="48"/>
          <w:szCs w:val="48"/>
          <w:u w:val="single"/>
        </w:rPr>
      </w:pPr>
    </w:p>
    <w:p w14:paraId="7695020D" w14:textId="77777777" w:rsidR="006313C4" w:rsidRDefault="006313C4" w:rsidP="00C24436">
      <w:pPr>
        <w:spacing w:line="360" w:lineRule="auto"/>
        <w:jc w:val="both"/>
        <w:rPr>
          <w:rFonts w:ascii="Arial" w:hAnsi="Arial" w:cs="Arial"/>
          <w:b/>
          <w:bCs/>
          <w:sz w:val="48"/>
          <w:szCs w:val="48"/>
          <w:u w:val="single"/>
        </w:rPr>
      </w:pPr>
    </w:p>
    <w:p w14:paraId="53C8D7BF" w14:textId="422DEAC9" w:rsidR="004B4CC1" w:rsidRPr="009848C5" w:rsidRDefault="004B4CC1" w:rsidP="00C24436">
      <w:pPr>
        <w:spacing w:line="360" w:lineRule="auto"/>
        <w:jc w:val="both"/>
        <w:rPr>
          <w:rFonts w:ascii="Arial" w:hAnsi="Arial" w:cs="Arial"/>
          <w:b/>
          <w:bCs/>
          <w:sz w:val="28"/>
          <w:szCs w:val="28"/>
          <w:u w:val="single"/>
        </w:rPr>
      </w:pPr>
      <w:r w:rsidRPr="009848C5">
        <w:rPr>
          <w:rFonts w:ascii="Arial" w:hAnsi="Arial" w:cs="Arial"/>
          <w:b/>
          <w:bCs/>
          <w:sz w:val="28"/>
          <w:szCs w:val="28"/>
          <w:u w:val="single"/>
        </w:rPr>
        <w:t>1.0 INTRODUCTION</w:t>
      </w:r>
    </w:p>
    <w:p w14:paraId="5B09AA67" w14:textId="77777777" w:rsidR="004B4CC1" w:rsidRPr="00C24436" w:rsidRDefault="004B4CC1" w:rsidP="00C24436">
      <w:pPr>
        <w:spacing w:line="360" w:lineRule="auto"/>
        <w:jc w:val="both"/>
        <w:rPr>
          <w:rFonts w:ascii="Arial" w:hAnsi="Arial" w:cs="Arial"/>
        </w:rPr>
      </w:pPr>
      <w:r w:rsidRPr="00C24436">
        <w:rPr>
          <w:rFonts w:ascii="Arial" w:hAnsi="Arial" w:cs="Arial"/>
        </w:rPr>
        <w:t>The 2030 Agenda for Sustainable Development, agreed by all 193 United Nations member states in 2015, sets out 17 interconnected goals designed to address shared global challenges from poverty to climate change (United Nations, 2023). Unlike previous international frameworks, it explicitly recognises that progress on health cannot be separated from progress on fairness, opportunity and living standards. This report provides a critical analysis of two foundational goals: SDG 3: Good Health and Wellbeing, which aims to ensure healthy lives and promote wellbeing for people of all ages, and SDG 10: Reduced Inequalities, which seeks to narrow gaps within and between countries. I evaluate how these goals operate across global, national and local levels, focusing on UK policy and delivery in Birmingham, and argue that we cannot achieve fair, sustainable health outcomes without tackling inequality as a core priority.</w:t>
      </w:r>
    </w:p>
    <w:p w14:paraId="1CDB2077" w14:textId="77777777" w:rsidR="004B4CC1" w:rsidRPr="00C24436" w:rsidRDefault="004B4CC1" w:rsidP="00C24436">
      <w:pPr>
        <w:spacing w:line="360" w:lineRule="auto"/>
        <w:jc w:val="both"/>
        <w:rPr>
          <w:rFonts w:ascii="Arial" w:hAnsi="Arial" w:cs="Arial"/>
        </w:rPr>
      </w:pPr>
      <w:r w:rsidRPr="00C24436">
        <w:rPr>
          <w:rFonts w:ascii="Arial" w:hAnsi="Arial" w:cs="Arial"/>
        </w:rPr>
        <w:t>To assess how effectively interventions influence health choices, I apply two leading behaviour change frameworks: the Health Belief Model (Rosenstock, 1966), which centres on individual awareness and motivation, and Social Cognitive Theory (Bandura, 1986), which highlights how personal action is shaped by social norms, physical environments and confidence to change. I also draw on the Social Determinants of Health framework (Marmot et al., 2020) to critique policies that focus only on individual behaviour while overlooking wider structural barriers. Evidence is drawn from a balanced mix of peer</w:t>
      </w:r>
      <w:r w:rsidRPr="00C24436">
        <w:rPr>
          <w:rFonts w:ascii="Arial" w:hAnsi="Arial" w:cs="Arial"/>
        </w:rPr>
        <w:noBreakHyphen/>
        <w:t>reviewed journal articles, academic textbooks, independent research institute reports and official policy documents, rather than relying only on web</w:t>
      </w:r>
      <w:r w:rsidRPr="00C24436">
        <w:rPr>
          <w:rFonts w:ascii="Arial" w:hAnsi="Arial" w:cs="Arial"/>
        </w:rPr>
        <w:noBreakHyphen/>
        <w:t>based information. The report includes data, figures and detailed discussion of behavioural impacts, before setting out evidence</w:t>
      </w:r>
      <w:r w:rsidRPr="00C24436">
        <w:rPr>
          <w:rFonts w:ascii="Arial" w:hAnsi="Arial" w:cs="Arial"/>
        </w:rPr>
        <w:noBreakHyphen/>
        <w:t>based recommendations.</w:t>
      </w:r>
    </w:p>
    <w:p w14:paraId="1D79300D" w14:textId="77777777" w:rsidR="004B4CC1" w:rsidRPr="00C24436" w:rsidRDefault="00000000" w:rsidP="00C24436">
      <w:pPr>
        <w:spacing w:line="360" w:lineRule="auto"/>
        <w:jc w:val="both"/>
        <w:rPr>
          <w:rFonts w:ascii="Arial" w:hAnsi="Arial" w:cs="Arial"/>
        </w:rPr>
      </w:pPr>
      <w:r>
        <w:rPr>
          <w:rFonts w:ascii="Arial" w:hAnsi="Arial" w:cs="Arial"/>
        </w:rPr>
        <w:pict w14:anchorId="42D568C8">
          <v:rect id="_x0000_i1025" style="width:0;height:1.5pt" o:hrstd="t" o:hrnoshade="t" o:hr="t" fillcolor="black" stroked="f"/>
        </w:pict>
      </w:r>
    </w:p>
    <w:p w14:paraId="4D352CC0" w14:textId="77777777" w:rsidR="004B4CC1" w:rsidRPr="009848C5" w:rsidRDefault="004B4CC1" w:rsidP="00C24436">
      <w:pPr>
        <w:spacing w:line="360" w:lineRule="auto"/>
        <w:jc w:val="both"/>
        <w:rPr>
          <w:rFonts w:ascii="Arial" w:hAnsi="Arial" w:cs="Arial"/>
          <w:b/>
          <w:bCs/>
          <w:sz w:val="28"/>
          <w:szCs w:val="28"/>
          <w:u w:val="single"/>
        </w:rPr>
      </w:pPr>
      <w:r w:rsidRPr="009848C5">
        <w:rPr>
          <w:rFonts w:ascii="Arial" w:hAnsi="Arial" w:cs="Arial"/>
          <w:b/>
          <w:bCs/>
          <w:sz w:val="28"/>
          <w:szCs w:val="28"/>
          <w:u w:val="single"/>
        </w:rPr>
        <w:t>2.0 SDG 3: GOOD HEALTH AND WELLBEING</w:t>
      </w:r>
    </w:p>
    <w:p w14:paraId="0C02AD47" w14:textId="77777777" w:rsidR="004B4CC1" w:rsidRPr="009848C5" w:rsidRDefault="004B4CC1" w:rsidP="00C24436">
      <w:pPr>
        <w:spacing w:line="360" w:lineRule="auto"/>
        <w:jc w:val="both"/>
        <w:rPr>
          <w:rFonts w:ascii="Arial" w:hAnsi="Arial" w:cs="Arial"/>
          <w:b/>
          <w:bCs/>
          <w:sz w:val="24"/>
          <w:szCs w:val="24"/>
          <w:u w:val="single"/>
        </w:rPr>
      </w:pPr>
      <w:r w:rsidRPr="009848C5">
        <w:rPr>
          <w:rFonts w:ascii="Arial" w:hAnsi="Arial" w:cs="Arial"/>
          <w:b/>
          <w:bCs/>
          <w:sz w:val="24"/>
          <w:szCs w:val="24"/>
          <w:u w:val="single"/>
        </w:rPr>
        <w:t>2.1 Global context and progress</w:t>
      </w:r>
    </w:p>
    <w:p w14:paraId="5DBE2301" w14:textId="77777777" w:rsidR="004B4CC1" w:rsidRDefault="004B4CC1" w:rsidP="00C24436">
      <w:pPr>
        <w:spacing w:line="360" w:lineRule="auto"/>
        <w:jc w:val="both"/>
        <w:rPr>
          <w:rFonts w:ascii="Arial" w:hAnsi="Arial" w:cs="Arial"/>
        </w:rPr>
      </w:pPr>
      <w:r w:rsidRPr="00C24436">
        <w:rPr>
          <w:rFonts w:ascii="Arial" w:hAnsi="Arial" w:cs="Arial"/>
        </w:rPr>
        <w:t>SDG 3 sets out 13 specific targets, including reducing premature mortality from non</w:t>
      </w:r>
      <w:r w:rsidRPr="00C24436">
        <w:rPr>
          <w:rFonts w:ascii="Arial" w:hAnsi="Arial" w:cs="Arial"/>
        </w:rPr>
        <w:noBreakHyphen/>
        <w:t>communicable diseases (NCDs) such as heart disease and diabetes by one</w:t>
      </w:r>
      <w:r w:rsidRPr="00C24436">
        <w:rPr>
          <w:rFonts w:ascii="Arial" w:hAnsi="Arial" w:cs="Arial"/>
        </w:rPr>
        <w:noBreakHyphen/>
        <w:t xml:space="preserve">third, ending preventable deaths of children under five, achieving universal health coverage, and improving mental health support (World Health Organization, 2023). Global delivery is led by the WHO’s </w:t>
      </w:r>
      <w:r w:rsidRPr="00C24436">
        <w:rPr>
          <w:rFonts w:ascii="Arial" w:hAnsi="Arial" w:cs="Arial"/>
          <w:i/>
          <w:iCs/>
        </w:rPr>
        <w:t>Global Action Plan for Healthy Lives and Well</w:t>
      </w:r>
      <w:r w:rsidRPr="00C24436">
        <w:rPr>
          <w:rFonts w:ascii="Arial" w:hAnsi="Arial" w:cs="Arial"/>
          <w:i/>
          <w:iCs/>
        </w:rPr>
        <w:noBreakHyphen/>
        <w:t>Being for All</w:t>
      </w:r>
      <w:r w:rsidRPr="00C24436">
        <w:rPr>
          <w:rFonts w:ascii="Arial" w:hAnsi="Arial" w:cs="Arial"/>
        </w:rPr>
        <w:t xml:space="preserve">, which coordinates work across </w:t>
      </w:r>
      <w:r w:rsidRPr="00C24436">
        <w:rPr>
          <w:rFonts w:ascii="Arial" w:hAnsi="Arial" w:cs="Arial"/>
        </w:rPr>
        <w:lastRenderedPageBreak/>
        <w:t>UN agencies and national governments, alongside a dedicated framework for NCD prevention running to 2030.</w:t>
      </w:r>
    </w:p>
    <w:p w14:paraId="070DE5B1" w14:textId="77777777" w:rsidR="00621A61" w:rsidRPr="00C24436" w:rsidRDefault="00621A61" w:rsidP="00C24436">
      <w:pPr>
        <w:spacing w:line="360" w:lineRule="auto"/>
        <w:jc w:val="both"/>
        <w:rPr>
          <w:rFonts w:ascii="Arial" w:hAnsi="Arial" w:cs="Arial"/>
        </w:rPr>
      </w:pPr>
    </w:p>
    <w:p w14:paraId="6251CFA1" w14:textId="77777777" w:rsidR="004B4CC1" w:rsidRPr="00C24436" w:rsidRDefault="004B4CC1" w:rsidP="00C24436">
      <w:pPr>
        <w:spacing w:line="360" w:lineRule="auto"/>
        <w:jc w:val="both"/>
        <w:rPr>
          <w:rFonts w:ascii="Arial" w:hAnsi="Arial" w:cs="Arial"/>
        </w:rPr>
      </w:pPr>
      <w:r w:rsidRPr="00621A61">
        <w:rPr>
          <w:rFonts w:ascii="Arial" w:hAnsi="Arial" w:cs="Arial"/>
          <w:b/>
          <w:bCs/>
          <w:u w:val="single"/>
        </w:rPr>
        <w:t>Figure 1:</w:t>
      </w:r>
      <w:r w:rsidRPr="00C24436">
        <w:rPr>
          <w:rFonts w:ascii="Arial" w:hAnsi="Arial" w:cs="Arial"/>
        </w:rPr>
        <w:t xml:space="preserve"> Progress towards SDG 3 – reduction in premature NCD mortality, 2015–2023</w:t>
      </w:r>
    </w:p>
    <w:p w14:paraId="77972D66" w14:textId="77777777" w:rsidR="004B4CC1" w:rsidRPr="00C24436" w:rsidRDefault="004B4CC1" w:rsidP="00C24436">
      <w:pPr>
        <w:spacing w:line="360" w:lineRule="auto"/>
        <w:jc w:val="both"/>
        <w:rPr>
          <w:rFonts w:ascii="Arial" w:hAnsi="Arial" w:cs="Arial"/>
        </w:rPr>
      </w:pPr>
      <w:r w:rsidRPr="00621A61">
        <w:rPr>
          <w:rFonts w:ascii="Arial" w:hAnsi="Arial" w:cs="Arial"/>
          <w:b/>
          <w:bCs/>
          <w:sz w:val="24"/>
          <w:szCs w:val="24"/>
          <w:u w:val="single"/>
        </w:rPr>
        <w:t>Source:</w:t>
      </w:r>
      <w:r w:rsidRPr="00C24436">
        <w:rPr>
          <w:rFonts w:ascii="Arial" w:hAnsi="Arial" w:cs="Arial"/>
          <w:i/>
          <w:iCs/>
        </w:rPr>
        <w:t xml:space="preserve"> WHO, 2023, p.12</w:t>
      </w:r>
    </w:p>
    <w:p w14:paraId="7DB5A10E" w14:textId="77777777" w:rsidR="004B4CC1" w:rsidRPr="00C24436" w:rsidRDefault="004B4CC1" w:rsidP="00C24436">
      <w:pPr>
        <w:spacing w:line="360" w:lineRule="auto"/>
        <w:jc w:val="both"/>
        <w:rPr>
          <w:rFonts w:ascii="Arial" w:hAnsi="Arial" w:cs="Arial"/>
        </w:rPr>
      </w:pPr>
      <w:r w:rsidRPr="00621A61">
        <w:rPr>
          <w:rFonts w:ascii="Arial" w:hAnsi="Arial" w:cs="Arial"/>
          <w:b/>
          <w:bCs/>
          <w:sz w:val="24"/>
          <w:szCs w:val="24"/>
          <w:u w:val="single"/>
        </w:rPr>
        <w:t>Caption:</w:t>
      </w:r>
      <w:r w:rsidRPr="00C24436">
        <w:rPr>
          <w:rFonts w:ascii="Arial" w:hAnsi="Arial" w:cs="Arial"/>
          <w:i/>
          <w:iCs/>
        </w:rPr>
        <w:t xml:space="preserve"> Progress slowed sharply after 2019, with the COVID</w:t>
      </w:r>
      <w:r w:rsidRPr="00C24436">
        <w:rPr>
          <w:rFonts w:ascii="Arial" w:hAnsi="Arial" w:cs="Arial"/>
          <w:i/>
          <w:iCs/>
        </w:rPr>
        <w:noBreakHyphen/>
        <w:t>19 pandemic reversing earlier gains in low</w:t>
      </w:r>
      <w:r w:rsidRPr="00C24436">
        <w:rPr>
          <w:rFonts w:ascii="Arial" w:hAnsi="Arial" w:cs="Arial"/>
          <w:i/>
          <w:iCs/>
        </w:rPr>
        <w:noBreakHyphen/>
        <w:t xml:space="preserve"> and middle</w:t>
      </w:r>
      <w:r w:rsidRPr="00C24436">
        <w:rPr>
          <w:rFonts w:ascii="Arial" w:hAnsi="Arial" w:cs="Arial"/>
          <w:i/>
          <w:iCs/>
        </w:rPr>
        <w:noBreakHyphen/>
        <w:t>income countries.</w:t>
      </w:r>
    </w:p>
    <w:p w14:paraId="3BF091CB" w14:textId="77777777" w:rsidR="004B4CC1" w:rsidRPr="00C24436" w:rsidRDefault="004B4CC1" w:rsidP="00C24436">
      <w:pPr>
        <w:spacing w:line="360" w:lineRule="auto"/>
        <w:jc w:val="both"/>
        <w:rPr>
          <w:rFonts w:ascii="Arial" w:hAnsi="Arial" w:cs="Arial"/>
        </w:rPr>
      </w:pPr>
      <w:r w:rsidRPr="00C24436">
        <w:rPr>
          <w:rFonts w:ascii="Arial" w:hAnsi="Arial" w:cs="Arial"/>
        </w:rPr>
        <w:t xml:space="preserve">While these frameworks have raised global awareness, implementation remains inconsistent. A systematic review by Costa et al. (2022) of 117 national health plans found that only 22% of countries have fully integrated prevention into routine primary care, with most spending over 80% of health budgets on treatment rather than stopping illness before it starts. </w:t>
      </w:r>
      <w:proofErr w:type="spellStart"/>
      <w:r w:rsidRPr="00C24436">
        <w:rPr>
          <w:rFonts w:ascii="Arial" w:hAnsi="Arial" w:cs="Arial"/>
        </w:rPr>
        <w:t>Labonté</w:t>
      </w:r>
      <w:proofErr w:type="spellEnd"/>
      <w:r w:rsidRPr="00C24436">
        <w:rPr>
          <w:rFonts w:ascii="Arial" w:hAnsi="Arial" w:cs="Arial"/>
        </w:rPr>
        <w:t xml:space="preserve"> and Ruckert (2019) argue that global strategies often overlook root causes such as international trade rules that promote cheap, ultra</w:t>
      </w:r>
      <w:r w:rsidRPr="00C24436">
        <w:rPr>
          <w:rFonts w:ascii="Arial" w:hAnsi="Arial" w:cs="Arial"/>
        </w:rPr>
        <w:noBreakHyphen/>
        <w:t>processed food, or lack of investment in clean housing and safe public space. Bambra et al. (2021) add that even when countries meet national targets, the benefits rarely reach the most deprived communities, widening existing health gaps. For example, while global smoking rates have fallen by 9% since 2015, this drop is twice as large in high</w:t>
      </w:r>
      <w:r w:rsidRPr="00C24436">
        <w:rPr>
          <w:rFonts w:ascii="Arial" w:hAnsi="Arial" w:cs="Arial"/>
        </w:rPr>
        <w:noBreakHyphen/>
        <w:t>income nations as in low</w:t>
      </w:r>
      <w:r w:rsidRPr="00C24436">
        <w:rPr>
          <w:rFonts w:ascii="Arial" w:hAnsi="Arial" w:cs="Arial"/>
        </w:rPr>
        <w:noBreakHyphen/>
        <w:t>income regions, showing how broad targets can mask deep unfairness in who benefits from progress (WHO, 2023).</w:t>
      </w:r>
    </w:p>
    <w:p w14:paraId="1715EE64" w14:textId="77777777" w:rsidR="004B4CC1" w:rsidRPr="00954F14" w:rsidRDefault="004B4CC1" w:rsidP="00C24436">
      <w:pPr>
        <w:spacing w:line="360" w:lineRule="auto"/>
        <w:jc w:val="both"/>
        <w:rPr>
          <w:rFonts w:ascii="Arial" w:hAnsi="Arial" w:cs="Arial"/>
          <w:b/>
          <w:bCs/>
          <w:sz w:val="24"/>
          <w:szCs w:val="24"/>
          <w:u w:val="single"/>
        </w:rPr>
      </w:pPr>
      <w:r w:rsidRPr="00954F14">
        <w:rPr>
          <w:rFonts w:ascii="Arial" w:hAnsi="Arial" w:cs="Arial"/>
          <w:b/>
          <w:bCs/>
          <w:sz w:val="24"/>
          <w:szCs w:val="24"/>
          <w:u w:val="single"/>
        </w:rPr>
        <w:t>2.2 National policy and behavioural impact</w:t>
      </w:r>
    </w:p>
    <w:p w14:paraId="3F673D68" w14:textId="77777777" w:rsidR="004B4CC1" w:rsidRPr="00C24436" w:rsidRDefault="004B4CC1" w:rsidP="00C24436">
      <w:pPr>
        <w:spacing w:line="360" w:lineRule="auto"/>
        <w:jc w:val="both"/>
        <w:rPr>
          <w:rFonts w:ascii="Arial" w:hAnsi="Arial" w:cs="Arial"/>
        </w:rPr>
      </w:pPr>
      <w:r w:rsidRPr="00C24436">
        <w:rPr>
          <w:rFonts w:ascii="Arial" w:hAnsi="Arial" w:cs="Arial"/>
        </w:rPr>
        <w:t>In England, SDG 3 is advanced through the NHS Long Term Plan (Department of Health and Social Care, 2019), which commits to shifting focus from crisis treatment to long</w:t>
      </w:r>
      <w:r w:rsidRPr="00C24436">
        <w:rPr>
          <w:rFonts w:ascii="Arial" w:hAnsi="Arial" w:cs="Arial"/>
        </w:rPr>
        <w:noBreakHyphen/>
        <w:t>term prevention and reducing health disparities. Two major population</w:t>
      </w:r>
      <w:r w:rsidRPr="00C24436">
        <w:rPr>
          <w:rFonts w:ascii="Arial" w:hAnsi="Arial" w:cs="Arial"/>
        </w:rPr>
        <w:noBreakHyphen/>
        <w:t>level programmes are the Better Health Campaign and the NHS Health Check Programme, both designed to encourage healthier behaviours.</w:t>
      </w:r>
    </w:p>
    <w:p w14:paraId="76AB98C4" w14:textId="03A72C62" w:rsidR="004B4CC1" w:rsidRPr="00C24436" w:rsidRDefault="004B4CC1" w:rsidP="00C24436">
      <w:pPr>
        <w:spacing w:line="360" w:lineRule="auto"/>
        <w:jc w:val="both"/>
        <w:rPr>
          <w:rFonts w:ascii="Arial" w:hAnsi="Arial" w:cs="Arial"/>
        </w:rPr>
      </w:pPr>
      <w:r w:rsidRPr="00C24436">
        <w:rPr>
          <w:rFonts w:ascii="Arial" w:hAnsi="Arial" w:cs="Arial"/>
        </w:rPr>
        <w:t>The Better Health Campaign uses television, social media and local advertising to raise awareness of obesity, smoking and physical inactivity. It is explicitly based on the Health Belief Model: the idea that people change behaviour when they understand their personal risk, see clear benefits to acting, and believe they can overcome barriers (Rosenstock, 1966). Official data shows 78% of UK adults recognise the campaign (Public Health England, 2022), but peer</w:t>
      </w:r>
      <w:r w:rsidRPr="00C24436">
        <w:rPr>
          <w:rFonts w:ascii="Arial" w:hAnsi="Arial" w:cs="Arial"/>
        </w:rPr>
        <w:noBreakHyphen/>
        <w:t xml:space="preserve">reviewed analysis by Robson et al. (2023) found sustained behaviour change was 12% lower in the most deprived areas compared to the most affluent. This exposes a key limitation of the model: it assumes everyone has equal resources to act on advice, ignoring barriers like higher healthy food costs, irregular shift work, or lack of safe places to walk or exercise. Many </w:t>
      </w:r>
      <w:r w:rsidRPr="00C24436">
        <w:rPr>
          <w:rFonts w:ascii="Arial" w:hAnsi="Arial" w:cs="Arial"/>
        </w:rPr>
        <w:lastRenderedPageBreak/>
        <w:t>people in low</w:t>
      </w:r>
      <w:r w:rsidRPr="00C24436">
        <w:rPr>
          <w:rFonts w:ascii="Arial" w:hAnsi="Arial" w:cs="Arial"/>
        </w:rPr>
        <w:noBreakHyphen/>
        <w:t xml:space="preserve">income groups already know the risks of poor diet or </w:t>
      </w:r>
      <w:r w:rsidR="00010394" w:rsidRPr="00C24436">
        <w:rPr>
          <w:rFonts w:ascii="Arial" w:hAnsi="Arial" w:cs="Arial"/>
        </w:rPr>
        <w:t>inactivity but</w:t>
      </w:r>
      <w:r w:rsidRPr="00C24436">
        <w:rPr>
          <w:rFonts w:ascii="Arial" w:hAnsi="Arial" w:cs="Arial"/>
        </w:rPr>
        <w:t xml:space="preserve"> simply cannot afford or access the options promoted in national campaigns.</w:t>
      </w:r>
    </w:p>
    <w:p w14:paraId="30109D2D" w14:textId="77777777" w:rsidR="004B4CC1" w:rsidRPr="00C24436" w:rsidRDefault="004B4CC1" w:rsidP="00C24436">
      <w:pPr>
        <w:spacing w:line="360" w:lineRule="auto"/>
        <w:jc w:val="both"/>
        <w:rPr>
          <w:rFonts w:ascii="Arial" w:hAnsi="Arial" w:cs="Arial"/>
        </w:rPr>
      </w:pPr>
      <w:r w:rsidRPr="00C24436">
        <w:rPr>
          <w:rFonts w:ascii="Arial" w:hAnsi="Arial" w:cs="Arial"/>
        </w:rPr>
        <w:t>Social Cognitive Theory (Bandura, 1986) offers a more complete explanation: people need confidence, supportive environments and visible examples of change as much as information. Povey et al. (2022) reviewed 45 public health campaigns and found that those combining advice with practical support – such as free leisure access or subsidised fruit and vegetables – increased physical activity by 34%, compared to just 11% for information</w:t>
      </w:r>
      <w:r w:rsidRPr="00C24436">
        <w:rPr>
          <w:rFonts w:ascii="Arial" w:hAnsi="Arial" w:cs="Arial"/>
        </w:rPr>
        <w:noBreakHyphen/>
        <w:t>only campaigns. This shows national messaging would be far more effective if paired with real</w:t>
      </w:r>
      <w:r w:rsidRPr="00C24436">
        <w:rPr>
          <w:rFonts w:ascii="Arial" w:hAnsi="Arial" w:cs="Arial"/>
        </w:rPr>
        <w:noBreakHyphen/>
        <w:t>world help that meets people where they are.</w:t>
      </w:r>
    </w:p>
    <w:p w14:paraId="086A9880" w14:textId="77777777" w:rsidR="004B4CC1" w:rsidRPr="00C24436" w:rsidRDefault="004B4CC1" w:rsidP="00C24436">
      <w:pPr>
        <w:spacing w:line="360" w:lineRule="auto"/>
        <w:jc w:val="both"/>
        <w:rPr>
          <w:rFonts w:ascii="Arial" w:hAnsi="Arial" w:cs="Arial"/>
        </w:rPr>
      </w:pPr>
      <w:r w:rsidRPr="00C24436">
        <w:rPr>
          <w:rFonts w:ascii="Arial" w:hAnsi="Arial" w:cs="Arial"/>
        </w:rPr>
        <w:t>The NHS Health Check Programme offers free cardiovascular risk assessments for all adults aged 40–74, covering blood pressure, cholesterol and lifestyle advice. Uptake varies significantly by area, as shown in Table 1.</w:t>
      </w:r>
    </w:p>
    <w:p w14:paraId="7C690F1C" w14:textId="77777777" w:rsidR="004B4CC1" w:rsidRPr="00C24436" w:rsidRDefault="004B4CC1" w:rsidP="00C24436">
      <w:pPr>
        <w:spacing w:line="360" w:lineRule="auto"/>
        <w:jc w:val="both"/>
        <w:rPr>
          <w:rFonts w:ascii="Arial" w:hAnsi="Arial" w:cs="Arial"/>
        </w:rPr>
      </w:pPr>
      <w:r w:rsidRPr="00A62569">
        <w:rPr>
          <w:rFonts w:ascii="Arial" w:hAnsi="Arial" w:cs="Arial"/>
          <w:b/>
          <w:bCs/>
          <w:sz w:val="24"/>
          <w:szCs w:val="24"/>
          <w:u w:val="single"/>
        </w:rPr>
        <w:t>Table 1:</w:t>
      </w:r>
      <w:r w:rsidRPr="00C24436">
        <w:rPr>
          <w:rFonts w:ascii="Arial" w:hAnsi="Arial" w:cs="Arial"/>
        </w:rPr>
        <w:t xml:space="preserve"> NHS Health Check uptake by deprivation quintile, England 2022–2023</w:t>
      </w:r>
    </w:p>
    <w:p w14:paraId="6575903E" w14:textId="77777777" w:rsidR="004B4CC1" w:rsidRPr="00A62569" w:rsidRDefault="004B4CC1" w:rsidP="00C24436">
      <w:pPr>
        <w:spacing w:line="360" w:lineRule="auto"/>
        <w:jc w:val="both"/>
        <w:rPr>
          <w:rFonts w:ascii="Arial" w:hAnsi="Arial" w:cs="Arial"/>
          <w:b/>
          <w:bCs/>
          <w:sz w:val="24"/>
          <w:szCs w:val="24"/>
          <w:u w:val="single"/>
        </w:rPr>
      </w:pPr>
      <w:r w:rsidRPr="00A62569">
        <w:rPr>
          <w:rFonts w:ascii="Arial" w:hAnsi="Arial" w:cs="Arial"/>
          <w:b/>
          <w:bCs/>
          <w:sz w:val="24"/>
          <w:szCs w:val="24"/>
          <w:u w:val="single"/>
        </w:rPr>
        <w:t>Table</w:t>
      </w:r>
    </w:p>
    <w:tbl>
      <w:tblPr>
        <w:tblW w:w="0" w:type="auto"/>
        <w:tblCellSpacing w:w="15" w:type="dxa"/>
        <w:tblCellMar>
          <w:left w:w="0" w:type="dxa"/>
          <w:right w:w="0" w:type="dxa"/>
        </w:tblCellMar>
        <w:tblLook w:val="04A0" w:firstRow="1" w:lastRow="0" w:firstColumn="1" w:lastColumn="0" w:noHBand="0" w:noVBand="1"/>
      </w:tblPr>
      <w:tblGrid>
        <w:gridCol w:w="1977"/>
        <w:gridCol w:w="1182"/>
      </w:tblGrid>
      <w:tr w:rsidR="004B4CC1" w:rsidRPr="00C24436" w14:paraId="5502872F" w14:textId="77777777" w:rsidTr="004242C9">
        <w:trPr>
          <w:tblHeader/>
          <w:tblCellSpacing w:w="15" w:type="dxa"/>
        </w:trPr>
        <w:tc>
          <w:tcPr>
            <w:tcW w:w="0" w:type="auto"/>
            <w:vAlign w:val="center"/>
            <w:hideMark/>
          </w:tcPr>
          <w:p w14:paraId="6A2B8A17" w14:textId="77777777" w:rsidR="004B4CC1" w:rsidRPr="00C24436" w:rsidRDefault="004B4CC1" w:rsidP="00C24436">
            <w:pPr>
              <w:spacing w:line="360" w:lineRule="auto"/>
              <w:jc w:val="both"/>
              <w:rPr>
                <w:rFonts w:ascii="Arial" w:hAnsi="Arial" w:cs="Arial"/>
                <w:b/>
                <w:bCs/>
              </w:rPr>
            </w:pPr>
            <w:r w:rsidRPr="00C24436">
              <w:rPr>
                <w:rFonts w:ascii="Arial" w:hAnsi="Arial" w:cs="Arial"/>
                <w:b/>
                <w:bCs/>
              </w:rPr>
              <w:t>Deprivation Group</w:t>
            </w:r>
          </w:p>
        </w:tc>
        <w:tc>
          <w:tcPr>
            <w:tcW w:w="0" w:type="auto"/>
            <w:vAlign w:val="center"/>
            <w:hideMark/>
          </w:tcPr>
          <w:p w14:paraId="235D7FF4" w14:textId="77777777" w:rsidR="004B4CC1" w:rsidRPr="00C24436" w:rsidRDefault="004B4CC1" w:rsidP="00C24436">
            <w:pPr>
              <w:spacing w:line="360" w:lineRule="auto"/>
              <w:jc w:val="both"/>
              <w:rPr>
                <w:rFonts w:ascii="Arial" w:hAnsi="Arial" w:cs="Arial"/>
                <w:b/>
                <w:bCs/>
              </w:rPr>
            </w:pPr>
            <w:r w:rsidRPr="00C24436">
              <w:rPr>
                <w:rFonts w:ascii="Arial" w:hAnsi="Arial" w:cs="Arial"/>
                <w:b/>
                <w:bCs/>
              </w:rPr>
              <w:t>Uptake (%)</w:t>
            </w:r>
          </w:p>
        </w:tc>
      </w:tr>
      <w:tr w:rsidR="004B4CC1" w:rsidRPr="00C24436" w14:paraId="4918C5F8" w14:textId="77777777" w:rsidTr="004242C9">
        <w:trPr>
          <w:tblCellSpacing w:w="15" w:type="dxa"/>
        </w:trPr>
        <w:tc>
          <w:tcPr>
            <w:tcW w:w="0" w:type="auto"/>
            <w:vAlign w:val="center"/>
            <w:hideMark/>
          </w:tcPr>
          <w:p w14:paraId="5D090438" w14:textId="77777777" w:rsidR="004B4CC1" w:rsidRPr="00C24436" w:rsidRDefault="004B4CC1" w:rsidP="00C24436">
            <w:pPr>
              <w:spacing w:line="360" w:lineRule="auto"/>
              <w:jc w:val="both"/>
              <w:rPr>
                <w:rFonts w:ascii="Arial" w:hAnsi="Arial" w:cs="Arial"/>
              </w:rPr>
            </w:pPr>
            <w:r w:rsidRPr="00C24436">
              <w:rPr>
                <w:rFonts w:ascii="Arial" w:hAnsi="Arial" w:cs="Arial"/>
              </w:rPr>
              <w:t>Most affluent</w:t>
            </w:r>
          </w:p>
        </w:tc>
        <w:tc>
          <w:tcPr>
            <w:tcW w:w="0" w:type="auto"/>
            <w:vAlign w:val="center"/>
            <w:hideMark/>
          </w:tcPr>
          <w:p w14:paraId="3DF3B2A2" w14:textId="77777777" w:rsidR="004B4CC1" w:rsidRPr="00C24436" w:rsidRDefault="004B4CC1" w:rsidP="00C24436">
            <w:pPr>
              <w:spacing w:line="360" w:lineRule="auto"/>
              <w:jc w:val="both"/>
              <w:rPr>
                <w:rFonts w:ascii="Arial" w:hAnsi="Arial" w:cs="Arial"/>
              </w:rPr>
            </w:pPr>
            <w:r w:rsidRPr="00C24436">
              <w:rPr>
                <w:rFonts w:ascii="Arial" w:hAnsi="Arial" w:cs="Arial"/>
              </w:rPr>
              <w:t>61.2</w:t>
            </w:r>
          </w:p>
        </w:tc>
      </w:tr>
      <w:tr w:rsidR="004B4CC1" w:rsidRPr="00C24436" w14:paraId="2E1EBC49" w14:textId="77777777" w:rsidTr="004242C9">
        <w:trPr>
          <w:tblCellSpacing w:w="15" w:type="dxa"/>
        </w:trPr>
        <w:tc>
          <w:tcPr>
            <w:tcW w:w="0" w:type="auto"/>
            <w:vAlign w:val="center"/>
            <w:hideMark/>
          </w:tcPr>
          <w:p w14:paraId="566FA21E" w14:textId="77777777" w:rsidR="004B4CC1" w:rsidRPr="00C24436" w:rsidRDefault="004B4CC1" w:rsidP="00C24436">
            <w:pPr>
              <w:spacing w:line="360" w:lineRule="auto"/>
              <w:jc w:val="both"/>
              <w:rPr>
                <w:rFonts w:ascii="Arial" w:hAnsi="Arial" w:cs="Arial"/>
              </w:rPr>
            </w:pPr>
            <w:r w:rsidRPr="00C24436">
              <w:rPr>
                <w:rFonts w:ascii="Arial" w:hAnsi="Arial" w:cs="Arial"/>
              </w:rPr>
              <w:t>2</w:t>
            </w:r>
            <w:r w:rsidRPr="00C24436">
              <w:rPr>
                <w:rFonts w:ascii="Arial" w:hAnsi="Arial" w:cs="Arial"/>
                <w:vertAlign w:val="superscript"/>
              </w:rPr>
              <w:t>nd</w:t>
            </w:r>
          </w:p>
        </w:tc>
        <w:tc>
          <w:tcPr>
            <w:tcW w:w="0" w:type="auto"/>
            <w:vAlign w:val="center"/>
            <w:hideMark/>
          </w:tcPr>
          <w:p w14:paraId="13AB4FBD" w14:textId="77777777" w:rsidR="004B4CC1" w:rsidRPr="00C24436" w:rsidRDefault="004B4CC1" w:rsidP="00C24436">
            <w:pPr>
              <w:spacing w:line="360" w:lineRule="auto"/>
              <w:jc w:val="both"/>
              <w:rPr>
                <w:rFonts w:ascii="Arial" w:hAnsi="Arial" w:cs="Arial"/>
              </w:rPr>
            </w:pPr>
            <w:r w:rsidRPr="00C24436">
              <w:rPr>
                <w:rFonts w:ascii="Arial" w:hAnsi="Arial" w:cs="Arial"/>
              </w:rPr>
              <w:t>56.7</w:t>
            </w:r>
          </w:p>
        </w:tc>
      </w:tr>
      <w:tr w:rsidR="004B4CC1" w:rsidRPr="00C24436" w14:paraId="03C859E1" w14:textId="77777777" w:rsidTr="004242C9">
        <w:trPr>
          <w:tblCellSpacing w:w="15" w:type="dxa"/>
        </w:trPr>
        <w:tc>
          <w:tcPr>
            <w:tcW w:w="0" w:type="auto"/>
            <w:vAlign w:val="center"/>
            <w:hideMark/>
          </w:tcPr>
          <w:p w14:paraId="6C29FFF4" w14:textId="77777777" w:rsidR="004B4CC1" w:rsidRPr="00C24436" w:rsidRDefault="004B4CC1" w:rsidP="00C24436">
            <w:pPr>
              <w:spacing w:line="360" w:lineRule="auto"/>
              <w:jc w:val="both"/>
              <w:rPr>
                <w:rFonts w:ascii="Arial" w:hAnsi="Arial" w:cs="Arial"/>
              </w:rPr>
            </w:pPr>
            <w:r w:rsidRPr="00C24436">
              <w:rPr>
                <w:rFonts w:ascii="Arial" w:hAnsi="Arial" w:cs="Arial"/>
              </w:rPr>
              <w:t>3</w:t>
            </w:r>
            <w:r w:rsidRPr="00C24436">
              <w:rPr>
                <w:rFonts w:ascii="Arial" w:hAnsi="Arial" w:cs="Arial"/>
                <w:vertAlign w:val="superscript"/>
              </w:rPr>
              <w:t>rd</w:t>
            </w:r>
          </w:p>
        </w:tc>
        <w:tc>
          <w:tcPr>
            <w:tcW w:w="0" w:type="auto"/>
            <w:vAlign w:val="center"/>
            <w:hideMark/>
          </w:tcPr>
          <w:p w14:paraId="224D1FC4" w14:textId="77777777" w:rsidR="004B4CC1" w:rsidRPr="00C24436" w:rsidRDefault="004B4CC1" w:rsidP="00C24436">
            <w:pPr>
              <w:spacing w:line="360" w:lineRule="auto"/>
              <w:jc w:val="both"/>
              <w:rPr>
                <w:rFonts w:ascii="Arial" w:hAnsi="Arial" w:cs="Arial"/>
              </w:rPr>
            </w:pPr>
            <w:r w:rsidRPr="00C24436">
              <w:rPr>
                <w:rFonts w:ascii="Arial" w:hAnsi="Arial" w:cs="Arial"/>
              </w:rPr>
              <w:t>51.0</w:t>
            </w:r>
          </w:p>
        </w:tc>
      </w:tr>
      <w:tr w:rsidR="004B4CC1" w:rsidRPr="00C24436" w14:paraId="6B22635A" w14:textId="77777777" w:rsidTr="004242C9">
        <w:trPr>
          <w:tblCellSpacing w:w="15" w:type="dxa"/>
        </w:trPr>
        <w:tc>
          <w:tcPr>
            <w:tcW w:w="0" w:type="auto"/>
            <w:vAlign w:val="center"/>
            <w:hideMark/>
          </w:tcPr>
          <w:p w14:paraId="382CBEA4" w14:textId="77777777" w:rsidR="004B4CC1" w:rsidRPr="00C24436" w:rsidRDefault="004B4CC1" w:rsidP="00C24436">
            <w:pPr>
              <w:spacing w:line="360" w:lineRule="auto"/>
              <w:jc w:val="both"/>
              <w:rPr>
                <w:rFonts w:ascii="Arial" w:hAnsi="Arial" w:cs="Arial"/>
              </w:rPr>
            </w:pPr>
            <w:r w:rsidRPr="00C24436">
              <w:rPr>
                <w:rFonts w:ascii="Arial" w:hAnsi="Arial" w:cs="Arial"/>
              </w:rPr>
              <w:t>4</w:t>
            </w:r>
            <w:r w:rsidRPr="00C24436">
              <w:rPr>
                <w:rFonts w:ascii="Arial" w:hAnsi="Arial" w:cs="Arial"/>
                <w:vertAlign w:val="superscript"/>
              </w:rPr>
              <w:t>th</w:t>
            </w:r>
          </w:p>
        </w:tc>
        <w:tc>
          <w:tcPr>
            <w:tcW w:w="0" w:type="auto"/>
            <w:vAlign w:val="center"/>
            <w:hideMark/>
          </w:tcPr>
          <w:p w14:paraId="279A725F" w14:textId="77777777" w:rsidR="004B4CC1" w:rsidRPr="00C24436" w:rsidRDefault="004B4CC1" w:rsidP="00C24436">
            <w:pPr>
              <w:spacing w:line="360" w:lineRule="auto"/>
              <w:jc w:val="both"/>
              <w:rPr>
                <w:rFonts w:ascii="Arial" w:hAnsi="Arial" w:cs="Arial"/>
              </w:rPr>
            </w:pPr>
            <w:r w:rsidRPr="00C24436">
              <w:rPr>
                <w:rFonts w:ascii="Arial" w:hAnsi="Arial" w:cs="Arial"/>
              </w:rPr>
              <w:t>44.3</w:t>
            </w:r>
          </w:p>
        </w:tc>
      </w:tr>
      <w:tr w:rsidR="004B4CC1" w:rsidRPr="00C24436" w14:paraId="67F3AEC2" w14:textId="77777777" w:rsidTr="004242C9">
        <w:trPr>
          <w:tblCellSpacing w:w="15" w:type="dxa"/>
        </w:trPr>
        <w:tc>
          <w:tcPr>
            <w:tcW w:w="0" w:type="auto"/>
            <w:vAlign w:val="center"/>
            <w:hideMark/>
          </w:tcPr>
          <w:p w14:paraId="214A606B" w14:textId="77777777" w:rsidR="004B4CC1" w:rsidRPr="00C24436" w:rsidRDefault="004B4CC1" w:rsidP="00C24436">
            <w:pPr>
              <w:spacing w:line="360" w:lineRule="auto"/>
              <w:jc w:val="both"/>
              <w:rPr>
                <w:rFonts w:ascii="Arial" w:hAnsi="Arial" w:cs="Arial"/>
              </w:rPr>
            </w:pPr>
            <w:r w:rsidRPr="00C24436">
              <w:rPr>
                <w:rFonts w:ascii="Arial" w:hAnsi="Arial" w:cs="Arial"/>
              </w:rPr>
              <w:t>Most deprived</w:t>
            </w:r>
          </w:p>
        </w:tc>
        <w:tc>
          <w:tcPr>
            <w:tcW w:w="0" w:type="auto"/>
            <w:vAlign w:val="center"/>
            <w:hideMark/>
          </w:tcPr>
          <w:p w14:paraId="3D61B1ED" w14:textId="77777777" w:rsidR="004B4CC1" w:rsidRPr="00C24436" w:rsidRDefault="004B4CC1" w:rsidP="00C24436">
            <w:pPr>
              <w:spacing w:line="360" w:lineRule="auto"/>
              <w:jc w:val="both"/>
              <w:rPr>
                <w:rFonts w:ascii="Arial" w:hAnsi="Arial" w:cs="Arial"/>
              </w:rPr>
            </w:pPr>
            <w:r w:rsidRPr="00C24436">
              <w:rPr>
                <w:rFonts w:ascii="Arial" w:hAnsi="Arial" w:cs="Arial"/>
              </w:rPr>
              <w:t>39.1</w:t>
            </w:r>
          </w:p>
        </w:tc>
      </w:tr>
    </w:tbl>
    <w:p w14:paraId="0A842444" w14:textId="77777777" w:rsidR="004B4CC1" w:rsidRPr="00A62569" w:rsidRDefault="004B4CC1" w:rsidP="00C24436">
      <w:pPr>
        <w:spacing w:line="360" w:lineRule="auto"/>
        <w:jc w:val="both"/>
        <w:rPr>
          <w:rFonts w:ascii="Arial" w:hAnsi="Arial" w:cs="Arial"/>
        </w:rPr>
      </w:pPr>
      <w:r w:rsidRPr="00A62569">
        <w:rPr>
          <w:rFonts w:ascii="Arial" w:hAnsi="Arial" w:cs="Arial"/>
          <w:b/>
          <w:bCs/>
          <w:sz w:val="24"/>
          <w:szCs w:val="24"/>
          <w:u w:val="single"/>
        </w:rPr>
        <w:t>Source:</w:t>
      </w:r>
      <w:r w:rsidRPr="00A62569">
        <w:rPr>
          <w:rFonts w:ascii="Arial" w:hAnsi="Arial" w:cs="Arial"/>
        </w:rPr>
        <w:t xml:space="preserve"> Office for Health Improvement and Disparities, 2023, p.9</w:t>
      </w:r>
    </w:p>
    <w:p w14:paraId="0A700BBD" w14:textId="77777777" w:rsidR="004B4CC1" w:rsidRPr="00C24436" w:rsidRDefault="004B4CC1" w:rsidP="00C24436">
      <w:pPr>
        <w:spacing w:line="360" w:lineRule="auto"/>
        <w:jc w:val="both"/>
        <w:rPr>
          <w:rFonts w:ascii="Arial" w:hAnsi="Arial" w:cs="Arial"/>
        </w:rPr>
      </w:pPr>
      <w:r w:rsidRPr="00C24436">
        <w:rPr>
          <w:rFonts w:ascii="Arial" w:hAnsi="Arial" w:cs="Arial"/>
        </w:rPr>
        <w:t>Chang et al. (2024) found uptake was also 27% lower in areas with large ethnic minority populations, due to language barriers, appointments only available during working hours, or mistrust of services built up over years of feeling overlooked. Even when people attend, Cochrane et al. (2023) found clinical benefits were three times smaller in deprived areas, showing access alone does not deliver fair outcomes – people also need consistent follow</w:t>
      </w:r>
      <w:r w:rsidRPr="00C24436">
        <w:rPr>
          <w:rFonts w:ascii="Arial" w:hAnsi="Arial" w:cs="Arial"/>
        </w:rPr>
        <w:noBreakHyphen/>
        <w:t>up and tailored support after their check.</w:t>
      </w:r>
    </w:p>
    <w:p w14:paraId="077F0CA2" w14:textId="77777777" w:rsidR="004B4CC1" w:rsidRPr="00A62569" w:rsidRDefault="004B4CC1" w:rsidP="00C24436">
      <w:pPr>
        <w:spacing w:line="360" w:lineRule="auto"/>
        <w:jc w:val="both"/>
        <w:rPr>
          <w:rFonts w:ascii="Arial" w:hAnsi="Arial" w:cs="Arial"/>
          <w:b/>
          <w:bCs/>
          <w:sz w:val="24"/>
          <w:szCs w:val="24"/>
          <w:u w:val="single"/>
        </w:rPr>
      </w:pPr>
      <w:r w:rsidRPr="00A62569">
        <w:rPr>
          <w:rFonts w:ascii="Arial" w:hAnsi="Arial" w:cs="Arial"/>
          <w:b/>
          <w:bCs/>
          <w:sz w:val="24"/>
          <w:szCs w:val="24"/>
          <w:u w:val="single"/>
        </w:rPr>
        <w:t>2.3 Local delivery in Birmingham</w:t>
      </w:r>
    </w:p>
    <w:p w14:paraId="30145475" w14:textId="77777777" w:rsidR="004B4CC1" w:rsidRPr="00C24436" w:rsidRDefault="004B4CC1" w:rsidP="00C24436">
      <w:pPr>
        <w:spacing w:line="360" w:lineRule="auto"/>
        <w:jc w:val="both"/>
        <w:rPr>
          <w:rFonts w:ascii="Arial" w:hAnsi="Arial" w:cs="Arial"/>
        </w:rPr>
      </w:pPr>
      <w:r w:rsidRPr="00C24436">
        <w:rPr>
          <w:rFonts w:ascii="Arial" w:hAnsi="Arial" w:cs="Arial"/>
        </w:rPr>
        <w:t>Birmingham’s Health and Wellbeing Strategy 2025–2030 aims to narrow the 12</w:t>
      </w:r>
      <w:r w:rsidRPr="00C24436">
        <w:rPr>
          <w:rFonts w:ascii="Arial" w:hAnsi="Arial" w:cs="Arial"/>
        </w:rPr>
        <w:noBreakHyphen/>
        <w:t xml:space="preserve">year gap in healthy life expectancy between the city’s richest and poorest wards. The </w:t>
      </w:r>
      <w:r w:rsidRPr="00C24436">
        <w:rPr>
          <w:rFonts w:ascii="Arial" w:hAnsi="Arial" w:cs="Arial"/>
          <w:i/>
          <w:iCs/>
        </w:rPr>
        <w:t>Birmingham Active</w:t>
      </w:r>
      <w:r w:rsidRPr="00C24436">
        <w:rPr>
          <w:rFonts w:ascii="Arial" w:hAnsi="Arial" w:cs="Arial"/>
        </w:rPr>
        <w:t xml:space="preserve"> </w:t>
      </w:r>
      <w:r w:rsidRPr="00C24436">
        <w:rPr>
          <w:rFonts w:ascii="Arial" w:hAnsi="Arial" w:cs="Arial"/>
        </w:rPr>
        <w:lastRenderedPageBreak/>
        <w:t>programme invests £28 million in new walking routes, park improvements and free community sport sessions in priority neighbourhoods. Ahmed et al. (2023) found participation was 41% higher in wards with improved green spaces, confirming that supportive environments boost the confidence central to Social Cognitive Theory. Local outreach teams also work with faith groups and community centres to share information in languages spoken across the city, helping to build trust where traditional NHS communication has fallen short.</w:t>
      </w:r>
    </w:p>
    <w:p w14:paraId="16F8C96C" w14:textId="77777777" w:rsidR="004B4CC1" w:rsidRPr="00C24436" w:rsidRDefault="004B4CC1" w:rsidP="00C24436">
      <w:pPr>
        <w:spacing w:line="360" w:lineRule="auto"/>
        <w:jc w:val="both"/>
        <w:rPr>
          <w:rFonts w:ascii="Arial" w:hAnsi="Arial" w:cs="Arial"/>
        </w:rPr>
      </w:pPr>
      <w:r w:rsidRPr="00C24436">
        <w:rPr>
          <w:rFonts w:ascii="Arial" w:hAnsi="Arial" w:cs="Arial"/>
        </w:rPr>
        <w:t>However, significant barriers remain. West Midlands Combined Authority (2024) found 62% of residents in deprived areas avoid outdoor activity due to poor air quality or lack of safe, well</w:t>
      </w:r>
      <w:r w:rsidRPr="00C24436">
        <w:rPr>
          <w:rFonts w:ascii="Arial" w:hAnsi="Arial" w:cs="Arial"/>
        </w:rPr>
        <w:noBreakHyphen/>
        <w:t>lit routes after dark. Birmingham City Council (2024) reports 12 central wards still exceed legal nitrogen dioxide limits, showing local action cannot overcome national failures to regulate emissions or invest fairly in infrastructure. This means even motivated people living in these areas cannot safely act on advice to walk or cycle more.</w:t>
      </w:r>
    </w:p>
    <w:p w14:paraId="6154018F" w14:textId="77777777" w:rsidR="004B4CC1" w:rsidRPr="00A62569" w:rsidRDefault="004B4CC1" w:rsidP="00C24436">
      <w:pPr>
        <w:spacing w:line="360" w:lineRule="auto"/>
        <w:jc w:val="both"/>
        <w:rPr>
          <w:rFonts w:ascii="Arial" w:hAnsi="Arial" w:cs="Arial"/>
          <w:b/>
          <w:bCs/>
          <w:sz w:val="24"/>
          <w:szCs w:val="24"/>
          <w:u w:val="single"/>
        </w:rPr>
      </w:pPr>
      <w:r w:rsidRPr="00A62569">
        <w:rPr>
          <w:rFonts w:ascii="Arial" w:hAnsi="Arial" w:cs="Arial"/>
          <w:b/>
          <w:bCs/>
          <w:sz w:val="24"/>
          <w:szCs w:val="24"/>
          <w:u w:val="single"/>
        </w:rPr>
        <w:t>2.4 Recommendations</w:t>
      </w:r>
    </w:p>
    <w:p w14:paraId="6ECCB62B" w14:textId="77777777" w:rsidR="004B4CC1" w:rsidRPr="00C24436" w:rsidRDefault="004B4CC1" w:rsidP="00C24436">
      <w:pPr>
        <w:numPr>
          <w:ilvl w:val="0"/>
          <w:numId w:val="9"/>
        </w:numPr>
        <w:spacing w:line="360" w:lineRule="auto"/>
        <w:jc w:val="both"/>
        <w:rPr>
          <w:rFonts w:ascii="Arial" w:hAnsi="Arial" w:cs="Arial"/>
        </w:rPr>
      </w:pPr>
      <w:r w:rsidRPr="00C24436">
        <w:rPr>
          <w:rFonts w:ascii="Arial" w:hAnsi="Arial" w:cs="Arial"/>
        </w:rPr>
        <w:t>Design interventions around Social Cognitive Theory, combining health information with practical support such as subsidised fresh food and free leisure access (Glanz et al., 2021).</w:t>
      </w:r>
    </w:p>
    <w:p w14:paraId="3E758D0D" w14:textId="77777777" w:rsidR="004B4CC1" w:rsidRPr="00C24436" w:rsidRDefault="004B4CC1" w:rsidP="00C24436">
      <w:pPr>
        <w:numPr>
          <w:ilvl w:val="0"/>
          <w:numId w:val="9"/>
        </w:numPr>
        <w:spacing w:line="360" w:lineRule="auto"/>
        <w:jc w:val="both"/>
        <w:rPr>
          <w:rFonts w:ascii="Arial" w:hAnsi="Arial" w:cs="Arial"/>
        </w:rPr>
      </w:pPr>
      <w:r w:rsidRPr="00C24436">
        <w:rPr>
          <w:rFonts w:ascii="Arial" w:hAnsi="Arial" w:cs="Arial"/>
        </w:rPr>
        <w:t>Deliver Health Checks in community hubs, faith centres and workplaces, with flexible evening and weekend appointments to fit around working patterns (Chang et al., 2024).</w:t>
      </w:r>
    </w:p>
    <w:p w14:paraId="2896B255" w14:textId="4744559D" w:rsidR="004B4CC1" w:rsidRPr="00C24436" w:rsidRDefault="00F41F52" w:rsidP="00C24436">
      <w:pPr>
        <w:spacing w:line="360" w:lineRule="auto"/>
        <w:ind w:left="720" w:hanging="360"/>
        <w:jc w:val="both"/>
        <w:rPr>
          <w:rFonts w:ascii="Arial" w:hAnsi="Arial" w:cs="Arial"/>
        </w:rPr>
      </w:pPr>
      <w:r w:rsidRPr="00C24436">
        <w:rPr>
          <w:rFonts w:ascii="Arial" w:hAnsi="Arial" w:cs="Arial"/>
        </w:rPr>
        <w:t xml:space="preserve">3. </w:t>
      </w:r>
      <w:r w:rsidRPr="00C24436">
        <w:rPr>
          <w:rFonts w:ascii="Arial" w:hAnsi="Arial" w:cs="Arial"/>
        </w:rPr>
        <w:tab/>
        <w:t>Increase the share of NHS revenue funding allocated to prevention to at least 10%. The NHS Confederation (2022) sets out the economic case for this, calculating that every £1 invested in prevention delivers around £14 in long</w:t>
      </w:r>
      <w:r w:rsidRPr="00C24436">
        <w:rPr>
          <w:rFonts w:ascii="Arial" w:hAnsi="Arial" w:cs="Arial"/>
        </w:rPr>
        <w:noBreakHyphen/>
        <w:t>term savings by reducing demand for emergency and hospital care.</w:t>
      </w:r>
      <w:r w:rsidR="00000000">
        <w:rPr>
          <w:rFonts w:ascii="Arial" w:hAnsi="Arial" w:cs="Arial"/>
        </w:rPr>
        <w:pict w14:anchorId="1021A13E">
          <v:rect id="_x0000_i1026" style="width:0;height:1.5pt" o:hrstd="t" o:hrnoshade="t" o:hr="t" fillcolor="black" stroked="f"/>
        </w:pict>
      </w:r>
    </w:p>
    <w:p w14:paraId="38441F00" w14:textId="77777777" w:rsidR="004B4CC1" w:rsidRPr="00A62569" w:rsidRDefault="004B4CC1" w:rsidP="00C24436">
      <w:pPr>
        <w:spacing w:line="360" w:lineRule="auto"/>
        <w:jc w:val="both"/>
        <w:rPr>
          <w:rFonts w:ascii="Arial" w:hAnsi="Arial" w:cs="Arial"/>
          <w:b/>
          <w:bCs/>
          <w:sz w:val="28"/>
          <w:szCs w:val="28"/>
          <w:u w:val="single"/>
        </w:rPr>
      </w:pPr>
      <w:r w:rsidRPr="00A62569">
        <w:rPr>
          <w:rFonts w:ascii="Arial" w:hAnsi="Arial" w:cs="Arial"/>
          <w:b/>
          <w:bCs/>
          <w:sz w:val="28"/>
          <w:szCs w:val="28"/>
          <w:u w:val="single"/>
        </w:rPr>
        <w:t>3.0 SDG 10: REDUCED INEQUALITIES</w:t>
      </w:r>
    </w:p>
    <w:p w14:paraId="28661EB7" w14:textId="77777777" w:rsidR="004B4CC1" w:rsidRPr="00353A08" w:rsidRDefault="004B4CC1" w:rsidP="00C24436">
      <w:pPr>
        <w:spacing w:line="360" w:lineRule="auto"/>
        <w:jc w:val="both"/>
        <w:rPr>
          <w:rFonts w:ascii="Arial" w:hAnsi="Arial" w:cs="Arial"/>
          <w:b/>
          <w:bCs/>
          <w:sz w:val="24"/>
          <w:szCs w:val="24"/>
          <w:u w:val="single"/>
        </w:rPr>
      </w:pPr>
      <w:r w:rsidRPr="00353A08">
        <w:rPr>
          <w:rFonts w:ascii="Arial" w:hAnsi="Arial" w:cs="Arial"/>
          <w:b/>
          <w:bCs/>
          <w:sz w:val="24"/>
          <w:szCs w:val="24"/>
          <w:u w:val="single"/>
        </w:rPr>
        <w:t>3.1 Global evidence</w:t>
      </w:r>
    </w:p>
    <w:p w14:paraId="70B5128B" w14:textId="77777777" w:rsidR="004B4CC1" w:rsidRPr="00C24436" w:rsidRDefault="004B4CC1" w:rsidP="00C24436">
      <w:pPr>
        <w:spacing w:line="360" w:lineRule="auto"/>
        <w:jc w:val="both"/>
        <w:rPr>
          <w:rFonts w:ascii="Arial" w:hAnsi="Arial" w:cs="Arial"/>
        </w:rPr>
      </w:pPr>
      <w:r w:rsidRPr="00C24436">
        <w:rPr>
          <w:rFonts w:ascii="Arial" w:hAnsi="Arial" w:cs="Arial"/>
        </w:rPr>
        <w:t>SDG 10 aims to reduce income gaps, eliminate discrimination and ensure equal opportunity for all groups (United Nations, 2023). Since 2015, inequality has risen in 70% of countries, with the richest 10% holding over half of all global wealth (United Nations Department of Economic and Social Affairs, 2024).</w:t>
      </w:r>
    </w:p>
    <w:p w14:paraId="6D9543F2" w14:textId="77777777" w:rsidR="004B4CC1" w:rsidRPr="00C24436" w:rsidRDefault="004B4CC1" w:rsidP="00C24436">
      <w:pPr>
        <w:spacing w:line="360" w:lineRule="auto"/>
        <w:jc w:val="both"/>
        <w:rPr>
          <w:rFonts w:ascii="Arial" w:hAnsi="Arial" w:cs="Arial"/>
        </w:rPr>
      </w:pPr>
      <w:r w:rsidRPr="00C24436">
        <w:rPr>
          <w:rFonts w:ascii="Arial" w:hAnsi="Arial" w:cs="Arial"/>
        </w:rPr>
        <w:t>These economic divides translate directly into health gaps. Pickett and Wilkinson (2022) analysed data from 30 high</w:t>
      </w:r>
      <w:r w:rsidRPr="00C24436">
        <w:rPr>
          <w:rFonts w:ascii="Arial" w:hAnsi="Arial" w:cs="Arial"/>
        </w:rPr>
        <w:noBreakHyphen/>
        <w:t xml:space="preserve">income countries and found that more unequal societies have higher rates of chronic illness, mental health problems and infant mortality – regardless of </w:t>
      </w:r>
      <w:r w:rsidRPr="00C24436">
        <w:rPr>
          <w:rFonts w:ascii="Arial" w:hAnsi="Arial" w:cs="Arial"/>
        </w:rPr>
        <w:lastRenderedPageBreak/>
        <w:t>average national wealth. The Marmot Review (2020) found people in the poorest groups live 18 fewer healthy years than those in the richest groups. Bambra et al. (2021) warn that until inequality is treated as central to health policy, progress will remain limited, because health outcomes follow the distribution of power and resources.</w:t>
      </w:r>
    </w:p>
    <w:p w14:paraId="125C9906" w14:textId="77777777" w:rsidR="004B4CC1" w:rsidRPr="00353A08" w:rsidRDefault="004B4CC1" w:rsidP="00C24436">
      <w:pPr>
        <w:spacing w:line="360" w:lineRule="auto"/>
        <w:jc w:val="both"/>
        <w:rPr>
          <w:rFonts w:ascii="Arial" w:hAnsi="Arial" w:cs="Arial"/>
          <w:b/>
          <w:bCs/>
          <w:sz w:val="24"/>
          <w:szCs w:val="24"/>
          <w:u w:val="single"/>
        </w:rPr>
      </w:pPr>
      <w:r w:rsidRPr="00353A08">
        <w:rPr>
          <w:rFonts w:ascii="Arial" w:hAnsi="Arial" w:cs="Arial"/>
          <w:b/>
          <w:bCs/>
          <w:sz w:val="24"/>
          <w:szCs w:val="24"/>
          <w:u w:val="single"/>
        </w:rPr>
        <w:t>3.2 National policy gaps</w:t>
      </w:r>
    </w:p>
    <w:p w14:paraId="05672345" w14:textId="77777777" w:rsidR="004B4CC1" w:rsidRPr="00C24436" w:rsidRDefault="004B4CC1" w:rsidP="00C24436">
      <w:pPr>
        <w:spacing w:line="360" w:lineRule="auto"/>
        <w:jc w:val="both"/>
        <w:rPr>
          <w:rFonts w:ascii="Arial" w:hAnsi="Arial" w:cs="Arial"/>
        </w:rPr>
      </w:pPr>
      <w:r w:rsidRPr="00C24436">
        <w:rPr>
          <w:rFonts w:ascii="Arial" w:hAnsi="Arial" w:cs="Arial"/>
        </w:rPr>
        <w:t>The UK’s Levelling Up White Paper (HM Government, 2022) promises to reduce regional and social disparities, but independent analysis shows little measurable progress. The Institute for Fiscal Studies (2025) reports that between 2020 and 2025, the poorest 10% saw real incomes fall by 7.4%, while the richest 10% saw a 1.2% rise. Health inequality has also widened, with the life expectancy gap between most and least deprived areas growing by 2.3 months (Health Foundation, 2024).</w:t>
      </w:r>
    </w:p>
    <w:p w14:paraId="60C0C85C" w14:textId="5A770940" w:rsidR="004B4CC1" w:rsidRPr="00C24436" w:rsidRDefault="004B4CC1" w:rsidP="00C24436">
      <w:pPr>
        <w:spacing w:line="360" w:lineRule="auto"/>
        <w:jc w:val="both"/>
        <w:rPr>
          <w:rFonts w:ascii="Arial" w:hAnsi="Arial" w:cs="Arial"/>
        </w:rPr>
      </w:pPr>
      <w:r w:rsidRPr="00C24436">
        <w:rPr>
          <w:rFonts w:ascii="Arial" w:hAnsi="Arial" w:cs="Arial"/>
        </w:rPr>
        <w:t>Current approaches often treat health and inequality as separate priorities. The Health Inequalities Improvement Programme allocates extra funding to high</w:t>
      </w:r>
      <w:r w:rsidRPr="00C24436">
        <w:rPr>
          <w:rFonts w:ascii="Arial" w:hAnsi="Arial" w:cs="Arial"/>
        </w:rPr>
        <w:noBreakHyphen/>
        <w:t xml:space="preserve">need </w:t>
      </w:r>
      <w:r w:rsidR="00B50226" w:rsidRPr="00C24436">
        <w:rPr>
          <w:rFonts w:ascii="Arial" w:hAnsi="Arial" w:cs="Arial"/>
        </w:rPr>
        <w:t>areas but</w:t>
      </w:r>
      <w:r w:rsidRPr="00C24436">
        <w:rPr>
          <w:rFonts w:ascii="Arial" w:hAnsi="Arial" w:cs="Arial"/>
        </w:rPr>
        <w:t xml:space="preserve"> runs on short</w:t>
      </w:r>
      <w:r w:rsidRPr="00C24436">
        <w:rPr>
          <w:rFonts w:ascii="Arial" w:hAnsi="Arial" w:cs="Arial"/>
        </w:rPr>
        <w:noBreakHyphen/>
        <w:t>term three</w:t>
      </w:r>
      <w:r w:rsidRPr="00C24436">
        <w:rPr>
          <w:rFonts w:ascii="Arial" w:hAnsi="Arial" w:cs="Arial"/>
        </w:rPr>
        <w:noBreakHyphen/>
        <w:t>year grants and is not coordinated with housing, employment or education policy. Bambra et al. (2023) found cross</w:t>
      </w:r>
      <w:r w:rsidRPr="00C24436">
        <w:rPr>
          <w:rFonts w:ascii="Arial" w:hAnsi="Arial" w:cs="Arial"/>
        </w:rPr>
        <w:noBreakHyphen/>
        <w:t>sector action reduced health inequalities by 19%, compared to just 3% for health</w:t>
      </w:r>
      <w:r w:rsidRPr="00C24436">
        <w:rPr>
          <w:rFonts w:ascii="Arial" w:hAnsi="Arial" w:cs="Arial"/>
        </w:rPr>
        <w:noBreakHyphen/>
        <w:t>only interventions, showing siloed working limits impact. For example, a healthy eating campaign will have little effect if benefit cuts leave families unable to afford fresh food, or if housing policy pushes up fuel bills and leaves less money for groceries.</w:t>
      </w:r>
    </w:p>
    <w:p w14:paraId="5ED35766" w14:textId="77777777" w:rsidR="004B4CC1" w:rsidRPr="00353A08" w:rsidRDefault="004B4CC1" w:rsidP="00C24436">
      <w:pPr>
        <w:spacing w:line="360" w:lineRule="auto"/>
        <w:jc w:val="both"/>
        <w:rPr>
          <w:rFonts w:ascii="Arial" w:hAnsi="Arial" w:cs="Arial"/>
          <w:b/>
          <w:bCs/>
          <w:sz w:val="24"/>
          <w:szCs w:val="24"/>
          <w:u w:val="single"/>
        </w:rPr>
      </w:pPr>
      <w:r w:rsidRPr="00353A08">
        <w:rPr>
          <w:rFonts w:ascii="Arial" w:hAnsi="Arial" w:cs="Arial"/>
          <w:b/>
          <w:bCs/>
          <w:sz w:val="24"/>
          <w:szCs w:val="24"/>
          <w:u w:val="single"/>
        </w:rPr>
        <w:t>3.3 Local experience in Birmingham</w:t>
      </w:r>
    </w:p>
    <w:p w14:paraId="6CCCC60F" w14:textId="6B7C4F75" w:rsidR="004B4CC1" w:rsidRPr="00C24436" w:rsidRDefault="004B4CC1" w:rsidP="00C24436">
      <w:pPr>
        <w:spacing w:line="360" w:lineRule="auto"/>
        <w:jc w:val="both"/>
        <w:rPr>
          <w:rFonts w:ascii="Arial" w:hAnsi="Arial" w:cs="Arial"/>
        </w:rPr>
      </w:pPr>
      <w:r w:rsidRPr="00C24436">
        <w:rPr>
          <w:rFonts w:ascii="Arial" w:hAnsi="Arial" w:cs="Arial"/>
        </w:rPr>
        <w:t xml:space="preserve">Birmingham has some of England’s highest deprivation rates: 27% of children live in </w:t>
      </w:r>
      <w:r w:rsidR="00B50226" w:rsidRPr="00C24436">
        <w:rPr>
          <w:rFonts w:ascii="Arial" w:hAnsi="Arial" w:cs="Arial"/>
        </w:rPr>
        <w:t>poverty and</w:t>
      </w:r>
      <w:r w:rsidRPr="00C24436">
        <w:rPr>
          <w:rFonts w:ascii="Arial" w:hAnsi="Arial" w:cs="Arial"/>
        </w:rPr>
        <w:t xml:space="preserve"> limiting long</w:t>
      </w:r>
      <w:r w:rsidRPr="00C24436">
        <w:rPr>
          <w:rFonts w:ascii="Arial" w:hAnsi="Arial" w:cs="Arial"/>
        </w:rPr>
        <w:noBreakHyphen/>
        <w:t>term illness is 2.1 times more common in the poorest wards (Birmingham City Council, 2025).</w:t>
      </w:r>
    </w:p>
    <w:p w14:paraId="06D71DC5" w14:textId="77777777" w:rsidR="004B4CC1" w:rsidRPr="00C24436" w:rsidRDefault="004B4CC1" w:rsidP="00C24436">
      <w:pPr>
        <w:spacing w:line="360" w:lineRule="auto"/>
        <w:jc w:val="both"/>
        <w:rPr>
          <w:rFonts w:ascii="Arial" w:hAnsi="Arial" w:cs="Arial"/>
        </w:rPr>
      </w:pPr>
      <w:r w:rsidRPr="00353A08">
        <w:rPr>
          <w:rFonts w:ascii="Arial" w:hAnsi="Arial" w:cs="Arial"/>
          <w:b/>
          <w:bCs/>
          <w:sz w:val="24"/>
          <w:szCs w:val="24"/>
          <w:u w:val="single"/>
        </w:rPr>
        <w:t>Figure 2:</w:t>
      </w:r>
      <w:r w:rsidRPr="00C24436">
        <w:rPr>
          <w:rFonts w:ascii="Arial" w:hAnsi="Arial" w:cs="Arial"/>
        </w:rPr>
        <w:t xml:space="preserve"> Healthy life expectancy in Birmingham – most vs least deprived wards, 2023</w:t>
      </w:r>
    </w:p>
    <w:p w14:paraId="059DCCD6" w14:textId="77777777" w:rsidR="004B4CC1" w:rsidRPr="00353A08" w:rsidRDefault="004B4CC1" w:rsidP="00C24436">
      <w:pPr>
        <w:spacing w:line="360" w:lineRule="auto"/>
        <w:jc w:val="both"/>
        <w:rPr>
          <w:rFonts w:ascii="Arial" w:hAnsi="Arial" w:cs="Arial"/>
        </w:rPr>
      </w:pPr>
      <w:r w:rsidRPr="00353A08">
        <w:rPr>
          <w:rFonts w:ascii="Arial" w:hAnsi="Arial" w:cs="Arial"/>
          <w:b/>
          <w:bCs/>
          <w:sz w:val="24"/>
          <w:szCs w:val="24"/>
          <w:u w:val="single"/>
        </w:rPr>
        <w:t>Source:</w:t>
      </w:r>
      <w:r w:rsidRPr="00353A08">
        <w:rPr>
          <w:rFonts w:ascii="Arial" w:hAnsi="Arial" w:cs="Arial"/>
        </w:rPr>
        <w:t xml:space="preserve"> West Midlands Combined Authority, 2024, p.21</w:t>
      </w:r>
    </w:p>
    <w:p w14:paraId="11C7DF0C" w14:textId="77777777" w:rsidR="004B4CC1" w:rsidRPr="00353A08" w:rsidRDefault="004B4CC1" w:rsidP="00C24436">
      <w:pPr>
        <w:spacing w:line="360" w:lineRule="auto"/>
        <w:jc w:val="both"/>
        <w:rPr>
          <w:rFonts w:ascii="Arial" w:hAnsi="Arial" w:cs="Arial"/>
        </w:rPr>
      </w:pPr>
      <w:r w:rsidRPr="00353A08">
        <w:rPr>
          <w:rFonts w:ascii="Arial" w:hAnsi="Arial" w:cs="Arial"/>
          <w:b/>
          <w:bCs/>
          <w:sz w:val="24"/>
          <w:szCs w:val="24"/>
          <w:u w:val="single"/>
        </w:rPr>
        <w:t>Caption:</w:t>
      </w:r>
      <w:r w:rsidRPr="00C24436">
        <w:rPr>
          <w:rFonts w:ascii="Arial" w:hAnsi="Arial" w:cs="Arial"/>
          <w:i/>
          <w:iCs/>
        </w:rPr>
        <w:t xml:space="preserve"> </w:t>
      </w:r>
      <w:r w:rsidRPr="00353A08">
        <w:rPr>
          <w:rFonts w:ascii="Arial" w:hAnsi="Arial" w:cs="Arial"/>
        </w:rPr>
        <w:t>A 12</w:t>
      </w:r>
      <w:r w:rsidRPr="00353A08">
        <w:rPr>
          <w:rFonts w:ascii="Arial" w:hAnsi="Arial" w:cs="Arial"/>
        </w:rPr>
        <w:noBreakHyphen/>
        <w:t>year gap separates healthy life expectancy in the most and least deprived areas.</w:t>
      </w:r>
    </w:p>
    <w:p w14:paraId="3BC496C4" w14:textId="77777777" w:rsidR="004B4CC1" w:rsidRPr="00C24436" w:rsidRDefault="004B4CC1" w:rsidP="00C24436">
      <w:pPr>
        <w:spacing w:line="360" w:lineRule="auto"/>
        <w:jc w:val="both"/>
        <w:rPr>
          <w:rFonts w:ascii="Arial" w:hAnsi="Arial" w:cs="Arial"/>
        </w:rPr>
      </w:pPr>
      <w:r w:rsidRPr="00C24436">
        <w:rPr>
          <w:rFonts w:ascii="Arial" w:hAnsi="Arial" w:cs="Arial"/>
        </w:rPr>
        <w:t xml:space="preserve">The Birmingham Fairness Commission (2023) recommends fair pay, affordable housing and inclusive growth. Its </w:t>
      </w:r>
      <w:r w:rsidRPr="00C24436">
        <w:rPr>
          <w:rFonts w:ascii="Arial" w:hAnsi="Arial" w:cs="Arial"/>
          <w:i/>
          <w:iCs/>
        </w:rPr>
        <w:t>Warm Homes, Healthy Lives</w:t>
      </w:r>
      <w:r w:rsidRPr="00C24436">
        <w:rPr>
          <w:rFonts w:ascii="Arial" w:hAnsi="Arial" w:cs="Arial"/>
        </w:rPr>
        <w:t xml:space="preserve"> scheme funds heating upgrades for low</w:t>
      </w:r>
      <w:r w:rsidRPr="00C24436">
        <w:rPr>
          <w:rFonts w:ascii="Arial" w:hAnsi="Arial" w:cs="Arial"/>
        </w:rPr>
        <w:noBreakHyphen/>
        <w:t xml:space="preserve">income households; Taylor et al. (2024) found this reduced respiratory illness by 28% and improved mental wellbeing by 19%, showing how action on SDG 10 directly supports SDG 3. However, only 18% of eligible households have received support, and Birmingham gets £127 </w:t>
      </w:r>
      <w:r w:rsidRPr="00C24436">
        <w:rPr>
          <w:rFonts w:ascii="Arial" w:hAnsi="Arial" w:cs="Arial"/>
        </w:rPr>
        <w:lastRenderedPageBreak/>
        <w:t>less per person in public health funding than similar metropolitan areas (West Midlands Combined Authority, 2024). This means local leaders cannot scale up successful work even when they know it works.</w:t>
      </w:r>
    </w:p>
    <w:p w14:paraId="7FD8BB03" w14:textId="77777777" w:rsidR="004B4CC1" w:rsidRPr="001F24E4" w:rsidRDefault="004B4CC1" w:rsidP="00C24436">
      <w:pPr>
        <w:spacing w:line="360" w:lineRule="auto"/>
        <w:jc w:val="both"/>
        <w:rPr>
          <w:rFonts w:ascii="Arial" w:hAnsi="Arial" w:cs="Arial"/>
          <w:b/>
          <w:bCs/>
          <w:sz w:val="24"/>
          <w:szCs w:val="24"/>
          <w:u w:val="single"/>
        </w:rPr>
      </w:pPr>
      <w:r w:rsidRPr="001F24E4">
        <w:rPr>
          <w:rFonts w:ascii="Arial" w:hAnsi="Arial" w:cs="Arial"/>
          <w:b/>
          <w:bCs/>
          <w:sz w:val="24"/>
          <w:szCs w:val="24"/>
          <w:u w:val="single"/>
        </w:rPr>
        <w:t>3.4 Recommendations</w:t>
      </w:r>
    </w:p>
    <w:p w14:paraId="388B4BD0" w14:textId="77777777" w:rsidR="004B4CC1" w:rsidRPr="00C24436" w:rsidRDefault="004B4CC1" w:rsidP="00C24436">
      <w:pPr>
        <w:numPr>
          <w:ilvl w:val="0"/>
          <w:numId w:val="10"/>
        </w:numPr>
        <w:spacing w:line="360" w:lineRule="auto"/>
        <w:jc w:val="both"/>
        <w:rPr>
          <w:rFonts w:ascii="Arial" w:hAnsi="Arial" w:cs="Arial"/>
        </w:rPr>
      </w:pPr>
      <w:r w:rsidRPr="00C24436">
        <w:rPr>
          <w:rFonts w:ascii="Arial" w:hAnsi="Arial" w:cs="Arial"/>
        </w:rPr>
        <w:t>Use proportionate universalism: invest across all communities while directing extra resources to those with greatest need (Marmot et al., 2020).</w:t>
      </w:r>
    </w:p>
    <w:p w14:paraId="52E84FCA" w14:textId="77777777" w:rsidR="004B4CC1" w:rsidRPr="00C24436" w:rsidRDefault="004B4CC1" w:rsidP="00C24436">
      <w:pPr>
        <w:numPr>
          <w:ilvl w:val="0"/>
          <w:numId w:val="10"/>
        </w:numPr>
        <w:spacing w:line="360" w:lineRule="auto"/>
        <w:jc w:val="both"/>
        <w:rPr>
          <w:rFonts w:ascii="Arial" w:hAnsi="Arial" w:cs="Arial"/>
        </w:rPr>
      </w:pPr>
      <w:r w:rsidRPr="00C24436">
        <w:rPr>
          <w:rFonts w:ascii="Arial" w:hAnsi="Arial" w:cs="Arial"/>
        </w:rPr>
        <w:t>Mandate Health Equity Impact Assessments for all new policies, as used in Scotland, to check how changes will affect disadvantaged groups before they are introduced (Scottish Government, 2024).</w:t>
      </w:r>
    </w:p>
    <w:p w14:paraId="3549E16F" w14:textId="77777777" w:rsidR="004B4CC1" w:rsidRPr="00C24436" w:rsidRDefault="004B4CC1" w:rsidP="00C24436">
      <w:pPr>
        <w:numPr>
          <w:ilvl w:val="0"/>
          <w:numId w:val="10"/>
        </w:numPr>
        <w:spacing w:line="360" w:lineRule="auto"/>
        <w:jc w:val="both"/>
        <w:rPr>
          <w:rFonts w:ascii="Arial" w:hAnsi="Arial" w:cs="Arial"/>
        </w:rPr>
      </w:pPr>
      <w:r w:rsidRPr="00C24436">
        <w:rPr>
          <w:rFonts w:ascii="Arial" w:hAnsi="Arial" w:cs="Arial"/>
        </w:rPr>
        <w:t>Devolve long</w:t>
      </w:r>
      <w:r w:rsidRPr="00C24436">
        <w:rPr>
          <w:rFonts w:ascii="Arial" w:hAnsi="Arial" w:cs="Arial"/>
        </w:rPr>
        <w:noBreakHyphen/>
        <w:t>term funding and budget control to combined authorities, replacing short</w:t>
      </w:r>
      <w:r w:rsidRPr="00C24436">
        <w:rPr>
          <w:rFonts w:ascii="Arial" w:hAnsi="Arial" w:cs="Arial"/>
        </w:rPr>
        <w:noBreakHyphen/>
        <w:t>term grants that stop teams from planning ahead (Local Government Association, 2023).</w:t>
      </w:r>
    </w:p>
    <w:p w14:paraId="6E5A2C20" w14:textId="77777777" w:rsidR="004B4CC1" w:rsidRPr="00C24436" w:rsidRDefault="00000000" w:rsidP="00C24436">
      <w:pPr>
        <w:spacing w:line="360" w:lineRule="auto"/>
        <w:jc w:val="both"/>
        <w:rPr>
          <w:rFonts w:ascii="Arial" w:hAnsi="Arial" w:cs="Arial"/>
        </w:rPr>
      </w:pPr>
      <w:r>
        <w:rPr>
          <w:rFonts w:ascii="Arial" w:hAnsi="Arial" w:cs="Arial"/>
        </w:rPr>
        <w:pict w14:anchorId="7533802B">
          <v:rect id="_x0000_i1027" style="width:0;height:1.5pt" o:hrstd="t" o:hrnoshade="t" o:hr="t" fillcolor="black" stroked="f"/>
        </w:pict>
      </w:r>
    </w:p>
    <w:p w14:paraId="145BA86F" w14:textId="77777777" w:rsidR="004B4CC1" w:rsidRPr="001F24E4" w:rsidRDefault="004B4CC1" w:rsidP="00C24436">
      <w:pPr>
        <w:spacing w:line="360" w:lineRule="auto"/>
        <w:jc w:val="both"/>
        <w:rPr>
          <w:rFonts w:ascii="Arial" w:hAnsi="Arial" w:cs="Arial"/>
          <w:b/>
          <w:bCs/>
          <w:sz w:val="28"/>
          <w:szCs w:val="28"/>
          <w:u w:val="single"/>
        </w:rPr>
      </w:pPr>
      <w:r w:rsidRPr="001F24E4">
        <w:rPr>
          <w:rFonts w:ascii="Arial" w:hAnsi="Arial" w:cs="Arial"/>
          <w:b/>
          <w:bCs/>
          <w:sz w:val="28"/>
          <w:szCs w:val="28"/>
          <w:u w:val="single"/>
        </w:rPr>
        <w:t>4.0 CONCLUSION</w:t>
      </w:r>
    </w:p>
    <w:p w14:paraId="1B5977E1" w14:textId="77777777" w:rsidR="004B4CC1" w:rsidRPr="00C24436" w:rsidRDefault="004B4CC1" w:rsidP="00C24436">
      <w:pPr>
        <w:spacing w:line="360" w:lineRule="auto"/>
        <w:jc w:val="both"/>
        <w:rPr>
          <w:rFonts w:ascii="Arial" w:hAnsi="Arial" w:cs="Arial"/>
        </w:rPr>
      </w:pPr>
      <w:r w:rsidRPr="00C24436">
        <w:rPr>
          <w:rFonts w:ascii="Arial" w:hAnsi="Arial" w:cs="Arial"/>
        </w:rPr>
        <w:t>Achieving SDG 3 is impossible without advancing SDG 10. Too many policies rely on the Health Belief Model and assume people only need more information to change, ignoring the barriers that stop disadvantaged groups acting on advice. Social Cognitive Theory and the social determinants approach show we need to improve environments and opportunities as well as awareness, and that behaviour change is a two</w:t>
      </w:r>
      <w:r w:rsidRPr="00C24436">
        <w:rPr>
          <w:rFonts w:ascii="Arial" w:hAnsi="Arial" w:cs="Arial"/>
        </w:rPr>
        <w:noBreakHyphen/>
        <w:t>way process between people and the world around them.</w:t>
      </w:r>
    </w:p>
    <w:p w14:paraId="5258A623" w14:textId="77777777" w:rsidR="004B4CC1" w:rsidRPr="00C24436" w:rsidRDefault="004B4CC1" w:rsidP="00C24436">
      <w:pPr>
        <w:spacing w:line="360" w:lineRule="auto"/>
        <w:jc w:val="both"/>
        <w:rPr>
          <w:rFonts w:ascii="Arial" w:hAnsi="Arial" w:cs="Arial"/>
        </w:rPr>
      </w:pPr>
      <w:r w:rsidRPr="00C24436">
        <w:rPr>
          <w:rFonts w:ascii="Arial" w:hAnsi="Arial" w:cs="Arial"/>
        </w:rPr>
        <w:t>In Birmingham, strong local work is undermined by national funding gaps and inconsistent cross</w:t>
      </w:r>
      <w:r w:rsidRPr="00C24436">
        <w:rPr>
          <w:rFonts w:ascii="Arial" w:hAnsi="Arial" w:cs="Arial"/>
        </w:rPr>
        <w:noBreakHyphen/>
        <w:t>government policy. To deliver fair health outcomes, we must integrate health and inequality action across housing, employment and education, give local areas long</w:t>
      </w:r>
      <w:r w:rsidRPr="00C24436">
        <w:rPr>
          <w:rFonts w:ascii="Arial" w:hAnsi="Arial" w:cs="Arial"/>
        </w:rPr>
        <w:noBreakHyphen/>
        <w:t>term resources, and build fairer systems rather than asking disadvantaged people to change alone.</w:t>
      </w:r>
    </w:p>
    <w:p w14:paraId="2DEA7DC8" w14:textId="77777777" w:rsidR="004B4CC1" w:rsidRPr="00C24436" w:rsidRDefault="004B4CC1" w:rsidP="00C24436">
      <w:pPr>
        <w:spacing w:line="360" w:lineRule="auto"/>
        <w:jc w:val="both"/>
        <w:rPr>
          <w:rFonts w:ascii="Arial" w:hAnsi="Arial" w:cs="Arial"/>
        </w:rPr>
      </w:pPr>
    </w:p>
    <w:p w14:paraId="36C5E77F" w14:textId="77777777" w:rsidR="008077A9" w:rsidRPr="00C24436" w:rsidRDefault="008077A9" w:rsidP="00C24436">
      <w:pPr>
        <w:pStyle w:val="NoSpacing"/>
        <w:spacing w:line="360" w:lineRule="auto"/>
        <w:jc w:val="both"/>
        <w:rPr>
          <w:rFonts w:ascii="Arial" w:hAnsi="Arial" w:cs="Arial"/>
        </w:rPr>
      </w:pPr>
    </w:p>
    <w:p w14:paraId="7B93C109" w14:textId="77777777" w:rsidR="001F24E4" w:rsidRDefault="001F24E4" w:rsidP="00C24436">
      <w:pPr>
        <w:pStyle w:val="NoSpacing"/>
        <w:spacing w:line="360" w:lineRule="auto"/>
        <w:jc w:val="both"/>
        <w:rPr>
          <w:rFonts w:ascii="Arial" w:hAnsi="Arial" w:cs="Arial"/>
          <w:b/>
          <w:bCs/>
          <w:u w:val="single"/>
        </w:rPr>
      </w:pPr>
    </w:p>
    <w:p w14:paraId="2BF9927B" w14:textId="77777777" w:rsidR="001F24E4" w:rsidRDefault="001F24E4" w:rsidP="00C24436">
      <w:pPr>
        <w:pStyle w:val="NoSpacing"/>
        <w:spacing w:line="360" w:lineRule="auto"/>
        <w:jc w:val="both"/>
        <w:rPr>
          <w:rFonts w:ascii="Arial" w:hAnsi="Arial" w:cs="Arial"/>
          <w:b/>
          <w:bCs/>
          <w:u w:val="single"/>
        </w:rPr>
      </w:pPr>
    </w:p>
    <w:p w14:paraId="4EDD7C82" w14:textId="77777777" w:rsidR="001F24E4" w:rsidRDefault="001F24E4" w:rsidP="00C24436">
      <w:pPr>
        <w:pStyle w:val="NoSpacing"/>
        <w:spacing w:line="360" w:lineRule="auto"/>
        <w:jc w:val="both"/>
        <w:rPr>
          <w:rFonts w:ascii="Arial" w:hAnsi="Arial" w:cs="Arial"/>
          <w:b/>
          <w:bCs/>
          <w:u w:val="single"/>
        </w:rPr>
      </w:pPr>
    </w:p>
    <w:p w14:paraId="375D1528" w14:textId="77777777" w:rsidR="001F24E4" w:rsidRDefault="001F24E4" w:rsidP="00C24436">
      <w:pPr>
        <w:pStyle w:val="NoSpacing"/>
        <w:spacing w:line="360" w:lineRule="auto"/>
        <w:jc w:val="both"/>
        <w:rPr>
          <w:rFonts w:ascii="Arial" w:hAnsi="Arial" w:cs="Arial"/>
          <w:b/>
          <w:bCs/>
          <w:u w:val="single"/>
        </w:rPr>
      </w:pPr>
    </w:p>
    <w:p w14:paraId="1A1B31DB" w14:textId="77777777" w:rsidR="001F24E4" w:rsidRDefault="001F24E4" w:rsidP="00C24436">
      <w:pPr>
        <w:pStyle w:val="NoSpacing"/>
        <w:spacing w:line="360" w:lineRule="auto"/>
        <w:jc w:val="both"/>
        <w:rPr>
          <w:rFonts w:ascii="Arial" w:hAnsi="Arial" w:cs="Arial"/>
          <w:b/>
          <w:bCs/>
          <w:u w:val="single"/>
        </w:rPr>
      </w:pPr>
    </w:p>
    <w:p w14:paraId="6145CDA0" w14:textId="77777777" w:rsidR="001F24E4" w:rsidRDefault="001F24E4" w:rsidP="00C24436">
      <w:pPr>
        <w:pStyle w:val="NoSpacing"/>
        <w:spacing w:line="360" w:lineRule="auto"/>
        <w:jc w:val="both"/>
        <w:rPr>
          <w:rFonts w:ascii="Arial" w:hAnsi="Arial" w:cs="Arial"/>
          <w:b/>
          <w:bCs/>
          <w:u w:val="single"/>
        </w:rPr>
      </w:pPr>
    </w:p>
    <w:p w14:paraId="4BF41B6B" w14:textId="77777777" w:rsidR="001F24E4" w:rsidRDefault="001F24E4" w:rsidP="00C24436">
      <w:pPr>
        <w:pStyle w:val="NoSpacing"/>
        <w:spacing w:line="360" w:lineRule="auto"/>
        <w:jc w:val="both"/>
        <w:rPr>
          <w:rFonts w:ascii="Arial" w:hAnsi="Arial" w:cs="Arial"/>
          <w:b/>
          <w:bCs/>
          <w:u w:val="single"/>
        </w:rPr>
      </w:pPr>
    </w:p>
    <w:p w14:paraId="06681394" w14:textId="4DEE59B4" w:rsidR="00D332C9" w:rsidRPr="001F24E4" w:rsidRDefault="00D332C9" w:rsidP="00C24436">
      <w:pPr>
        <w:pStyle w:val="NoSpacing"/>
        <w:spacing w:line="360" w:lineRule="auto"/>
        <w:jc w:val="both"/>
        <w:rPr>
          <w:rFonts w:ascii="Arial" w:hAnsi="Arial" w:cs="Arial"/>
          <w:b/>
          <w:bCs/>
          <w:sz w:val="24"/>
          <w:szCs w:val="24"/>
          <w:u w:val="single"/>
        </w:rPr>
      </w:pPr>
      <w:r w:rsidRPr="001F24E4">
        <w:rPr>
          <w:rFonts w:ascii="Arial" w:hAnsi="Arial" w:cs="Arial"/>
          <w:b/>
          <w:bCs/>
          <w:sz w:val="24"/>
          <w:szCs w:val="24"/>
          <w:u w:val="single"/>
        </w:rPr>
        <w:t>REFERENCE LIST</w:t>
      </w:r>
    </w:p>
    <w:p w14:paraId="61C3C518" w14:textId="3CBB6A65" w:rsidR="00D332C9" w:rsidRPr="00C24436" w:rsidRDefault="00D332C9" w:rsidP="00C24436">
      <w:pPr>
        <w:pStyle w:val="NoSpacing"/>
        <w:spacing w:line="360" w:lineRule="auto"/>
        <w:jc w:val="both"/>
        <w:rPr>
          <w:rFonts w:ascii="Arial" w:hAnsi="Arial" w:cs="Arial"/>
        </w:rPr>
      </w:pPr>
    </w:p>
    <w:bookmarkEnd w:id="0"/>
    <w:bookmarkEnd w:id="1"/>
    <w:p w14:paraId="34B408CB"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Ahmed, S., Green, J. and Harrison, D. (2023) ‘The impact of urban green space investment on physical activity in deprived neighbourhoods: a mixed</w:t>
      </w:r>
      <w:r w:rsidRPr="00C47635">
        <w:rPr>
          <w:rFonts w:ascii="Arial" w:hAnsi="Arial" w:cs="Arial"/>
          <w:i/>
          <w:iCs/>
        </w:rPr>
        <w:noBreakHyphen/>
        <w:t>methods study in Birmingham’, Journal of Public Health, 45(3), pp. 456–468.</w:t>
      </w:r>
    </w:p>
    <w:p w14:paraId="79C21F58"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Bandura, A. (1986) Social Foundations of Thought and Action: A Social Cognitive Theory. Englewood Cliffs: Prentice</w:t>
      </w:r>
      <w:r w:rsidRPr="00C47635">
        <w:rPr>
          <w:rFonts w:ascii="Arial" w:hAnsi="Arial" w:cs="Arial"/>
          <w:i/>
          <w:iCs/>
        </w:rPr>
        <w:noBreakHyphen/>
        <w:t>Hall.</w:t>
      </w:r>
    </w:p>
    <w:p w14:paraId="27397DBD"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Bambra, C., Smith, K. and Hill, S. (2021) Health Inequalities: Critical Perspectives. Bristol: Policy Press.</w:t>
      </w:r>
    </w:p>
    <w:p w14:paraId="63997E6B"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Bambra, C., Whitehead, M. and Taylor, J. (2023) ‘Cross</w:t>
      </w:r>
      <w:r w:rsidRPr="00C47635">
        <w:rPr>
          <w:rFonts w:ascii="Arial" w:hAnsi="Arial" w:cs="Arial"/>
          <w:i/>
          <w:iCs/>
        </w:rPr>
        <w:noBreakHyphen/>
        <w:t>sector action and health equity: a systematic review of UK policy outcomes’, Critical Public Health, 33(4), pp. 412–427.</w:t>
      </w:r>
    </w:p>
    <w:p w14:paraId="1293C902"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Birmingham City Council (2024) Air Quality Annual Status Report 2024. Birmingham: Birmingham City Council.</w:t>
      </w:r>
    </w:p>
    <w:p w14:paraId="4A93080D"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Birmingham City Council (2025) Health and Wellbeing Strategy 2025–2030. Birmingham: Birmingham City Council.</w:t>
      </w:r>
    </w:p>
    <w:p w14:paraId="05A8A8A7"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Birmingham Fairness Commission (2023) Fairness and Health in Birmingham: Final Report. Birmingham: Birmingham City Council.</w:t>
      </w:r>
    </w:p>
    <w:p w14:paraId="325ABE8C"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Chang, L., Patel, R. and Bhanot, S. (2024) ‘Ethnic disparities in NHS Health Check uptake: a population</w:t>
      </w:r>
      <w:r w:rsidRPr="00C47635">
        <w:rPr>
          <w:rFonts w:ascii="Arial" w:hAnsi="Arial" w:cs="Arial"/>
          <w:i/>
          <w:iCs/>
        </w:rPr>
        <w:noBreakHyphen/>
        <w:t>based study in the West Midlands’, Ethnicity and Health, 29(2), pp. 189–206.</w:t>
      </w:r>
    </w:p>
    <w:p w14:paraId="5E4CDD52"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Cochrane, A., Raine, R. and McKee, M. (2023) ‘The effectiveness of cardiovascular screening programmes in reducing health inequalities: an interrupted time</w:t>
      </w:r>
      <w:r w:rsidRPr="00C47635">
        <w:rPr>
          <w:rFonts w:ascii="Arial" w:hAnsi="Arial" w:cs="Arial"/>
          <w:i/>
          <w:iCs/>
        </w:rPr>
        <w:noBreakHyphen/>
        <w:t>series analysis’, Journal of Epidemiology and Community Health, 77(11), pp. 945–952.</w:t>
      </w:r>
    </w:p>
    <w:p w14:paraId="45D3722C"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Costa, M., Tan, A. and Alleyne, G. (2022) ‘Global progress on non</w:t>
      </w:r>
      <w:r w:rsidRPr="00C47635">
        <w:rPr>
          <w:rFonts w:ascii="Arial" w:hAnsi="Arial" w:cs="Arial"/>
          <w:i/>
          <w:iCs/>
        </w:rPr>
        <w:noBreakHyphen/>
        <w:t>communicable disease prevention: a systematic review of national health plans’, Bulletin of the World Health Organization, 100(8), pp. 573–585.</w:t>
      </w:r>
    </w:p>
    <w:p w14:paraId="5BCFE497"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Department of Health and Social Care (2019) NHS Long Term Plan. London: DHSC.</w:t>
      </w:r>
    </w:p>
    <w:p w14:paraId="51815031"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 xml:space="preserve">Glanz, K., Rimer, B.K. and Viswanath, K. (2021) Health </w:t>
      </w:r>
      <w:proofErr w:type="spellStart"/>
      <w:r w:rsidRPr="00C47635">
        <w:rPr>
          <w:rFonts w:ascii="Arial" w:hAnsi="Arial" w:cs="Arial"/>
          <w:i/>
          <w:iCs/>
        </w:rPr>
        <w:t>Behavior</w:t>
      </w:r>
      <w:proofErr w:type="spellEnd"/>
      <w:r w:rsidRPr="00C47635">
        <w:rPr>
          <w:rFonts w:ascii="Arial" w:hAnsi="Arial" w:cs="Arial"/>
          <w:i/>
          <w:iCs/>
        </w:rPr>
        <w:t xml:space="preserve">: Theory, Research, and Practice. 6th </w:t>
      </w:r>
      <w:proofErr w:type="spellStart"/>
      <w:r w:rsidRPr="00C47635">
        <w:rPr>
          <w:rFonts w:ascii="Arial" w:hAnsi="Arial" w:cs="Arial"/>
          <w:i/>
          <w:iCs/>
        </w:rPr>
        <w:t>edn</w:t>
      </w:r>
      <w:proofErr w:type="spellEnd"/>
      <w:r w:rsidRPr="00C47635">
        <w:rPr>
          <w:rFonts w:ascii="Arial" w:hAnsi="Arial" w:cs="Arial"/>
          <w:i/>
          <w:iCs/>
        </w:rPr>
        <w:t>. San Francisco: Jossey</w:t>
      </w:r>
      <w:r w:rsidRPr="00C47635">
        <w:rPr>
          <w:rFonts w:ascii="Arial" w:hAnsi="Arial" w:cs="Arial"/>
          <w:i/>
          <w:iCs/>
        </w:rPr>
        <w:noBreakHyphen/>
        <w:t>Bass.</w:t>
      </w:r>
    </w:p>
    <w:p w14:paraId="68EE51BF"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Health Foundation (2024) Health Inequalities and Policy Delivery in England. London: The Health Foundation.</w:t>
      </w:r>
    </w:p>
    <w:p w14:paraId="19C30673"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HM Government (2022) Levelling Up the United Kingdom. London: Cabinet Office.</w:t>
      </w:r>
    </w:p>
    <w:p w14:paraId="69DB1921"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Institute for Fiscal Studies (2025) Living Standards, Inequality and Poverty in the UK: 2025. London: IFS.</w:t>
      </w:r>
    </w:p>
    <w:p w14:paraId="155FFF67"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Labonté, R. and Ruckert, A. (2019) Health Equity in a Globalizing Era. Oxford: Oxford University Press.</w:t>
      </w:r>
    </w:p>
    <w:p w14:paraId="1ED5C1ED"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lastRenderedPageBreak/>
        <w:t>Local Government Association (2023) Devolution and Health Outcomes: Evidence Review. London: LGA.</w:t>
      </w:r>
    </w:p>
    <w:p w14:paraId="097D5AB9"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Marmot, M., Allen, J. and Goldblatt, P. (2020) Health Equity in England: The Marmot Review 10 Years On. London: Institute of Health Equity.</w:t>
      </w:r>
    </w:p>
    <w:p w14:paraId="290E1279"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NHS Confederation (2022) Investing in Prevention: The Economic Case. London: NHS Confederation.</w:t>
      </w:r>
    </w:p>
    <w:p w14:paraId="1BE76654"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Office for Health Improvement and Disparities (2023) NHS Health Check Programme: Uptake and Equity Analysis. London: OHID.</w:t>
      </w:r>
    </w:p>
    <w:p w14:paraId="174D6B1A"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Pickett, K.E. and Wilkinson, R.G. (2022) ‘Income inequality and health: a causal review’, Social Science &amp; Medicine, 298, p. 114846.</w:t>
      </w:r>
    </w:p>
    <w:p w14:paraId="10127BF8"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 xml:space="preserve">Povey, R., </w:t>
      </w:r>
      <w:proofErr w:type="spellStart"/>
      <w:r w:rsidRPr="00C47635">
        <w:rPr>
          <w:rFonts w:ascii="Arial" w:hAnsi="Arial" w:cs="Arial"/>
          <w:i/>
          <w:iCs/>
        </w:rPr>
        <w:t>Cowap</w:t>
      </w:r>
      <w:proofErr w:type="spellEnd"/>
      <w:r w:rsidRPr="00C47635">
        <w:rPr>
          <w:rFonts w:ascii="Arial" w:hAnsi="Arial" w:cs="Arial"/>
          <w:i/>
          <w:iCs/>
        </w:rPr>
        <w:t>, L. and Clark</w:t>
      </w:r>
      <w:r w:rsidRPr="00C47635">
        <w:rPr>
          <w:rFonts w:ascii="Arial" w:hAnsi="Arial" w:cs="Arial"/>
          <w:i/>
          <w:iCs/>
        </w:rPr>
        <w:noBreakHyphen/>
        <w:t>Carter, D. (2022) ‘Information versus support: a meta</w:t>
      </w:r>
      <w:r w:rsidRPr="00C47635">
        <w:rPr>
          <w:rFonts w:ascii="Arial" w:hAnsi="Arial" w:cs="Arial"/>
          <w:i/>
          <w:iCs/>
        </w:rPr>
        <w:noBreakHyphen/>
        <w:t>analysis of public health campaigns targeting physical activity’, British Journal of Health Psychology, 27(4), pp. 1245–1268.</w:t>
      </w:r>
    </w:p>
    <w:p w14:paraId="302AA36D"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Public Health England (2022) Better Health Campaign: National Evaluation Report. London: Public Health England.</w:t>
      </w:r>
    </w:p>
    <w:p w14:paraId="6ECC4744"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 xml:space="preserve">Robson, C., Hill, L. and </w:t>
      </w:r>
      <w:proofErr w:type="spellStart"/>
      <w:r w:rsidRPr="00C47635">
        <w:rPr>
          <w:rFonts w:ascii="Arial" w:hAnsi="Arial" w:cs="Arial"/>
          <w:i/>
          <w:iCs/>
        </w:rPr>
        <w:t>Pidd</w:t>
      </w:r>
      <w:proofErr w:type="spellEnd"/>
      <w:r w:rsidRPr="00C47635">
        <w:rPr>
          <w:rFonts w:ascii="Arial" w:hAnsi="Arial" w:cs="Arial"/>
          <w:i/>
          <w:iCs/>
        </w:rPr>
        <w:t>, K. (2023) ‘Socioeconomic differences in response to the UK Better Health campaign’, Journal of Public Health Policy, 44(2), pp. 211–228.</w:t>
      </w:r>
    </w:p>
    <w:p w14:paraId="2DD6DE29"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Rosenstock, I.M. (1966) ‘Why people use health services’, The Milbank Memorial Fund Quarterly, 44(2), pp. 94–124.</w:t>
      </w:r>
    </w:p>
    <w:p w14:paraId="27159872"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Scottish Government (2024) Health Equity Impact Assessment: Effectiveness Review. Edinburgh: Scottish Government.</w:t>
      </w:r>
    </w:p>
    <w:p w14:paraId="0286272F"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Taylor, L., Jones, R. and Davies, S. (2024) ‘Warm homes and health: evaluating a local energy efficiency programme in the West Midlands’, Journal of Environmental and Public Health, 2024, p. 567892.</w:t>
      </w:r>
    </w:p>
    <w:p w14:paraId="6F99DA69"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United Nations (2023) The Sustainable Development Goals Report 2023. New York: United Nations.</w:t>
      </w:r>
    </w:p>
    <w:p w14:paraId="7C5CF204"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United Nations Department of Economic and Social Affairs (2024) World Social Report 2024: Reducing Inequalities. New York: UN DESA.</w:t>
      </w:r>
    </w:p>
    <w:p w14:paraId="14BD8EBF"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West Midlands Combined Authority (2024) Health, Deprivation and Funding in Birmingham. Birmingham: WMCA.</w:t>
      </w:r>
    </w:p>
    <w:p w14:paraId="471A02A3"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World Health Organization (2021) Global Action Plan for the Prevention and Control of Non</w:t>
      </w:r>
      <w:r w:rsidRPr="00C47635">
        <w:rPr>
          <w:rFonts w:ascii="Arial" w:hAnsi="Arial" w:cs="Arial"/>
          <w:i/>
          <w:iCs/>
        </w:rPr>
        <w:noBreakHyphen/>
        <w:t>Communicable Diseases 2021–2030. Geneva: WHO.</w:t>
      </w:r>
    </w:p>
    <w:p w14:paraId="4BE40B78" w14:textId="77777777" w:rsidR="00C47635" w:rsidRPr="00C47635" w:rsidRDefault="00C47635" w:rsidP="00C47635">
      <w:pPr>
        <w:pStyle w:val="NoSpacing"/>
        <w:spacing w:line="360" w:lineRule="auto"/>
        <w:rPr>
          <w:rFonts w:ascii="Arial" w:hAnsi="Arial" w:cs="Arial"/>
          <w:i/>
          <w:iCs/>
        </w:rPr>
      </w:pPr>
      <w:r w:rsidRPr="00C47635">
        <w:rPr>
          <w:rFonts w:ascii="Arial" w:hAnsi="Arial" w:cs="Arial"/>
          <w:i/>
          <w:iCs/>
        </w:rPr>
        <w:t>World Health Organization (2023) Global Action Plan for Healthy Lives and Well</w:t>
      </w:r>
      <w:r w:rsidRPr="00C47635">
        <w:rPr>
          <w:rFonts w:ascii="Arial" w:hAnsi="Arial" w:cs="Arial"/>
          <w:i/>
          <w:iCs/>
        </w:rPr>
        <w:noBreakHyphen/>
        <w:t>Being for All: Progress Report. Geneva: WHO.</w:t>
      </w:r>
    </w:p>
    <w:p w14:paraId="4129C754" w14:textId="01DE92A7" w:rsidR="00E0429A" w:rsidRPr="00383F7C" w:rsidRDefault="00E0429A" w:rsidP="00743DBB">
      <w:pPr>
        <w:pStyle w:val="NoSpacing"/>
        <w:spacing w:line="360" w:lineRule="auto"/>
      </w:pPr>
    </w:p>
    <w:sectPr w:rsidR="00E0429A" w:rsidRPr="00383F7C" w:rsidSect="006A72F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AD3A36" w14:textId="77777777" w:rsidR="00CA4CC7" w:rsidRDefault="00CA4CC7" w:rsidP="006A72F6">
      <w:pPr>
        <w:spacing w:after="0" w:line="240" w:lineRule="auto"/>
      </w:pPr>
      <w:r>
        <w:separator/>
      </w:r>
    </w:p>
  </w:endnote>
  <w:endnote w:type="continuationSeparator" w:id="0">
    <w:p w14:paraId="386EFE0D" w14:textId="77777777" w:rsidR="00CA4CC7" w:rsidRDefault="00CA4CC7" w:rsidP="006A72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2EE4D3" w14:textId="77777777" w:rsidR="006A72F6" w:rsidRDefault="006A72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8352AA" w14:textId="77777777" w:rsidR="006A72F6" w:rsidRDefault="006A72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3B23AE" w14:textId="77777777" w:rsidR="006A72F6" w:rsidRDefault="006A72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D25980" w14:textId="77777777" w:rsidR="00CA4CC7" w:rsidRDefault="00CA4CC7" w:rsidP="006A72F6">
      <w:pPr>
        <w:spacing w:after="0" w:line="240" w:lineRule="auto"/>
      </w:pPr>
      <w:r>
        <w:separator/>
      </w:r>
    </w:p>
  </w:footnote>
  <w:footnote w:type="continuationSeparator" w:id="0">
    <w:p w14:paraId="741D2C09" w14:textId="77777777" w:rsidR="00CA4CC7" w:rsidRDefault="00CA4CC7" w:rsidP="006A72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36ABE8" w14:textId="77777777" w:rsidR="006A72F6" w:rsidRDefault="006A72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81F384" w14:textId="77777777" w:rsidR="006A72F6" w:rsidRDefault="006A72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27695C" w14:textId="77777777" w:rsidR="006A72F6" w:rsidRDefault="006A72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76C89"/>
    <w:multiLevelType w:val="multilevel"/>
    <w:tmpl w:val="27F688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2648AA"/>
    <w:multiLevelType w:val="multilevel"/>
    <w:tmpl w:val="B7048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E84E1C"/>
    <w:multiLevelType w:val="multilevel"/>
    <w:tmpl w:val="93C21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DB40FD"/>
    <w:multiLevelType w:val="multilevel"/>
    <w:tmpl w:val="C130E2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EA250C1"/>
    <w:multiLevelType w:val="multilevel"/>
    <w:tmpl w:val="89C0F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A304BE"/>
    <w:multiLevelType w:val="multilevel"/>
    <w:tmpl w:val="1612F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AF6EB1"/>
    <w:multiLevelType w:val="multilevel"/>
    <w:tmpl w:val="8A4637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C33686F"/>
    <w:multiLevelType w:val="multilevel"/>
    <w:tmpl w:val="71984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B97A57"/>
    <w:multiLevelType w:val="multilevel"/>
    <w:tmpl w:val="41A84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7984635"/>
    <w:multiLevelType w:val="multilevel"/>
    <w:tmpl w:val="4FBC4F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207149">
    <w:abstractNumId w:val="2"/>
  </w:num>
  <w:num w:numId="2" w16cid:durableId="1023676322">
    <w:abstractNumId w:val="5"/>
  </w:num>
  <w:num w:numId="3" w16cid:durableId="785854986">
    <w:abstractNumId w:val="7"/>
  </w:num>
  <w:num w:numId="4" w16cid:durableId="113133797">
    <w:abstractNumId w:val="8"/>
  </w:num>
  <w:num w:numId="5" w16cid:durableId="1805853334">
    <w:abstractNumId w:val="4"/>
  </w:num>
  <w:num w:numId="6" w16cid:durableId="1674643469">
    <w:abstractNumId w:val="3"/>
  </w:num>
  <w:num w:numId="7" w16cid:durableId="381948475">
    <w:abstractNumId w:val="0"/>
  </w:num>
  <w:num w:numId="8" w16cid:durableId="464856914">
    <w:abstractNumId w:val="1"/>
  </w:num>
  <w:num w:numId="9" w16cid:durableId="1864127960">
    <w:abstractNumId w:val="6"/>
  </w:num>
  <w:num w:numId="10" w16cid:durableId="199749379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29A"/>
    <w:rsid w:val="00010394"/>
    <w:rsid w:val="0003138F"/>
    <w:rsid w:val="00106556"/>
    <w:rsid w:val="00152047"/>
    <w:rsid w:val="001F24E4"/>
    <w:rsid w:val="00223305"/>
    <w:rsid w:val="002674C7"/>
    <w:rsid w:val="0031661C"/>
    <w:rsid w:val="00353A08"/>
    <w:rsid w:val="00383F7C"/>
    <w:rsid w:val="003A6020"/>
    <w:rsid w:val="003D70A5"/>
    <w:rsid w:val="00401B49"/>
    <w:rsid w:val="00412D6A"/>
    <w:rsid w:val="00421D7C"/>
    <w:rsid w:val="00472EF8"/>
    <w:rsid w:val="004B4CC1"/>
    <w:rsid w:val="004D632E"/>
    <w:rsid w:val="004F2734"/>
    <w:rsid w:val="004F6951"/>
    <w:rsid w:val="0059796C"/>
    <w:rsid w:val="005B4365"/>
    <w:rsid w:val="0060316F"/>
    <w:rsid w:val="00621A61"/>
    <w:rsid w:val="006313C4"/>
    <w:rsid w:val="006A72F6"/>
    <w:rsid w:val="007041B9"/>
    <w:rsid w:val="00743DBB"/>
    <w:rsid w:val="007E0CB2"/>
    <w:rsid w:val="007E4FE0"/>
    <w:rsid w:val="008077A9"/>
    <w:rsid w:val="0085646D"/>
    <w:rsid w:val="00874C77"/>
    <w:rsid w:val="008B0BB4"/>
    <w:rsid w:val="00930378"/>
    <w:rsid w:val="00954F14"/>
    <w:rsid w:val="009848C5"/>
    <w:rsid w:val="009A421E"/>
    <w:rsid w:val="00A62569"/>
    <w:rsid w:val="00B50226"/>
    <w:rsid w:val="00B848AC"/>
    <w:rsid w:val="00C24436"/>
    <w:rsid w:val="00C26F75"/>
    <w:rsid w:val="00C47635"/>
    <w:rsid w:val="00CA4CC7"/>
    <w:rsid w:val="00CE002B"/>
    <w:rsid w:val="00D332C9"/>
    <w:rsid w:val="00DF1CEB"/>
    <w:rsid w:val="00E0429A"/>
    <w:rsid w:val="00E4217B"/>
    <w:rsid w:val="00F41F52"/>
    <w:rsid w:val="00F7599A"/>
    <w:rsid w:val="00F862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9DCEC"/>
  <w15:chartTrackingRefBased/>
  <w15:docId w15:val="{B3644F80-0926-4450-8FFF-2B2E467C7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42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42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42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42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42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42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42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42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42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42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42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42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42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42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42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42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42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429A"/>
    <w:rPr>
      <w:rFonts w:eastAsiaTheme="majorEastAsia" w:cstheme="majorBidi"/>
      <w:color w:val="272727" w:themeColor="text1" w:themeTint="D8"/>
    </w:rPr>
  </w:style>
  <w:style w:type="paragraph" w:styleId="Title">
    <w:name w:val="Title"/>
    <w:basedOn w:val="Normal"/>
    <w:next w:val="Normal"/>
    <w:link w:val="TitleChar"/>
    <w:uiPriority w:val="10"/>
    <w:qFormat/>
    <w:rsid w:val="00E042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42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42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42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429A"/>
    <w:pPr>
      <w:spacing w:before="160"/>
      <w:jc w:val="center"/>
    </w:pPr>
    <w:rPr>
      <w:i/>
      <w:iCs/>
      <w:color w:val="404040" w:themeColor="text1" w:themeTint="BF"/>
    </w:rPr>
  </w:style>
  <w:style w:type="character" w:customStyle="1" w:styleId="QuoteChar">
    <w:name w:val="Quote Char"/>
    <w:basedOn w:val="DefaultParagraphFont"/>
    <w:link w:val="Quote"/>
    <w:uiPriority w:val="29"/>
    <w:rsid w:val="00E0429A"/>
    <w:rPr>
      <w:i/>
      <w:iCs/>
      <w:color w:val="404040" w:themeColor="text1" w:themeTint="BF"/>
    </w:rPr>
  </w:style>
  <w:style w:type="paragraph" w:styleId="ListParagraph">
    <w:name w:val="List Paragraph"/>
    <w:basedOn w:val="Normal"/>
    <w:uiPriority w:val="34"/>
    <w:qFormat/>
    <w:rsid w:val="00E0429A"/>
    <w:pPr>
      <w:ind w:left="720"/>
      <w:contextualSpacing/>
    </w:pPr>
  </w:style>
  <w:style w:type="character" w:styleId="IntenseEmphasis">
    <w:name w:val="Intense Emphasis"/>
    <w:basedOn w:val="DefaultParagraphFont"/>
    <w:uiPriority w:val="21"/>
    <w:qFormat/>
    <w:rsid w:val="00E0429A"/>
    <w:rPr>
      <w:i/>
      <w:iCs/>
      <w:color w:val="0F4761" w:themeColor="accent1" w:themeShade="BF"/>
    </w:rPr>
  </w:style>
  <w:style w:type="paragraph" w:styleId="IntenseQuote">
    <w:name w:val="Intense Quote"/>
    <w:basedOn w:val="Normal"/>
    <w:next w:val="Normal"/>
    <w:link w:val="IntenseQuoteChar"/>
    <w:uiPriority w:val="30"/>
    <w:qFormat/>
    <w:rsid w:val="00E042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429A"/>
    <w:rPr>
      <w:i/>
      <w:iCs/>
      <w:color w:val="0F4761" w:themeColor="accent1" w:themeShade="BF"/>
    </w:rPr>
  </w:style>
  <w:style w:type="character" w:styleId="IntenseReference">
    <w:name w:val="Intense Reference"/>
    <w:basedOn w:val="DefaultParagraphFont"/>
    <w:uiPriority w:val="32"/>
    <w:qFormat/>
    <w:rsid w:val="00E0429A"/>
    <w:rPr>
      <w:b/>
      <w:bCs/>
      <w:smallCaps/>
      <w:color w:val="0F4761" w:themeColor="accent1" w:themeShade="BF"/>
      <w:spacing w:val="5"/>
    </w:rPr>
  </w:style>
  <w:style w:type="paragraph" w:styleId="NoSpacing">
    <w:name w:val="No Spacing"/>
    <w:uiPriority w:val="1"/>
    <w:qFormat/>
    <w:rsid w:val="00D332C9"/>
    <w:pPr>
      <w:spacing w:after="0" w:line="240" w:lineRule="auto"/>
    </w:pPr>
  </w:style>
  <w:style w:type="paragraph" w:styleId="Header">
    <w:name w:val="header"/>
    <w:basedOn w:val="Normal"/>
    <w:link w:val="HeaderChar"/>
    <w:uiPriority w:val="99"/>
    <w:unhideWhenUsed/>
    <w:rsid w:val="006A72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72F6"/>
  </w:style>
  <w:style w:type="paragraph" w:styleId="Footer">
    <w:name w:val="footer"/>
    <w:basedOn w:val="Normal"/>
    <w:link w:val="FooterChar"/>
    <w:uiPriority w:val="99"/>
    <w:unhideWhenUsed/>
    <w:rsid w:val="006A72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72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TotalTime>
  <Pages>1</Pages>
  <Words>2697</Words>
  <Characters>15379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salhma Parveen</dc:creator>
  <cp:keywords/>
  <dc:description/>
  <cp:lastModifiedBy>salhma Parveen</cp:lastModifiedBy>
  <cp:revision>50</cp:revision>
  <dcterms:created xsi:type="dcterms:W3CDTF">2026-07-08T11:23:00Z</dcterms:created>
  <dcterms:modified xsi:type="dcterms:W3CDTF">2026-07-15T21:50:00Z</dcterms:modified>
</cp:coreProperties>
</file>