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32E6E" w14:textId="77777777" w:rsidR="00191202" w:rsidRDefault="009035F2">
      <w:pPr>
        <w:jc w:val="center"/>
      </w:pPr>
      <w:r>
        <w:rPr>
          <w:noProof/>
        </w:rPr>
        <w:drawing>
          <wp:inline distT="114300" distB="114300" distL="114300" distR="114300" wp14:anchorId="14AEC851" wp14:editId="10479349">
            <wp:extent cx="2085975" cy="8667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085975" cy="866775"/>
                    </a:xfrm>
                    <a:prstGeom prst="rect">
                      <a:avLst/>
                    </a:prstGeom>
                    <a:ln/>
                  </pic:spPr>
                </pic:pic>
              </a:graphicData>
            </a:graphic>
          </wp:inline>
        </w:drawing>
      </w:r>
    </w:p>
    <w:p w14:paraId="6223D75F" w14:textId="77777777" w:rsidR="00B06BD0" w:rsidRDefault="00B06BD0">
      <w:pPr>
        <w:jc w:val="center"/>
        <w:rPr>
          <w:b/>
          <w:bCs/>
          <w:sz w:val="32"/>
          <w:szCs w:val="32"/>
        </w:rPr>
      </w:pPr>
    </w:p>
    <w:p w14:paraId="699AB2C2" w14:textId="77777777" w:rsidR="00B06BD0" w:rsidRDefault="00B06BD0">
      <w:pPr>
        <w:jc w:val="center"/>
        <w:rPr>
          <w:b/>
          <w:bCs/>
          <w:sz w:val="32"/>
          <w:szCs w:val="32"/>
        </w:rPr>
      </w:pPr>
    </w:p>
    <w:p w14:paraId="78391B02" w14:textId="140A48E2" w:rsidR="00191202" w:rsidRDefault="009035F2">
      <w:pPr>
        <w:jc w:val="center"/>
        <w:rPr>
          <w:b/>
          <w:bCs/>
          <w:sz w:val="32"/>
          <w:szCs w:val="32"/>
        </w:rPr>
      </w:pPr>
      <w:r>
        <w:rPr>
          <w:b/>
          <w:bCs/>
          <w:sz w:val="32"/>
          <w:szCs w:val="32"/>
        </w:rPr>
        <w:t>Programme name: Master of Business Administration</w:t>
      </w:r>
    </w:p>
    <w:p w14:paraId="41CE0F0B" w14:textId="77777777" w:rsidR="00191202" w:rsidRDefault="009035F2">
      <w:pPr>
        <w:jc w:val="center"/>
        <w:rPr>
          <w:b/>
          <w:bCs/>
          <w:sz w:val="32"/>
          <w:szCs w:val="32"/>
        </w:rPr>
      </w:pPr>
      <w:r>
        <w:rPr>
          <w:b/>
          <w:bCs/>
          <w:sz w:val="32"/>
          <w:szCs w:val="32"/>
        </w:rPr>
        <w:t>Module: Human Capital Management</w:t>
      </w:r>
    </w:p>
    <w:p w14:paraId="1923E174" w14:textId="77777777" w:rsidR="00191202" w:rsidRDefault="009035F2">
      <w:pPr>
        <w:jc w:val="center"/>
        <w:rPr>
          <w:b/>
          <w:bCs/>
          <w:sz w:val="32"/>
          <w:szCs w:val="32"/>
        </w:rPr>
      </w:pPr>
      <w:r>
        <w:rPr>
          <w:b/>
          <w:bCs/>
          <w:sz w:val="32"/>
          <w:szCs w:val="32"/>
        </w:rPr>
        <w:t>Module code: LCMB7023</w:t>
      </w:r>
    </w:p>
    <w:p w14:paraId="108CEB6C" w14:textId="77777777" w:rsidR="00191202" w:rsidRDefault="00191202"/>
    <w:p w14:paraId="21B6E207" w14:textId="77777777" w:rsidR="00B06BD0" w:rsidRDefault="00B06BD0" w:rsidP="00B06BD0">
      <w:pPr>
        <w:pStyle w:val="Title"/>
        <w:jc w:val="center"/>
        <w:rPr>
          <w:b/>
          <w:bCs/>
        </w:rPr>
      </w:pPr>
      <w:bookmarkStart w:id="0" w:name="_rqp2bce46s2n" w:colFirst="0" w:colLast="0"/>
      <w:bookmarkEnd w:id="0"/>
    </w:p>
    <w:p w14:paraId="09303E44" w14:textId="6EC8A034" w:rsidR="00191202" w:rsidRDefault="009035F2" w:rsidP="00B06BD0">
      <w:pPr>
        <w:pStyle w:val="Title"/>
        <w:jc w:val="center"/>
        <w:rPr>
          <w:b/>
          <w:bCs/>
        </w:rPr>
      </w:pPr>
      <w:r>
        <w:rPr>
          <w:b/>
          <w:bCs/>
        </w:rPr>
        <w:t>Re-Engineering</w:t>
      </w:r>
      <w:r w:rsidR="00B06BD0">
        <w:rPr>
          <w:b/>
          <w:bCs/>
        </w:rPr>
        <w:t xml:space="preserve"> </w:t>
      </w:r>
      <w:r>
        <w:rPr>
          <w:b/>
          <w:bCs/>
        </w:rPr>
        <w:t>Human Capital: Designing Performance and Job Systems for Innovation and Growth</w:t>
      </w:r>
    </w:p>
    <w:p w14:paraId="19A98DB1" w14:textId="77777777" w:rsidR="00B06BD0" w:rsidRDefault="00B06BD0">
      <w:pPr>
        <w:jc w:val="center"/>
        <w:rPr>
          <w:b/>
          <w:bCs/>
          <w:sz w:val="28"/>
          <w:szCs w:val="28"/>
        </w:rPr>
      </w:pPr>
    </w:p>
    <w:p w14:paraId="1AD17ABE" w14:textId="0009F931" w:rsidR="00191202" w:rsidRDefault="009035F2">
      <w:pPr>
        <w:jc w:val="center"/>
        <w:rPr>
          <w:b/>
          <w:bCs/>
          <w:sz w:val="28"/>
          <w:szCs w:val="28"/>
        </w:rPr>
      </w:pPr>
      <w:r>
        <w:rPr>
          <w:b/>
          <w:bCs/>
          <w:sz w:val="28"/>
          <w:szCs w:val="28"/>
        </w:rPr>
        <w:t>Lecturer’s name:</w:t>
      </w:r>
      <w:r w:rsidR="00B06BD0">
        <w:rPr>
          <w:b/>
          <w:bCs/>
          <w:sz w:val="28"/>
          <w:szCs w:val="28"/>
        </w:rPr>
        <w:t xml:space="preserve"> Dr. Charles Oham</w:t>
      </w:r>
    </w:p>
    <w:p w14:paraId="715E7BCD" w14:textId="77777777" w:rsidR="00191202" w:rsidRDefault="00191202">
      <w:pPr>
        <w:jc w:val="center"/>
        <w:rPr>
          <w:b/>
          <w:bCs/>
          <w:sz w:val="28"/>
          <w:szCs w:val="28"/>
        </w:rPr>
      </w:pPr>
    </w:p>
    <w:p w14:paraId="50C04AD4" w14:textId="7B076B8B" w:rsidR="00191202" w:rsidRDefault="009035F2">
      <w:pPr>
        <w:jc w:val="center"/>
        <w:rPr>
          <w:b/>
          <w:bCs/>
          <w:sz w:val="28"/>
          <w:szCs w:val="28"/>
        </w:rPr>
      </w:pPr>
      <w:r>
        <w:rPr>
          <w:b/>
          <w:bCs/>
          <w:sz w:val="28"/>
          <w:szCs w:val="28"/>
        </w:rPr>
        <w:t xml:space="preserve">Name and ID of the student: </w:t>
      </w:r>
      <w:r w:rsidR="00B06BD0">
        <w:rPr>
          <w:b/>
          <w:bCs/>
          <w:sz w:val="28"/>
          <w:szCs w:val="28"/>
        </w:rPr>
        <w:t>Soham Yadav -2503139</w:t>
      </w:r>
    </w:p>
    <w:p w14:paraId="52D3C7B4" w14:textId="77777777" w:rsidR="00B06BD0" w:rsidRDefault="00B06BD0" w:rsidP="00B06BD0">
      <w:pPr>
        <w:pStyle w:val="Title"/>
        <w:jc w:val="center"/>
        <w:rPr>
          <w:b/>
          <w:bCs/>
          <w:sz w:val="28"/>
          <w:szCs w:val="28"/>
        </w:rPr>
      </w:pPr>
    </w:p>
    <w:p w14:paraId="54945CAC" w14:textId="18AD7E52" w:rsidR="00B06BD0" w:rsidRDefault="00B06BD0" w:rsidP="00B06BD0">
      <w:pPr>
        <w:pStyle w:val="Title"/>
        <w:jc w:val="center"/>
        <w:rPr>
          <w:b/>
          <w:bCs/>
          <w:sz w:val="28"/>
          <w:szCs w:val="28"/>
        </w:rPr>
      </w:pPr>
      <w:r>
        <w:rPr>
          <w:b/>
          <w:bCs/>
          <w:sz w:val="28"/>
          <w:szCs w:val="28"/>
        </w:rPr>
        <w:t>Word count: 2510</w:t>
      </w:r>
    </w:p>
    <w:p w14:paraId="7C037B75" w14:textId="626F73A3" w:rsidR="00191202" w:rsidRDefault="00B06BD0" w:rsidP="00B06BD0">
      <w:pPr>
        <w:jc w:val="center"/>
        <w:rPr>
          <w:b/>
          <w:bCs/>
          <w:sz w:val="28"/>
          <w:szCs w:val="28"/>
        </w:rPr>
      </w:pPr>
      <w:r>
        <w:rPr>
          <w:b/>
          <w:bCs/>
          <w:sz w:val="28"/>
          <w:szCs w:val="28"/>
        </w:rPr>
        <w:t>Submission date- 20</w:t>
      </w:r>
      <w:r w:rsidRPr="00B06BD0">
        <w:rPr>
          <w:b/>
          <w:bCs/>
          <w:sz w:val="28"/>
          <w:szCs w:val="28"/>
          <w:vertAlign w:val="superscript"/>
        </w:rPr>
        <w:t>th</w:t>
      </w:r>
      <w:r>
        <w:rPr>
          <w:b/>
          <w:bCs/>
          <w:sz w:val="28"/>
          <w:szCs w:val="28"/>
        </w:rPr>
        <w:t xml:space="preserve"> march 2026</w:t>
      </w:r>
    </w:p>
    <w:p w14:paraId="3ECA1345" w14:textId="77777777" w:rsidR="00B06BD0" w:rsidRDefault="00B06BD0">
      <w:pPr>
        <w:jc w:val="center"/>
        <w:rPr>
          <w:sz w:val="28"/>
          <w:szCs w:val="28"/>
        </w:rPr>
      </w:pPr>
      <w:bookmarkStart w:id="1" w:name="_27y28eyle3df" w:colFirst="0" w:colLast="0"/>
      <w:bookmarkStart w:id="2" w:name="_gg7rgqsxuvb0" w:colFirst="0" w:colLast="0"/>
      <w:bookmarkEnd w:id="1"/>
      <w:bookmarkEnd w:id="2"/>
    </w:p>
    <w:p w14:paraId="0A6F535B" w14:textId="77777777" w:rsidR="00B06BD0" w:rsidRDefault="00B06BD0">
      <w:pPr>
        <w:jc w:val="center"/>
        <w:rPr>
          <w:sz w:val="28"/>
          <w:szCs w:val="28"/>
        </w:rPr>
      </w:pPr>
    </w:p>
    <w:p w14:paraId="09FA0906" w14:textId="695203F9" w:rsidR="00191202" w:rsidRDefault="009035F2">
      <w:pPr>
        <w:jc w:val="center"/>
        <w:rPr>
          <w:sz w:val="28"/>
          <w:szCs w:val="28"/>
        </w:rPr>
      </w:pPr>
      <w:r>
        <w:rPr>
          <w:sz w:val="28"/>
          <w:szCs w:val="28"/>
        </w:rPr>
        <w:t>TABLE OF CONTENTS</w:t>
      </w:r>
    </w:p>
    <w:sdt>
      <w:sdtPr>
        <w:id w:val="-2009624605"/>
        <w:docPartObj>
          <w:docPartGallery w:val="Table of Contents"/>
          <w:docPartUnique/>
        </w:docPartObj>
      </w:sdtPr>
      <w:sdtEndPr/>
      <w:sdtContent>
        <w:p w14:paraId="5838DFB4" w14:textId="77777777" w:rsidR="00191202" w:rsidRDefault="009035F2">
          <w:pPr>
            <w:widowControl w:val="0"/>
            <w:tabs>
              <w:tab w:val="right" w:leader="dot" w:pos="12000"/>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h2tkrzhknf2k">
            <w:r w:rsidR="00191202">
              <w:rPr>
                <w:b/>
                <w:bCs/>
                <w:color w:val="000000"/>
              </w:rPr>
              <w:t>Part 1: Re-Engineering Performance &amp; Job Design</w:t>
            </w:r>
            <w:r w:rsidR="00191202">
              <w:rPr>
                <w:b/>
                <w:bCs/>
                <w:color w:val="000000"/>
              </w:rPr>
              <w:tab/>
              <w:t>3</w:t>
            </w:r>
          </w:hyperlink>
        </w:p>
        <w:p w14:paraId="18EAE2E5" w14:textId="77777777" w:rsidR="00191202" w:rsidRDefault="00191202">
          <w:pPr>
            <w:widowControl w:val="0"/>
            <w:tabs>
              <w:tab w:val="right" w:leader="dot" w:pos="12000"/>
            </w:tabs>
            <w:spacing w:before="60" w:line="240" w:lineRule="auto"/>
            <w:ind w:left="360"/>
            <w:jc w:val="left"/>
            <w:rPr>
              <w:color w:val="000000"/>
            </w:rPr>
          </w:pPr>
          <w:hyperlink w:anchor="_y1otwinv2ivs">
            <w:r>
              <w:rPr>
                <w:color w:val="000000"/>
              </w:rPr>
              <w:t>Introduction</w:t>
            </w:r>
            <w:r>
              <w:rPr>
                <w:color w:val="000000"/>
              </w:rPr>
              <w:tab/>
              <w:t>3</w:t>
            </w:r>
          </w:hyperlink>
        </w:p>
        <w:p w14:paraId="060F3141" w14:textId="77777777" w:rsidR="00191202" w:rsidRDefault="00191202">
          <w:pPr>
            <w:widowControl w:val="0"/>
            <w:tabs>
              <w:tab w:val="right" w:leader="dot" w:pos="12000"/>
            </w:tabs>
            <w:spacing w:before="60" w:line="240" w:lineRule="auto"/>
            <w:ind w:left="360"/>
            <w:jc w:val="left"/>
            <w:rPr>
              <w:color w:val="000000"/>
            </w:rPr>
          </w:pPr>
          <w:hyperlink w:anchor="_s7dasm5bnivu">
            <w:r>
              <w:rPr>
                <w:color w:val="000000"/>
              </w:rPr>
              <w:t>Current Practices in Tech Firms</w:t>
            </w:r>
            <w:r>
              <w:rPr>
                <w:color w:val="000000"/>
              </w:rPr>
              <w:tab/>
              <w:t>3</w:t>
            </w:r>
          </w:hyperlink>
        </w:p>
        <w:p w14:paraId="0FE137B9" w14:textId="77777777" w:rsidR="00191202" w:rsidRDefault="00191202">
          <w:pPr>
            <w:widowControl w:val="0"/>
            <w:tabs>
              <w:tab w:val="right" w:leader="dot" w:pos="12000"/>
            </w:tabs>
            <w:spacing w:before="60" w:line="240" w:lineRule="auto"/>
            <w:ind w:left="360"/>
            <w:jc w:val="left"/>
            <w:rPr>
              <w:color w:val="000000"/>
            </w:rPr>
          </w:pPr>
          <w:hyperlink w:anchor="_p96mi1bvj1ls">
            <w:r>
              <w:rPr>
                <w:color w:val="000000"/>
              </w:rPr>
              <w:t>Modern Performance Appraisal System</w:t>
            </w:r>
            <w:r>
              <w:rPr>
                <w:color w:val="000000"/>
              </w:rPr>
              <w:tab/>
              <w:t>5</w:t>
            </w:r>
          </w:hyperlink>
        </w:p>
        <w:p w14:paraId="4E237505" w14:textId="77777777" w:rsidR="00191202" w:rsidRDefault="00191202">
          <w:pPr>
            <w:widowControl w:val="0"/>
            <w:tabs>
              <w:tab w:val="right" w:leader="dot" w:pos="12000"/>
            </w:tabs>
            <w:spacing w:before="60" w:line="240" w:lineRule="auto"/>
            <w:ind w:left="720"/>
            <w:jc w:val="left"/>
            <w:rPr>
              <w:color w:val="000000"/>
            </w:rPr>
          </w:pPr>
          <w:hyperlink w:anchor="_vv6j9xu39peg">
            <w:r>
              <w:rPr>
                <w:color w:val="000000"/>
              </w:rPr>
              <w:t>Objectives and Key Results (OKRs)</w:t>
            </w:r>
            <w:r>
              <w:rPr>
                <w:color w:val="000000"/>
              </w:rPr>
              <w:tab/>
              <w:t>5</w:t>
            </w:r>
          </w:hyperlink>
        </w:p>
        <w:p w14:paraId="414D1F3A" w14:textId="77777777" w:rsidR="00191202" w:rsidRDefault="00191202">
          <w:pPr>
            <w:widowControl w:val="0"/>
            <w:tabs>
              <w:tab w:val="right" w:leader="dot" w:pos="12000"/>
            </w:tabs>
            <w:spacing w:before="60" w:line="240" w:lineRule="auto"/>
            <w:ind w:left="720"/>
            <w:jc w:val="left"/>
            <w:rPr>
              <w:color w:val="000000"/>
            </w:rPr>
          </w:pPr>
          <w:hyperlink w:anchor="_griysr55b9tu">
            <w:r>
              <w:rPr>
                <w:color w:val="000000"/>
              </w:rPr>
              <w:t>360‑Degree Feedback</w:t>
            </w:r>
            <w:r>
              <w:rPr>
                <w:color w:val="000000"/>
              </w:rPr>
              <w:tab/>
              <w:t>6</w:t>
            </w:r>
          </w:hyperlink>
        </w:p>
        <w:p w14:paraId="46B3C8D0" w14:textId="77777777" w:rsidR="00191202" w:rsidRDefault="00191202">
          <w:pPr>
            <w:widowControl w:val="0"/>
            <w:tabs>
              <w:tab w:val="right" w:leader="dot" w:pos="12000"/>
            </w:tabs>
            <w:spacing w:before="60" w:line="240" w:lineRule="auto"/>
            <w:ind w:left="720"/>
            <w:jc w:val="left"/>
            <w:rPr>
              <w:color w:val="000000"/>
            </w:rPr>
          </w:pPr>
          <w:hyperlink w:anchor="_5ndenls67j6p">
            <w:r>
              <w:rPr>
                <w:color w:val="000000"/>
              </w:rPr>
              <w:t>Driving Alignment, Transparency, and Growth</w:t>
            </w:r>
            <w:r>
              <w:rPr>
                <w:color w:val="000000"/>
              </w:rPr>
              <w:tab/>
              <w:t>6</w:t>
            </w:r>
          </w:hyperlink>
        </w:p>
        <w:p w14:paraId="7A2BBE1B" w14:textId="77777777" w:rsidR="00191202" w:rsidRDefault="00191202">
          <w:pPr>
            <w:widowControl w:val="0"/>
            <w:tabs>
              <w:tab w:val="right" w:leader="dot" w:pos="12000"/>
            </w:tabs>
            <w:spacing w:before="60" w:line="240" w:lineRule="auto"/>
            <w:ind w:left="360"/>
            <w:jc w:val="left"/>
            <w:rPr>
              <w:color w:val="000000"/>
            </w:rPr>
          </w:pPr>
          <w:hyperlink w:anchor="_mpdlhjic7sb1">
            <w:r>
              <w:rPr>
                <w:color w:val="000000"/>
              </w:rPr>
              <w:t>Job Analysis &amp; Design</w:t>
            </w:r>
            <w:r>
              <w:rPr>
                <w:color w:val="000000"/>
              </w:rPr>
              <w:tab/>
              <w:t>7</w:t>
            </w:r>
          </w:hyperlink>
        </w:p>
        <w:p w14:paraId="7B291D3F" w14:textId="77777777" w:rsidR="00191202" w:rsidRDefault="00191202">
          <w:pPr>
            <w:widowControl w:val="0"/>
            <w:tabs>
              <w:tab w:val="right" w:leader="dot" w:pos="12000"/>
            </w:tabs>
            <w:spacing w:before="60" w:line="240" w:lineRule="auto"/>
            <w:ind w:left="360"/>
            <w:jc w:val="left"/>
            <w:rPr>
              <w:color w:val="000000"/>
            </w:rPr>
          </w:pPr>
          <w:hyperlink w:anchor="_n4qh8j7the6c">
            <w:r>
              <w:rPr>
                <w:color w:val="000000"/>
              </w:rPr>
              <w:t>Integration: Creating a Performance-Driven Culture</w:t>
            </w:r>
            <w:r>
              <w:rPr>
                <w:color w:val="000000"/>
              </w:rPr>
              <w:tab/>
              <w:t>9</w:t>
            </w:r>
          </w:hyperlink>
        </w:p>
        <w:p w14:paraId="7353FB6F" w14:textId="77777777" w:rsidR="00191202" w:rsidRDefault="00191202">
          <w:pPr>
            <w:widowControl w:val="0"/>
            <w:tabs>
              <w:tab w:val="right" w:leader="dot" w:pos="12000"/>
            </w:tabs>
            <w:spacing w:before="60" w:line="240" w:lineRule="auto"/>
            <w:jc w:val="left"/>
            <w:rPr>
              <w:b/>
              <w:bCs/>
              <w:color w:val="000000"/>
            </w:rPr>
          </w:pPr>
          <w:hyperlink w:anchor="_827yvunj3r9y">
            <w:r>
              <w:rPr>
                <w:b/>
                <w:bCs/>
                <w:color w:val="000000"/>
              </w:rPr>
              <w:t>Part 2: Write a reflection</w:t>
            </w:r>
            <w:r>
              <w:rPr>
                <w:b/>
                <w:bCs/>
                <w:color w:val="000000"/>
              </w:rPr>
              <w:tab/>
              <w:t>10</w:t>
            </w:r>
          </w:hyperlink>
        </w:p>
        <w:p w14:paraId="77E1D3C5" w14:textId="77777777" w:rsidR="00191202" w:rsidRDefault="00191202">
          <w:pPr>
            <w:widowControl w:val="0"/>
            <w:tabs>
              <w:tab w:val="right" w:leader="dot" w:pos="12000"/>
            </w:tabs>
            <w:spacing w:before="60" w:line="240" w:lineRule="auto"/>
            <w:ind w:left="360"/>
            <w:jc w:val="left"/>
            <w:rPr>
              <w:color w:val="000000"/>
            </w:rPr>
          </w:pPr>
          <w:hyperlink w:anchor="_i2rplmomb4kj">
            <w:r>
              <w:rPr>
                <w:color w:val="000000"/>
              </w:rPr>
              <w:t>Reflection: Gibbs’ Reflective Cycle</w:t>
            </w:r>
            <w:r>
              <w:rPr>
                <w:color w:val="000000"/>
              </w:rPr>
              <w:tab/>
              <w:t>10</w:t>
            </w:r>
          </w:hyperlink>
        </w:p>
        <w:p w14:paraId="2D8635E9" w14:textId="77777777" w:rsidR="00191202" w:rsidRDefault="00191202">
          <w:pPr>
            <w:widowControl w:val="0"/>
            <w:tabs>
              <w:tab w:val="right" w:leader="dot" w:pos="12000"/>
            </w:tabs>
            <w:spacing w:before="60" w:line="240" w:lineRule="auto"/>
            <w:ind w:left="360"/>
            <w:jc w:val="left"/>
            <w:rPr>
              <w:color w:val="000000"/>
            </w:rPr>
          </w:pPr>
          <w:hyperlink w:anchor="_7tmx37o2oo4u">
            <w:r>
              <w:rPr>
                <w:color w:val="000000"/>
              </w:rPr>
              <w:t>Reflection on AI and Future Relevance</w:t>
            </w:r>
            <w:r>
              <w:rPr>
                <w:color w:val="000000"/>
              </w:rPr>
              <w:tab/>
              <w:t>12</w:t>
            </w:r>
          </w:hyperlink>
        </w:p>
        <w:p w14:paraId="10CF038A" w14:textId="77777777" w:rsidR="00191202" w:rsidRDefault="00191202">
          <w:pPr>
            <w:widowControl w:val="0"/>
            <w:tabs>
              <w:tab w:val="right" w:leader="dot" w:pos="12000"/>
            </w:tabs>
            <w:spacing w:before="60" w:line="240" w:lineRule="auto"/>
            <w:jc w:val="left"/>
            <w:rPr>
              <w:b/>
              <w:bCs/>
              <w:color w:val="000000"/>
            </w:rPr>
          </w:pPr>
          <w:hyperlink w:anchor="_l8p57g40tq11">
            <w:r>
              <w:rPr>
                <w:b/>
                <w:bCs/>
                <w:color w:val="000000"/>
              </w:rPr>
              <w:t>Reference list</w:t>
            </w:r>
            <w:r>
              <w:rPr>
                <w:b/>
                <w:bCs/>
                <w:color w:val="000000"/>
              </w:rPr>
              <w:tab/>
              <w:t>14</w:t>
            </w:r>
          </w:hyperlink>
          <w:r w:rsidR="009035F2">
            <w:fldChar w:fldCharType="end"/>
          </w:r>
        </w:p>
      </w:sdtContent>
    </w:sdt>
    <w:p w14:paraId="70C77B14" w14:textId="77777777" w:rsidR="00191202" w:rsidRDefault="009035F2">
      <w:pPr>
        <w:jc w:val="center"/>
      </w:pPr>
      <w:r>
        <w:br w:type="page"/>
      </w:r>
    </w:p>
    <w:p w14:paraId="2FC9A614" w14:textId="77777777" w:rsidR="00191202" w:rsidRDefault="009035F2">
      <w:pPr>
        <w:pStyle w:val="Heading1"/>
      </w:pPr>
      <w:bookmarkStart w:id="3" w:name="_h2tkrzhknf2k" w:colFirst="0" w:colLast="0"/>
      <w:bookmarkEnd w:id="3"/>
      <w:r>
        <w:t>Part 1: Re-Engineering Performance &amp; Job Design</w:t>
      </w:r>
    </w:p>
    <w:p w14:paraId="65F511D3" w14:textId="77777777" w:rsidR="00191202" w:rsidRDefault="009035F2">
      <w:pPr>
        <w:pStyle w:val="Heading2"/>
      </w:pPr>
      <w:bookmarkStart w:id="4" w:name="_y1otwinv2ivs" w:colFirst="0" w:colLast="0"/>
      <w:bookmarkEnd w:id="4"/>
      <w:r>
        <w:t xml:space="preserve">Introduction </w:t>
      </w:r>
    </w:p>
    <w:p w14:paraId="05B9AD36" w14:textId="77777777" w:rsidR="00191202" w:rsidRDefault="009035F2">
      <w:r>
        <w:t>The Aether Innovations is a fast-growing 300 employees technological company experiencing critical issues of growth stagnation, increased turnover of employees, and customer dissatisfaction. These concerns demonstrate that there is an acute necessity of a consistent human capital approach that would coordinate people and performance. This report suggests a total HR solution based on new performance appraisal systems and job design strategic workforce. Through Objectives and Key Results (OKRs), 360-degree fe</w:t>
      </w:r>
      <w:r>
        <w:t>edback, and the Job Characteristics Model, the strategy will help promote innovation, become more engaged, and develop a performance-driven culture that will empower the experience of employees and customer excellence.</w:t>
      </w:r>
    </w:p>
    <w:p w14:paraId="3F36B720" w14:textId="77777777" w:rsidR="00191202" w:rsidRDefault="009035F2">
      <w:pPr>
        <w:pStyle w:val="Heading2"/>
      </w:pPr>
      <w:bookmarkStart w:id="5" w:name="_s7dasm5bnivu" w:colFirst="0" w:colLast="0"/>
      <w:bookmarkEnd w:id="5"/>
      <w:r>
        <w:t>Current Practices in Tech Firms</w:t>
      </w:r>
    </w:p>
    <w:p w14:paraId="311C1D8B" w14:textId="77777777" w:rsidR="00191202" w:rsidRDefault="009035F2">
      <w:r>
        <w:t xml:space="preserve">Conventional methods of appraisal within technology companies have historically been based on annual reviews and KPI-based appraisal. Although these techniques offer structure, they are being more and more criticised due to their agility and little support of dynamic contributions in dynamic environments. Annual reviews have a high likelihood of recency bias, in which managers make unequal ratings of recent events and overall achievement, providing misleading results and detaching employees (Kim and Zitek, </w:t>
      </w:r>
      <w:r>
        <w:t>2024). In the same manner, KPI models, albeit applicable in the quantifiable output measurement, often overlook the qualitative measures like innovation, teamwork and knowledge transfer which are of essence in knowledge-driven economy (Kaplan and Norton, 1992).</w:t>
      </w:r>
    </w:p>
    <w:p w14:paraId="1EA62BF3" w14:textId="77777777" w:rsidR="00191202" w:rsidRDefault="009035F2">
      <w:r>
        <w:rPr>
          <w:noProof/>
        </w:rPr>
        <w:drawing>
          <wp:inline distT="114300" distB="114300" distL="114300" distR="114300" wp14:anchorId="24EA126A" wp14:editId="42D13D81">
            <wp:extent cx="5943600" cy="39624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3962400"/>
                    </a:xfrm>
                    <a:prstGeom prst="rect">
                      <a:avLst/>
                    </a:prstGeom>
                    <a:ln/>
                  </pic:spPr>
                </pic:pic>
              </a:graphicData>
            </a:graphic>
          </wp:inline>
        </w:drawing>
      </w:r>
    </w:p>
    <w:p w14:paraId="67F0C392" w14:textId="77777777" w:rsidR="00191202" w:rsidRDefault="009035F2">
      <w:pPr>
        <w:jc w:val="center"/>
      </w:pPr>
      <w:r>
        <w:t>Figure 1: traditional appraisal systems in tech firms</w:t>
      </w:r>
    </w:p>
    <w:p w14:paraId="1A8B9E05" w14:textId="77777777" w:rsidR="00191202" w:rsidRDefault="009035F2">
      <w:pPr>
        <w:jc w:val="center"/>
      </w:pPr>
      <w:r>
        <w:t>Source: own</w:t>
      </w:r>
    </w:p>
    <w:p w14:paraId="7939E175" w14:textId="77777777" w:rsidR="00191202" w:rsidRDefault="009035F2">
      <w:r>
        <w:t>To emphasize, the recent studies point out that the conventional reviews can discourage instead of motivate employees, especially when the feedback is unreal-time or overly generic (Kim and Zitek, 2024). Deloitte (2025) believes that the mere reinvention of appraisal processes out of context of a larger human-focused strategy will not be able to lead to the revelation of potential performance. In addition, countless biases among raters are an unending issue with conventional systems where it was evident tha</w:t>
      </w:r>
      <w:r>
        <w:t>t their subjective judgment tended to perpetuate organisational injustices (Brown, Inceoglu and Lin, 2016). Such biases damage fairness and trust in tech firms where various groups of people interact as a cross-functional unit.</w:t>
      </w:r>
    </w:p>
    <w:p w14:paraId="3C8B35D2" w14:textId="77777777" w:rsidR="00191202" w:rsidRDefault="009035F2">
      <w:r>
        <w:t>The inflexibility of yearly reviews also is a contradiction to the iterative, project-based technology work. One of the most significant expectations of the employees is the existence of reciprocal feedback loops that are compatible with agile methods, but classic systems are seldom responsive (Lasa, Pedroni and Komm, 2024). As a result, there is increased disengagement, turnover, and halting of innovation.</w:t>
      </w:r>
    </w:p>
    <w:p w14:paraId="439C9DEB" w14:textId="77777777" w:rsidR="00191202" w:rsidRDefault="009035F2">
      <w:pPr>
        <w:pStyle w:val="Heading2"/>
      </w:pPr>
      <w:bookmarkStart w:id="6" w:name="_p96mi1bvj1ls" w:colFirst="0" w:colLast="0"/>
      <w:bookmarkEnd w:id="6"/>
      <w:r>
        <w:t xml:space="preserve">Modern Performance Appraisal System </w:t>
      </w:r>
    </w:p>
    <w:p w14:paraId="6A631809" w14:textId="77777777" w:rsidR="00191202" w:rsidRDefault="009035F2">
      <w:pPr>
        <w:pStyle w:val="Heading3"/>
        <w:keepNext w:val="0"/>
        <w:keepLines w:val="0"/>
        <w:spacing w:before="280"/>
        <w:jc w:val="left"/>
        <w:rPr>
          <w:b/>
          <w:bCs/>
          <w:color w:val="000000"/>
          <w:sz w:val="26"/>
          <w:szCs w:val="26"/>
        </w:rPr>
      </w:pPr>
      <w:bookmarkStart w:id="7" w:name="_vv6j9xu39peg" w:colFirst="0" w:colLast="0"/>
      <w:bookmarkEnd w:id="7"/>
      <w:r>
        <w:rPr>
          <w:b/>
          <w:bCs/>
          <w:color w:val="000000"/>
          <w:sz w:val="26"/>
          <w:szCs w:val="26"/>
        </w:rPr>
        <w:t>Objectives and Key Results (OKRs)</w:t>
      </w:r>
    </w:p>
    <w:p w14:paraId="769DFF09" w14:textId="77777777" w:rsidR="00191202" w:rsidRDefault="009035F2">
      <w:pPr>
        <w:jc w:val="center"/>
      </w:pPr>
      <w:r>
        <w:rPr>
          <w:noProof/>
        </w:rPr>
        <w:drawing>
          <wp:inline distT="114300" distB="114300" distL="114300" distR="114300" wp14:anchorId="70316543" wp14:editId="3206AEA8">
            <wp:extent cx="5943600" cy="3352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352800"/>
                    </a:xfrm>
                    <a:prstGeom prst="rect">
                      <a:avLst/>
                    </a:prstGeom>
                    <a:ln/>
                  </pic:spPr>
                </pic:pic>
              </a:graphicData>
            </a:graphic>
          </wp:inline>
        </w:drawing>
      </w:r>
    </w:p>
    <w:p w14:paraId="264E0072" w14:textId="77777777" w:rsidR="00191202" w:rsidRDefault="009035F2">
      <w:pPr>
        <w:jc w:val="center"/>
      </w:pPr>
      <w:r>
        <w:t>Figure 2: OKRs</w:t>
      </w:r>
      <w:r>
        <w:br/>
        <w:t>Source: (Stanciu, 2021)</w:t>
      </w:r>
    </w:p>
    <w:p w14:paraId="1973D8C7" w14:textId="77777777" w:rsidR="00191202" w:rsidRDefault="009035F2">
      <w:r>
        <w:t>OKRs have emerged as an integral part of performance management nowadays, especially in technology companies. Initially brought in at Intel and popularised by Google, OKRs connect the individual targets to the overall organisational objectives encouraging alignment and transparency (Niven and Lamorte, 2016; Johanning, 2023). In comparison to the fixed KPIs, OKRs operate on ambitious, but quantifiable goals, promoting innovation and flexibility in dynamic environments (Mohan, 2024). The implementation of OKR</w:t>
      </w:r>
      <w:r>
        <w:t>s at Google shows that transparency and open goals can be the key to collaboration within teams and an end to what Henry and his colleagues call siloed work habits (Badru et al., 2021). Making progress transparent is a factor that gives power to employees since they become aware of their role in a different strategic result, which enhances their engagement and responsibility.</w:t>
      </w:r>
    </w:p>
    <w:p w14:paraId="0C500916" w14:textId="77777777" w:rsidR="00191202" w:rsidRDefault="009035F2">
      <w:pPr>
        <w:pStyle w:val="Heading3"/>
        <w:keepNext w:val="0"/>
        <w:keepLines w:val="0"/>
        <w:spacing w:before="280"/>
        <w:jc w:val="left"/>
        <w:rPr>
          <w:b/>
          <w:bCs/>
          <w:color w:val="000000"/>
          <w:sz w:val="26"/>
          <w:szCs w:val="26"/>
        </w:rPr>
      </w:pPr>
      <w:bookmarkStart w:id="8" w:name="_griysr55b9tu" w:colFirst="0" w:colLast="0"/>
      <w:bookmarkEnd w:id="8"/>
      <w:r>
        <w:rPr>
          <w:b/>
          <w:bCs/>
          <w:color w:val="000000"/>
          <w:sz w:val="26"/>
          <w:szCs w:val="26"/>
        </w:rPr>
        <w:t>360‑Degree Feedback</w:t>
      </w:r>
      <w:r>
        <w:rPr>
          <w:b/>
          <w:bCs/>
          <w:noProof/>
          <w:color w:val="000000"/>
          <w:sz w:val="26"/>
          <w:szCs w:val="26"/>
        </w:rPr>
        <w:drawing>
          <wp:inline distT="114300" distB="114300" distL="114300" distR="114300" wp14:anchorId="45672B7D" wp14:editId="21FC26B0">
            <wp:extent cx="5943600" cy="3340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75794CB5" w14:textId="77777777" w:rsidR="00191202" w:rsidRDefault="009035F2">
      <w:pPr>
        <w:jc w:val="center"/>
      </w:pPr>
      <w:r>
        <w:t>Figure 3: 360‑Degree Feedback</w:t>
      </w:r>
    </w:p>
    <w:p w14:paraId="4980B30A" w14:textId="77777777" w:rsidR="00191202" w:rsidRDefault="009035F2">
      <w:pPr>
        <w:jc w:val="center"/>
      </w:pPr>
      <w:r>
        <w:t>Source: (linkedin, 2025)</w:t>
      </w:r>
    </w:p>
    <w:p w14:paraId="69616710" w14:textId="77777777" w:rsidR="00191202" w:rsidRDefault="009035F2">
      <w:r>
        <w:t>In addition to OKRs, a 360-degree feedback is an all-encompassing review that entails the views of other employees, subordinates, and seniors. This multi-source method reduces bias in the raters and it also fosters equality in the measuring performance (Brown, Inceoglu and Lin, 2016). In contrast to classical top-down appraisals, the 360-degree feedback allows capturing the various voices, which make people think about themselves and their ongoing growth. The studies indicate that a balance between timely f</w:t>
      </w:r>
      <w:r>
        <w:t>eedback and feedback helps to encourage employees to enhance their performance and seek growth opportunities (Kim and Zitek, 2024). Such systems in technology firms where teamwork and innovation are key attributes enhance trust and build on team dynamics.</w:t>
      </w:r>
    </w:p>
    <w:p w14:paraId="58BBC83F" w14:textId="77777777" w:rsidR="00191202" w:rsidRDefault="009035F2">
      <w:pPr>
        <w:pStyle w:val="Heading3"/>
        <w:keepNext w:val="0"/>
        <w:keepLines w:val="0"/>
        <w:spacing w:before="280"/>
        <w:jc w:val="left"/>
        <w:rPr>
          <w:b/>
          <w:bCs/>
          <w:color w:val="000000"/>
          <w:sz w:val="26"/>
          <w:szCs w:val="26"/>
        </w:rPr>
      </w:pPr>
      <w:bookmarkStart w:id="9" w:name="_5ndenls67j6p" w:colFirst="0" w:colLast="0"/>
      <w:bookmarkEnd w:id="9"/>
      <w:r>
        <w:rPr>
          <w:b/>
          <w:bCs/>
          <w:color w:val="000000"/>
          <w:sz w:val="26"/>
          <w:szCs w:val="26"/>
        </w:rPr>
        <w:t>Driving Alignment, Transparency, and Growth</w:t>
      </w:r>
    </w:p>
    <w:p w14:paraId="36FE0742" w14:textId="77777777" w:rsidR="00191202" w:rsidRDefault="009035F2">
      <w:r>
        <w:t>Existing along with 360-degree feedback, it is possible to note that the two methods for appraisal work in synergy. OKRs provide goals and targets that are forward looking and 360-degree feedback holds to transparency and growth. Organisational experience proves that organisations that implement such integrated systems experience greater engagement and performance rates; as the employees get the sense that they are empowered and properly rated (Lasa, Pedroni and Komm, 2024; Deloitte, 2025). In the case of A</w:t>
      </w:r>
      <w:r>
        <w:t>ether Innovations, the practices inherent in the embedded approach directly would resolve the turnover and disengagement issues by streamlining staff efforts to strategic priorities, enhancing transparency within the organisation, and building the culture of lifelong learning. The company can re-establish innovation and performance with the help of successful platforms that have been used by Google and Intel, to establish itself in the competitive market of technology on a sustainable basis.</w:t>
      </w:r>
    </w:p>
    <w:p w14:paraId="4A6937CE" w14:textId="77777777" w:rsidR="00191202" w:rsidRDefault="009035F2">
      <w:pPr>
        <w:pStyle w:val="Heading2"/>
      </w:pPr>
      <w:bookmarkStart w:id="10" w:name="_mpdlhjic7sb1" w:colFirst="0" w:colLast="0"/>
      <w:bookmarkEnd w:id="10"/>
      <w:r>
        <w:t>Job Analysis &amp; Design</w:t>
      </w:r>
    </w:p>
    <w:p w14:paraId="418EC8F4" w14:textId="77777777" w:rsidR="00191202" w:rsidRDefault="009035F2">
      <w:r>
        <w:t>The Job Characteristics Model (Hackman and Oldham, 1976; Ali et al., 2014) gives a strong microarchitecture in the design of roles, which increase motivation, innovation, and performance. It recognizes five fundamental dimensions of creativity, skill variation, task identification, task relevance, self-management, and feedback, which it has listed as key factors of employee engagement. Considering the situation in Aether Innovations where turnover and stagnation are urgent concerns, using this model will en</w:t>
      </w:r>
      <w:r>
        <w:t>able the organisation to shift from transactional job descriptions to a strategically planned job role which would promote creativity and accountability.</w:t>
      </w:r>
    </w:p>
    <w:p w14:paraId="1DC020CB" w14:textId="77777777" w:rsidR="00191202" w:rsidRDefault="009035F2">
      <w:r>
        <w:t>The variety of skills used by the employees provides them with the opportunity to use various skills rather than focus on one, which is important to avoid monotony and encourage innovation (Bosley, 2023). Task identity reinforces ownership as it allows one to complete projects through development to the end, which is crucial in the technology companies where end-to-end innovation is a competitive edge (Pee, 2011). Decision-making is made autonomous, and bureaucratic downturns are kept down, as well as the r</w:t>
      </w:r>
      <w:r>
        <w:t>esponsiveness to market changes is promoted (Armstrong, 2021). Lastly, feedback offers relevant performance information in time, which strengthens on-going learning and enhancement.</w:t>
      </w:r>
    </w:p>
    <w:p w14:paraId="6EB6D1A7" w14:textId="77777777" w:rsidR="00191202" w:rsidRDefault="009035F2">
      <w:r>
        <w:t>Integrating these dimensions in leadership and specialist activities, Aether Innovations will be able to shape the job design using it as a strategic activity to engage with. Such strategy motivates and also instils a performance based culture in which innovation flourishes, a direct solution to organisational issues of disengagement and poor growth.</w:t>
      </w:r>
    </w:p>
    <w:p w14:paraId="7695DF90" w14:textId="77777777" w:rsidR="00191202" w:rsidRDefault="009035F2">
      <w:pPr>
        <w:numPr>
          <w:ilvl w:val="0"/>
          <w:numId w:val="1"/>
        </w:numPr>
        <w:rPr>
          <w:b/>
          <w:bCs/>
        </w:rPr>
      </w:pPr>
      <w:r>
        <w:rPr>
          <w:b/>
          <w:bCs/>
        </w:rPr>
        <w:t>CEO – Strategic Visionary</w:t>
      </w:r>
    </w:p>
    <w:p w14:paraId="6EAE86BA" w14:textId="77777777" w:rsidR="00191202" w:rsidRDefault="009035F2">
      <w:pPr>
        <w:numPr>
          <w:ilvl w:val="1"/>
          <w:numId w:val="1"/>
        </w:numPr>
      </w:pPr>
      <w:r>
        <w:t>Responsibilities: Enhance organisational vision, pursue innovation strategy, be in charge of growth.</w:t>
      </w:r>
    </w:p>
    <w:p w14:paraId="387391AB" w14:textId="77777777" w:rsidR="00191202" w:rsidRDefault="009035F2">
      <w:pPr>
        <w:numPr>
          <w:ilvl w:val="1"/>
          <w:numId w:val="1"/>
        </w:numPr>
      </w:pPr>
      <w:r>
        <w:t>Specifications: Large skill variety in leadership, finance, and innovation; decision independence; and constant feedback of board and stakeholders.</w:t>
      </w:r>
    </w:p>
    <w:p w14:paraId="44A82FF4" w14:textId="77777777" w:rsidR="00191202" w:rsidRDefault="009035F2">
      <w:pPr>
        <w:numPr>
          <w:ilvl w:val="1"/>
          <w:numId w:val="1"/>
        </w:numPr>
      </w:pPr>
      <w:r>
        <w:t>Impact: Will promote holistic leadership and the culture of accountability (Armstrong, 2021).</w:t>
      </w:r>
    </w:p>
    <w:p w14:paraId="03446D86" w14:textId="77777777" w:rsidR="00191202" w:rsidRDefault="009035F2">
      <w:pPr>
        <w:numPr>
          <w:ilvl w:val="0"/>
          <w:numId w:val="1"/>
        </w:numPr>
        <w:rPr>
          <w:b/>
          <w:bCs/>
        </w:rPr>
      </w:pPr>
      <w:r>
        <w:rPr>
          <w:b/>
          <w:bCs/>
        </w:rPr>
        <w:t>CFO – Financial Steward</w:t>
      </w:r>
    </w:p>
    <w:p w14:paraId="732A64E6" w14:textId="77777777" w:rsidR="00191202" w:rsidRDefault="009035F2">
      <w:pPr>
        <w:numPr>
          <w:ilvl w:val="1"/>
          <w:numId w:val="1"/>
        </w:numPr>
      </w:pPr>
      <w:r>
        <w:t>Roles: Financial allocation, capital allocation and risk management.</w:t>
      </w:r>
    </w:p>
    <w:p w14:paraId="3C6DC6BD" w14:textId="77777777" w:rsidR="00191202" w:rsidRDefault="009035F2">
      <w:pPr>
        <w:numPr>
          <w:ilvl w:val="1"/>
          <w:numId w:val="1"/>
        </w:numPr>
      </w:pPr>
      <w:r>
        <w:t>Specifications: Good analytical abilities, job recognition in financial management, independent investment decision making, performance feedback.</w:t>
      </w:r>
    </w:p>
    <w:p w14:paraId="5A6E22E4" w14:textId="77777777" w:rsidR="00191202" w:rsidRDefault="009035F2">
      <w:pPr>
        <w:numPr>
          <w:ilvl w:val="1"/>
          <w:numId w:val="1"/>
        </w:numPr>
      </w:pPr>
      <w:r>
        <w:t>Impact: The sustainability of the finances is ensured in addition to the possibility of strategic innovation (Bosley, 2023).</w:t>
      </w:r>
    </w:p>
    <w:p w14:paraId="4E3D63B0" w14:textId="77777777" w:rsidR="00191202" w:rsidRDefault="009035F2">
      <w:pPr>
        <w:numPr>
          <w:ilvl w:val="0"/>
          <w:numId w:val="1"/>
        </w:numPr>
        <w:rPr>
          <w:b/>
          <w:bCs/>
        </w:rPr>
      </w:pPr>
      <w:r>
        <w:rPr>
          <w:b/>
          <w:bCs/>
        </w:rPr>
        <w:t>CTO – Technology Architect</w:t>
      </w:r>
    </w:p>
    <w:p w14:paraId="24262F21" w14:textId="77777777" w:rsidR="00191202" w:rsidRDefault="009035F2">
      <w:pPr>
        <w:numPr>
          <w:ilvl w:val="1"/>
          <w:numId w:val="1"/>
        </w:numPr>
      </w:pPr>
      <w:r>
        <w:t>Accountabilities: head of technological infrastructure, product development.</w:t>
      </w:r>
    </w:p>
    <w:p w14:paraId="67EAD6CF" w14:textId="77777777" w:rsidR="00191202" w:rsidRDefault="009035F2">
      <w:pPr>
        <w:numPr>
          <w:ilvl w:val="1"/>
          <w:numId w:val="1"/>
        </w:numPr>
      </w:pPr>
      <w:r>
        <w:t>Specifications: Technical ability in the field of engineering and digital transformation, self-directed work in the field of entering technology, feedback in the performance of the project.</w:t>
      </w:r>
    </w:p>
    <w:p w14:paraId="373FAA87" w14:textId="77777777" w:rsidR="00191202" w:rsidRDefault="009035F2">
      <w:pPr>
        <w:numPr>
          <w:ilvl w:val="1"/>
          <w:numId w:val="1"/>
        </w:numPr>
      </w:pPr>
      <w:r>
        <w:t>Impact: Powers agility and technical solution innovativeness (Pee, 2011).</w:t>
      </w:r>
    </w:p>
    <w:p w14:paraId="207DC307" w14:textId="77777777" w:rsidR="00191202" w:rsidRDefault="009035F2">
      <w:pPr>
        <w:numPr>
          <w:ilvl w:val="0"/>
          <w:numId w:val="1"/>
        </w:numPr>
        <w:rPr>
          <w:b/>
          <w:bCs/>
        </w:rPr>
      </w:pPr>
      <w:r>
        <w:rPr>
          <w:b/>
          <w:bCs/>
        </w:rPr>
        <w:t>CIO -Chief Innovation Officer.</w:t>
      </w:r>
    </w:p>
    <w:p w14:paraId="13AFB00C" w14:textId="77777777" w:rsidR="00191202" w:rsidRDefault="009035F2">
      <w:pPr>
        <w:numPr>
          <w:ilvl w:val="1"/>
          <w:numId w:val="1"/>
        </w:numPr>
      </w:pPr>
      <w:r>
        <w:t>Work: Be an intrapreneurship champion, run innovation sprints, make innovative practices actual.</w:t>
      </w:r>
    </w:p>
    <w:p w14:paraId="5601814B" w14:textId="77777777" w:rsidR="00191202" w:rsidRDefault="009035F2">
      <w:pPr>
        <w:numPr>
          <w:ilvl w:val="1"/>
          <w:numId w:val="1"/>
        </w:numPr>
      </w:pPr>
      <w:r>
        <w:t>Specifications: High autonomy, R&amp;D and cross-functional work-related skill variety, Feedback based on innovation measures.</w:t>
      </w:r>
    </w:p>
    <w:p w14:paraId="12C9F849" w14:textId="77777777" w:rsidR="00191202" w:rsidRDefault="009035F2">
      <w:pPr>
        <w:numPr>
          <w:ilvl w:val="1"/>
          <w:numId w:val="1"/>
        </w:numPr>
      </w:pPr>
      <w:r>
        <w:t>Impact: develops a culture of experimenting and being future-ready (Suganthi, 2025).</w:t>
      </w:r>
    </w:p>
    <w:p w14:paraId="6946BA6B" w14:textId="77777777" w:rsidR="00191202" w:rsidRDefault="009035F2">
      <w:pPr>
        <w:numPr>
          <w:ilvl w:val="0"/>
          <w:numId w:val="1"/>
        </w:numPr>
        <w:rPr>
          <w:b/>
          <w:bCs/>
        </w:rPr>
      </w:pPr>
      <w:r>
        <w:rPr>
          <w:b/>
          <w:bCs/>
        </w:rPr>
        <w:t>Director of HR: People Strategist.</w:t>
      </w:r>
    </w:p>
    <w:p w14:paraId="596A9A06" w14:textId="77777777" w:rsidR="00191202" w:rsidRDefault="009035F2">
      <w:pPr>
        <w:numPr>
          <w:ilvl w:val="1"/>
          <w:numId w:val="1"/>
        </w:numPr>
      </w:pPr>
      <w:r>
        <w:t>Skills: Compose HR policies, build talent ecosystem, become engaged.</w:t>
      </w:r>
    </w:p>
    <w:p w14:paraId="69A3BB62" w14:textId="77777777" w:rsidR="00191202" w:rsidRDefault="009035F2">
      <w:pPr>
        <w:numPr>
          <w:ilvl w:val="1"/>
          <w:numId w:val="1"/>
        </w:numPr>
      </w:pPr>
      <w:r>
        <w:t>Specifications: Ability to vary skills within organisational behaviour and the design of policies, independence in the HR strategy, employee survey feedback.</w:t>
      </w:r>
    </w:p>
    <w:p w14:paraId="49588B53" w14:textId="77777777" w:rsidR="00191202" w:rsidRDefault="009035F2">
      <w:pPr>
        <w:numPr>
          <w:ilvl w:val="1"/>
          <w:numId w:val="1"/>
        </w:numPr>
      </w:pPr>
      <w:r>
        <w:t>Impact: Enhances the alignment to the people practices with the organisational goals, decreasing the turnover (Gallup, 2025).</w:t>
      </w:r>
    </w:p>
    <w:p w14:paraId="64E5B821" w14:textId="77777777" w:rsidR="00191202" w:rsidRDefault="009035F2">
      <w:pPr>
        <w:numPr>
          <w:ilvl w:val="0"/>
          <w:numId w:val="1"/>
        </w:numPr>
        <w:rPr>
          <w:b/>
          <w:bCs/>
        </w:rPr>
      </w:pPr>
      <w:r>
        <w:rPr>
          <w:b/>
          <w:bCs/>
        </w:rPr>
        <w:t>Head of R&amp;D – Innovation Driver</w:t>
      </w:r>
    </w:p>
    <w:p w14:paraId="5BD5C70B" w14:textId="77777777" w:rsidR="00191202" w:rsidRDefault="009035F2">
      <w:pPr>
        <w:numPr>
          <w:ilvl w:val="1"/>
          <w:numId w:val="1"/>
        </w:numPr>
      </w:pPr>
      <w:r>
        <w:t>Tasks: head up research work, coordinate product innovation stream.</w:t>
      </w:r>
    </w:p>
    <w:p w14:paraId="3341D0E8" w14:textId="77777777" w:rsidR="00191202" w:rsidRDefault="009035F2">
      <w:pPr>
        <w:numPr>
          <w:ilvl w:val="1"/>
          <w:numId w:val="1"/>
        </w:numPr>
      </w:pPr>
      <w:r>
        <w:t>Specifications: End-to-end innovation Task identity, experimentation autonomy, feedback through market adoption.</w:t>
      </w:r>
    </w:p>
    <w:p w14:paraId="7EF81AEF" w14:textId="77777777" w:rsidR="00191202" w:rsidRDefault="009035F2">
      <w:pPr>
        <w:numPr>
          <w:ilvl w:val="1"/>
          <w:numId w:val="1"/>
        </w:numPr>
      </w:pPr>
      <w:r>
        <w:t>Effect: Increases creativity and knowledge delivery (Ali et al., 2014; Pee, 2011).</w:t>
      </w:r>
    </w:p>
    <w:p w14:paraId="0F2E4E0B" w14:textId="77777777" w:rsidR="00191202" w:rsidRDefault="009035F2">
      <w:r>
        <w:t>Through the implementation of the Job Characteristics Model in these six positions, Aether Innovations will guarantee the autonomy of the employees, the ability to use the skills, and the receipt of valuable feedback. This design is also motivational, as well as making a performance-driven organization where innovation and involvement flourish directly to the challenges that the company faces regarding turnover and stagnation (Armstrong, 2021; Bosley, 2023).</w:t>
      </w:r>
    </w:p>
    <w:p w14:paraId="7E74C25A" w14:textId="77777777" w:rsidR="00191202" w:rsidRDefault="009035F2">
      <w:pPr>
        <w:pStyle w:val="Heading2"/>
      </w:pPr>
      <w:bookmarkStart w:id="11" w:name="_n4qh8j7the6c" w:colFirst="0" w:colLast="0"/>
      <w:bookmarkEnd w:id="11"/>
      <w:r>
        <w:t>Integration: Creating a Performance-Driven Culture</w:t>
      </w:r>
    </w:p>
    <w:p w14:paraId="6050E60A" w14:textId="77777777" w:rsidR="00191202" w:rsidRDefault="009035F2">
      <w:pPr>
        <w:rPr>
          <w:color w:val="111111"/>
          <w:shd w:val="clear" w:color="auto" w:fill="D4EDDA"/>
        </w:rPr>
      </w:pPr>
      <w:r>
        <w:t>Modern appraisal systems integrated with strategic job design form a reinforcing cycle which propels engagement and customer excellence. OKRs and 360-degree feedback allow a feeling of transparency and accountability, whereas the Job Characteristics Model makes sure that roles are rewarding and creative (Ali et al., 2014; Brown, Inceoglu and Lin, 2016). They all ensure alignment of individual contributions to the organisational objectives, promote autonomy and provide meaningful feedback. The individuals wo</w:t>
      </w:r>
      <w:r>
        <w:t>rk together to create a culture that succeeds in resourcefulness as the workers feel a sense of value and empowerment which then results in fewer turnovers. Finally, motivated employees provide high-quality customer experiences, which will place Aether Innovations in the position of sustained growth and competitive advantage (Gallup, 2025).</w:t>
      </w:r>
    </w:p>
    <w:p w14:paraId="1A95E47A" w14:textId="77777777" w:rsidR="00191202" w:rsidRDefault="009035F2">
      <w:pPr>
        <w:pStyle w:val="Heading1"/>
        <w:spacing w:before="240" w:after="240"/>
        <w:jc w:val="left"/>
      </w:pPr>
      <w:bookmarkStart w:id="12" w:name="_827yvunj3r9y" w:colFirst="0" w:colLast="0"/>
      <w:bookmarkEnd w:id="12"/>
      <w:r>
        <w:t>Part 2: Write a reflection</w:t>
      </w:r>
    </w:p>
    <w:p w14:paraId="036AE3CE" w14:textId="77777777" w:rsidR="00191202" w:rsidRDefault="009035F2">
      <w:pPr>
        <w:pStyle w:val="Heading2"/>
        <w:spacing w:before="240" w:after="240"/>
        <w:jc w:val="left"/>
      </w:pPr>
      <w:bookmarkStart w:id="13" w:name="_i2rplmomb4kj" w:colFirst="0" w:colLast="0"/>
      <w:bookmarkEnd w:id="13"/>
      <w:r>
        <w:t>Reflection: Gibbs’ Reflective Cycle</w:t>
      </w:r>
    </w:p>
    <w:p w14:paraId="36B21441" w14:textId="77777777" w:rsidR="00191202" w:rsidRDefault="009035F2">
      <w:r>
        <w:rPr>
          <w:noProof/>
        </w:rPr>
        <w:drawing>
          <wp:inline distT="114300" distB="114300" distL="114300" distR="114300" wp14:anchorId="61650454" wp14:editId="7B63F4E9">
            <wp:extent cx="5943600" cy="44577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4457700"/>
                    </a:xfrm>
                    <a:prstGeom prst="rect">
                      <a:avLst/>
                    </a:prstGeom>
                    <a:ln/>
                  </pic:spPr>
                </pic:pic>
              </a:graphicData>
            </a:graphic>
          </wp:inline>
        </w:drawing>
      </w:r>
    </w:p>
    <w:p w14:paraId="68BFC0DA" w14:textId="77777777" w:rsidR="00191202" w:rsidRDefault="009035F2">
      <w:pPr>
        <w:jc w:val="center"/>
      </w:pPr>
      <w:r>
        <w:t>Figure 4:  Gibbs’ Reflective Cycle</w:t>
      </w:r>
    </w:p>
    <w:p w14:paraId="1F5650BA" w14:textId="77777777" w:rsidR="00191202" w:rsidRDefault="009035F2">
      <w:pPr>
        <w:jc w:val="center"/>
      </w:pPr>
      <w:r>
        <w:t>Source: (McLeod, 2025)</w:t>
      </w:r>
    </w:p>
    <w:p w14:paraId="4D63A7C4" w14:textId="77777777" w:rsidR="00191202" w:rsidRDefault="009035F2">
      <w:pPr>
        <w:rPr>
          <w:b/>
          <w:bCs/>
        </w:rPr>
      </w:pPr>
      <w:r>
        <w:rPr>
          <w:b/>
          <w:bCs/>
        </w:rPr>
        <w:t>Description</w:t>
      </w:r>
    </w:p>
    <w:p w14:paraId="0327ECE3" w14:textId="77777777" w:rsidR="00191202" w:rsidRDefault="009035F2">
      <w:r>
        <w:t>In the Human Capital Management course, I discussed how strategic HR practices can change the performance of an organisation. Such models as the Job Characteristics Model (Hackman and Oldham, 1976; Ali et al., 2014), Objectives and Key Results (Niven and Lamorte, 2016), and 360-degree feedback (Brown, Inceoglu and Lin, 2016) are the only models that I was compelled to use as the case of Aether Innovations required. The tools were a systematic means of dealing with stagnation, turnover, and dissatisfaction i</w:t>
      </w:r>
      <w:r>
        <w:t>ssues among customers. The module taught the importance of critical assessment, where I shifted away to descriptive narrations and resorted to analysing how the HRM theory can be modified to suit the dynamic business environment.</w:t>
      </w:r>
    </w:p>
    <w:p w14:paraId="2DB77C69" w14:textId="77777777" w:rsidR="00191202" w:rsidRDefault="009035F2">
      <w:pPr>
        <w:rPr>
          <w:b/>
          <w:bCs/>
        </w:rPr>
      </w:pPr>
      <w:r>
        <w:rPr>
          <w:b/>
          <w:bCs/>
        </w:rPr>
        <w:t>Feelings</w:t>
      </w:r>
    </w:p>
    <w:p w14:paraId="732C879C" w14:textId="77777777" w:rsidR="00191202" w:rsidRDefault="009035F2">
      <w:r>
        <w:t>Initially, I was afraid of relating abstract HR theories with actual problems in organisations. I found such concepts as OKRs and job design to be complicated, and I did not believe that I could implement them. Nevertheless, having worked with case studies on Google, Intel, and Spotify, I started liking the functioning of these frameworks in the field. I also became more confident as I understood that HRM is not only administrative but also a tool of innovation and involvement. This change made me feel empo</w:t>
      </w:r>
      <w:r>
        <w:t>wered, because I felt my ability to come up with people-centred solutions that have a direct impact on organisational results.</w:t>
      </w:r>
    </w:p>
    <w:p w14:paraId="0E5B56BF" w14:textId="77777777" w:rsidR="00191202" w:rsidRDefault="009035F2">
      <w:pPr>
        <w:rPr>
          <w:b/>
          <w:bCs/>
        </w:rPr>
      </w:pPr>
      <w:r>
        <w:rPr>
          <w:b/>
          <w:bCs/>
        </w:rPr>
        <w:t>Evaluation</w:t>
      </w:r>
    </w:p>
    <w:p w14:paraId="611BA697" w14:textId="77777777" w:rsidR="00191202" w:rsidRDefault="009035F2">
      <w:r>
        <w:t>The learning process was both positive and negative. On the positive side, I got an understanding of how modern appraisal systems eliminate the shortcomings of annual reviews and KPIs that tend to be biased and unresponsive (Kim and Zitek, 2024; Deloitte, 2025). I also got to know that the concepts of job design such as skill variety, autonomy, and feedback could motivate employees and decrease workplace turnover (Bosley, 2023; Pee, 2011). Negatively, I had a problem of balancing theoretical and practical a</w:t>
      </w:r>
      <w:r>
        <w:t>pplication when I first started presenting myself in my coursework. When I first started, my work was descriptive, however, lecturers outlined that it was necessary to take a more critical approach to the work, which enhanced the quality of my analysis.</w:t>
      </w:r>
    </w:p>
    <w:p w14:paraId="7CD2DA73" w14:textId="77777777" w:rsidR="00191202" w:rsidRDefault="009035F2">
      <w:pPr>
        <w:rPr>
          <w:b/>
          <w:bCs/>
        </w:rPr>
      </w:pPr>
      <w:r>
        <w:rPr>
          <w:b/>
          <w:bCs/>
        </w:rPr>
        <w:t>Analysis</w:t>
      </w:r>
    </w:p>
    <w:p w14:paraId="401367B0" w14:textId="77777777" w:rsidR="00191202" w:rsidRDefault="009035F2">
      <w:r>
        <w:t>I was in a position to consider my learning through a reflective model developed by Gibbs because I used reflective cycle (Dutta, 2023). I realised that appraisal and job design are interdependent: the accountability and purpose of the appraisal and job design give the employees a sense of transparency and direction, whereas job design enables them to feel freedom and valuable feedback. Their association will result in a performance-oriented culture, which promotes innovation (Lasa, Pedroni and Komm, 2024).</w:t>
      </w:r>
      <w:r>
        <w:t xml:space="preserve"> I also realised the need to be critical of its evaluation- should the models such as the Balanced Scorecard (Kaplan and Norton, 1992) still be applied in the agile environment. This discussion enhanced my synthesising skills of various opinions and advancing evidence-based recommendations. Notably, I also came to understand that reflection itself is a developmental resource whereby I was able to trace areas of gaps in my practice and strategize on how to correct this situation.</w:t>
      </w:r>
    </w:p>
    <w:p w14:paraId="437D92CB" w14:textId="77777777" w:rsidR="00191202" w:rsidRDefault="009035F2">
      <w:pPr>
        <w:rPr>
          <w:b/>
          <w:bCs/>
        </w:rPr>
      </w:pPr>
      <w:r>
        <w:rPr>
          <w:b/>
          <w:bCs/>
        </w:rPr>
        <w:t>Conclusion</w:t>
      </w:r>
    </w:p>
    <w:p w14:paraId="43755701" w14:textId="77777777" w:rsidR="00191202" w:rsidRDefault="009035F2">
      <w:r>
        <w:t>The module has given me a foundation through which to structure Learning and Development strategies that would result in innovation and growth mentality. Now I can understand that it is necessary to use structural systems (such as OKRs) to implement HR strategies, along with motivational job design guidelines. What is more important, I have also learned how to critically evaluate my own practice and thus, determine the strengths and areas of improvement. This reflexive ability will enable me to get adjusted</w:t>
      </w:r>
      <w:r>
        <w:t xml:space="preserve"> to the complex organisational tasks and constantly enhance my professional competence.</w:t>
      </w:r>
    </w:p>
    <w:p w14:paraId="0797925D" w14:textId="77777777" w:rsidR="00191202" w:rsidRDefault="009035F2">
      <w:pPr>
        <w:rPr>
          <w:b/>
          <w:bCs/>
        </w:rPr>
      </w:pPr>
      <w:r>
        <w:rPr>
          <w:b/>
          <w:bCs/>
        </w:rPr>
        <w:t>Action Plan</w:t>
      </w:r>
    </w:p>
    <w:p w14:paraId="5CD6BAD2" w14:textId="77777777" w:rsidR="00191202" w:rsidRDefault="009035F2">
      <w:r>
        <w:t>Going forward, I will incorporate reflective practice in my professional growth. The reason is that I will utilize the Gibbs cycle periodically to analyze the choices and consequences and keep learning. I will also seek to learn more about HRM through the existing studies and industry reports, including Gallup workplace studies (2025) and the Future of Jobs Report by the World Economic Forum (2025). I am also going to aim at developing a growth mindset through taking risks, soliciting feedback, and trying n</w:t>
      </w:r>
      <w:r>
        <w:t>ew practices. In this way, I will be flexible enough to work in a fast-evolving environment and become a strategic HR professional who can both promote the engagement levels among employees and provide the companies with the required excellence.</w:t>
      </w:r>
    </w:p>
    <w:p w14:paraId="34C9FD9B" w14:textId="77777777" w:rsidR="00191202" w:rsidRDefault="009035F2">
      <w:pPr>
        <w:pStyle w:val="Heading2"/>
        <w:spacing w:before="240" w:after="240"/>
        <w:jc w:val="left"/>
      </w:pPr>
      <w:bookmarkStart w:id="14" w:name="_7tmx37o2oo4u" w:colFirst="0" w:colLast="0"/>
      <w:bookmarkEnd w:id="14"/>
      <w:r>
        <w:t>Reflection on AI and Future Relevance</w:t>
      </w:r>
    </w:p>
    <w:p w14:paraId="4412EBB0" w14:textId="77777777" w:rsidR="00191202" w:rsidRDefault="009035F2">
      <w:r>
        <w:t>Artificial intelligence is becoming more and more effective in automating conventional functions, screening of recruitments to monitoring of performances. Although this has a benefit of efficiency, the issue of human displacement also arises. To be relevant, I will position myself as an HR strategic thought leader where I will use AI as an aiding tool and not a substitution. Thoroughly, by illustration, an example is how AI can enable the automated execution of routine work processes, e.g. data analysis, em</w:t>
      </w:r>
      <w:r>
        <w:t>ployee survey and predictive turnover modelling, as it leaves me to concentrate on more sophisticated duties like culture building, innovation and strategic workforce planning (World Economic Forum, 2025).</w:t>
      </w:r>
    </w:p>
    <w:p w14:paraId="24E8AA9D" w14:textId="77777777" w:rsidR="00191202" w:rsidRDefault="009035F2">
      <w:r>
        <w:t>I will use the non-replacement strategy to incorporate AI in decision-making without abandoning human factors. Artificial intelligence can give us information, but it is on us to put that information into perspective, to be intuitive, and moral, attributes unique to human beings. The mindset of growth will enable me to cover my competencies in digital HR tools, analytics, and change management on a consistent basis and keep myself flexible in the face of an ever-evolving environment.</w:t>
      </w:r>
    </w:p>
    <w:p w14:paraId="0CE5FD30" w14:textId="77777777" w:rsidR="00191202" w:rsidRDefault="009035F2">
      <w:r>
        <w:t>Moreover, I am going to apply AI to improve learning and development, through personalisation of the training sessions and the identification of the skills shortcomings, leaving the design of the programmes that will help inspire creativity and teamwork. This tradeoff will also give the technology a chance to complement and not to destroy the human potential. Finally, my usefulness will be determined by my capacity to blend technological fluency in strategic vision and emotional intelligence. Outsourcing AI</w:t>
      </w:r>
      <w:r>
        <w:t xml:space="preserve"> to an ally would enable me to be more innovative and engaging as well as preserving the human component that is still at the centre stage of organisational performance.</w:t>
      </w:r>
    </w:p>
    <w:p w14:paraId="6E2EDE18" w14:textId="77777777" w:rsidR="00191202" w:rsidRDefault="00191202">
      <w:pPr>
        <w:spacing w:before="240" w:after="240"/>
        <w:jc w:val="left"/>
      </w:pPr>
    </w:p>
    <w:p w14:paraId="170B3FC0" w14:textId="77777777" w:rsidR="00191202" w:rsidRDefault="009035F2">
      <w:r>
        <w:br w:type="page"/>
      </w:r>
    </w:p>
    <w:p w14:paraId="25995423" w14:textId="77777777" w:rsidR="00191202" w:rsidRDefault="009035F2">
      <w:pPr>
        <w:pStyle w:val="Heading1"/>
      </w:pPr>
      <w:bookmarkStart w:id="15" w:name="_l8p57g40tq11" w:colFirst="0" w:colLast="0"/>
      <w:bookmarkEnd w:id="15"/>
      <w:r>
        <w:t xml:space="preserve">Reference list </w:t>
      </w:r>
    </w:p>
    <w:p w14:paraId="063D7CB7" w14:textId="77777777" w:rsidR="00191202" w:rsidRDefault="009035F2">
      <w:pPr>
        <w:spacing w:after="240"/>
      </w:pPr>
      <w:r>
        <w:t xml:space="preserve">Ali, S.A.M., Said, N.A., Yunus, N.M., Kader, S.F.A., Latif, D.S.A. and Munap, R. (2014). Hackman and Oldham’s Job Characteristics Model to Job Satisfaction. </w:t>
      </w:r>
      <w:r>
        <w:rPr>
          <w:i/>
          <w:iCs/>
        </w:rPr>
        <w:t>Procedia - Social and Behavioral Sciences</w:t>
      </w:r>
      <w:r>
        <w:t>, [online] 129(2014), pp.46–52. doi:</w:t>
      </w:r>
      <w:hyperlink r:id="rId12">
        <w:r w:rsidR="00191202">
          <w:rPr>
            <w:color w:val="1155CC"/>
            <w:u w:val="single"/>
          </w:rPr>
          <w:t>https://doi.org/10.1016/j.sbspro.2014.03.646</w:t>
        </w:r>
      </w:hyperlink>
      <w:r>
        <w:t xml:space="preserve">. </w:t>
      </w:r>
    </w:p>
    <w:p w14:paraId="7FE61C38" w14:textId="77777777" w:rsidR="00191202" w:rsidRDefault="009035F2">
      <w:pPr>
        <w:spacing w:after="240"/>
      </w:pPr>
      <w:r>
        <w:t xml:space="preserve">Armstrong, M. (2021). </w:t>
      </w:r>
      <w:r>
        <w:rPr>
          <w:i/>
          <w:iCs/>
        </w:rPr>
        <w:t>ARMSTRONG’S HANDBOOK OF STRATEGIC HUMAN RESOURCE MANAGEMENT : improve business performance... through strategic people management.</w:t>
      </w:r>
      <w:r>
        <w:t xml:space="preserve"> 7th ed. S.L.: Kogan Page.</w:t>
      </w:r>
    </w:p>
    <w:p w14:paraId="39D582D6" w14:textId="77777777" w:rsidR="00191202" w:rsidRDefault="009035F2">
      <w:pPr>
        <w:spacing w:after="240"/>
      </w:pPr>
      <w:r>
        <w:t xml:space="preserve">Badru, A., Chetty, T., Gigaba, S. and Khuluse, H. (2021). Case Analysis: Human Resource Management Strategy at Google. </w:t>
      </w:r>
      <w:r>
        <w:rPr>
          <w:i/>
          <w:iCs/>
        </w:rPr>
        <w:t>ResearchGate</w:t>
      </w:r>
      <w:r>
        <w:t>. [online] doi:</w:t>
      </w:r>
      <w:hyperlink r:id="rId13">
        <w:r w:rsidR="00191202">
          <w:rPr>
            <w:color w:val="1155CC"/>
            <w:u w:val="single"/>
          </w:rPr>
          <w:t>https://doi.org/10.13140/RG.2.2.22876.87682</w:t>
        </w:r>
      </w:hyperlink>
      <w:r>
        <w:t xml:space="preserve">. </w:t>
      </w:r>
    </w:p>
    <w:p w14:paraId="4F091432" w14:textId="77777777" w:rsidR="00191202" w:rsidRDefault="009035F2">
      <w:pPr>
        <w:spacing w:after="240"/>
      </w:pPr>
      <w:r>
        <w:t xml:space="preserve">Bosley, A. (2023). </w:t>
      </w:r>
      <w:r>
        <w:rPr>
          <w:i/>
          <w:iCs/>
        </w:rPr>
        <w:t>CIPD | Job Design | Factsheets</w:t>
      </w:r>
      <w:r>
        <w:t xml:space="preserve">. [online] CIPD. Available at: </w:t>
      </w:r>
      <w:hyperlink r:id="rId14">
        <w:r w:rsidR="00191202">
          <w:rPr>
            <w:color w:val="1155CC"/>
            <w:u w:val="single"/>
          </w:rPr>
          <w:t>https://www.cipd.org/en/knowledge/factsheets/job-design-factsheet/</w:t>
        </w:r>
      </w:hyperlink>
      <w:r>
        <w:t xml:space="preserve">. </w:t>
      </w:r>
    </w:p>
    <w:p w14:paraId="2A58B4CE" w14:textId="77777777" w:rsidR="00191202" w:rsidRDefault="009035F2">
      <w:pPr>
        <w:spacing w:after="240"/>
      </w:pPr>
      <w:r>
        <w:t xml:space="preserve">Brown, A., Inceoglu, I. and Lin, Y. (2016). Preventing Rater Biases in 360-Degree Feedback by Forcing Choice. </w:t>
      </w:r>
      <w:r>
        <w:rPr>
          <w:i/>
          <w:iCs/>
        </w:rPr>
        <w:t>Organizational Research Methods</w:t>
      </w:r>
      <w:r>
        <w:t>, 20(1), pp.121–148. doi:</w:t>
      </w:r>
      <w:hyperlink r:id="rId15">
        <w:r w:rsidR="00191202">
          <w:rPr>
            <w:color w:val="1155CC"/>
            <w:u w:val="single"/>
          </w:rPr>
          <w:t>https://doi.org/10.1177/1094428116668036</w:t>
        </w:r>
      </w:hyperlink>
      <w:r>
        <w:t xml:space="preserve">. </w:t>
      </w:r>
    </w:p>
    <w:p w14:paraId="281D193B" w14:textId="77777777" w:rsidR="00191202" w:rsidRDefault="009035F2">
      <w:pPr>
        <w:spacing w:after="240"/>
      </w:pPr>
      <w:r>
        <w:t xml:space="preserve">Deloitte (2025). </w:t>
      </w:r>
      <w:r>
        <w:rPr>
          <w:i/>
          <w:iCs/>
        </w:rPr>
        <w:t>Reinventing performance management processes won’t unlock human performance. Here’s what will.</w:t>
      </w:r>
      <w:r>
        <w:t xml:space="preserve"> [online] Deloitte Insights. Available at: </w:t>
      </w:r>
      <w:hyperlink r:id="rId16">
        <w:r w:rsidR="00191202">
          <w:rPr>
            <w:color w:val="1155CC"/>
            <w:u w:val="single"/>
          </w:rPr>
          <w:t>https://www.deloitte.com/us/en/insights/focus/human-capital-trends/2025/employee-performance-management-optimization-effective-strategy.html</w:t>
        </w:r>
      </w:hyperlink>
      <w:r>
        <w:t xml:space="preserve">. </w:t>
      </w:r>
    </w:p>
    <w:p w14:paraId="7F5DB077" w14:textId="77777777" w:rsidR="00191202" w:rsidRDefault="009035F2">
      <w:pPr>
        <w:spacing w:after="240"/>
      </w:pPr>
      <w:r>
        <w:t xml:space="preserve">Dutta, S. (2023). </w:t>
      </w:r>
      <w:r>
        <w:rPr>
          <w:i/>
          <w:iCs/>
        </w:rPr>
        <w:t>Gibbs’ reflective cycle (Adapted from Gibbs, 1988).</w:t>
      </w:r>
      <w:r>
        <w:t xml:space="preserve"> [online] ResearchGate. Available at: </w:t>
      </w:r>
      <w:hyperlink r:id="rId17">
        <w:r w:rsidR="00191202">
          <w:rPr>
            <w:color w:val="1155CC"/>
            <w:u w:val="single"/>
          </w:rPr>
          <w:t>https://www.researchgate.net/figure/Gibbs-reflective-cycle-Adapted-from-Gibbs-1988_fig1_371536633</w:t>
        </w:r>
      </w:hyperlink>
      <w:r>
        <w:t xml:space="preserve">. </w:t>
      </w:r>
    </w:p>
    <w:p w14:paraId="4847C2BC" w14:textId="77777777" w:rsidR="00191202" w:rsidRDefault="009035F2">
      <w:pPr>
        <w:spacing w:after="240"/>
      </w:pPr>
      <w:r>
        <w:t xml:space="preserve">Gallup (2025). </w:t>
      </w:r>
      <w:r>
        <w:rPr>
          <w:i/>
          <w:iCs/>
        </w:rPr>
        <w:t>State of the Global Workplace Report</w:t>
      </w:r>
      <w:r>
        <w:t xml:space="preserve">. [online] Gallup. Available at: </w:t>
      </w:r>
      <w:hyperlink r:id="rId18">
        <w:r w:rsidR="00191202">
          <w:rPr>
            <w:color w:val="1155CC"/>
            <w:u w:val="single"/>
          </w:rPr>
          <w:t>https://www.gallup.com/workplace/349484/state-of-the-global-workplace.aspx</w:t>
        </w:r>
      </w:hyperlink>
      <w:r>
        <w:t xml:space="preserve">. </w:t>
      </w:r>
    </w:p>
    <w:p w14:paraId="040689BB" w14:textId="77777777" w:rsidR="00191202" w:rsidRDefault="009035F2">
      <w:pPr>
        <w:spacing w:after="240"/>
      </w:pPr>
      <w:r>
        <w:t xml:space="preserve">Johanning, V. (2023). IT Management by Objectives: OKRs Instead of Management by Objectives (MbO). </w:t>
      </w:r>
      <w:r>
        <w:rPr>
          <w:i/>
          <w:iCs/>
        </w:rPr>
        <w:t>Springer eBooks</w:t>
      </w:r>
      <w:r>
        <w:t>, pp.171–175. doi:</w:t>
      </w:r>
      <w:hyperlink r:id="rId19">
        <w:r w:rsidR="00191202">
          <w:rPr>
            <w:color w:val="1155CC"/>
            <w:u w:val="single"/>
          </w:rPr>
          <w:t>https://doi.org/10.1007/978-3-658-39572-8_10</w:t>
        </w:r>
      </w:hyperlink>
      <w:r>
        <w:t xml:space="preserve">. </w:t>
      </w:r>
    </w:p>
    <w:p w14:paraId="09DE7FD6" w14:textId="77777777" w:rsidR="00191202" w:rsidRDefault="009035F2">
      <w:pPr>
        <w:spacing w:after="240"/>
      </w:pPr>
      <w:r>
        <w:t xml:space="preserve">Juniartie, fendi darma and Hendri Ardianto (2025). EMPLOYEE ENGAGEMENT AND TURNOVER INTENTION: A QUANTITATIVE ANALYSIS OF WORKFORCE DYNAMICS. </w:t>
      </w:r>
      <w:r>
        <w:rPr>
          <w:i/>
          <w:iCs/>
        </w:rPr>
        <w:t>ResearchGate</w:t>
      </w:r>
      <w:r>
        <w:t xml:space="preserve">, [online] pp.876–884. Available at: </w:t>
      </w:r>
      <w:hyperlink r:id="rId20">
        <w:r w:rsidR="00191202">
          <w:rPr>
            <w:color w:val="1155CC"/>
            <w:u w:val="single"/>
          </w:rPr>
          <w:t>https://www.researchgate.net/publication/395647873_EMPLOYEE_ENGAGEMENT_AND_TURNOVER_INTENTION_A_QUANTITATIVE_ANALYSIS_OF_WORKFORCE_DYNAMICS</w:t>
        </w:r>
      </w:hyperlink>
      <w:r>
        <w:t xml:space="preserve">. </w:t>
      </w:r>
    </w:p>
    <w:p w14:paraId="37DAF15C" w14:textId="77777777" w:rsidR="00191202" w:rsidRDefault="009035F2">
      <w:pPr>
        <w:spacing w:after="240"/>
      </w:pPr>
      <w:r>
        <w:t xml:space="preserve">Kaplan, R.S. and Norton, D.P. (1992). </w:t>
      </w:r>
      <w:r>
        <w:rPr>
          <w:i/>
          <w:iCs/>
        </w:rPr>
        <w:t>The balanced scorecard—measures that drive performance</w:t>
      </w:r>
      <w:r>
        <w:t xml:space="preserve">. [online] Harvard Business Review. Available at: </w:t>
      </w:r>
      <w:hyperlink r:id="rId21">
        <w:r w:rsidR="00191202">
          <w:rPr>
            <w:color w:val="1155CC"/>
            <w:u w:val="single"/>
          </w:rPr>
          <w:t>https://hbr.org/1992/01/the-balanced-scorecard-measures-that-drive-performance-2</w:t>
        </w:r>
      </w:hyperlink>
      <w:r>
        <w:t xml:space="preserve">. </w:t>
      </w:r>
    </w:p>
    <w:p w14:paraId="656A2E3C" w14:textId="77777777" w:rsidR="00191202" w:rsidRDefault="009035F2">
      <w:pPr>
        <w:spacing w:after="240"/>
      </w:pPr>
      <w:r>
        <w:t xml:space="preserve">Kim, J. and Zitek, E. (2024). </w:t>
      </w:r>
      <w:r>
        <w:rPr>
          <w:i/>
          <w:iCs/>
        </w:rPr>
        <w:t>Research: Performance Reviews That Actually Motivate Employees</w:t>
      </w:r>
      <w:r>
        <w:t xml:space="preserve">. [online] Harvard Business Review. Available at: </w:t>
      </w:r>
      <w:hyperlink r:id="rId22">
        <w:r w:rsidR="00191202">
          <w:rPr>
            <w:color w:val="1155CC"/>
            <w:u w:val="single"/>
          </w:rPr>
          <w:t>https://hbr.org/2024/11/research-performance-reviews-that-actually-motivate-employees</w:t>
        </w:r>
      </w:hyperlink>
      <w:r>
        <w:t xml:space="preserve"> .</w:t>
      </w:r>
    </w:p>
    <w:p w14:paraId="357CAF81" w14:textId="77777777" w:rsidR="00191202" w:rsidRDefault="009035F2">
      <w:pPr>
        <w:spacing w:after="240"/>
      </w:pPr>
      <w:r>
        <w:t xml:space="preserve">Lasa, A.N., Pedroni, A. and Komm, A. (2024). </w:t>
      </w:r>
      <w:r>
        <w:rPr>
          <w:i/>
          <w:iCs/>
        </w:rPr>
        <w:t>Performance management that puts people first</w:t>
      </w:r>
      <w:r>
        <w:t xml:space="preserve">. [online] Mckinsey &amp; Company. Available at: </w:t>
      </w:r>
      <w:hyperlink r:id="rId23">
        <w:r w:rsidR="00191202">
          <w:rPr>
            <w:color w:val="1155CC"/>
            <w:u w:val="single"/>
          </w:rPr>
          <w:t>https://www.mckinsey.com/capabilities/people-and-organizational-performance/our-insights/in-the-spotlight-performance-management-that-puts-people-first</w:t>
        </w:r>
      </w:hyperlink>
      <w:r>
        <w:t xml:space="preserve">. </w:t>
      </w:r>
    </w:p>
    <w:p w14:paraId="0B65BD6F" w14:textId="77777777" w:rsidR="00191202" w:rsidRDefault="009035F2">
      <w:pPr>
        <w:spacing w:after="240"/>
      </w:pPr>
      <w:r>
        <w:t xml:space="preserve">linkedin (2025). </w:t>
      </w:r>
      <w:r>
        <w:rPr>
          <w:i/>
          <w:iCs/>
        </w:rPr>
        <w:t>Unveiling Your Potential: Leveraging 360-Degree Feedback to Identify Strengths and Weaknesses</w:t>
      </w:r>
      <w:r>
        <w:t xml:space="preserve">. [online] www.linkedin.com. Available at: </w:t>
      </w:r>
      <w:hyperlink r:id="rId24">
        <w:r w:rsidR="00191202">
          <w:rPr>
            <w:color w:val="1155CC"/>
            <w:u w:val="single"/>
          </w:rPr>
          <w:t>https://www.linkedin.com/pulse/unveiling-your-potential-leveraging-360-degree-feedback-prasad-kvsn-a6cyc/</w:t>
        </w:r>
      </w:hyperlink>
      <w:r>
        <w:t xml:space="preserve">. </w:t>
      </w:r>
    </w:p>
    <w:p w14:paraId="59210F6F" w14:textId="77777777" w:rsidR="00191202" w:rsidRDefault="009035F2">
      <w:pPr>
        <w:spacing w:after="240"/>
      </w:pPr>
      <w:r>
        <w:t xml:space="preserve">McLeod, S. (2025). </w:t>
      </w:r>
      <w:r>
        <w:rPr>
          <w:i/>
          <w:iCs/>
        </w:rPr>
        <w:t>Gibbs Reflective Cycle</w:t>
      </w:r>
      <w:r>
        <w:t xml:space="preserve">. [online] Simply Psychology. Available at: </w:t>
      </w:r>
      <w:hyperlink r:id="rId25">
        <w:r w:rsidR="00191202">
          <w:rPr>
            <w:color w:val="1155CC"/>
            <w:u w:val="single"/>
          </w:rPr>
          <w:t>https://www.simplypsychology.org/gibbs-reflective-cycle.html</w:t>
        </w:r>
      </w:hyperlink>
      <w:r>
        <w:t xml:space="preserve">. </w:t>
      </w:r>
    </w:p>
    <w:p w14:paraId="6459F36F" w14:textId="77777777" w:rsidR="00191202" w:rsidRDefault="009035F2">
      <w:pPr>
        <w:spacing w:after="240"/>
      </w:pPr>
      <w:r>
        <w:t xml:space="preserve">Mohan, P. (2024). Implementing OKRs (Objectives and Key Results) in Technical Project Management. </w:t>
      </w:r>
      <w:r>
        <w:rPr>
          <w:i/>
          <w:iCs/>
        </w:rPr>
        <w:t>Journal of Quantum Science and Technology</w:t>
      </w:r>
      <w:r>
        <w:t>, 1(2). doi:</w:t>
      </w:r>
      <w:hyperlink r:id="rId26">
        <w:r w:rsidR="00191202">
          <w:rPr>
            <w:color w:val="1155CC"/>
            <w:u w:val="single"/>
          </w:rPr>
          <w:t>https://doi.org/10.63345/jqst.v1i2.55</w:t>
        </w:r>
      </w:hyperlink>
      <w:r>
        <w:t xml:space="preserve">. </w:t>
      </w:r>
    </w:p>
    <w:p w14:paraId="69DCC88E" w14:textId="77777777" w:rsidR="00191202" w:rsidRDefault="009035F2">
      <w:pPr>
        <w:spacing w:after="240"/>
      </w:pPr>
      <w:r>
        <w:t>Niven, P.R. and Lamorte, B. (2016). Introduction to OKRs. doi:</w:t>
      </w:r>
      <w:hyperlink r:id="rId27">
        <w:r w:rsidR="00191202">
          <w:rPr>
            <w:color w:val="1155CC"/>
            <w:u w:val="single"/>
          </w:rPr>
          <w:t>https://doi.org/10.1002/9781119255543.ch1</w:t>
        </w:r>
      </w:hyperlink>
      <w:r>
        <w:t xml:space="preserve">. </w:t>
      </w:r>
    </w:p>
    <w:p w14:paraId="5606EA9E" w14:textId="77777777" w:rsidR="00191202" w:rsidRDefault="009035F2">
      <w:pPr>
        <w:spacing w:after="240"/>
      </w:pPr>
      <w:r>
        <w:t xml:space="preserve">Pee, L.G. (2011). The Effects of Job Design on Employees’ Knowledge Contribution to Electronic Repositories. </w:t>
      </w:r>
      <w:r>
        <w:rPr>
          <w:i/>
          <w:iCs/>
        </w:rPr>
        <w:t>Proceedings of the International Conference on Information Systems, ICIS 2011, Shanghai, China, December 4-7, 2011</w:t>
      </w:r>
      <w:r>
        <w:t xml:space="preserve">, [online] 4. Available at: </w:t>
      </w:r>
      <w:hyperlink r:id="rId28">
        <w:r w:rsidR="00191202">
          <w:rPr>
            <w:color w:val="1155CC"/>
            <w:u w:val="single"/>
          </w:rPr>
          <w:t>https://www.researchgate.net/publication/221598490_The_Effects_of_Job_Design_on_Employees</w:t>
        </w:r>
      </w:hyperlink>
      <w:r>
        <w:t xml:space="preserve">. </w:t>
      </w:r>
    </w:p>
    <w:p w14:paraId="626392FA" w14:textId="77777777" w:rsidR="00191202" w:rsidRDefault="009035F2">
      <w:pPr>
        <w:spacing w:after="240"/>
      </w:pPr>
      <w:r>
        <w:t xml:space="preserve">Stanciu, T. (2021). One-on-one Meetings: Your Ultimate Guide to Productive Get-Togethers with Your Mentees. </w:t>
      </w:r>
      <w:r>
        <w:rPr>
          <w:i/>
          <w:iCs/>
        </w:rPr>
        <w:t>Mirro.io</w:t>
      </w:r>
      <w:r>
        <w:t>. [online] doi:</w:t>
      </w:r>
      <w:hyperlink r:id="rId29">
        <w:r w:rsidR="00191202">
          <w:rPr>
            <w:color w:val="1155CC"/>
            <w:u w:val="single"/>
          </w:rPr>
          <w:t>https://doi.org/109087537399/1720795550269/module_109087537399_Ribbon_Live_Demo</w:t>
        </w:r>
      </w:hyperlink>
      <w:r>
        <w:t xml:space="preserve">. </w:t>
      </w:r>
    </w:p>
    <w:p w14:paraId="210A6A06" w14:textId="77777777" w:rsidR="00191202" w:rsidRDefault="009035F2">
      <w:pPr>
        <w:spacing w:after="240"/>
      </w:pPr>
      <w:r>
        <w:t xml:space="preserve">Suganthi, M.P. (2025). Agility at Scale: Spotify’s Unique Approach to Organizational Structure and Technological Innovation. </w:t>
      </w:r>
      <w:r>
        <w:rPr>
          <w:i/>
          <w:iCs/>
        </w:rPr>
        <w:t>Digital Agility– A Peep into the Future”</w:t>
      </w:r>
      <w:r>
        <w:t xml:space="preserve">. [online] Available at: </w:t>
      </w:r>
      <w:hyperlink r:id="rId30">
        <w:r w:rsidR="00191202">
          <w:rPr>
            <w:color w:val="1155CC"/>
            <w:u w:val="single"/>
          </w:rPr>
          <w:t>https://www.researchgate.net/publication/397936144_Agility_at_Scale_Spotify</w:t>
        </w:r>
      </w:hyperlink>
      <w:r>
        <w:t xml:space="preserve">. </w:t>
      </w:r>
    </w:p>
    <w:p w14:paraId="27921C8E" w14:textId="77777777" w:rsidR="00191202" w:rsidRDefault="009035F2">
      <w:pPr>
        <w:spacing w:after="240"/>
      </w:pPr>
      <w:r>
        <w:t xml:space="preserve">World Economic Forum (2025). </w:t>
      </w:r>
      <w:r>
        <w:rPr>
          <w:i/>
          <w:iCs/>
        </w:rPr>
        <w:t>The Future of Jobs Report 2025</w:t>
      </w:r>
      <w:r>
        <w:t xml:space="preserve">. [online] World Economic Forum. Available at: </w:t>
      </w:r>
      <w:hyperlink r:id="rId31">
        <w:r w:rsidR="00191202">
          <w:rPr>
            <w:color w:val="1155CC"/>
            <w:u w:val="single"/>
          </w:rPr>
          <w:t>https://www.weforum.org/publications/the-future-of-jobs-report-2025/</w:t>
        </w:r>
      </w:hyperlink>
      <w:r>
        <w:t xml:space="preserve">. </w:t>
      </w:r>
    </w:p>
    <w:p w14:paraId="2B5E4C27" w14:textId="77777777" w:rsidR="00191202" w:rsidRDefault="00191202">
      <w:pPr>
        <w:spacing w:after="240"/>
      </w:pPr>
    </w:p>
    <w:p w14:paraId="5B9C4277" w14:textId="77777777" w:rsidR="00191202" w:rsidRDefault="00191202"/>
    <w:sectPr w:rsidR="00191202">
      <w:footerReference w:type="default" r:id="rId32"/>
      <w:headerReference w:type="first" r:id="rId33"/>
      <w:footerReference w:type="first" r:id="rId3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F6643" w14:textId="77777777" w:rsidR="00D54F24" w:rsidRDefault="00D54F24">
      <w:pPr>
        <w:spacing w:line="240" w:lineRule="auto"/>
      </w:pPr>
      <w:r>
        <w:separator/>
      </w:r>
    </w:p>
  </w:endnote>
  <w:endnote w:type="continuationSeparator" w:id="0">
    <w:p w14:paraId="173159EB" w14:textId="77777777" w:rsidR="00D54F24" w:rsidRDefault="00D54F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67720B71-07D3-4011-B5E5-B3E2512256D4}"/>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71150" w14:textId="77777777" w:rsidR="00191202" w:rsidRDefault="009035F2">
    <w:pPr>
      <w:jc w:val="right"/>
    </w:pPr>
    <w:r>
      <w:fldChar w:fldCharType="begin"/>
    </w:r>
    <w:r>
      <w:instrText>PAGE</w:instrText>
    </w:r>
    <w:r>
      <w:fldChar w:fldCharType="separate"/>
    </w:r>
    <w:r w:rsidR="00B06BD0">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AD90F0" w14:textId="77777777" w:rsidR="00191202" w:rsidRDefault="0019120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6A96AB" w14:textId="77777777" w:rsidR="00D54F24" w:rsidRDefault="00D54F24">
      <w:pPr>
        <w:spacing w:line="240" w:lineRule="auto"/>
      </w:pPr>
      <w:r>
        <w:separator/>
      </w:r>
    </w:p>
  </w:footnote>
  <w:footnote w:type="continuationSeparator" w:id="0">
    <w:p w14:paraId="489ABE03" w14:textId="77777777" w:rsidR="00D54F24" w:rsidRDefault="00D54F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9BED4C" w14:textId="77777777" w:rsidR="00191202" w:rsidRDefault="0019120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547E6"/>
    <w:multiLevelType w:val="multilevel"/>
    <w:tmpl w:val="0E621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7289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1202"/>
    <w:rsid w:val="00191202"/>
    <w:rsid w:val="008349DB"/>
    <w:rsid w:val="009035F2"/>
    <w:rsid w:val="00AA0A13"/>
    <w:rsid w:val="00B06BD0"/>
    <w:rsid w:val="00D54F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1557F"/>
  <w15:docId w15:val="{21BFAE18-08CD-4266-8D76-3188B5519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B06BD0"/>
    <w:pPr>
      <w:spacing w:after="100"/>
    </w:pPr>
  </w:style>
  <w:style w:type="paragraph" w:styleId="TOC2">
    <w:name w:val="toc 2"/>
    <w:basedOn w:val="Normal"/>
    <w:next w:val="Normal"/>
    <w:autoRedefine/>
    <w:uiPriority w:val="39"/>
    <w:unhideWhenUsed/>
    <w:rsid w:val="00B06BD0"/>
    <w:pPr>
      <w:spacing w:after="100"/>
      <w:ind w:left="240"/>
    </w:pPr>
  </w:style>
  <w:style w:type="paragraph" w:styleId="TOC3">
    <w:name w:val="toc 3"/>
    <w:basedOn w:val="Normal"/>
    <w:next w:val="Normal"/>
    <w:autoRedefine/>
    <w:uiPriority w:val="39"/>
    <w:unhideWhenUsed/>
    <w:rsid w:val="00B06BD0"/>
    <w:pPr>
      <w:spacing w:after="100"/>
      <w:ind w:left="480"/>
    </w:pPr>
  </w:style>
  <w:style w:type="character" w:styleId="Hyperlink">
    <w:name w:val="Hyperlink"/>
    <w:basedOn w:val="DefaultParagraphFont"/>
    <w:uiPriority w:val="99"/>
    <w:unhideWhenUsed/>
    <w:rsid w:val="00B06B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doi.org/10.13140/RG.2.2.22876.87682" TargetMode="External" /><Relationship Id="rId18" Type="http://schemas.openxmlformats.org/officeDocument/2006/relationships/hyperlink" Target="https://www.gallup.com/workplace/349484/state-of-the-global-workplace.aspx" TargetMode="External" /><Relationship Id="rId26" Type="http://schemas.openxmlformats.org/officeDocument/2006/relationships/hyperlink" Target="https://doi.org/10.63345/jqst.v1i2.55" TargetMode="External" /><Relationship Id="rId3" Type="http://schemas.openxmlformats.org/officeDocument/2006/relationships/settings" Target="settings.xml" /><Relationship Id="rId21" Type="http://schemas.openxmlformats.org/officeDocument/2006/relationships/hyperlink" Target="https://hbr.org/1992/01/the-balanced-scorecard-measures-that-drive-performance-2" TargetMode="External" /><Relationship Id="rId34" Type="http://schemas.openxmlformats.org/officeDocument/2006/relationships/footer" Target="footer2.xml" /><Relationship Id="rId7" Type="http://schemas.openxmlformats.org/officeDocument/2006/relationships/image" Target="media/image1.png" /><Relationship Id="rId12" Type="http://schemas.openxmlformats.org/officeDocument/2006/relationships/hyperlink" Target="https://doi.org/10.1016/j.sbspro.2014.03.646" TargetMode="External" /><Relationship Id="rId17" Type="http://schemas.openxmlformats.org/officeDocument/2006/relationships/hyperlink" Target="https://www.researchgate.net/figure/Gibbs-reflective-cycle-Adapted-from-Gibbs-1988_fig1_371536633" TargetMode="External" /><Relationship Id="rId25" Type="http://schemas.openxmlformats.org/officeDocument/2006/relationships/hyperlink" Target="https://www.simplypsychology.org/gibbs-reflective-cycle.html" TargetMode="External" /><Relationship Id="rId33"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deloitte.com/us/en/insights/focus/human-capital-trends/2025/employee-performance-management-optimization-effective-strategy.html" TargetMode="External" /><Relationship Id="rId20" Type="http://schemas.openxmlformats.org/officeDocument/2006/relationships/hyperlink" Target="https://www.researchgate.net/publication/395647873_EMPLOYEE_ENGAGEMENT_AND_TURNOVER_INTENTION_A_QUANTITATIVE_ANALYSIS_OF_WORKFORCE_DYNAMICS" TargetMode="External" /><Relationship Id="rId29" Type="http://schemas.openxmlformats.org/officeDocument/2006/relationships/hyperlink" Target="https://doi.org/109087537399/1720795550269/module_109087537399_Ribbon_Live_Demo"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www.linkedin.com/pulse/unveiling-your-potential-leveraging-360-degree-feedback-prasad-kvsn-a6cyc/" TargetMode="External" /><Relationship Id="rId32"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doi.org/10.1177/1094428116668036" TargetMode="External" /><Relationship Id="rId23" Type="http://schemas.openxmlformats.org/officeDocument/2006/relationships/hyperlink" Target="https://www.mckinsey.com/capabilities/people-and-organizational-performance/our-insights/in-the-spotlight-performance-management-that-puts-people-first" TargetMode="External" /><Relationship Id="rId28" Type="http://schemas.openxmlformats.org/officeDocument/2006/relationships/hyperlink" Target="https://www.researchgate.net/publication/221598490_The_Effects_of_Job_Design_on_Employees" TargetMode="External" /><Relationship Id="rId36"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hyperlink" Target="https://doi.org/10.1007/978-3-658-39572-8_10" TargetMode="External" /><Relationship Id="rId31" Type="http://schemas.openxmlformats.org/officeDocument/2006/relationships/hyperlink" Target="https://www.weforum.org/publications/the-future-of-jobs-report-2025/"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cipd.org/en/knowledge/factsheets/job-design-factsheet/" TargetMode="External" /><Relationship Id="rId22" Type="http://schemas.openxmlformats.org/officeDocument/2006/relationships/hyperlink" Target="https://hbr.org/2024/11/research-performance-reviews-that-actually-motivate-employees" TargetMode="External" /><Relationship Id="rId27" Type="http://schemas.openxmlformats.org/officeDocument/2006/relationships/hyperlink" Target="https://doi.org/10.1002/9781119255543.ch1" TargetMode="External" /><Relationship Id="rId30" Type="http://schemas.openxmlformats.org/officeDocument/2006/relationships/hyperlink" Target="https://www.researchgate.net/publication/397936144_Agility_at_Scale_Spotify" TargetMode="External" /><Relationship Id="rId35" Type="http://schemas.openxmlformats.org/officeDocument/2006/relationships/fontTable" Target="fontTable.xm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FFFFFF"/>
      </a:dk1>
      <a:lt1>
        <a:sysClr val="window" lastClr="2D3236"/>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3808</Words>
  <Characters>21706</Characters>
  <Application>Microsoft Office Word</Application>
  <DocSecurity>0</DocSecurity>
  <Lines>180</Lines>
  <Paragraphs>50</Paragraphs>
  <ScaleCrop>false</ScaleCrop>
  <Company/>
  <LinksUpToDate>false</LinksUpToDate>
  <CharactersWithSpaces>25464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Fiercy Kingdom</cp:lastModifiedBy>
  <cp:revision>2</cp:revision>
  <dcterms:created xsi:type="dcterms:W3CDTF">2026-03-19T22:28:00Z</dcterms:created>
  <dcterms:modified xsi:type="dcterms:W3CDTF">2026-03-19T22:28:00Z</dcterms:modified>
</cp:coreProperties>
</file>