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87FECDF" w:rsidR="7908378C" w:rsidRDefault="7908378C" w:rsidP="33572C6E">
            <w:pPr>
              <w:ind w:right="237"/>
              <w:rPr>
                <w:b/>
                <w:bCs/>
                <w:color w:val="auto"/>
                <w:sz w:val="32"/>
                <w:szCs w:val="32"/>
              </w:rPr>
            </w:pPr>
            <w:r w:rsidRPr="33572C6E">
              <w:rPr>
                <w:b/>
                <w:bCs/>
                <w:color w:val="auto"/>
                <w:sz w:val="32"/>
                <w:szCs w:val="32"/>
              </w:rPr>
              <w:t xml:space="preserve">Learner name: </w:t>
            </w:r>
            <w:r w:rsidR="00B954E1">
              <w:rPr>
                <w:b/>
                <w:bCs/>
                <w:color w:val="auto"/>
                <w:sz w:val="32"/>
                <w:szCs w:val="32"/>
              </w:rPr>
              <w:t>Monica Duarte</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5499C7BC" w:rsidR="7908378C" w:rsidRDefault="00B954E1" w:rsidP="33572C6E">
            <w:pPr>
              <w:ind w:right="237"/>
              <w:rPr>
                <w:b/>
                <w:bCs/>
                <w:color w:val="auto"/>
                <w:sz w:val="32"/>
                <w:szCs w:val="32"/>
              </w:rPr>
            </w:pPr>
            <w:r>
              <w:rPr>
                <w:b/>
                <w:bCs/>
                <w:color w:val="auto"/>
                <w:sz w:val="32"/>
                <w:szCs w:val="32"/>
              </w:rPr>
              <w:t>2320500</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3EFE5FE8" w:rsidP="3EFE5FE8">
      <w:pPr>
        <w:jc w:val="both"/>
      </w:pPr>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5F772B8A" w14:textId="77777777" w:rsidR="00B954E1" w:rsidRDefault="00B954E1" w:rsidP="00B954E1">
      <w:pPr>
        <w:jc w:val="both"/>
        <w:rPr>
          <w:rFonts w:eastAsia="Arial"/>
          <w:color w:val="000000" w:themeColor="text1"/>
          <w:sz w:val="24"/>
          <w:szCs w:val="24"/>
        </w:rPr>
      </w:pPr>
    </w:p>
    <w:p w14:paraId="6F3503D5" w14:textId="67E1E0BA" w:rsidR="00B954E1" w:rsidRPr="00B954E1" w:rsidRDefault="00B954E1" w:rsidP="00B954E1">
      <w:pPr>
        <w:jc w:val="both"/>
        <w:rPr>
          <w:rFonts w:eastAsia="Arial"/>
          <w:color w:val="000000" w:themeColor="text1"/>
          <w:sz w:val="24"/>
          <w:szCs w:val="24"/>
          <w:lang w:val="en-US"/>
        </w:rPr>
      </w:pPr>
      <w:bookmarkStart w:id="0" w:name="_Hlk193754896"/>
      <w:r w:rsidRPr="00B954E1">
        <w:rPr>
          <w:rFonts w:eastAsia="Arial"/>
          <w:color w:val="000000" w:themeColor="text1"/>
          <w:sz w:val="24"/>
          <w:szCs w:val="24"/>
          <w:lang w:val="en-US"/>
        </w:rPr>
        <w:t xml:space="preserve">One of the serious and complex investigations I was responsible for involved two neighbours who for over nine months called the police 36 times and in most </w:t>
      </w:r>
      <w:proofErr w:type="gramStart"/>
      <w:r w:rsidRPr="00B954E1">
        <w:rPr>
          <w:rFonts w:eastAsia="Arial"/>
          <w:color w:val="000000" w:themeColor="text1"/>
          <w:sz w:val="24"/>
          <w:szCs w:val="24"/>
          <w:lang w:val="en-US"/>
        </w:rPr>
        <w:t>cases</w:t>
      </w:r>
      <w:proofErr w:type="gramEnd"/>
      <w:r w:rsidRPr="00B954E1">
        <w:rPr>
          <w:rFonts w:eastAsia="Arial"/>
          <w:color w:val="000000" w:themeColor="text1"/>
          <w:sz w:val="24"/>
          <w:szCs w:val="24"/>
          <w:lang w:val="en-US"/>
        </w:rPr>
        <w:t xml:space="preserve"> these were reports of Anti-Social Behaviour. I attended the most recent report to date where one of the neighbours, that I will refer to as Priya, claimed her upstairs neighbour, that I will refer to as Anna, was stomping on the ceiling to antagonise her. Before speaking with Priya, I read some of the previous reports and I got to know that Anna had been moved to another flat because of the issues with Priya. When I attended Priya’s </w:t>
      </w:r>
      <w:proofErr w:type="gramStart"/>
      <w:r w:rsidRPr="00B954E1">
        <w:rPr>
          <w:rFonts w:eastAsia="Arial"/>
          <w:color w:val="000000" w:themeColor="text1"/>
          <w:sz w:val="24"/>
          <w:szCs w:val="24"/>
          <w:lang w:val="en-US"/>
        </w:rPr>
        <w:t>address</w:t>
      </w:r>
      <w:proofErr w:type="gramEnd"/>
      <w:r w:rsidRPr="00B954E1">
        <w:rPr>
          <w:rFonts w:eastAsia="Arial"/>
          <w:color w:val="000000" w:themeColor="text1"/>
          <w:sz w:val="24"/>
          <w:szCs w:val="24"/>
          <w:lang w:val="en-US"/>
        </w:rPr>
        <w:t xml:space="preserve"> she was quite agitated, she was under the influence of alcohol and it was difficult to understand what she was saying as her speech was not coherent and there were some language barriers. I called Language Line support which is a telephone interpreter service that officers use when there is a language. Using this service Priya explained that Anna often stomps on the ceiling to bother Priya, Anna has turned the neighbours against Priya, that in a previous occasion Anna slapped Priya and recently Anna had stolen her phone. All these matters had been reported to the police </w:t>
      </w:r>
      <w:proofErr w:type="gramStart"/>
      <w:r w:rsidRPr="00B954E1">
        <w:rPr>
          <w:rFonts w:eastAsia="Arial"/>
          <w:color w:val="000000" w:themeColor="text1"/>
          <w:sz w:val="24"/>
          <w:szCs w:val="24"/>
          <w:lang w:val="en-US"/>
        </w:rPr>
        <w:t>with the exception of</w:t>
      </w:r>
      <w:proofErr w:type="gramEnd"/>
      <w:r w:rsidRPr="00B954E1">
        <w:rPr>
          <w:rFonts w:eastAsia="Arial"/>
          <w:color w:val="000000" w:themeColor="text1"/>
          <w:sz w:val="24"/>
          <w:szCs w:val="24"/>
          <w:lang w:val="en-US"/>
        </w:rPr>
        <w:t xml:space="preserve"> the phone theft. Priya demanded for me to go upstairs and arrest Anna which I then explained Anna had moved out. Priya also expressed she believed Anna acts in this manner because Priya is not White British. Due to Priya being quite upset and under the influence of alcohol it would not be appropriate for me to obtain a statement regarding the theft at this point. Instead, I tried to obtain some information that would inform which safeguarding measures should be put in place. Priya said she struggled with “her head” but she was unable to be more specific, she said all family members, friends and neighbours have stopped contact with her, and that she only leaves her address to buy groceries, alcohol and cigarettes. She also said she drinks several bottles of alcohol per day and was able to share what her General Practice (GP) surgery was. </w:t>
      </w:r>
    </w:p>
    <w:p w14:paraId="7DEA250A" w14:textId="77777777" w:rsidR="00B954E1" w:rsidRDefault="00B954E1" w:rsidP="00B954E1">
      <w:pPr>
        <w:jc w:val="both"/>
        <w:rPr>
          <w:rFonts w:eastAsia="Arial"/>
          <w:color w:val="000000" w:themeColor="text1"/>
          <w:sz w:val="24"/>
          <w:szCs w:val="24"/>
          <w:lang w:val="en-US"/>
        </w:rPr>
      </w:pPr>
      <w:r w:rsidRPr="00B954E1">
        <w:rPr>
          <w:rFonts w:eastAsia="Arial"/>
          <w:color w:val="000000" w:themeColor="text1"/>
          <w:sz w:val="24"/>
          <w:szCs w:val="24"/>
          <w:lang w:val="en-US"/>
        </w:rPr>
        <w:lastRenderedPageBreak/>
        <w:t xml:space="preserve">I followed the </w:t>
      </w:r>
      <w:bookmarkStart w:id="1" w:name="_Hlk193751691"/>
      <w:r w:rsidRPr="00B954E1">
        <w:rPr>
          <w:rFonts w:eastAsia="Arial"/>
          <w:color w:val="000000" w:themeColor="text1"/>
          <w:sz w:val="24"/>
          <w:szCs w:val="24"/>
          <w:lang w:val="en-US"/>
        </w:rPr>
        <w:t>College of Policing (2021</w:t>
      </w:r>
      <w:bookmarkEnd w:id="1"/>
      <w:r w:rsidRPr="00B954E1">
        <w:rPr>
          <w:rFonts w:eastAsia="Arial"/>
          <w:color w:val="000000" w:themeColor="text1"/>
          <w:sz w:val="24"/>
          <w:szCs w:val="24"/>
          <w:lang w:val="en-US"/>
        </w:rPr>
        <w:t>) THRIVE approach which considers threat, harm, risk, investigation, vulnerability and engagement, when dealing with this case. The College of Policing (2021) defines vulnerability for policing purposes as a person who “as a result of their situation or circumstances is unable to take care or protect themselves, or others, from harm or exploitation”. The application of the THRIVE approach (College of Policing, 2021) includes four steps: identifying vulnerabilities, how these vulnerabilities interact with the individual’s environment to impact risk of harm, assessing the risk of harm, and taking appropriate action. Based on the information provided to me by Priya and that I obtained from reading the previous occurrences, Priya is considered a vulnerable person. Priya presents multiple risk factors related to Anti-Social Behaviour, such us difficulties with her mental health and alcohol use, isolation, impulsivity, and lacks protective factors, such as positive activities, support network, and goals. The presence of these risk factors and absence of protective factors have been showed to increase people’s propensity to be influenced by others to engage in anti-social activities but also to be unable to defend themselves from being abused and exploited by others (Ruback, Clark, and Warner, 2014).</w:t>
      </w:r>
    </w:p>
    <w:p w14:paraId="34BA6E8D" w14:textId="77777777" w:rsidR="00B954E1" w:rsidRPr="00B954E1" w:rsidRDefault="00B954E1" w:rsidP="00B954E1">
      <w:pPr>
        <w:jc w:val="both"/>
        <w:rPr>
          <w:rFonts w:eastAsia="Arial"/>
          <w:color w:val="000000" w:themeColor="text1"/>
          <w:sz w:val="24"/>
          <w:szCs w:val="24"/>
          <w:lang w:val="en-US"/>
        </w:rPr>
      </w:pPr>
    </w:p>
    <w:p w14:paraId="1A9BDB55" w14:textId="6F2FF6E7" w:rsidR="00B954E1" w:rsidRDefault="00B954E1" w:rsidP="00B954E1">
      <w:pPr>
        <w:jc w:val="both"/>
        <w:rPr>
          <w:rFonts w:eastAsia="Arial"/>
          <w:color w:val="000000" w:themeColor="text1"/>
          <w:sz w:val="24"/>
          <w:szCs w:val="24"/>
          <w:lang w:val="en-US"/>
        </w:rPr>
      </w:pPr>
      <w:r w:rsidRPr="00B954E1">
        <w:rPr>
          <w:rFonts w:eastAsia="Arial"/>
          <w:color w:val="000000" w:themeColor="text1"/>
          <w:sz w:val="24"/>
          <w:szCs w:val="24"/>
          <w:lang w:val="en-US"/>
        </w:rPr>
        <w:t xml:space="preserve">I identified Priya’s </w:t>
      </w:r>
      <w:proofErr w:type="gramStart"/>
      <w:r w:rsidRPr="00B954E1">
        <w:rPr>
          <w:rFonts w:eastAsia="Arial"/>
          <w:color w:val="000000" w:themeColor="text1"/>
          <w:sz w:val="24"/>
          <w:szCs w:val="24"/>
          <w:lang w:val="en-US"/>
        </w:rPr>
        <w:t>vulnerabilities, and</w:t>
      </w:r>
      <w:proofErr w:type="gramEnd"/>
      <w:r w:rsidRPr="00B954E1">
        <w:rPr>
          <w:rFonts w:eastAsia="Arial"/>
          <w:color w:val="000000" w:themeColor="text1"/>
          <w:sz w:val="24"/>
          <w:szCs w:val="24"/>
          <w:lang w:val="en-US"/>
        </w:rPr>
        <w:t xml:space="preserve"> recognised that these vulnerabilities have put her in a higher risk situation when Anna was living there. However, even though the risk had now decreased with Anna’s relocation, Priya’s vulnerability factors were still </w:t>
      </w:r>
      <w:proofErr w:type="gramStart"/>
      <w:r w:rsidRPr="00B954E1">
        <w:rPr>
          <w:rFonts w:eastAsia="Arial"/>
          <w:color w:val="000000" w:themeColor="text1"/>
          <w:sz w:val="24"/>
          <w:szCs w:val="24"/>
          <w:lang w:val="en-US"/>
        </w:rPr>
        <w:t>present</w:t>
      </w:r>
      <w:proofErr w:type="gramEnd"/>
      <w:r w:rsidRPr="00B954E1">
        <w:rPr>
          <w:rFonts w:eastAsia="Arial"/>
          <w:color w:val="000000" w:themeColor="text1"/>
          <w:sz w:val="24"/>
          <w:szCs w:val="24"/>
          <w:lang w:val="en-US"/>
        </w:rPr>
        <w:t xml:space="preserve"> and the risk associated with these was still significant. As a result, I submitted a Public Protection Notice (PPN) which is a referral outlining the issues an individual is facing, protective factors, safeguarding measures already put in place, a risk assessment, and officer’s actions and thoughts on the matter </w:t>
      </w:r>
      <w:bookmarkStart w:id="2" w:name="_Hlk193751889"/>
      <w:r w:rsidRPr="00B954E1">
        <w:rPr>
          <w:rFonts w:eastAsia="Arial"/>
          <w:color w:val="000000" w:themeColor="text1"/>
          <w:sz w:val="24"/>
          <w:szCs w:val="24"/>
          <w:lang w:val="en-US"/>
        </w:rPr>
        <w:t>(Bournemouth, Christchurch and Poole Safeguarding Adults Board, 2015</w:t>
      </w:r>
      <w:bookmarkEnd w:id="2"/>
      <w:r w:rsidRPr="00B954E1">
        <w:rPr>
          <w:rFonts w:eastAsia="Arial"/>
          <w:color w:val="000000" w:themeColor="text1"/>
          <w:sz w:val="24"/>
          <w:szCs w:val="24"/>
          <w:lang w:val="en-US"/>
        </w:rPr>
        <w:t xml:space="preserve">, </w:t>
      </w:r>
      <w:bookmarkStart w:id="3" w:name="_Hlk193752241"/>
      <w:r w:rsidRPr="00B954E1">
        <w:rPr>
          <w:rFonts w:eastAsia="Arial"/>
          <w:color w:val="000000" w:themeColor="text1"/>
          <w:sz w:val="24"/>
          <w:szCs w:val="24"/>
          <w:lang w:val="en-US"/>
        </w:rPr>
        <w:t>HMICFRS, 2023</w:t>
      </w:r>
      <w:bookmarkEnd w:id="3"/>
      <w:r w:rsidRPr="00B954E1">
        <w:rPr>
          <w:rFonts w:eastAsia="Arial"/>
          <w:color w:val="000000" w:themeColor="text1"/>
          <w:sz w:val="24"/>
          <w:szCs w:val="24"/>
          <w:lang w:val="en-US"/>
        </w:rPr>
        <w:t xml:space="preserve">). This referral is shared with relevant agencies depending on the nature of the concern. In Priya’s case, this was an Adult at Risk referral and therefore it was shared with her GP, Social Services, council, and a substance misuse team. The </w:t>
      </w:r>
      <w:proofErr w:type="gramStart"/>
      <w:r w:rsidRPr="00B954E1">
        <w:rPr>
          <w:rFonts w:eastAsia="Arial"/>
          <w:color w:val="000000" w:themeColor="text1"/>
          <w:sz w:val="24"/>
          <w:szCs w:val="24"/>
          <w:lang w:val="en-US"/>
        </w:rPr>
        <w:t>ultimate goal</w:t>
      </w:r>
      <w:proofErr w:type="gramEnd"/>
      <w:r w:rsidRPr="00B954E1">
        <w:rPr>
          <w:rFonts w:eastAsia="Arial"/>
          <w:color w:val="000000" w:themeColor="text1"/>
          <w:sz w:val="24"/>
          <w:szCs w:val="24"/>
          <w:lang w:val="en-US"/>
        </w:rPr>
        <w:t xml:space="preserve"> of PPNs is to prevent further harm to the individual while working in partnership to recognise and respond to vulnerability </w:t>
      </w:r>
      <w:bookmarkStart w:id="4" w:name="_Hlk193752341"/>
      <w:r w:rsidRPr="00B954E1">
        <w:rPr>
          <w:rFonts w:eastAsia="Arial"/>
          <w:color w:val="000000" w:themeColor="text1"/>
          <w:sz w:val="24"/>
          <w:szCs w:val="24"/>
          <w:lang w:val="en-US"/>
        </w:rPr>
        <w:t>(National Police Chief’s Council, 2022</w:t>
      </w:r>
      <w:r>
        <w:rPr>
          <w:rFonts w:eastAsia="Arial"/>
          <w:color w:val="000000" w:themeColor="text1"/>
          <w:sz w:val="24"/>
          <w:szCs w:val="24"/>
          <w:lang w:val="en-US"/>
        </w:rPr>
        <w:t>)</w:t>
      </w:r>
      <w:r w:rsidRPr="00B954E1">
        <w:rPr>
          <w:rFonts w:eastAsia="Arial"/>
          <w:color w:val="000000" w:themeColor="text1"/>
          <w:sz w:val="24"/>
          <w:szCs w:val="24"/>
          <w:lang w:val="en-US"/>
        </w:rPr>
        <w:t>.</w:t>
      </w:r>
      <w:bookmarkEnd w:id="4"/>
    </w:p>
    <w:p w14:paraId="4BD5E5E8" w14:textId="77777777" w:rsidR="00B954E1" w:rsidRPr="00B954E1" w:rsidRDefault="00B954E1" w:rsidP="00B954E1">
      <w:pPr>
        <w:jc w:val="both"/>
        <w:rPr>
          <w:rFonts w:eastAsia="Arial"/>
          <w:color w:val="000000" w:themeColor="text1"/>
          <w:sz w:val="24"/>
          <w:szCs w:val="24"/>
          <w:lang w:val="en-US"/>
        </w:rPr>
      </w:pPr>
    </w:p>
    <w:p w14:paraId="683A1887" w14:textId="77777777" w:rsidR="00B954E1" w:rsidRDefault="00B954E1" w:rsidP="00B954E1">
      <w:pPr>
        <w:jc w:val="both"/>
        <w:rPr>
          <w:rFonts w:eastAsia="Arial"/>
          <w:color w:val="000000" w:themeColor="text1"/>
          <w:sz w:val="24"/>
          <w:szCs w:val="24"/>
          <w:lang w:val="en-US"/>
        </w:rPr>
      </w:pPr>
      <w:r w:rsidRPr="00B954E1">
        <w:rPr>
          <w:rFonts w:eastAsia="Arial"/>
          <w:color w:val="000000" w:themeColor="text1"/>
          <w:sz w:val="24"/>
          <w:szCs w:val="24"/>
          <w:lang w:val="en-US"/>
        </w:rPr>
        <w:t>In complex cases such as Priya’s it is not reasonable to expect that the intervention of one isolated organisation will provide an effective response and therefore fully safeguard Priya. The role of the police in such matters is limited to ensure the individual is safe in a certain moment in time and to refer these cases to relevant bodies for medium to long term safeguarding. Naturally, if an offence has been established then the police is responsible for taking different measures. The complexity of this case requires, for instance, support from the GP to address Priya’s alcohol abuse and mental health issues as a starting point. Regardless of measures the police, council or social services may put in place to safeguard Priya, her main vulnerability comes from her difficulty to cope with life and therefore recurring to alcohol. This is an underlying issue that will be present regardless of her living conditions or daily activities. Alongside the mental health support, Priya would benefit from counselling sessions to identify protective factors and to establish goals as these are linked with a decrease in anti-social behaviour (</w:t>
      </w:r>
      <w:r w:rsidRPr="00EA2971">
        <w:rPr>
          <w:rFonts w:eastAsia="Arial"/>
          <w:color w:val="000000" w:themeColor="text1"/>
          <w:sz w:val="24"/>
          <w:szCs w:val="24"/>
          <w:lang w:val="en-US"/>
        </w:rPr>
        <w:t>Schwenker</w:t>
      </w:r>
      <w:r w:rsidRPr="00B954E1">
        <w:rPr>
          <w:rFonts w:eastAsia="Arial"/>
          <w:color w:val="000000" w:themeColor="text1"/>
          <w:sz w:val="24"/>
          <w:szCs w:val="24"/>
          <w:lang w:val="en-US"/>
        </w:rPr>
        <w:t xml:space="preserve"> et al., 2023). It has been shown that goals assist individuals to cope with hardship and motivate them to keep taking positive steps towards the life they want (</w:t>
      </w:r>
      <w:r w:rsidRPr="00EA2971">
        <w:rPr>
          <w:rFonts w:eastAsia="Arial"/>
          <w:color w:val="000000" w:themeColor="text1"/>
          <w:sz w:val="24"/>
          <w:szCs w:val="24"/>
          <w:lang w:val="en-US"/>
        </w:rPr>
        <w:t>Schwenker</w:t>
      </w:r>
      <w:r w:rsidRPr="00B954E1">
        <w:rPr>
          <w:rFonts w:eastAsia="Arial"/>
          <w:color w:val="000000" w:themeColor="text1"/>
          <w:sz w:val="24"/>
          <w:szCs w:val="24"/>
          <w:lang w:val="en-US"/>
        </w:rPr>
        <w:t xml:space="preserve"> et al., 2023). Priya can then understand what skills she has or would like to acquire which could then assist Social Services and the council to provide Priya with support towards </w:t>
      </w:r>
      <w:r w:rsidRPr="00B954E1">
        <w:rPr>
          <w:rFonts w:eastAsia="Arial"/>
          <w:color w:val="000000" w:themeColor="text1"/>
          <w:sz w:val="24"/>
          <w:szCs w:val="24"/>
          <w:lang w:val="en-US"/>
        </w:rPr>
        <w:lastRenderedPageBreak/>
        <w:t xml:space="preserve">completing courses or relocating to an area where these would be more readily accessible. </w:t>
      </w:r>
    </w:p>
    <w:p w14:paraId="79011EDA" w14:textId="77777777" w:rsidR="00B954E1" w:rsidRPr="00B954E1" w:rsidRDefault="00B954E1" w:rsidP="00B954E1">
      <w:pPr>
        <w:jc w:val="both"/>
        <w:rPr>
          <w:rFonts w:eastAsia="Arial"/>
          <w:color w:val="000000" w:themeColor="text1"/>
          <w:sz w:val="24"/>
          <w:szCs w:val="24"/>
          <w:lang w:val="en-US"/>
        </w:rPr>
      </w:pPr>
    </w:p>
    <w:p w14:paraId="17CBEC48" w14:textId="77777777" w:rsidR="00B954E1" w:rsidRDefault="00B954E1" w:rsidP="00B954E1">
      <w:pPr>
        <w:jc w:val="both"/>
        <w:rPr>
          <w:rFonts w:eastAsia="Arial"/>
          <w:color w:val="000000" w:themeColor="text1"/>
          <w:sz w:val="24"/>
          <w:szCs w:val="24"/>
          <w:lang w:val="en-US"/>
        </w:rPr>
      </w:pPr>
      <w:proofErr w:type="gramStart"/>
      <w:r w:rsidRPr="00B954E1">
        <w:rPr>
          <w:rFonts w:eastAsia="Arial"/>
          <w:color w:val="000000" w:themeColor="text1"/>
          <w:sz w:val="24"/>
          <w:szCs w:val="24"/>
          <w:lang w:val="en-US"/>
        </w:rPr>
        <w:t>Unfortunately</w:t>
      </w:r>
      <w:proofErr w:type="gramEnd"/>
      <w:r w:rsidRPr="00B954E1">
        <w:rPr>
          <w:rFonts w:eastAsia="Arial"/>
          <w:color w:val="000000" w:themeColor="text1"/>
          <w:sz w:val="24"/>
          <w:szCs w:val="24"/>
          <w:lang w:val="en-US"/>
        </w:rPr>
        <w:t xml:space="preserve"> this is rarely the reality – the Crime Survey for England and Wales reported that only 53.5% of people were satisfied with police response and 42.7% were satisfied with council response when they reported an issue (ONS, 2024). Levels of satisfaction with other agencies was even lower. While the means for shared communication and information have been paved out, the need for a systemic approach means that if one of the pillars fail, it is hard to keep the others standing. This is evidenced when considering Maslow’s Hierarchy of Needs theory which main argument is that there is </w:t>
      </w:r>
      <w:proofErr w:type="gramStart"/>
      <w:r w:rsidRPr="00B954E1">
        <w:rPr>
          <w:rFonts w:eastAsia="Arial"/>
          <w:color w:val="000000" w:themeColor="text1"/>
          <w:sz w:val="24"/>
          <w:szCs w:val="24"/>
          <w:lang w:val="en-US"/>
        </w:rPr>
        <w:t>an</w:t>
      </w:r>
      <w:proofErr w:type="gramEnd"/>
      <w:r w:rsidRPr="00B954E1">
        <w:rPr>
          <w:rFonts w:eastAsia="Arial"/>
          <w:color w:val="000000" w:themeColor="text1"/>
          <w:sz w:val="24"/>
          <w:szCs w:val="24"/>
          <w:lang w:val="en-US"/>
        </w:rPr>
        <w:t xml:space="preserve"> hierarchy of human needs and that a need cannot be satisfied if the need below is not met (</w:t>
      </w:r>
      <w:proofErr w:type="spellStart"/>
      <w:r w:rsidRPr="00EA2971">
        <w:rPr>
          <w:rFonts w:eastAsia="Arial"/>
          <w:color w:val="000000" w:themeColor="text1"/>
          <w:sz w:val="24"/>
          <w:szCs w:val="24"/>
          <w:lang w:val="en-US"/>
        </w:rPr>
        <w:t>Pichère</w:t>
      </w:r>
      <w:proofErr w:type="spellEnd"/>
      <w:r w:rsidRPr="00B954E1">
        <w:rPr>
          <w:rFonts w:eastAsia="Arial"/>
          <w:color w:val="000000" w:themeColor="text1"/>
          <w:sz w:val="24"/>
          <w:szCs w:val="24"/>
          <w:lang w:val="en-US"/>
        </w:rPr>
        <w:t xml:space="preserve"> </w:t>
      </w:r>
      <w:r w:rsidRPr="00EA2971">
        <w:rPr>
          <w:rFonts w:eastAsia="Arial"/>
          <w:color w:val="000000" w:themeColor="text1"/>
          <w:sz w:val="24"/>
          <w:szCs w:val="24"/>
          <w:lang w:val="en-US"/>
        </w:rPr>
        <w:t xml:space="preserve">and </w:t>
      </w:r>
      <w:proofErr w:type="spellStart"/>
      <w:r w:rsidRPr="00EA2971">
        <w:rPr>
          <w:rFonts w:eastAsia="Arial"/>
          <w:color w:val="000000" w:themeColor="text1"/>
          <w:sz w:val="24"/>
          <w:szCs w:val="24"/>
          <w:lang w:val="en-US"/>
        </w:rPr>
        <w:t>Cadiat</w:t>
      </w:r>
      <w:proofErr w:type="spellEnd"/>
      <w:r w:rsidRPr="00EA2971">
        <w:rPr>
          <w:rFonts w:eastAsia="Arial"/>
          <w:color w:val="000000" w:themeColor="text1"/>
          <w:sz w:val="24"/>
          <w:szCs w:val="24"/>
          <w:lang w:val="en-US"/>
        </w:rPr>
        <w:t>, 2015</w:t>
      </w:r>
      <w:r w:rsidRPr="00B954E1">
        <w:rPr>
          <w:rFonts w:eastAsia="Arial"/>
          <w:color w:val="000000" w:themeColor="text1"/>
          <w:sz w:val="24"/>
          <w:szCs w:val="24"/>
          <w:lang w:val="en-US"/>
        </w:rPr>
        <w:t>). For instance, safety needs are below needs of friendship, achievement or problem solving (</w:t>
      </w:r>
      <w:proofErr w:type="spellStart"/>
      <w:r w:rsidRPr="00EA2971">
        <w:rPr>
          <w:rFonts w:eastAsia="Arial"/>
          <w:color w:val="000000" w:themeColor="text1"/>
          <w:sz w:val="24"/>
          <w:szCs w:val="24"/>
          <w:lang w:val="en-US"/>
        </w:rPr>
        <w:t>Pichère</w:t>
      </w:r>
      <w:proofErr w:type="spellEnd"/>
      <w:r w:rsidRPr="00B954E1">
        <w:rPr>
          <w:rFonts w:eastAsia="Arial"/>
          <w:color w:val="000000" w:themeColor="text1"/>
          <w:sz w:val="24"/>
          <w:szCs w:val="24"/>
          <w:lang w:val="en-US"/>
        </w:rPr>
        <w:t xml:space="preserve"> </w:t>
      </w:r>
      <w:r w:rsidRPr="00EA2971">
        <w:rPr>
          <w:rFonts w:eastAsia="Arial"/>
          <w:color w:val="000000" w:themeColor="text1"/>
          <w:sz w:val="24"/>
          <w:szCs w:val="24"/>
          <w:lang w:val="en-US"/>
        </w:rPr>
        <w:t xml:space="preserve">and </w:t>
      </w:r>
      <w:proofErr w:type="spellStart"/>
      <w:r w:rsidRPr="00EA2971">
        <w:rPr>
          <w:rFonts w:eastAsia="Arial"/>
          <w:color w:val="000000" w:themeColor="text1"/>
          <w:sz w:val="24"/>
          <w:szCs w:val="24"/>
          <w:lang w:val="en-US"/>
        </w:rPr>
        <w:t>Cadiat</w:t>
      </w:r>
      <w:proofErr w:type="spellEnd"/>
      <w:r w:rsidRPr="00EA2971">
        <w:rPr>
          <w:rFonts w:eastAsia="Arial"/>
          <w:color w:val="000000" w:themeColor="text1"/>
          <w:sz w:val="24"/>
          <w:szCs w:val="24"/>
          <w:lang w:val="en-US"/>
        </w:rPr>
        <w:t>, 2015</w:t>
      </w:r>
      <w:r w:rsidRPr="00B954E1">
        <w:rPr>
          <w:rFonts w:eastAsia="Arial"/>
          <w:color w:val="000000" w:themeColor="text1"/>
          <w:sz w:val="24"/>
          <w:szCs w:val="24"/>
          <w:lang w:val="en-US"/>
        </w:rPr>
        <w:t xml:space="preserve">). Therefore, in Priya’s case, if the police fail to attend her </w:t>
      </w:r>
      <w:proofErr w:type="gramStart"/>
      <w:r w:rsidRPr="00B954E1">
        <w:rPr>
          <w:rFonts w:eastAsia="Arial"/>
          <w:color w:val="000000" w:themeColor="text1"/>
          <w:sz w:val="24"/>
          <w:szCs w:val="24"/>
          <w:lang w:val="en-US"/>
        </w:rPr>
        <w:t>reports</w:t>
      </w:r>
      <w:proofErr w:type="gramEnd"/>
      <w:r w:rsidRPr="00B954E1">
        <w:rPr>
          <w:rFonts w:eastAsia="Arial"/>
          <w:color w:val="000000" w:themeColor="text1"/>
          <w:sz w:val="24"/>
          <w:szCs w:val="24"/>
          <w:lang w:val="en-US"/>
        </w:rPr>
        <w:t xml:space="preserve"> she may not feel safe which hinders any work she may do for herself. Similarly, if Priya works towards addressing her alcohol and mental health issues but lives in an area with high anti-social behaviour rates she will struggle to succeed in her recovery because she is in an unstable and hostile environment. </w:t>
      </w:r>
    </w:p>
    <w:p w14:paraId="7977C3A9" w14:textId="77777777" w:rsidR="00B954E1" w:rsidRPr="00B954E1" w:rsidRDefault="00B954E1" w:rsidP="00B954E1">
      <w:pPr>
        <w:jc w:val="both"/>
        <w:rPr>
          <w:rFonts w:eastAsia="Arial"/>
          <w:color w:val="000000" w:themeColor="text1"/>
          <w:sz w:val="24"/>
          <w:szCs w:val="24"/>
          <w:lang w:val="en-US"/>
        </w:rPr>
      </w:pPr>
    </w:p>
    <w:p w14:paraId="05343597" w14:textId="77777777" w:rsidR="00B954E1" w:rsidRDefault="00B954E1" w:rsidP="00B954E1">
      <w:pPr>
        <w:jc w:val="both"/>
        <w:rPr>
          <w:rFonts w:eastAsia="Arial"/>
          <w:color w:val="000000" w:themeColor="text1"/>
          <w:sz w:val="24"/>
          <w:szCs w:val="24"/>
          <w:lang w:val="en-US"/>
        </w:rPr>
      </w:pPr>
      <w:r w:rsidRPr="00B954E1">
        <w:rPr>
          <w:rFonts w:eastAsia="Arial"/>
          <w:color w:val="000000" w:themeColor="text1"/>
          <w:sz w:val="24"/>
          <w:szCs w:val="24"/>
          <w:lang w:val="en-US"/>
        </w:rPr>
        <w:t xml:space="preserve">Priya has been failed by many agencies; the Anti-Social Behaviour case review process is triggered when one becomes the victim of ASB in at least three occasions within 12 months and requires agencies to collaborate to identify and address the issues in hand. However, this process was never initiated for Priya. Her reports were either deemed a concern for safety or mental health call, an offence, a disturbance, or her neighbour had reported Priya. If reports had been considered </w:t>
      </w:r>
      <w:proofErr w:type="gramStart"/>
      <w:r w:rsidRPr="00B954E1">
        <w:rPr>
          <w:rFonts w:eastAsia="Arial"/>
          <w:color w:val="000000" w:themeColor="text1"/>
          <w:sz w:val="24"/>
          <w:szCs w:val="24"/>
          <w:lang w:val="en-US"/>
        </w:rPr>
        <w:t>as a whole this</w:t>
      </w:r>
      <w:proofErr w:type="gramEnd"/>
      <w:r w:rsidRPr="00B954E1">
        <w:rPr>
          <w:rFonts w:eastAsia="Arial"/>
          <w:color w:val="000000" w:themeColor="text1"/>
          <w:sz w:val="24"/>
          <w:szCs w:val="24"/>
          <w:lang w:val="en-US"/>
        </w:rPr>
        <w:t xml:space="preserve"> process could have been initiated earlier and agencies could have intervened. The report I dealt with was counted as the second occasion of ASB when clearly there </w:t>
      </w:r>
      <w:proofErr w:type="gramStart"/>
      <w:r w:rsidRPr="00B954E1">
        <w:rPr>
          <w:rFonts w:eastAsia="Arial"/>
          <w:color w:val="000000" w:themeColor="text1"/>
          <w:sz w:val="24"/>
          <w:szCs w:val="24"/>
          <w:lang w:val="en-US"/>
        </w:rPr>
        <w:t>are have</w:t>
      </w:r>
      <w:proofErr w:type="gramEnd"/>
      <w:r w:rsidRPr="00B954E1">
        <w:rPr>
          <w:rFonts w:eastAsia="Arial"/>
          <w:color w:val="000000" w:themeColor="text1"/>
          <w:sz w:val="24"/>
          <w:szCs w:val="24"/>
          <w:lang w:val="en-US"/>
        </w:rPr>
        <w:t xml:space="preserve"> been more occasions. PPNs had been submitted numerous times before but Priya had not been able to have an appointment with her GP, any substance misuse team and while Anna was relocated, Priya remained in the same address.</w:t>
      </w:r>
    </w:p>
    <w:p w14:paraId="6DD7331E" w14:textId="77777777" w:rsidR="00B954E1" w:rsidRPr="00B954E1" w:rsidRDefault="00B954E1" w:rsidP="00B954E1">
      <w:pPr>
        <w:jc w:val="both"/>
        <w:rPr>
          <w:rFonts w:eastAsia="Arial"/>
          <w:color w:val="000000" w:themeColor="text1"/>
          <w:sz w:val="24"/>
          <w:szCs w:val="24"/>
          <w:lang w:val="en-US"/>
        </w:rPr>
      </w:pPr>
    </w:p>
    <w:p w14:paraId="3EF89482" w14:textId="77777777" w:rsidR="00B954E1" w:rsidRDefault="00B954E1" w:rsidP="00B954E1">
      <w:pPr>
        <w:jc w:val="both"/>
        <w:rPr>
          <w:rFonts w:eastAsia="Arial"/>
          <w:color w:val="000000" w:themeColor="text1"/>
          <w:sz w:val="24"/>
          <w:szCs w:val="24"/>
          <w:lang w:val="en-US"/>
        </w:rPr>
      </w:pPr>
      <w:r w:rsidRPr="00B954E1">
        <w:rPr>
          <w:rFonts w:eastAsia="Arial"/>
          <w:color w:val="000000" w:themeColor="text1"/>
          <w:sz w:val="24"/>
          <w:szCs w:val="24"/>
          <w:lang w:val="en-US"/>
        </w:rPr>
        <w:t xml:space="preserve">There are several theories that attempt to explain why certain individuals are more likely to become victims of crime. One of those theories is the Lifestyle Theory of victimisation which posits that people who engage in high-risk level activities, such as living in areas where the crime rates are high, having an alcohol or drug problem, or committing crime, put themselves in a position where they are more likely to becomes victims of a crime (Hindelang, Gottfredson and Garofalo, 1978; Pratt and </w:t>
      </w:r>
      <w:proofErr w:type="spellStart"/>
      <w:r w:rsidRPr="00B954E1">
        <w:rPr>
          <w:rFonts w:eastAsia="Arial"/>
          <w:color w:val="000000" w:themeColor="text1"/>
          <w:sz w:val="24"/>
          <w:szCs w:val="24"/>
          <w:lang w:val="en-US"/>
        </w:rPr>
        <w:t>Turanovic</w:t>
      </w:r>
      <w:proofErr w:type="spellEnd"/>
      <w:r w:rsidRPr="00B954E1">
        <w:rPr>
          <w:rFonts w:eastAsia="Arial"/>
          <w:color w:val="000000" w:themeColor="text1"/>
          <w:sz w:val="24"/>
          <w:szCs w:val="24"/>
          <w:lang w:val="en-US"/>
        </w:rPr>
        <w:t xml:space="preserve">, 2016). Looking back at Priya’s lifestyle, particularly her alcohol problem, isolation and living in an area where there is a high rate of crime and anti-social behaviour, she is more likely to become a victim compared to someone who does not face the same challenges. </w:t>
      </w:r>
    </w:p>
    <w:p w14:paraId="354897AB" w14:textId="77777777" w:rsidR="00B954E1" w:rsidRPr="00B954E1" w:rsidRDefault="00B954E1" w:rsidP="00B954E1">
      <w:pPr>
        <w:jc w:val="both"/>
        <w:rPr>
          <w:rFonts w:eastAsia="Arial"/>
          <w:color w:val="000000" w:themeColor="text1"/>
          <w:sz w:val="24"/>
          <w:szCs w:val="24"/>
          <w:lang w:val="en-US"/>
        </w:rPr>
      </w:pPr>
    </w:p>
    <w:p w14:paraId="616610F9" w14:textId="77777777" w:rsidR="00B954E1" w:rsidRDefault="00B954E1" w:rsidP="00B954E1">
      <w:pPr>
        <w:jc w:val="both"/>
        <w:rPr>
          <w:rFonts w:eastAsia="Arial"/>
          <w:color w:val="000000" w:themeColor="text1"/>
          <w:sz w:val="24"/>
          <w:szCs w:val="24"/>
          <w:lang w:val="en-US"/>
        </w:rPr>
      </w:pPr>
      <w:r w:rsidRPr="00B954E1">
        <w:rPr>
          <w:rFonts w:eastAsia="Arial"/>
          <w:color w:val="000000" w:themeColor="text1"/>
          <w:sz w:val="24"/>
          <w:szCs w:val="24"/>
          <w:lang w:val="en-US"/>
        </w:rPr>
        <w:t xml:space="preserve">Priya is also considered a repeat victim. Repeat victimisation occurs when someone is the victim of a crime or anti-social incident more than once within 12 months (Home Office, 2023). There is no clear definition for what constitutes anti-social </w:t>
      </w:r>
      <w:proofErr w:type="gramStart"/>
      <w:r w:rsidRPr="00B954E1">
        <w:rPr>
          <w:rFonts w:eastAsia="Arial"/>
          <w:color w:val="000000" w:themeColor="text1"/>
          <w:sz w:val="24"/>
          <w:szCs w:val="24"/>
          <w:lang w:val="en-US"/>
        </w:rPr>
        <w:t>behaviour,</w:t>
      </w:r>
      <w:proofErr w:type="gramEnd"/>
      <w:r w:rsidRPr="00B954E1">
        <w:rPr>
          <w:rFonts w:eastAsia="Arial"/>
          <w:color w:val="000000" w:themeColor="text1"/>
          <w:sz w:val="24"/>
          <w:szCs w:val="24"/>
          <w:lang w:val="en-US"/>
        </w:rPr>
        <w:t xml:space="preserve"> however officers appear to consider these to be targeted “low-level” crimes and actions that do not amount to an offence. O et al. (2017) have shown that a small part of the population is the recipient of most crime, more specifically that 5% of the population are the victims of 60% of crime, and that the risk of victimisation increases with each crime that the victim has been subjected to. Focusing on anti-social </w:t>
      </w:r>
      <w:r w:rsidRPr="00B954E1">
        <w:rPr>
          <w:rFonts w:eastAsia="Arial"/>
          <w:color w:val="000000" w:themeColor="text1"/>
          <w:sz w:val="24"/>
          <w:szCs w:val="24"/>
          <w:lang w:val="en-US"/>
        </w:rPr>
        <w:lastRenderedPageBreak/>
        <w:t xml:space="preserve">behaviour, the Crime Survey for England and Wales report in 2024 concluded that 47.8% of people in England and Wales, and 40.3% in South Wales had experienced or witnessed anti-social behaviour within the last 12 months (ONS, 2024). The consequences of repeat offending and anti-social behaviour can be comparable to victims of violent crime with significant impact on mental and physical health as well as daily life (Heap, 2021). Addressing repeat victimisation and repeat offending becomes paramount when considering the impact and prevalence of anti-social behaviour. </w:t>
      </w:r>
    </w:p>
    <w:p w14:paraId="459DE766" w14:textId="77777777" w:rsidR="00B954E1" w:rsidRPr="00B954E1" w:rsidRDefault="00B954E1" w:rsidP="00B954E1">
      <w:pPr>
        <w:jc w:val="both"/>
        <w:rPr>
          <w:rFonts w:eastAsia="Arial"/>
          <w:color w:val="000000" w:themeColor="text1"/>
          <w:sz w:val="24"/>
          <w:szCs w:val="24"/>
          <w:lang w:val="en-US"/>
        </w:rPr>
      </w:pPr>
    </w:p>
    <w:p w14:paraId="23A600D1" w14:textId="55C31A2E" w:rsidR="00B954E1" w:rsidRDefault="00B954E1" w:rsidP="00B954E1">
      <w:pPr>
        <w:jc w:val="both"/>
        <w:rPr>
          <w:rFonts w:eastAsia="Arial"/>
          <w:color w:val="000000" w:themeColor="text1"/>
          <w:sz w:val="24"/>
          <w:szCs w:val="24"/>
          <w:lang w:val="en-US"/>
        </w:rPr>
      </w:pPr>
      <w:r w:rsidRPr="00B954E1">
        <w:rPr>
          <w:rFonts w:eastAsia="Arial"/>
          <w:color w:val="000000" w:themeColor="text1"/>
          <w:sz w:val="24"/>
          <w:szCs w:val="24"/>
          <w:lang w:val="en-US"/>
        </w:rPr>
        <w:t>Interventions often address repeat victimisation and offending at the same time. While investigating Priya’s report, I submitted an address marker for Priya so officers know she is often a victim of crime while at home, which will then tailor officers’ response to calls. I have also requested for increased police patrols in her area which are a deterrent for offending; Braga et al. (2019a) found a reduction in crime in areas when targeted police patrols were implemented (Braga, Welsh, and Schnell, 2019). As one of the arguments of Lifestyle Theory is that living in a “bad area” can make one more vulnerable to crime, geographic targeting by increasing police patrols becomes an efficient strategy to tackle this issue.</w:t>
      </w:r>
    </w:p>
    <w:p w14:paraId="29335CBF" w14:textId="77777777" w:rsidR="00B954E1" w:rsidRPr="00B954E1" w:rsidRDefault="00B954E1" w:rsidP="00B954E1">
      <w:pPr>
        <w:jc w:val="both"/>
        <w:rPr>
          <w:rFonts w:eastAsia="Arial"/>
          <w:color w:val="000000" w:themeColor="text1"/>
          <w:sz w:val="24"/>
          <w:szCs w:val="24"/>
          <w:lang w:val="en-US"/>
        </w:rPr>
      </w:pPr>
    </w:p>
    <w:p w14:paraId="327A1C08" w14:textId="5A5E8F11" w:rsidR="00B954E1" w:rsidRDefault="00B954E1" w:rsidP="00B954E1">
      <w:pPr>
        <w:jc w:val="both"/>
        <w:rPr>
          <w:rFonts w:eastAsia="Arial"/>
          <w:color w:val="000000" w:themeColor="text1"/>
          <w:sz w:val="24"/>
          <w:szCs w:val="24"/>
          <w:lang w:val="en-US"/>
        </w:rPr>
      </w:pPr>
      <w:r w:rsidRPr="00B954E1">
        <w:rPr>
          <w:rFonts w:eastAsia="Arial"/>
          <w:color w:val="000000" w:themeColor="text1"/>
          <w:sz w:val="24"/>
          <w:szCs w:val="24"/>
          <w:lang w:val="en-US"/>
        </w:rPr>
        <w:t>There have been multiple reports from Priya’s neighbour and therefore repeat offending could be explored. While that is not the angle this investigation took, it should be noted that impulsivity, substance misuse, and engaging in risk and/or anti-social activities are risk factors for both repeat victims and repeat offenders (Smith, 2004; Mortimer, 2010, Farrington, 2020). Therefore, by addressing Priya’s needs as the victim of anti-social behaviour it can be assumed there can be a positive impact in preventing Priya from engaging in crime or anti-social behaviour. Furthermore, it is widely accepted that people desist from crime as they age and come across changes in their identity (</w:t>
      </w:r>
      <w:r>
        <w:rPr>
          <w:rFonts w:eastAsia="Arial"/>
          <w:color w:val="000000" w:themeColor="text1"/>
          <w:sz w:val="24"/>
          <w:szCs w:val="24"/>
          <w:lang w:val="en-US"/>
        </w:rPr>
        <w:t>Copp et al., 2020</w:t>
      </w:r>
      <w:r w:rsidRPr="00B954E1">
        <w:rPr>
          <w:rFonts w:eastAsia="Arial"/>
          <w:color w:val="000000" w:themeColor="text1"/>
          <w:sz w:val="24"/>
          <w:szCs w:val="24"/>
          <w:lang w:val="en-US"/>
        </w:rPr>
        <w:t xml:space="preserve">). However, this desistance can be accelerated through the engagement in rehabilitation programmes and re-settlement into areas with a smaller crime rate, as shown by Dawson and Stanko (2011) in their evaluation of the Diamond Initiative in </w:t>
      </w:r>
      <w:proofErr w:type="gramStart"/>
      <w:r w:rsidRPr="00B954E1">
        <w:rPr>
          <w:rFonts w:eastAsia="Arial"/>
          <w:color w:val="000000" w:themeColor="text1"/>
          <w:sz w:val="24"/>
          <w:szCs w:val="24"/>
          <w:lang w:val="en-US"/>
        </w:rPr>
        <w:t>London, and</w:t>
      </w:r>
      <w:proofErr w:type="gramEnd"/>
      <w:r w:rsidRPr="00B954E1">
        <w:rPr>
          <w:rFonts w:eastAsia="Arial"/>
          <w:color w:val="000000" w:themeColor="text1"/>
          <w:sz w:val="24"/>
          <w:szCs w:val="24"/>
          <w:lang w:val="en-US"/>
        </w:rPr>
        <w:t xml:space="preserve"> previously discussed along the Lifestyle Theory. </w:t>
      </w:r>
    </w:p>
    <w:p w14:paraId="0553C22D" w14:textId="77777777" w:rsidR="00B954E1" w:rsidRPr="00B954E1" w:rsidRDefault="00B954E1" w:rsidP="00B954E1">
      <w:pPr>
        <w:jc w:val="both"/>
        <w:rPr>
          <w:rFonts w:eastAsia="Arial"/>
          <w:color w:val="000000" w:themeColor="text1"/>
          <w:sz w:val="24"/>
          <w:szCs w:val="24"/>
          <w:lang w:val="en-US"/>
        </w:rPr>
      </w:pPr>
    </w:p>
    <w:p w14:paraId="11922B09" w14:textId="77777777" w:rsidR="00B954E1" w:rsidRDefault="00B954E1" w:rsidP="00B954E1">
      <w:pPr>
        <w:jc w:val="both"/>
        <w:rPr>
          <w:rFonts w:eastAsia="Arial"/>
          <w:color w:val="000000" w:themeColor="text1"/>
          <w:sz w:val="24"/>
          <w:szCs w:val="24"/>
          <w:lang w:val="en-US"/>
        </w:rPr>
      </w:pPr>
      <w:r w:rsidRPr="00B954E1">
        <w:rPr>
          <w:rFonts w:eastAsia="Arial"/>
          <w:color w:val="000000" w:themeColor="text1"/>
          <w:sz w:val="24"/>
          <w:szCs w:val="24"/>
          <w:lang w:val="en-US"/>
        </w:rPr>
        <w:t>When addressing anti-social behaviour from a policing point of view, research into what works shows that briefing response and neighbourhood policing teams on the communities and ongoing issues, systematic use of intelligence to manage issues reported and providing the training and resources required for neighbourhood policing teams, provide the most efficient response to manage the anti-social behaviour in communities (</w:t>
      </w:r>
      <w:bookmarkStart w:id="5" w:name="_Hlk193754340"/>
      <w:r w:rsidRPr="00B954E1">
        <w:rPr>
          <w:rFonts w:eastAsia="Arial"/>
          <w:color w:val="000000" w:themeColor="text1"/>
          <w:sz w:val="24"/>
          <w:szCs w:val="24"/>
          <w:lang w:val="en-US"/>
        </w:rPr>
        <w:t>Innes and Weston, 2010</w:t>
      </w:r>
      <w:bookmarkEnd w:id="5"/>
      <w:r w:rsidRPr="00B954E1">
        <w:rPr>
          <w:rFonts w:eastAsia="Arial"/>
          <w:color w:val="000000" w:themeColor="text1"/>
          <w:sz w:val="24"/>
          <w:szCs w:val="24"/>
          <w:lang w:val="en-US"/>
        </w:rPr>
        <w:t xml:space="preserve">). </w:t>
      </w:r>
    </w:p>
    <w:p w14:paraId="146D8CF1" w14:textId="77777777" w:rsidR="00B954E1" w:rsidRPr="00B954E1" w:rsidRDefault="00B954E1" w:rsidP="00B954E1">
      <w:pPr>
        <w:jc w:val="both"/>
        <w:rPr>
          <w:rFonts w:eastAsia="Arial"/>
          <w:color w:val="000000" w:themeColor="text1"/>
          <w:sz w:val="24"/>
          <w:szCs w:val="24"/>
          <w:lang w:val="en-US"/>
        </w:rPr>
      </w:pPr>
    </w:p>
    <w:p w14:paraId="2F89C0BA" w14:textId="77777777" w:rsidR="00B954E1" w:rsidRPr="00B954E1" w:rsidRDefault="00B954E1" w:rsidP="00B954E1">
      <w:pPr>
        <w:jc w:val="both"/>
        <w:rPr>
          <w:rFonts w:eastAsia="Arial"/>
          <w:color w:val="000000" w:themeColor="text1"/>
          <w:sz w:val="24"/>
          <w:szCs w:val="24"/>
          <w:lang w:val="en-US"/>
        </w:rPr>
      </w:pPr>
      <w:r w:rsidRPr="00B954E1">
        <w:rPr>
          <w:rFonts w:eastAsia="Arial"/>
          <w:color w:val="000000" w:themeColor="text1"/>
          <w:sz w:val="24"/>
          <w:szCs w:val="24"/>
          <w:lang w:val="en-US"/>
        </w:rPr>
        <w:t>Protecting vulnerable people is a key priority for policing, however when people become victims of crime and anti-social behaviour it is unlikely that the work of one agency is enough to address the needs of vulnerable people. Therefore, multi-agency collaboration is essential to have access to more and more accurate information but also to work together to tackle their needs and consequently prevent further victimisation.</w:t>
      </w:r>
    </w:p>
    <w:bookmarkEnd w:id="0"/>
    <w:p w14:paraId="1E96D16A" w14:textId="302F013D" w:rsidR="5B843AF0" w:rsidRPr="00B954E1" w:rsidRDefault="5B843AF0" w:rsidP="00B954E1">
      <w:pPr>
        <w:ind w:right="237"/>
        <w:rPr>
          <w:rFonts w:eastAsia="Arial"/>
          <w:color w:val="000000" w:themeColor="text1"/>
          <w:sz w:val="24"/>
          <w:szCs w:val="24"/>
          <w:lang w:val="en-US"/>
        </w:rPr>
      </w:pPr>
    </w:p>
    <w:p w14:paraId="06491356" w14:textId="3815DDF0" w:rsidR="00A221AB" w:rsidRPr="00B954E1" w:rsidRDefault="00A221AB" w:rsidP="00211695">
      <w:pPr>
        <w:overflowPunct/>
        <w:autoSpaceDE/>
        <w:autoSpaceDN/>
        <w:adjustRightInd/>
        <w:textAlignment w:val="auto"/>
        <w:rPr>
          <w:rFonts w:eastAsia="Arial"/>
          <w:color w:val="000000" w:themeColor="text1"/>
          <w:sz w:val="24"/>
          <w:szCs w:val="24"/>
          <w:lang w:val="en-US"/>
        </w:rPr>
      </w:pPr>
    </w:p>
    <w:p w14:paraId="39F004BF" w14:textId="16269E1B" w:rsidR="00211695" w:rsidRPr="00B954E1" w:rsidRDefault="00B954E1" w:rsidP="00211695">
      <w:pPr>
        <w:overflowPunct/>
        <w:autoSpaceDE/>
        <w:autoSpaceDN/>
        <w:adjustRightInd/>
        <w:textAlignment w:val="auto"/>
        <w:rPr>
          <w:rFonts w:eastAsia="Arial"/>
          <w:color w:val="000000" w:themeColor="text1"/>
          <w:sz w:val="24"/>
          <w:szCs w:val="24"/>
          <w:lang w:val="en-US"/>
        </w:rPr>
      </w:pPr>
      <w:r>
        <w:rPr>
          <w:rFonts w:eastAsia="Arial"/>
          <w:color w:val="000000" w:themeColor="text1"/>
          <w:sz w:val="24"/>
          <w:szCs w:val="24"/>
          <w:lang w:val="en-US"/>
        </w:rPr>
        <w:t>2064 words</w:t>
      </w:r>
    </w:p>
    <w:p w14:paraId="386B9E52" w14:textId="71D07E3F" w:rsidR="02D63252" w:rsidRDefault="02D63252" w:rsidP="5CE196A1">
      <w:pPr>
        <w:ind w:right="237"/>
        <w:jc w:val="both"/>
        <w:rPr>
          <w:b/>
          <w:bCs/>
          <w:color w:val="000000" w:themeColor="text1"/>
          <w:sz w:val="24"/>
          <w:szCs w:val="24"/>
        </w:rPr>
      </w:pPr>
    </w:p>
    <w:p w14:paraId="58751063" w14:textId="56C51CE5"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proofErr w:type="gramStart"/>
      <w:r w:rsidRPr="0FF883D4">
        <w:rPr>
          <w:rFonts w:eastAsia="Arial"/>
          <w:color w:val="000000" w:themeColor="text1"/>
          <w:sz w:val="24"/>
          <w:szCs w:val="24"/>
        </w:rPr>
        <w:t>an</w:t>
      </w:r>
      <w:proofErr w:type="gramEnd"/>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5F79612C" w14:textId="4E91C753" w:rsidR="009370AE" w:rsidRDefault="009370AE" w:rsidP="009370AE">
      <w:pPr>
        <w:ind w:right="237"/>
        <w:jc w:val="both"/>
        <w:rPr>
          <w:b/>
          <w:bCs/>
          <w:color w:val="000000" w:themeColor="text1"/>
          <w:sz w:val="28"/>
          <w:szCs w:val="28"/>
        </w:rPr>
      </w:pPr>
    </w:p>
    <w:p w14:paraId="40E97B0D" w14:textId="77777777" w:rsidR="007C4392" w:rsidRPr="007C4392" w:rsidRDefault="007C4392" w:rsidP="007C4392">
      <w:pPr>
        <w:jc w:val="both"/>
        <w:rPr>
          <w:rFonts w:eastAsia="Arial"/>
          <w:color w:val="000000" w:themeColor="text1"/>
          <w:sz w:val="24"/>
          <w:szCs w:val="24"/>
          <w:lang w:val="en-US"/>
        </w:rPr>
      </w:pPr>
      <w:r w:rsidRPr="007C4392">
        <w:rPr>
          <w:rFonts w:eastAsia="Arial"/>
          <w:color w:val="000000" w:themeColor="text1"/>
          <w:sz w:val="24"/>
          <w:szCs w:val="24"/>
          <w:lang w:val="en-US"/>
        </w:rPr>
        <w:t xml:space="preserve">While on my response attachment, I was allocated to investigate a domestic related offence of criminal damage, threats to kill and stalking with fear of violence. The offender was the victim’s partner, the victim was pregnant with the offender’s child and the offender had a long history of domestic violence against multiple partners. The victim managed to run away from the offender, but he proceeded to attend the addresses of several of the victim’s friends </w:t>
      </w:r>
      <w:proofErr w:type="gramStart"/>
      <w:r w:rsidRPr="007C4392">
        <w:rPr>
          <w:rFonts w:eastAsia="Arial"/>
          <w:color w:val="000000" w:themeColor="text1"/>
          <w:sz w:val="24"/>
          <w:szCs w:val="24"/>
          <w:lang w:val="en-US"/>
        </w:rPr>
        <w:t>in an effort to</w:t>
      </w:r>
      <w:proofErr w:type="gramEnd"/>
      <w:r w:rsidRPr="007C4392">
        <w:rPr>
          <w:rFonts w:eastAsia="Arial"/>
          <w:color w:val="000000" w:themeColor="text1"/>
          <w:sz w:val="24"/>
          <w:szCs w:val="24"/>
          <w:lang w:val="en-US"/>
        </w:rPr>
        <w:t xml:space="preserve"> locate her. He then made several threats to kill her directly to her, to friends and via text and voice message. Due to the number and seriousness of the offences, the multiple crime scenes across different police areas, the victim’s vulnerability and the inability to locate the offender this investigation was deemed serious and complex with multiple lines of enquiry.</w:t>
      </w:r>
    </w:p>
    <w:p w14:paraId="58228633" w14:textId="77777777" w:rsidR="007C4392" w:rsidRPr="007C4392" w:rsidRDefault="007C4392" w:rsidP="007C4392">
      <w:pPr>
        <w:jc w:val="both"/>
        <w:rPr>
          <w:rFonts w:eastAsia="Arial"/>
          <w:color w:val="000000" w:themeColor="text1"/>
          <w:sz w:val="24"/>
          <w:szCs w:val="24"/>
          <w:lang w:val="en-US"/>
        </w:rPr>
      </w:pPr>
    </w:p>
    <w:p w14:paraId="3F83429F" w14:textId="77777777" w:rsidR="007C4392" w:rsidRPr="007C4392" w:rsidRDefault="007C4392" w:rsidP="007C4392">
      <w:pPr>
        <w:jc w:val="both"/>
        <w:rPr>
          <w:rFonts w:eastAsia="Arial"/>
          <w:color w:val="000000" w:themeColor="text1"/>
          <w:sz w:val="24"/>
          <w:szCs w:val="24"/>
          <w:lang w:val="en-US"/>
        </w:rPr>
      </w:pPr>
      <w:r w:rsidRPr="007C4392">
        <w:rPr>
          <w:rFonts w:eastAsia="Arial"/>
          <w:color w:val="000000" w:themeColor="text1"/>
          <w:sz w:val="24"/>
          <w:szCs w:val="24"/>
          <w:lang w:val="en-US"/>
        </w:rPr>
        <w:t xml:space="preserve">Once this matter was reported to the police, officers spoke with the victim to obtain an initial account of what had happened. Officers collected a statement from the victim as she wished to make a formal complaint and was willing to attend court. Research shows that stalking and threats to kill are associated to Intimidate Partner Homicide (Monckton-Smith, </w:t>
      </w:r>
      <w:proofErr w:type="spellStart"/>
      <w:r w:rsidRPr="007C4392">
        <w:rPr>
          <w:rFonts w:eastAsia="Arial"/>
          <w:color w:val="000000" w:themeColor="text1"/>
          <w:sz w:val="24"/>
          <w:szCs w:val="24"/>
          <w:lang w:val="en-US"/>
        </w:rPr>
        <w:t>Syzmanska</w:t>
      </w:r>
      <w:proofErr w:type="spellEnd"/>
      <w:r w:rsidRPr="007C4392">
        <w:rPr>
          <w:rFonts w:eastAsia="Arial"/>
          <w:color w:val="000000" w:themeColor="text1"/>
          <w:sz w:val="24"/>
          <w:szCs w:val="24"/>
          <w:lang w:val="en-US"/>
        </w:rPr>
        <w:t xml:space="preserve">, and Haile, 2017; Cunha and Gonçalves, 2019) with stalking being present in 94% of the homicides analysed. According to the Crime Survey for England and Wales analysed by the Office for National Stations, only 18.9% of women who experienced domestic abuse reported the matter to the police (ONS, 2023) and in 54.8% of those the victims withdrew their support towards police action (HMICFRS, 2021). Therefore, it is crucial for police to obtain as much evidence as </w:t>
      </w:r>
      <w:r w:rsidRPr="007C4392">
        <w:rPr>
          <w:rFonts w:eastAsia="Arial"/>
          <w:color w:val="000000" w:themeColor="text1"/>
          <w:sz w:val="24"/>
          <w:szCs w:val="24"/>
          <w:lang w:val="en-US"/>
        </w:rPr>
        <w:lastRenderedPageBreak/>
        <w:t xml:space="preserve">possible when the victims make a report to </w:t>
      </w:r>
      <w:proofErr w:type="gramStart"/>
      <w:r w:rsidRPr="007C4392">
        <w:rPr>
          <w:rFonts w:eastAsia="Arial"/>
          <w:color w:val="000000" w:themeColor="text1"/>
          <w:sz w:val="24"/>
          <w:szCs w:val="24"/>
          <w:lang w:val="en-US"/>
        </w:rPr>
        <w:t>in particular in</w:t>
      </w:r>
      <w:proofErr w:type="gramEnd"/>
      <w:r w:rsidRPr="007C4392">
        <w:rPr>
          <w:rFonts w:eastAsia="Arial"/>
          <w:color w:val="000000" w:themeColor="text1"/>
          <w:sz w:val="24"/>
          <w:szCs w:val="24"/>
          <w:lang w:val="en-US"/>
        </w:rPr>
        <w:t xml:space="preserve"> cases when factors linked to offending escalation are present. </w:t>
      </w:r>
    </w:p>
    <w:p w14:paraId="299F9D6A" w14:textId="77777777" w:rsidR="007C4392" w:rsidRPr="007C4392" w:rsidRDefault="007C4392" w:rsidP="007C4392">
      <w:pPr>
        <w:jc w:val="both"/>
        <w:rPr>
          <w:rFonts w:eastAsia="Arial"/>
          <w:color w:val="000000" w:themeColor="text1"/>
          <w:sz w:val="24"/>
          <w:szCs w:val="24"/>
          <w:lang w:val="en-US"/>
        </w:rPr>
      </w:pPr>
    </w:p>
    <w:p w14:paraId="6B66A234" w14:textId="77777777" w:rsidR="007C4392" w:rsidRPr="007C4392" w:rsidRDefault="007C4392" w:rsidP="007C4392">
      <w:pPr>
        <w:jc w:val="both"/>
        <w:rPr>
          <w:rFonts w:eastAsia="Arial"/>
          <w:color w:val="000000" w:themeColor="text1"/>
          <w:sz w:val="24"/>
          <w:szCs w:val="24"/>
          <w:lang w:val="en-US"/>
        </w:rPr>
      </w:pPr>
      <w:r w:rsidRPr="007C4392">
        <w:rPr>
          <w:rFonts w:eastAsia="Arial"/>
          <w:color w:val="000000" w:themeColor="text1"/>
          <w:sz w:val="24"/>
          <w:szCs w:val="24"/>
          <w:lang w:val="en-US"/>
        </w:rPr>
        <w:t>Due to the high number of victims retracting their statements during a domestic related investigation, these crimes can be investigated and taken to court even if the victim does not support in the form of an evidence-led investigation (HMICFRS, 2020). The aim of this new piece of legislation is to ensure victims are protected even when they do not want or feel they are able to support an investigation, regardless of the reasons. As a result, when officers attend a domestic violence incident, particularly if they are serious, they should submit a disclosure statement with the information that the victim has shared with them. These statements work as a “buffer plan” in the eventuality the victim retracts their statement and the information the victim initially provided can still be used in court. In the domestic related case I investigated, the victim and her friend who witnessed some of the offences provided a statement and consequently the attending officer completed a disclosure statement. Following this, attempts had been made to arrest the offender, however officers were not able to locate him for a few weeks.</w:t>
      </w:r>
    </w:p>
    <w:p w14:paraId="5B6995A8" w14:textId="77777777" w:rsidR="007C4392" w:rsidRPr="007C4392" w:rsidRDefault="007C4392" w:rsidP="007C4392">
      <w:pPr>
        <w:jc w:val="both"/>
        <w:rPr>
          <w:rFonts w:eastAsia="Arial"/>
          <w:color w:val="000000" w:themeColor="text1"/>
          <w:sz w:val="24"/>
          <w:szCs w:val="24"/>
          <w:lang w:val="en-US"/>
        </w:rPr>
      </w:pPr>
    </w:p>
    <w:p w14:paraId="7C9F361A" w14:textId="77777777" w:rsidR="007C4392" w:rsidRPr="007C4392" w:rsidRDefault="007C4392" w:rsidP="007C4392">
      <w:pPr>
        <w:jc w:val="both"/>
        <w:rPr>
          <w:rFonts w:eastAsia="Arial"/>
          <w:color w:val="000000" w:themeColor="text1"/>
          <w:sz w:val="24"/>
          <w:szCs w:val="24"/>
          <w:lang w:val="en-US"/>
        </w:rPr>
      </w:pPr>
      <w:r w:rsidRPr="007C4392">
        <w:rPr>
          <w:rFonts w:eastAsia="Arial"/>
          <w:color w:val="000000" w:themeColor="text1"/>
          <w:sz w:val="24"/>
          <w:szCs w:val="24"/>
          <w:lang w:val="en-US"/>
        </w:rPr>
        <w:t xml:space="preserve">As this matter was handed on to me and I became the Officer in Case, I contacted the victim introducing myself and conducted Golden Hour enquiries (College of Policing, 2023). These enquiries are conducted in the period immediately after an offence has taken place and it is the time frame when evidence is most readily available (College of Policing, 2023). Therefore, I conducted house-to-house and CCTV enquiries in the areas the offences had occurred. As a result of these enquiries, we were able to obtain ring doorbell footage of the suspect attending the victim’s friend address and making the threats to </w:t>
      </w:r>
      <w:proofErr w:type="gramStart"/>
      <w:r w:rsidRPr="007C4392">
        <w:rPr>
          <w:rFonts w:eastAsia="Arial"/>
          <w:color w:val="000000" w:themeColor="text1"/>
          <w:sz w:val="24"/>
          <w:szCs w:val="24"/>
          <w:lang w:val="en-US"/>
        </w:rPr>
        <w:t>kill, and</w:t>
      </w:r>
      <w:proofErr w:type="gramEnd"/>
      <w:r w:rsidRPr="007C4392">
        <w:rPr>
          <w:rFonts w:eastAsia="Arial"/>
          <w:color w:val="000000" w:themeColor="text1"/>
          <w:sz w:val="24"/>
          <w:szCs w:val="24"/>
          <w:lang w:val="en-US"/>
        </w:rPr>
        <w:t xml:space="preserve"> identified three more witnesses. This piece of evidence could have been lost if these enquiries would not have been done during Golden Hour enquiries as footage retention period varies.</w:t>
      </w:r>
    </w:p>
    <w:p w14:paraId="02EB8F1E" w14:textId="77777777" w:rsidR="007C4392" w:rsidRPr="007C4392" w:rsidRDefault="007C4392" w:rsidP="007C4392">
      <w:pPr>
        <w:jc w:val="both"/>
        <w:rPr>
          <w:rFonts w:eastAsia="Arial"/>
          <w:color w:val="000000" w:themeColor="text1"/>
          <w:sz w:val="24"/>
          <w:szCs w:val="24"/>
          <w:lang w:val="en-US"/>
        </w:rPr>
      </w:pPr>
    </w:p>
    <w:p w14:paraId="21DE1531" w14:textId="77777777" w:rsidR="007C4392" w:rsidRPr="007C4392" w:rsidRDefault="007C4392" w:rsidP="007C4392">
      <w:pPr>
        <w:jc w:val="both"/>
        <w:rPr>
          <w:rFonts w:eastAsia="Arial"/>
          <w:color w:val="000000" w:themeColor="text1"/>
          <w:sz w:val="24"/>
          <w:szCs w:val="24"/>
          <w:lang w:val="en-US"/>
        </w:rPr>
      </w:pPr>
      <w:r w:rsidRPr="007C4392">
        <w:rPr>
          <w:rFonts w:eastAsia="Arial"/>
          <w:color w:val="000000" w:themeColor="text1"/>
          <w:sz w:val="24"/>
          <w:szCs w:val="24"/>
          <w:lang w:val="en-US"/>
        </w:rPr>
        <w:t>I then focused on gathering further evidence for the investigation while exploring lines of enquiry to locate and consequently arrest the offender. A component of the stalking offence were the number of messages and calls received by the victim via a withheld number. As we did not have access to the offender’s mobile phone and we did not know if we would be able to seize it when the arrest would take place, I requested access to his Communications Data. This type of data contains information about a communication, such as the phone numbers involved and the time and place of a call, but not what was said. Access to Communication Data is governed by the Investigatory Powers Act (2016) and it can be accessed by public bodies for investigative purposes (Home Office, 2021). Even though this type of analysis does not include the content of messages or calls, we would still obtain useful information knowing if the suspect’s number made those calls to the victim as this would further evidence the harassment component of the stalking offence (Section 4A Protection from Harassment Act 1977).</w:t>
      </w:r>
    </w:p>
    <w:p w14:paraId="5FDFC17B" w14:textId="77777777" w:rsidR="007C4392" w:rsidRPr="007C4392" w:rsidRDefault="007C4392" w:rsidP="007C4392">
      <w:pPr>
        <w:jc w:val="both"/>
        <w:rPr>
          <w:rFonts w:eastAsia="Arial"/>
          <w:color w:val="000000" w:themeColor="text1"/>
          <w:sz w:val="24"/>
          <w:szCs w:val="24"/>
          <w:lang w:val="en-US"/>
        </w:rPr>
      </w:pPr>
    </w:p>
    <w:p w14:paraId="260E83DF" w14:textId="77777777" w:rsidR="007C4392" w:rsidRPr="007C4392" w:rsidRDefault="007C4392" w:rsidP="007C4392">
      <w:pPr>
        <w:jc w:val="both"/>
        <w:rPr>
          <w:rFonts w:eastAsia="Arial"/>
          <w:color w:val="000000" w:themeColor="text1"/>
          <w:sz w:val="24"/>
          <w:szCs w:val="24"/>
          <w:lang w:val="en-US"/>
        </w:rPr>
      </w:pPr>
      <w:r w:rsidRPr="007C4392">
        <w:rPr>
          <w:rFonts w:eastAsia="Arial"/>
          <w:color w:val="000000" w:themeColor="text1"/>
          <w:sz w:val="24"/>
          <w:szCs w:val="24"/>
          <w:lang w:val="en-US"/>
        </w:rPr>
        <w:t xml:space="preserve">In terms of locating the offender, I accessed intelligence gathered on the offender’s behaviour when he was previously wanted. The offender would travel between Wales and the North of England where his family reside. Therefore, I identified which vehicles he had access to and used the Automatic National Plate Recognition technology (ANPR) to assist. ANPR is used by law enforcement to identify vehicles’ licence plates with the </w:t>
      </w:r>
      <w:proofErr w:type="gramStart"/>
      <w:r w:rsidRPr="007C4392">
        <w:rPr>
          <w:rFonts w:eastAsia="Arial"/>
          <w:color w:val="000000" w:themeColor="text1"/>
          <w:sz w:val="24"/>
          <w:szCs w:val="24"/>
          <w:lang w:val="en-US"/>
        </w:rPr>
        <w:t>ultimate goal</w:t>
      </w:r>
      <w:proofErr w:type="gramEnd"/>
      <w:r w:rsidRPr="007C4392">
        <w:rPr>
          <w:rFonts w:eastAsia="Arial"/>
          <w:color w:val="000000" w:themeColor="text1"/>
          <w:sz w:val="24"/>
          <w:szCs w:val="24"/>
          <w:lang w:val="en-US"/>
        </w:rPr>
        <w:t xml:space="preserve"> to disrupt, prevent and detect criminal activity (College of </w:t>
      </w:r>
      <w:r w:rsidRPr="007C4392">
        <w:rPr>
          <w:rFonts w:eastAsia="Arial"/>
          <w:color w:val="000000" w:themeColor="text1"/>
          <w:sz w:val="24"/>
          <w:szCs w:val="24"/>
          <w:lang w:val="en-US"/>
        </w:rPr>
        <w:lastRenderedPageBreak/>
        <w:t xml:space="preserve">Policing, 2023). I have also placed a marker on the offender’s vehicle which means that if the police come across the vehicle and they conduct checks on the vehicle using the Police National Computer database they will be able to see that the Registered Owner of the vehicle is </w:t>
      </w:r>
      <w:proofErr w:type="gramStart"/>
      <w:r w:rsidRPr="007C4392">
        <w:rPr>
          <w:rFonts w:eastAsia="Arial"/>
          <w:color w:val="000000" w:themeColor="text1"/>
          <w:sz w:val="24"/>
          <w:szCs w:val="24"/>
          <w:lang w:val="en-US"/>
        </w:rPr>
        <w:t>wanted</w:t>
      </w:r>
      <w:proofErr w:type="gramEnd"/>
      <w:r w:rsidRPr="007C4392">
        <w:rPr>
          <w:rFonts w:eastAsia="Arial"/>
          <w:color w:val="000000" w:themeColor="text1"/>
          <w:sz w:val="24"/>
          <w:szCs w:val="24"/>
          <w:lang w:val="en-US"/>
        </w:rPr>
        <w:t xml:space="preserve"> and they can then arrest him. </w:t>
      </w:r>
    </w:p>
    <w:p w14:paraId="15E5C2FA" w14:textId="77777777" w:rsidR="007C4392" w:rsidRPr="007C4392" w:rsidRDefault="007C4392" w:rsidP="007C4392">
      <w:pPr>
        <w:jc w:val="both"/>
        <w:rPr>
          <w:rFonts w:eastAsia="Arial"/>
          <w:color w:val="000000" w:themeColor="text1"/>
          <w:sz w:val="24"/>
          <w:szCs w:val="24"/>
          <w:lang w:val="en-US"/>
        </w:rPr>
      </w:pPr>
    </w:p>
    <w:p w14:paraId="2A75B6CE" w14:textId="77777777" w:rsidR="007C4392" w:rsidRPr="007C4392" w:rsidRDefault="007C4392" w:rsidP="007C4392">
      <w:pPr>
        <w:jc w:val="both"/>
        <w:rPr>
          <w:rFonts w:eastAsia="Arial"/>
          <w:color w:val="000000" w:themeColor="text1"/>
          <w:sz w:val="24"/>
          <w:szCs w:val="24"/>
          <w:lang w:val="en-US"/>
        </w:rPr>
      </w:pPr>
      <w:r w:rsidRPr="007C4392">
        <w:rPr>
          <w:rFonts w:eastAsia="Arial"/>
          <w:color w:val="000000" w:themeColor="text1"/>
          <w:sz w:val="24"/>
          <w:szCs w:val="24"/>
          <w:lang w:val="en-US"/>
        </w:rPr>
        <w:t xml:space="preserve">Based on the ANPR checks I could see that the offender’s vehicle was being detected driving between South Wales and South Yorkshire. I also had intelligence information that the offender was on Probation and therefore I contacted his Probation Officer to know about the offender’s probation conditions and if they had any addresses or details of the offender’s family. Probation indeed </w:t>
      </w:r>
      <w:proofErr w:type="gramStart"/>
      <w:r w:rsidRPr="007C4392">
        <w:rPr>
          <w:rFonts w:eastAsia="Arial"/>
          <w:color w:val="000000" w:themeColor="text1"/>
          <w:sz w:val="24"/>
          <w:szCs w:val="24"/>
          <w:lang w:val="en-US"/>
        </w:rPr>
        <w:t>have</w:t>
      </w:r>
      <w:proofErr w:type="gramEnd"/>
      <w:r w:rsidRPr="007C4392">
        <w:rPr>
          <w:rFonts w:eastAsia="Arial"/>
          <w:color w:val="000000" w:themeColor="text1"/>
          <w:sz w:val="24"/>
          <w:szCs w:val="24"/>
          <w:lang w:val="en-US"/>
        </w:rPr>
        <w:t xml:space="preserve"> an address linked to the offender which allowed me to request to the local police to attend the address and arrest the offender if he was there. I was also informed that the offender had missed two of his appointments with probation. Due to the seriousness of the </w:t>
      </w:r>
      <w:proofErr w:type="gramStart"/>
      <w:r w:rsidRPr="007C4392">
        <w:rPr>
          <w:rFonts w:eastAsia="Arial"/>
          <w:color w:val="000000" w:themeColor="text1"/>
          <w:sz w:val="24"/>
          <w:szCs w:val="24"/>
          <w:lang w:val="en-US"/>
        </w:rPr>
        <w:t>offences</w:t>
      </w:r>
      <w:proofErr w:type="gramEnd"/>
      <w:r w:rsidRPr="007C4392">
        <w:rPr>
          <w:rFonts w:eastAsia="Arial"/>
          <w:color w:val="000000" w:themeColor="text1"/>
          <w:sz w:val="24"/>
          <w:szCs w:val="24"/>
          <w:lang w:val="en-US"/>
        </w:rPr>
        <w:t xml:space="preserve"> I was investigating, the Probation Officer contacted the court to request an emergency warrant which would ensure that the offender is arrested and presented to court the next day. This collaboration between South Wales Police and HMPPS provided crucial information to assess the risk posed to the victim and to inform the arrest enquiries showing successful multi-agency work (HM Inspectorate of Probation, 2023). </w:t>
      </w:r>
    </w:p>
    <w:p w14:paraId="00F2C958" w14:textId="77777777" w:rsidR="007C4392" w:rsidRPr="007C4392" w:rsidRDefault="007C4392" w:rsidP="007C4392">
      <w:pPr>
        <w:jc w:val="both"/>
        <w:rPr>
          <w:rFonts w:eastAsia="Arial"/>
          <w:color w:val="000000" w:themeColor="text1"/>
          <w:sz w:val="24"/>
          <w:szCs w:val="24"/>
          <w:lang w:val="en-US"/>
        </w:rPr>
      </w:pPr>
    </w:p>
    <w:p w14:paraId="7D22D389" w14:textId="77777777" w:rsidR="007C4392" w:rsidRPr="007C4392" w:rsidRDefault="007C4392" w:rsidP="007C4392">
      <w:pPr>
        <w:jc w:val="both"/>
        <w:rPr>
          <w:rFonts w:eastAsia="Arial"/>
          <w:color w:val="000000" w:themeColor="text1"/>
          <w:sz w:val="24"/>
          <w:szCs w:val="24"/>
          <w:lang w:val="en-US"/>
        </w:rPr>
      </w:pPr>
      <w:r w:rsidRPr="007C4392">
        <w:rPr>
          <w:rFonts w:eastAsia="Arial"/>
          <w:color w:val="000000" w:themeColor="text1"/>
          <w:sz w:val="24"/>
          <w:szCs w:val="24"/>
          <w:lang w:val="en-US"/>
        </w:rPr>
        <w:t xml:space="preserve">The offender was aware police were trying to contact him and as a result he decided to hand himself in four weeks after the offences took place. Even though the offender was not arrested while the police were conducting arrest enquiries, the efforts to locate him made him hand himself in because he was becoming frustrated with police knocking at his door and contacting his associates. It is known that police presence </w:t>
      </w:r>
      <w:proofErr w:type="gramStart"/>
      <w:r w:rsidRPr="007C4392">
        <w:rPr>
          <w:rFonts w:eastAsia="Arial"/>
          <w:color w:val="000000" w:themeColor="text1"/>
          <w:sz w:val="24"/>
          <w:szCs w:val="24"/>
          <w:lang w:val="en-US"/>
        </w:rPr>
        <w:t>have</w:t>
      </w:r>
      <w:proofErr w:type="gramEnd"/>
      <w:r w:rsidRPr="007C4392">
        <w:rPr>
          <w:rFonts w:eastAsia="Arial"/>
          <w:color w:val="000000" w:themeColor="text1"/>
          <w:sz w:val="24"/>
          <w:szCs w:val="24"/>
          <w:lang w:val="en-US"/>
        </w:rPr>
        <w:t xml:space="preserve"> a deterrent effect in the commission of offences (Bucci, 2024). Therefore, it can be assumed that the active effort to locate the offender deterred him from approaching the victim and ultimately protect her from any further harm. </w:t>
      </w:r>
    </w:p>
    <w:p w14:paraId="3C1A332B" w14:textId="77777777" w:rsidR="007C4392" w:rsidRPr="007C4392" w:rsidRDefault="007C4392" w:rsidP="007C4392">
      <w:pPr>
        <w:jc w:val="both"/>
        <w:rPr>
          <w:rFonts w:eastAsia="Arial"/>
          <w:color w:val="000000" w:themeColor="text1"/>
          <w:sz w:val="24"/>
          <w:szCs w:val="24"/>
          <w:lang w:val="en-US"/>
        </w:rPr>
      </w:pPr>
    </w:p>
    <w:p w14:paraId="5429DC80" w14:textId="77777777" w:rsidR="007C4392" w:rsidRPr="007C4392" w:rsidRDefault="007C4392" w:rsidP="007C4392">
      <w:pPr>
        <w:jc w:val="both"/>
        <w:rPr>
          <w:rFonts w:eastAsia="Arial"/>
          <w:color w:val="000000" w:themeColor="text1"/>
          <w:sz w:val="24"/>
          <w:szCs w:val="24"/>
          <w:lang w:val="en-US"/>
        </w:rPr>
      </w:pPr>
      <w:r w:rsidRPr="007C4392">
        <w:rPr>
          <w:rFonts w:eastAsia="Arial"/>
          <w:color w:val="000000" w:themeColor="text1"/>
          <w:sz w:val="24"/>
          <w:szCs w:val="24"/>
          <w:lang w:val="en-US"/>
        </w:rPr>
        <w:t xml:space="preserve">This incidents in this case occurred over three days and when I was assigned to investigate this </w:t>
      </w:r>
      <w:proofErr w:type="gramStart"/>
      <w:r w:rsidRPr="007C4392">
        <w:rPr>
          <w:rFonts w:eastAsia="Arial"/>
          <w:color w:val="000000" w:themeColor="text1"/>
          <w:sz w:val="24"/>
          <w:szCs w:val="24"/>
          <w:lang w:val="en-US"/>
        </w:rPr>
        <w:t>matter</w:t>
      </w:r>
      <w:proofErr w:type="gramEnd"/>
      <w:r w:rsidRPr="007C4392">
        <w:rPr>
          <w:rFonts w:eastAsia="Arial"/>
          <w:color w:val="000000" w:themeColor="text1"/>
          <w:sz w:val="24"/>
          <w:szCs w:val="24"/>
          <w:lang w:val="en-US"/>
        </w:rPr>
        <w:t xml:space="preserve"> I noted that a statement had not been collected for the report made the day before. I was also informed that the victim had contacted 101 the evening before stating she no longer wanted to support police action. I was concerned that the victim wanted to withdraw her support as this could have a damaging impact on the investigation which would ultimately make it more difficult to protect her from the offender. I was also concerned with the possibility of the offender being in contact with her and she was withdrawing support due to fear of the offender. I contacted the victim and arranged to speak with her at her address.</w:t>
      </w:r>
    </w:p>
    <w:p w14:paraId="64FCF935" w14:textId="77777777" w:rsidR="007C4392" w:rsidRPr="007C4392" w:rsidRDefault="007C4392" w:rsidP="007C4392">
      <w:pPr>
        <w:jc w:val="both"/>
        <w:rPr>
          <w:rFonts w:eastAsia="Arial"/>
          <w:color w:val="000000" w:themeColor="text1"/>
          <w:sz w:val="24"/>
          <w:szCs w:val="24"/>
          <w:lang w:val="en-US"/>
        </w:rPr>
      </w:pPr>
    </w:p>
    <w:p w14:paraId="57F156DF" w14:textId="77777777" w:rsidR="007C4392" w:rsidRPr="007C4392" w:rsidRDefault="007C4392" w:rsidP="007C4392">
      <w:pPr>
        <w:jc w:val="both"/>
        <w:rPr>
          <w:rFonts w:eastAsia="Arial"/>
          <w:color w:val="000000" w:themeColor="text1"/>
          <w:sz w:val="24"/>
          <w:szCs w:val="24"/>
          <w:lang w:val="en-US"/>
        </w:rPr>
      </w:pPr>
      <w:r w:rsidRPr="007C4392">
        <w:rPr>
          <w:rFonts w:eastAsia="Arial"/>
          <w:color w:val="000000" w:themeColor="text1"/>
          <w:sz w:val="24"/>
          <w:szCs w:val="24"/>
          <w:lang w:val="en-US"/>
        </w:rPr>
        <w:t xml:space="preserve">When speaking with the victim, she repeated she did not want to support prosecution and did not want to discuss the mattery any further. Therefore, I was unable to retrieve information regarding the most recent events and instead she provided a statement stating her intentions with this case. Even though the witness or victim may still be required to attend court, the reliability of their original statement is undermined by the retraction statement and prosecution becomes more unlikely. I then discussed with the victim the support available to her regardless of her support of the investigation. These measures can be put in place to safeguard the victims while giving them the choice to not support police action. I informed the victim of security measures that can be put in place, e.g. target hardening, which could include having an emergency device on the wall and/or a lanyard that would automatically connect to 999 if pulled. I also told the victim about the Live Fear Free helpline which is available to victims of </w:t>
      </w:r>
      <w:r w:rsidRPr="007C4392">
        <w:rPr>
          <w:rFonts w:eastAsia="Arial"/>
          <w:color w:val="000000" w:themeColor="text1"/>
          <w:sz w:val="24"/>
          <w:szCs w:val="24"/>
          <w:lang w:val="en-US"/>
        </w:rPr>
        <w:lastRenderedPageBreak/>
        <w:t xml:space="preserve">domestic violence (Live Fear Free, 2024) and I explained about Clare’s Law which is a mechanism that allows people to know if their current or ex-partner has a history of domestic violence (Domestic Violence Disclosure Scheme, 2014). I informed the victim that there would be regular patrols around her area in the next few days and that we had warning markers on her, the offender and their addresses which would inform the police that there is history of domestic </w:t>
      </w:r>
      <w:proofErr w:type="gramStart"/>
      <w:r w:rsidRPr="007C4392">
        <w:rPr>
          <w:rFonts w:eastAsia="Arial"/>
          <w:color w:val="000000" w:themeColor="text1"/>
          <w:sz w:val="24"/>
          <w:szCs w:val="24"/>
          <w:lang w:val="en-US"/>
        </w:rPr>
        <w:t>violence</w:t>
      </w:r>
      <w:proofErr w:type="gramEnd"/>
      <w:r w:rsidRPr="007C4392">
        <w:rPr>
          <w:rFonts w:eastAsia="Arial"/>
          <w:color w:val="000000" w:themeColor="text1"/>
          <w:sz w:val="24"/>
          <w:szCs w:val="24"/>
          <w:lang w:val="en-US"/>
        </w:rPr>
        <w:t xml:space="preserve"> and a prompt response would be provided to calls linked to her.</w:t>
      </w:r>
    </w:p>
    <w:p w14:paraId="609E8313" w14:textId="77777777" w:rsidR="007C4392" w:rsidRPr="007C4392" w:rsidRDefault="007C4392" w:rsidP="007C4392">
      <w:pPr>
        <w:jc w:val="both"/>
        <w:rPr>
          <w:rFonts w:eastAsia="Arial"/>
          <w:color w:val="000000" w:themeColor="text1"/>
          <w:sz w:val="24"/>
          <w:szCs w:val="24"/>
          <w:lang w:val="en-US"/>
        </w:rPr>
      </w:pPr>
    </w:p>
    <w:p w14:paraId="3C17567B" w14:textId="77777777" w:rsidR="007C4392" w:rsidRPr="007C4392" w:rsidRDefault="007C4392" w:rsidP="007C4392">
      <w:pPr>
        <w:jc w:val="both"/>
        <w:rPr>
          <w:rFonts w:eastAsia="Arial"/>
          <w:color w:val="000000" w:themeColor="text1"/>
          <w:sz w:val="24"/>
          <w:szCs w:val="24"/>
          <w:lang w:val="en-US"/>
        </w:rPr>
      </w:pPr>
      <w:r w:rsidRPr="007C4392">
        <w:rPr>
          <w:rFonts w:eastAsia="Arial"/>
          <w:color w:val="000000" w:themeColor="text1"/>
          <w:sz w:val="24"/>
          <w:szCs w:val="24"/>
          <w:lang w:val="en-US"/>
        </w:rPr>
        <w:t>I tried to make sure the victim felt as safe as possible to support police action so if she did choose to withdraw her support that would not be because she was afraid of the offender. I also informed her that because she provided an initial statement she may still be summoned to court and that the offender would still be arrested as this is a domestic related offence. Unfortunately, the victim</w:t>
      </w:r>
    </w:p>
    <w:p w14:paraId="665D79B5" w14:textId="77777777" w:rsidR="007C4392" w:rsidRPr="007C4392" w:rsidRDefault="007C4392" w:rsidP="007C4392">
      <w:pPr>
        <w:jc w:val="both"/>
        <w:rPr>
          <w:rFonts w:eastAsia="Arial"/>
          <w:color w:val="000000" w:themeColor="text1"/>
          <w:sz w:val="24"/>
          <w:szCs w:val="24"/>
          <w:lang w:val="en-US"/>
        </w:rPr>
      </w:pPr>
      <w:r w:rsidRPr="007C4392">
        <w:rPr>
          <w:rFonts w:eastAsia="Arial"/>
          <w:color w:val="000000" w:themeColor="text1"/>
          <w:sz w:val="24"/>
          <w:szCs w:val="24"/>
          <w:lang w:val="en-US"/>
        </w:rPr>
        <w:t xml:space="preserve">became quite frustrated and said she was going to make a complaint stating that I was trying to intimidate her to continue to support police action. </w:t>
      </w:r>
    </w:p>
    <w:p w14:paraId="2B130A78" w14:textId="77777777" w:rsidR="007C4392" w:rsidRPr="007C4392" w:rsidRDefault="007C4392" w:rsidP="007C4392">
      <w:pPr>
        <w:jc w:val="both"/>
        <w:rPr>
          <w:rFonts w:eastAsia="Arial"/>
          <w:color w:val="000000" w:themeColor="text1"/>
          <w:sz w:val="24"/>
          <w:szCs w:val="24"/>
          <w:lang w:val="en-US"/>
        </w:rPr>
      </w:pPr>
    </w:p>
    <w:p w14:paraId="14855EC9" w14:textId="77777777" w:rsidR="007C4392" w:rsidRPr="007C4392" w:rsidRDefault="007C4392" w:rsidP="007C4392">
      <w:pPr>
        <w:jc w:val="both"/>
        <w:rPr>
          <w:rFonts w:eastAsia="Arial"/>
          <w:color w:val="000000" w:themeColor="text1"/>
          <w:sz w:val="24"/>
          <w:szCs w:val="24"/>
          <w:lang w:val="en-US"/>
        </w:rPr>
      </w:pPr>
      <w:r w:rsidRPr="007C4392">
        <w:rPr>
          <w:rFonts w:eastAsia="Arial"/>
          <w:color w:val="000000" w:themeColor="text1"/>
          <w:sz w:val="24"/>
          <w:szCs w:val="24"/>
          <w:lang w:val="en-US"/>
        </w:rPr>
        <w:t>Personal values and attitudes are related but different concepts. Personal values tend to be stable core beliefs that a person holds across most aspects of life, for instance security, benevolence, and self-direction (Schwartz, 1992). Attitudes are based on a person’s values, tend to be more specific and they ultimately guide a person’s behaviour and decision-making (</w:t>
      </w:r>
      <w:proofErr w:type="spellStart"/>
      <w:r w:rsidRPr="007C4392">
        <w:rPr>
          <w:rFonts w:eastAsia="Arial"/>
          <w:color w:val="000000" w:themeColor="text1"/>
          <w:sz w:val="24"/>
          <w:szCs w:val="24"/>
          <w:lang w:val="en-US"/>
        </w:rPr>
        <w:t>Eagly</w:t>
      </w:r>
      <w:proofErr w:type="spellEnd"/>
      <w:r w:rsidRPr="007C4392">
        <w:rPr>
          <w:rFonts w:eastAsia="Arial"/>
          <w:color w:val="000000" w:themeColor="text1"/>
          <w:sz w:val="24"/>
          <w:szCs w:val="24"/>
          <w:lang w:val="en-US"/>
        </w:rPr>
        <w:t xml:space="preserve"> and Chaiken, 1998). For instance, a personal value of security is linked to goals of safety and social order, benevolence is linked to helpfulness, loyalty and honesty, and self-direction is linked to freedom and independency (Parks-Leduc, Feldman &amp; Bardi, 2015). Some of my personal values are linked to freedom, particularly of one’s choice, and the belief that everyone should be and feel safe. These values were, to a certain extent, in conflict when dealing with the victim of this investigation. I believed that a police investigation that could lead to a custodial sentence or a restraining order would safeguard the victim and ensure she would be and feel safe from harm. However, her choice was not to support police action which limits the measures that could be put in place to keep her safe. Ultimately, it was her decision and I managed my frustration by focusing on my belief </w:t>
      </w:r>
      <w:proofErr w:type="gramStart"/>
      <w:r w:rsidRPr="007C4392">
        <w:rPr>
          <w:rFonts w:eastAsia="Arial"/>
          <w:color w:val="000000" w:themeColor="text1"/>
          <w:sz w:val="24"/>
          <w:szCs w:val="24"/>
          <w:lang w:val="en-US"/>
        </w:rPr>
        <w:t>everyone  should</w:t>
      </w:r>
      <w:proofErr w:type="gramEnd"/>
      <w:r w:rsidRPr="007C4392">
        <w:rPr>
          <w:rFonts w:eastAsia="Arial"/>
          <w:color w:val="000000" w:themeColor="text1"/>
          <w:sz w:val="24"/>
          <w:szCs w:val="24"/>
          <w:lang w:val="en-US"/>
        </w:rPr>
        <w:t xml:space="preserve"> have the right to make their own decisions. The way I dealt with these two values in conflict was to provide the victim with all the information I had regarding safeguarding and the investigation in general. This would allow her to </w:t>
      </w:r>
      <w:proofErr w:type="gramStart"/>
      <w:r w:rsidRPr="007C4392">
        <w:rPr>
          <w:rFonts w:eastAsia="Arial"/>
          <w:color w:val="000000" w:themeColor="text1"/>
          <w:sz w:val="24"/>
          <w:szCs w:val="24"/>
          <w:lang w:val="en-US"/>
        </w:rPr>
        <w:t>make a decision</w:t>
      </w:r>
      <w:proofErr w:type="gramEnd"/>
      <w:r w:rsidRPr="007C4392">
        <w:rPr>
          <w:rFonts w:eastAsia="Arial"/>
          <w:color w:val="000000" w:themeColor="text1"/>
          <w:sz w:val="24"/>
          <w:szCs w:val="24"/>
          <w:lang w:val="en-US"/>
        </w:rPr>
        <w:t xml:space="preserve"> as informed as possible. Therefore, despite the victim wishing to make a complaint about me and accusing me of intimidating her I could rely on my integrity as I followed policy, I was </w:t>
      </w:r>
      <w:proofErr w:type="gramStart"/>
      <w:r w:rsidRPr="007C4392">
        <w:rPr>
          <w:rFonts w:eastAsia="Arial"/>
          <w:color w:val="000000" w:themeColor="text1"/>
          <w:sz w:val="24"/>
          <w:szCs w:val="24"/>
          <w:lang w:val="en-US"/>
        </w:rPr>
        <w:t>empathetic</w:t>
      </w:r>
      <w:proofErr w:type="gramEnd"/>
      <w:r w:rsidRPr="007C4392">
        <w:rPr>
          <w:rFonts w:eastAsia="Arial"/>
          <w:color w:val="000000" w:themeColor="text1"/>
          <w:sz w:val="24"/>
          <w:szCs w:val="24"/>
          <w:lang w:val="en-US"/>
        </w:rPr>
        <w:t xml:space="preserve"> and I video recorded our interaction so she would also feel safe to make a complaint and have the footage reviewed. </w:t>
      </w:r>
    </w:p>
    <w:p w14:paraId="5B91F98B" w14:textId="77777777" w:rsidR="007C4392" w:rsidRPr="007C4392" w:rsidRDefault="007C4392" w:rsidP="007C4392">
      <w:pPr>
        <w:jc w:val="both"/>
        <w:rPr>
          <w:rFonts w:eastAsia="Arial"/>
          <w:color w:val="000000" w:themeColor="text1"/>
          <w:sz w:val="24"/>
          <w:szCs w:val="24"/>
          <w:lang w:val="en-US"/>
        </w:rPr>
      </w:pPr>
    </w:p>
    <w:p w14:paraId="0A1F3000" w14:textId="77777777" w:rsidR="007C4392" w:rsidRDefault="007C4392" w:rsidP="007C4392">
      <w:pPr>
        <w:jc w:val="both"/>
        <w:rPr>
          <w:rFonts w:eastAsia="Arial"/>
          <w:color w:val="000000" w:themeColor="text1"/>
          <w:sz w:val="24"/>
          <w:szCs w:val="24"/>
          <w:lang w:val="en-US"/>
        </w:rPr>
      </w:pPr>
      <w:r w:rsidRPr="007C4392">
        <w:rPr>
          <w:rFonts w:eastAsia="Arial"/>
          <w:color w:val="000000" w:themeColor="text1"/>
          <w:sz w:val="24"/>
          <w:szCs w:val="24"/>
          <w:lang w:val="en-US"/>
        </w:rPr>
        <w:t xml:space="preserve">Upon further reflection on the victim’s retraction, I </w:t>
      </w:r>
      <w:proofErr w:type="gramStart"/>
      <w:r w:rsidRPr="007C4392">
        <w:rPr>
          <w:rFonts w:eastAsia="Arial"/>
          <w:color w:val="000000" w:themeColor="text1"/>
          <w:sz w:val="24"/>
          <w:szCs w:val="24"/>
          <w:lang w:val="en-US"/>
        </w:rPr>
        <w:t>am able to</w:t>
      </w:r>
      <w:proofErr w:type="gramEnd"/>
      <w:r w:rsidRPr="007C4392">
        <w:rPr>
          <w:rFonts w:eastAsia="Arial"/>
          <w:color w:val="000000" w:themeColor="text1"/>
          <w:sz w:val="24"/>
          <w:szCs w:val="24"/>
          <w:lang w:val="en-US"/>
        </w:rPr>
        <w:t xml:space="preserve"> recognise that it is frustrating for police officers to attend domestic violence calls involving the same people on multiple occasions. This can lead to a decrease in empathy towards the victim and sense of purpose as often investigations reach a dead end without the support of the victim. However, I am also empathetic with victims and I understand that even if a victim has a strong support network and even the financial means to leave the abuser there are other factors at play, such as children and/or mental health needs, that impact the ability to leave an abusive </w:t>
      </w:r>
      <w:proofErr w:type="gramStart"/>
      <w:r w:rsidRPr="007C4392">
        <w:rPr>
          <w:rFonts w:eastAsia="Arial"/>
          <w:color w:val="000000" w:themeColor="text1"/>
          <w:sz w:val="24"/>
          <w:szCs w:val="24"/>
          <w:lang w:val="en-US"/>
        </w:rPr>
        <w:t>relationship .</w:t>
      </w:r>
      <w:proofErr w:type="gramEnd"/>
      <w:r w:rsidRPr="007C4392">
        <w:rPr>
          <w:rFonts w:eastAsia="Arial"/>
          <w:color w:val="000000" w:themeColor="text1"/>
          <w:sz w:val="24"/>
          <w:szCs w:val="24"/>
          <w:lang w:val="en-US"/>
        </w:rPr>
        <w:t xml:space="preserve">  Therefore, I am able to invest a lot of time and effort in every domestic violence report so the victim </w:t>
      </w:r>
      <w:proofErr w:type="gramStart"/>
      <w:r w:rsidRPr="007C4392">
        <w:rPr>
          <w:rFonts w:eastAsia="Arial"/>
          <w:color w:val="000000" w:themeColor="text1"/>
          <w:sz w:val="24"/>
          <w:szCs w:val="24"/>
          <w:lang w:val="en-US"/>
        </w:rPr>
        <w:t>feel</w:t>
      </w:r>
      <w:proofErr w:type="gramEnd"/>
      <w:r w:rsidRPr="007C4392">
        <w:rPr>
          <w:rFonts w:eastAsia="Arial"/>
          <w:color w:val="000000" w:themeColor="text1"/>
          <w:sz w:val="24"/>
          <w:szCs w:val="24"/>
          <w:lang w:val="en-US"/>
        </w:rPr>
        <w:t xml:space="preserve"> as safe and supported as possible for when they are ready to leave the abusive relationship.</w:t>
      </w:r>
    </w:p>
    <w:p w14:paraId="1DB277AB" w14:textId="18123F93" w:rsidR="007C4392" w:rsidRPr="007C4392" w:rsidRDefault="007C4392" w:rsidP="007C4392">
      <w:pPr>
        <w:jc w:val="both"/>
        <w:rPr>
          <w:rFonts w:eastAsia="Arial"/>
          <w:color w:val="000000" w:themeColor="text1"/>
          <w:sz w:val="24"/>
          <w:szCs w:val="24"/>
          <w:lang w:val="en-US"/>
        </w:rPr>
      </w:pPr>
      <w:r>
        <w:rPr>
          <w:rFonts w:eastAsia="Arial"/>
          <w:color w:val="000000" w:themeColor="text1"/>
          <w:sz w:val="24"/>
          <w:szCs w:val="24"/>
          <w:lang w:val="en-US"/>
        </w:rPr>
        <w:lastRenderedPageBreak/>
        <w:t>2157 words</w:t>
      </w:r>
    </w:p>
    <w:p w14:paraId="49989C09" w14:textId="376F0814" w:rsidR="009370AE" w:rsidRPr="009370AE" w:rsidRDefault="009370AE" w:rsidP="009370AE">
      <w:pPr>
        <w:ind w:right="237"/>
        <w:jc w:val="both"/>
        <w:rPr>
          <w:b/>
          <w:bCs/>
          <w:color w:val="000000" w:themeColor="text1"/>
          <w:sz w:val="28"/>
          <w:szCs w:val="28"/>
        </w:rPr>
      </w:pPr>
    </w:p>
    <w:p w14:paraId="1ADEFAE5" w14:textId="3995B2F2" w:rsidR="0FF883D4" w:rsidRDefault="00626B21" w:rsidP="5CE196A1">
      <w:r>
        <w:rPr>
          <w:rFonts w:eastAsia="Arial"/>
          <w:b/>
          <w:bCs/>
          <w:noProof/>
          <w:color w:val="000000" w:themeColor="text1"/>
          <w:sz w:val="24"/>
          <w:szCs w:val="24"/>
        </w:rPr>
        <mc:AlternateContent>
          <mc:Choice Requires="wpi">
            <w:drawing>
              <wp:anchor distT="0" distB="0" distL="114300" distR="114300" simplePos="0" relativeHeight="251668480" behindDoc="0" locked="0" layoutInCell="1" allowOverlap="1" wp14:anchorId="65813AF2" wp14:editId="72E0E2CD">
                <wp:simplePos x="0" y="0"/>
                <wp:positionH relativeFrom="column">
                  <wp:posOffset>1991360</wp:posOffset>
                </wp:positionH>
                <wp:positionV relativeFrom="paragraph">
                  <wp:posOffset>-193040</wp:posOffset>
                </wp:positionV>
                <wp:extent cx="2031360" cy="560070"/>
                <wp:effectExtent l="38100" t="38100" r="26670" b="49530"/>
                <wp:wrapNone/>
                <wp:docPr id="310191815" name="Ink 10"/>
                <wp:cNvGraphicFramePr/>
                <a:graphic xmlns:a="http://schemas.openxmlformats.org/drawingml/2006/main">
                  <a:graphicData uri="http://schemas.microsoft.com/office/word/2010/wordprocessingInk">
                    <w14:contentPart bwMode="auto" r:id="rId15">
                      <w14:nvContentPartPr>
                        <w14:cNvContentPartPr/>
                      </w14:nvContentPartPr>
                      <w14:xfrm>
                        <a:off x="0" y="0"/>
                        <a:ext cx="2031360" cy="560070"/>
                      </w14:xfrm>
                    </w14:contentPart>
                  </a:graphicData>
                </a:graphic>
              </wp:anchor>
            </w:drawing>
          </mc:Choice>
          <mc:Fallback>
            <w:pict>
              <v:shapetype w14:anchorId="03F99B5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156.3pt;margin-top:-15.7pt;width:160.95pt;height:45.0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xlZ91AQAACgMAAA4AAABkcnMvZTJvRG9jLnhtbJxSXU/CMBR9N/E/&#10;NH2XbXzqwsaDxIQHlQf9AbVrWePau9wWBv/euwECGmPCy9Le052ej05nW1uxjUJvwGU86cWcKSeh&#10;MG6V8fe3p7t7znwQrhAVOJXxnfJ8lt/eTJs6VX0ooSoUMiJxPm3qjJch1GkUeVkqK3wPauUI1IBW&#10;BNriKipQNMRuq6gfx+OoASxqBKm8p+l8D/K849dayfCqtVeBVRkfJ32SF9pFMuIMaTEZPnD2cZhE&#10;+VSkKxR1aeRBkrhCkRXGkYBvqrkIgq3R/KKyRiJ40KEnwUagtZGq80POkviHs4X7bF0lQ7nGVIIL&#10;yoWlwHDMrgOuucJWlEDzDAW1I9YB+IGR4vm/jL3oOci1JT37RlBVItBz8KWpPcWcmiLjuCiSk363&#10;eTw5WOLJ18slQI1EB8t//bLVaNuwSQnbZpwK3rXfrku1DUzSsB8PksGYIEnYaBzHk+7AkXpPcdyd&#10;ZUu3X7R4vm+VnT3h/AsAAP//AwBQSwMEFAAGAAgAAAAhAAY6YPNPCAAAVRsAABAAAABkcnMvaW5r&#10;L2luazEueG1stFlLb9s2HL8P2HcgtEMuocOHRElBk51WYMCGDWsHbMc0URujsV3YStN++/3+D8pU&#10;7KQ9ZChCmf/3W6T66ucvqzvzedjulpv1ReUXrjLD+npzs1x/uKj+fvvadpXZjVfrm6u7zXq4qL4O&#10;u+rnyx9/eLVcf1zdnWM1kLDe0a/V3UV1O46fzs/OHh4eFg9xsdl+OAvOxbNf1x9//626VK6b4f1y&#10;vRyhcpdB15v1OHwZSdj58uaiuh6/uIkest9s7rfXw4QmyPZ6TzFur66H15vt6mqcJN5erdfDnVlf&#10;rWD3P5UZv37CjyX0fBi2lVkt4bANC1+3dfdLD8DVl4uq2N/DxB0sWVVnx2X++z/IfH0ok8yKoU1t&#10;ZdSkm+Ez2XTGMT9/2vc/t5tPw3ZcDvswS1AU8dVcy57jI4HaDrvN3T3lpjKfr+7uETLvHMpCdfuz&#10;IwE5lIfYvKg8xOVJeaVx89Coe2UcNGhTSeXUjsvVgEJffZpqbNxBMIHfjFtuh+BCY120oXnr+3PX&#10;nId64TtXpEKrOMt8t73f3U7y3m339cqYKWri2cPyZrydgu4WLjZT1MuYH+O9HZYfbsdnmdVx5p5q&#10;50gncjkZ9eSv4f1F9RM3o2FOAbArMQbTRGdC3bTN6Ymjf6foqKqr3KltjQ8GT+9NkB8RlAwBi6Mf&#10;tZDgN3a99cl2vvezss6R/F6jOF9/vH+/G0bULQxDgqpLb1LbZjtjOGnZ0L5yMLRtDEwkQ22DR4BV&#10;vKGH541jhI9IPDsSgnriXbCBefve+B4MzqgoIpSNs/vfvrOexYdO6S3RSwAy+R5CSLKChTomnUCE&#10;EL4Z6NhGyEQWvBRzIvHPRbJiBk1uEEgYH4H2tGBgqizrYKPqZ3j2C7YQsQqwiCX7xKKVQP0nZ5VM&#10;eNQapI4wCH7BSb/FpszCUpQlJOMTUXjLIRAJdTI18cVGchwMIQMj80rW2ehNw5WRLJd3bQSManfE&#10;kqL1EbiYmtMGJLap00tWdOoTV3Qde9P4qab3vZeo94KhYqQWbOmZtN+06KjvyFaEh1xxXOQw9qXb&#10;L9QxLupUXdaYE03I/dedIC7UgA3NCjZDUkZZ1lrnjIUgMe4aW3PX1L3ByCEiTkGNXuXo+5RMEhmC&#10;Vu8ERJsuMAuGkZZMqUcqA0MJhMivTIMaiaR5gCCxTDyp4WjVupUNAELFeKbCQhvBSPUTnPn364xq&#10;JlJYZoyZvSNdoajcWQurFiFG1iX70lfWdyYye0RdsBTQkTB+tL3p6UdytqP2sBh29PCuNx3FwePV&#10;52Wip2gigbqI6iaUkmokWKDaBTpS1qBrKQ1qmTyEJDtLyhUiAjiGcxoOXoG1iUvXO8MWiiez4H8L&#10;VAqTyaKF8T2IbFxh+hGjn8Lu4aJyXgKs/5sIjvhsiko4yyEZUMicd0xJDqAWJ+sXe7U2CYIsc6Kc&#10;PHuMCh4lGJDEjNdXxLjF2xrOa4F0ZfSlnPSdV9aFY7nkFos5goI4oCSo08uAQJgDaEuqyd6QHae+&#10;t4GtwnkicrXm3Ilw9YfFPfFbDZnM4UHItQouMuNIJh/LgwwyKwf7MVoEzRQJaL6yZ6X9czR2x97z&#10;h0THFBEsu8JuHSM6iFAmOuA+VKoQpsTC4TiQVxLlWQuYuqUJR3VSEyeMLZoTs6g8JxY4Yji0AJVL&#10;Am0tR7RH03rPNM80qcp9zTSFN6SDjaM1E7FtWTsjSiL+nfmYCiTEPUMUoCyWiNC1WNG+WLXIChE6&#10;L2gsE1kbbU3PXvsMR9WGRm+uTnZMFLEQLCz3iO6ClLFET5JK0tlvZshSS9I9AlCIyEqZVgKvbog1&#10;WguykXNXZlH+gvOoSOrjKNeKxug5DFa88DEs9KlftG11GQOC3jqcEeQOhEPUiaezjas8jja5jjVa&#10;FA78Yc1tIBBaybEJLWcOi/e3DFkd3QrGUaqhid7WtiV/bRNNIma8vBPVvNZ6ESuqEdxaoL7F7RVP&#10;3LZ4i+phEZjyDAioFz4ekG6iyPFnYZM/Yrd4UvrDLuRR32KexuwYMKQeqfAC8jkIauYMDUWzDpPC&#10;ALTgLtwT4ViBJlJWcWgjo2GHWkAHfD7b4TyDo0xXwzAclhChtj/FObGxTZ/Sy11HcSeopWpqpLXD&#10;nTFXTXPie72SRtxKqec5K71JZGCA4Y7m4uTnwW9yljx/joYiLBJyHr+bQev1gB4KIZTAk2zR8NT6&#10;0gwiz0vJ4QYj/YJzARdviwMivwRklviIO74cHBzy6yjGTxma4VAwBZZ/H7iKLqEYQCU9xKCciscc&#10;gp0f9XIIiTZPa5KYLWDpwih5E+FZk4xxzsy3QNkq6mvMA1KoLPjCgcMVFR7HS1TrgYztE80JjUJM&#10;yTY4c+t4y1Kpr8BILagsM8tpIwhd2eSysHJwCo+ElI30FBwIx02dTMCZEOfafhqxfKAUaWUQ1T9U&#10;BjUS2jzalOrwgk3dezQ1XXI7DOPpRaAXclfpfVzrUr494IyDz2ZwAlcymb743iDnWG/4qAsX4gt/&#10;DKtr7xYtPobVAd/CEk72On0afxIbmj6+shHDR47w8nlE1nyoJ1u7Tj8m4HuH5du45D9fAjnO+pFJ&#10;ciJ51mNJsRG+Gp/EuCVxA+U3U045U+aSEDbtlGIjxJja8q5CSRef4UQBUcNuWbPwAjTDH9uof7P2&#10;Zn4RNlvVNCjD0KCKA4AeQpS9OeB+hBB2XpX0OQhUEBp/rI9NIN2FWsLPDlpEVOCFs9A1Eyby8dWA&#10;eh9vx4mxbF5tPTWCH6UOaDjKprKlZWUzI2VvMtGh1ALteC7ImsWxzhlNAYHFendsUYKNfu2TtInp&#10;KkYE6AWlRs8GzJD4+Kve/v8VLv8DAAD//wMAUEsDBBQABgAIAAAAIQDRdUGG4AAAAAoBAAAPAAAA&#10;ZHJzL2Rvd25yZXYueG1sTI/LTsMwEEX3SPyDNUjsWidNG6o0ToVAPNQdpR/gxNM4wh6nsZumfD1m&#10;BcvRPbr3TLmdrGEjDr5zJCCdJ8CQGqc6agUcPl9ma2A+SFLSOEIBV/SwrW5vSlkod6EPHPehZbGE&#10;fCEF6BD6gnPfaLTSz12PFLOjG6wM8RxargZ5ieXW8EWS5NzKjuKClj0+aWy+9mcrYKfp6v3b6bkz&#10;33XzfnrlxzEZhbi/mx43wAJO4Q+GX/2oDlV0qt2ZlGdGQJYu8ogKmGXpElgk8my5AlYLWK0fgFcl&#10;//9C9QM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qcZWf&#10;dQEAAAoDAAAOAAAAAAAAAAAAAAAAADwCAABkcnMvZTJvRG9jLnhtbFBLAQItABQABgAIAAAAIQAG&#10;OmDzTwgAAFUbAAAQAAAAAAAAAAAAAAAAAN0DAABkcnMvaW5rL2luazEueG1sUEsBAi0AFAAGAAgA&#10;AAAhANF1QYbgAAAACgEAAA8AAAAAAAAAAAAAAAAAWgwAAGRycy9kb3ducmV2LnhtbFBLAQItABQA&#10;BgAIAAAAIQB5GLydvwAAACEBAAAZAAAAAAAAAAAAAAAAAGcNAABkcnMvX3JlbHMvZTJvRG9jLnht&#10;bC5yZWxzUEsFBgAAAAAGAAYAeAEAAF0OAAAAAA==&#10;">
                <v:imagedata r:id="rId16" o:title=""/>
              </v:shape>
            </w:pict>
          </mc:Fallback>
        </mc:AlternateContent>
      </w:r>
      <w:r w:rsidR="5CE196A1" w:rsidRPr="5CE196A1">
        <w:rPr>
          <w:rFonts w:eastAsia="Arial"/>
          <w:b/>
          <w:bCs/>
          <w:color w:val="000000" w:themeColor="text1"/>
          <w:sz w:val="24"/>
          <w:szCs w:val="24"/>
        </w:rPr>
        <w:t xml:space="preserve">Authentication signature: </w:t>
      </w:r>
    </w:p>
    <w:p w14:paraId="3E37DF86" w14:textId="4009E42A"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4F8ABC34" w:rsidR="0FF883D4" w:rsidRDefault="00626B21" w:rsidP="5CE196A1">
      <w:r>
        <w:rPr>
          <w:rFonts w:eastAsia="Arial"/>
          <w:b/>
          <w:bCs/>
          <w:noProof/>
          <w:color w:val="000000" w:themeColor="text1"/>
          <w:sz w:val="24"/>
          <w:szCs w:val="24"/>
        </w:rPr>
        <mc:AlternateContent>
          <mc:Choice Requires="wpi">
            <w:drawing>
              <wp:anchor distT="0" distB="0" distL="114300" distR="114300" simplePos="0" relativeHeight="251678720" behindDoc="0" locked="0" layoutInCell="1" allowOverlap="1" wp14:anchorId="71B72CE9" wp14:editId="158A0403">
                <wp:simplePos x="0" y="0"/>
                <wp:positionH relativeFrom="column">
                  <wp:posOffset>605790</wp:posOffset>
                </wp:positionH>
                <wp:positionV relativeFrom="paragraph">
                  <wp:posOffset>-121285</wp:posOffset>
                </wp:positionV>
                <wp:extent cx="2522315" cy="437210"/>
                <wp:effectExtent l="38100" t="38100" r="30480" b="39370"/>
                <wp:wrapNone/>
                <wp:docPr id="1709690516" name="Ink 20"/>
                <wp:cNvGraphicFramePr/>
                <a:graphic xmlns:a="http://schemas.openxmlformats.org/drawingml/2006/main">
                  <a:graphicData uri="http://schemas.microsoft.com/office/word/2010/wordprocessingInk">
                    <w14:contentPart bwMode="auto" r:id="rId17">
                      <w14:nvContentPartPr>
                        <w14:cNvContentPartPr/>
                      </w14:nvContentPartPr>
                      <w14:xfrm>
                        <a:off x="0" y="0"/>
                        <a:ext cx="2522315" cy="437210"/>
                      </w14:xfrm>
                    </w14:contentPart>
                  </a:graphicData>
                </a:graphic>
              </wp:anchor>
            </w:drawing>
          </mc:Choice>
          <mc:Fallback>
            <w:pict>
              <v:shape w14:anchorId="4A0AAB81" id="Ink 20" o:spid="_x0000_s1026" type="#_x0000_t75" style="position:absolute;margin-left:47.2pt;margin-top:-10.05pt;width:199.55pt;height:35.4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RB/o94AQAACgMAAA4AAABkcnMvZTJvRG9jLnhtbJxSzU4CMRC+m/gO&#10;Te+yu+VHs2HhIDHhoHLQB6jdlm3cdjbTwsLbOywgoDEmXJqZTvv1++l4unE1W2sMFnzBs17KmfYK&#10;SuuXBX9/e7p74CxE6UtZg9cF3+rAp5Pbm3Hb5FpABXWpkRGID3nbFLyKscmTJKhKOxl60GhPQwPo&#10;ZKQWl0mJsiV0VyciTUdJC1g2CEqHQLuz/ZBPOnxjtIqvxgQdWV3wUSaIXuwKwRlSIbIRZx9UDIZ9&#10;nkzGMl+ibCqrDpTkFYyctJ4IfEPNZJRshfYXlLMKIYCJPQUuAWOs0p0eUpalP5TN/edOVTZQK8wV&#10;+Kh9XEiMR++6wTVPuJocaJ+hpHTkKgI/IJI9/4exJz0DtXLEZ58I6lpG+g6hsk0gm3NbFhznZXbi&#10;79ePJwULPOl6uRxQIslB8l9XNgbdzmxiwjYFp4C3u7XLUm8iU7QphkL0syFnimaD/r3IugNH6D3E&#10;sTvzll6/SPG83zE7+8KTLwAAAP//AwBQSwMEFAAGAAgAAAAhACYCcRTjCAAAbRwAABAAAABkcnMv&#10;aW5rL2luazEueG1stFlbb+M2Fn4vsP+B0D7kxXREiroFTfq0AxToosW2C+w+polmYjS2B7Yzmfn3&#10;+33nkBI1lrt9yGAQmTr3O0nN9z983j6bT8PhuNnvbgu3Lgsz7B72j5vdh9vi37+9s11hjqf73eP9&#10;83433BZfhmPxw93fvvt+s/tj+3yDp4GE3ZGr7fNt8XQ6fby5vn59fV2/Vuv94cO1L8vq+sfdH//8&#10;qbiLXI/D+81uc4LKYwI97Hen4fOJwm42j7fFw+lzOdJD9q/7l8PDMKIJOTxMFKfD/cPwbn/Y3p9G&#10;iU/3u93wbHb3W9j9n8KcvnzEYgM9H4ZDYbYbOGz92oU2dP/oAbj/fFtk7y8w8QhLtsX1ssz/fgOZ&#10;785l0qzKt01bmGjS4/CJNl1LzG8u+/7LYf9xOJw2wxRmDUpEfDEP+i7x0UAdhuP++YW5Kcyn++cX&#10;hMyVJcoi6nbXCwE5l4fYvKk8xOWivNy4eWiie3kcYtDGkkqpPW22Awp9+3GssdMRggn+9XSQdvCl&#10;r21ZWV//5vqbsr6p/Lqv2ywVsYqTzN8PL8enUd7vh6leBTNGTT173Tyensagl+uyqseo5zFf4n0a&#10;Nh+eTn/KHB0X7rF2FjpRyslET/41vL8t/i7NaIRTAeJKqGpT9ZXxoW7r1VXJf7OaTGH4qxIl2D+/&#10;f38cTiy6vl6HUNw1wZnQ1UmN9eWVa6/KVWFD0RTlyhlnpqfH2rrO+I6LpjLOE+RqZE1QpcXaVU29&#10;6p11vrd1aNzbmY1p16/LrrhzpqrH2HRXTix2RSkWlzClFLuxwro1FY1sTeBPCat7LixN9k1t+GYr&#10;3+APq9KSurQk1rV1Aoo/imm99cIXkCbyd9AiAPiNd/wR6rMXhxch9bCcWI0txE4hji/RekGoD0sQ&#10;ylAsCSelCy9JyMRyDkn+SZhmViGroorPGSLpFTweSnZmSm68GpdohTFHx7W4k5vIdFC7Fx1kE4tU&#10;ldoVQzDZMON3tXEioTENBVXOeC4CkivwvjEdF7VhXQSJgq6tCzCrZ0F4lnoTtMR9iRp46wqvQ1j3&#10;PSocnQOlZepMGQBoy67oUOQWJaxNWAXT0OzWOg1Dj/YMyJivUfKoUpjonKtXjbN4reuuebt+rPqm&#10;XWOK9F1vQkvFMqy6K9uxI73HEcBLT7KzNHepSggJDfD4RUwNxgpbQlrVEAiDkTQgGw/BgiQYEcGT&#10;nhHXgZHul9qFaVwJDhkGJrRG267FZJLUJwumSon1BBM0iJgFTvo/lhkptU1j4SaGrAzHmlwgJi62&#10;O4zFOhEL4rzmI9ppqeoQybsEeDFe2COxCp6Jt3CddLbRGYeKQbkgJJVtBF41SBsJsO2KVSoQQW04&#10;y7rOdqSPPY9pJvNLI4HiJwpjWMZp29tKREEw4ClaIjC9aLSUr+oEhT2fMlWYiyKBYjG0yLsGq5FZ&#10;nYgy1+GJp9YW/TqBUyjOIRSXsFyrsQsRnCHSi5inJZpGogrMFU3rxJblSpM4xmOiXUAkdonTRbwa&#10;gqkknlHgbEIrXytojDqGVVulVxaH7pFg1wi27l8O403ltIh4np1MuqoNnC1UGXy+a2iilKRC9Yrc&#10;CoWihwR1SJ6wVaoolri+QCJlaof71oITrz1qXjboqrFSnRhxRsyL9LBEKD2mHDkSWKSlfUO0KuZi&#10;SGN9n6UtxB2k0rmk/KkQIBNVzOdM78JLoiJtzJWW5ALtPJcaOI2OEiOfopGyNJQqKj6FgfEgupIf&#10;SNSURvUS21SQC/2tWQjBVqwdbCEGlYJFFRNeymgZTafUFJLJtNHNr9ELOUjcy6RL2JyS6zFoNOA8&#10;SwyKeoDh41omDP7HtHGwuhXKcYQwlMCia9AXUpWov6au324XDU3r1rjp3IWq86ZhWes+is65QoNx&#10;K3V13PezhEdHaCCcxvyNXuFHXdStMpLRM4ZDiHVrTFQCwqjlJIUQitEpF7sGo9WTuUK7s5RUrgpk&#10;d8rgCGhUIpVH9agazRm8EsGNkYmNvsbQSPlJLUfdmjGMAhktCHrctIlLFosrdCw6pOryXCvlLESK&#10;TrUeA0mpY4RU/QVQ0nGOjoZ8bc6oabJWgwO/R8vndmYuJUQuXNY6zOuAuxptRzviaoNNHUXLSMU7&#10;y7hXa9TjZJWfGlcYiSlObY3s2UHOvNgddH+4ZF1mNkhGF77FOnn/jdVcMj2qr+QAFusmM2VmnWZz&#10;NuIqaaU0h86Smk6k3GhxAG7RM+gRmZt4ypobIqYOj8XA4JDsMHXqvnu7qVOHOqw9Du+h7TF18Jem&#10;Tn3lXJAbdZAbNS/3uEGwxnqsdR+AQQD4zsq5S5sbkwAwnQtVPMkjVKu+ty1/cW2CI6XUXhB8Hv84&#10;T/RHI6xo1+rOxUsCIKlddayMXMTMxWW0KWFZMyXQpbSqrCT+LIcEjBq/koXX8QCcUV2U+CcIikp7&#10;HvUt2JNPPZX0/yAUimaX+YF7o4wAHgQ9th65SfLQj6Q5fH9iUAmdRRv1wCpANUgx5CmLcUkDXezP&#10;Y5BlIBlLv2biwQRQLmJJai5pYS1SVZDsfGODEoGjHJXiiVsyv9LIWppPjREI8DRswsY14ZjCgPOb&#10;Dj4loEMby0blt4TGht7L7TXYpvRveN3G3b1a9w5f7UpkBptr9m1wxVbFVRvewQN8LoldJsnFwGEO&#10;eR+UhGEPju+yr4M6ntGVTk8C6VLo5VMY/K1s5/o3/JrXhLJZl3CnDjCjxgeY6FAI7TiCqtAXtuc3&#10;Dyd2OH7toC+OBcpCxS1FvXNlvO/GS0UsIK0NeeIAEzdN6hIpUghKSRLAknzh0NIOiJy0TD5/lDoy&#10;ffXC6ooFlzAiLnZmLEv1I1Oqqs+fECU9GOfrX+abS6JR2mewhS95hylC7RstF44Y7sxMnDWFXYQk&#10;HRPtEkSxwiW8yYJMBJASNTUtV9fpHQP3Ls4jtT0pIY+u5/xJC/GRQ0CJlqYs+JmHIV+fhwrfzSHC&#10;6zY2Ey0qk/7JZdSOlA871/U0GgOD+zyzgn0Rn2VwNOYQwakAl/A2tCtstqhTPQBgmJzt/9P/t9z9&#10;DwAA//8DAFBLAwQUAAYACAAAACEAgaZtpuEAAAAJAQAADwAAAGRycy9kb3ducmV2LnhtbEyPy07D&#10;MBBF90j8gzVI7Fq7aYraEKfi0QhVYkNbie00NrFFPI5itw18PWYFy9E9uvdMuR5dx856CNaThNlU&#10;ANPUeGWplXDY15MlsBCRFHaetIQvHWBdXV+VWCh/oTd93sWWpRIKBUowMfYF56Ex2mGY+l5Tyj78&#10;4DCmc2i5GvCSyl3HMyHuuENLacFgr5+Mbj53Jyfh0T7b7L02rxucf7/wWm2922ylvL0ZH+6BRT3G&#10;Pxh+9ZM6VMnp6E+kAuskrPI8kRImmZgBS0C+mi+AHSUsxBJ4VfL/H1Q/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ERB/o94AQAACgMAAA4AAAAAAAAAAAAA&#10;AAAAPAIAAGRycy9lMm9Eb2MueG1sUEsBAi0AFAAGAAgAAAAhACYCcRTjCAAAbRwAABAAAAAAAAAA&#10;AAAAAAAA4AMAAGRycy9pbmsvaW5rMS54bWxQSwECLQAUAAYACAAAACEAgaZtpuEAAAAJAQAADwAA&#10;AAAAAAAAAAAAAADxDAAAZHJzL2Rvd25yZXYueG1sUEsBAi0AFAAGAAgAAAAhAHkYvJ2/AAAAIQEA&#10;ABkAAAAAAAAAAAAAAAAA/w0AAGRycy9fcmVscy9lMm9Eb2MueG1sLnJlbHNQSwUGAAAAAAYABgB4&#10;AQAA9Q4AAAAA&#10;">
                <v:imagedata r:id="rId18" o:title=""/>
              </v:shape>
            </w:pict>
          </mc:Fallback>
        </mc:AlternateContent>
      </w:r>
      <w:r w:rsidR="5CE196A1" w:rsidRPr="5CE196A1">
        <w:rPr>
          <w:rFonts w:eastAsia="Arial"/>
          <w:b/>
          <w:bCs/>
          <w:color w:val="000000" w:themeColor="text1"/>
          <w:sz w:val="24"/>
          <w:szCs w:val="24"/>
        </w:rPr>
        <w:t xml:space="preserve">Signed: </w:t>
      </w:r>
    </w:p>
    <w:p w14:paraId="563192E7" w14:textId="1862EF89" w:rsidR="0FF883D4" w:rsidRDefault="5CE196A1" w:rsidP="5CE196A1">
      <w:r w:rsidRPr="5CE196A1">
        <w:rPr>
          <w:rFonts w:eastAsia="Arial"/>
          <w:b/>
          <w:bCs/>
          <w:color w:val="000000" w:themeColor="text1"/>
          <w:sz w:val="24"/>
          <w:szCs w:val="24"/>
        </w:rPr>
        <w:t xml:space="preserve"> </w:t>
      </w:r>
    </w:p>
    <w:p w14:paraId="22DBB0E5" w14:textId="6F9A0FB9" w:rsidR="0FF883D4" w:rsidRDefault="5CE196A1" w:rsidP="5CE196A1">
      <w:r w:rsidRPr="5CE196A1">
        <w:rPr>
          <w:rFonts w:eastAsia="Arial"/>
          <w:b/>
          <w:bCs/>
          <w:color w:val="000000" w:themeColor="text1"/>
          <w:sz w:val="24"/>
          <w:szCs w:val="24"/>
        </w:rPr>
        <w:t>Date:</w:t>
      </w:r>
      <w:r w:rsidR="008C14B2">
        <w:rPr>
          <w:rFonts w:eastAsia="Arial"/>
          <w:b/>
          <w:bCs/>
          <w:color w:val="000000" w:themeColor="text1"/>
          <w:sz w:val="24"/>
          <w:szCs w:val="24"/>
        </w:rPr>
        <w:t>25/03/2025</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4B9014B9" w14:textId="77777777" w:rsidR="007C4392" w:rsidRDefault="007C4392" w:rsidP="00EA28F1">
      <w:pPr>
        <w:keepNext/>
        <w:spacing w:before="240" w:after="60"/>
        <w:ind w:right="237"/>
        <w:jc w:val="both"/>
        <w:rPr>
          <w:sz w:val="24"/>
          <w:szCs w:val="24"/>
        </w:rPr>
      </w:pPr>
    </w:p>
    <w:p w14:paraId="3CAE17F9" w14:textId="77777777" w:rsidR="007C4392" w:rsidRPr="007C4392" w:rsidRDefault="007C4392" w:rsidP="007C4392">
      <w:pPr>
        <w:spacing w:after="240"/>
        <w:jc w:val="both"/>
        <w:rPr>
          <w:sz w:val="24"/>
          <w:szCs w:val="24"/>
        </w:rPr>
      </w:pPr>
      <w:r w:rsidRPr="007C4392">
        <w:rPr>
          <w:sz w:val="24"/>
          <w:szCs w:val="24"/>
        </w:rPr>
        <w:t xml:space="preserve">Bournemouth, Christchurch and Poole Safeguarding Adults Board (2015) </w:t>
      </w:r>
      <w:r w:rsidRPr="007C4392">
        <w:rPr>
          <w:i/>
          <w:iCs/>
          <w:sz w:val="24"/>
          <w:szCs w:val="24"/>
        </w:rPr>
        <w:t>Changes made by Dorset Police since 2015</w:t>
      </w:r>
      <w:r w:rsidRPr="007C4392">
        <w:rPr>
          <w:sz w:val="24"/>
          <w:szCs w:val="24"/>
        </w:rPr>
        <w:t xml:space="preserve">. Available at: </w:t>
      </w:r>
      <w:hyperlink r:id="rId19" w:history="1">
        <w:r w:rsidRPr="007C4392">
          <w:rPr>
            <w:rStyle w:val="Hyperlink"/>
            <w:sz w:val="24"/>
            <w:szCs w:val="24"/>
          </w:rPr>
          <w:t>https://www.bcpsafeguardingadultsboard.com/uploads/7/4/8/9/74891967/appendix_2_-_changes_in_dorset_police_since_completion_of_the_sar_dhr.pdf</w:t>
        </w:r>
      </w:hyperlink>
      <w:r w:rsidRPr="007C4392">
        <w:rPr>
          <w:sz w:val="24"/>
          <w:szCs w:val="24"/>
        </w:rPr>
        <w:t xml:space="preserve"> (Accessed: 11 January 2025).</w:t>
      </w:r>
    </w:p>
    <w:p w14:paraId="7DDA7110" w14:textId="77777777" w:rsidR="007C4392" w:rsidRPr="007C4392" w:rsidRDefault="007C4392" w:rsidP="007C4392">
      <w:pPr>
        <w:spacing w:after="240"/>
        <w:jc w:val="both"/>
        <w:rPr>
          <w:sz w:val="24"/>
          <w:szCs w:val="24"/>
        </w:rPr>
      </w:pPr>
      <w:r w:rsidRPr="007C4392">
        <w:rPr>
          <w:sz w:val="24"/>
          <w:szCs w:val="24"/>
        </w:rPr>
        <w:t xml:space="preserve">Braga, A.A., Welsh, B.C. and Schnell, C. (2019) ‘Disorder policing to reduce crime: A systematic review’, </w:t>
      </w:r>
      <w:r w:rsidRPr="007C4392">
        <w:rPr>
          <w:i/>
          <w:iCs/>
          <w:sz w:val="24"/>
          <w:szCs w:val="24"/>
        </w:rPr>
        <w:t>Campbell systematic review</w:t>
      </w:r>
      <w:r w:rsidRPr="007C4392">
        <w:rPr>
          <w:sz w:val="24"/>
          <w:szCs w:val="24"/>
        </w:rPr>
        <w:t xml:space="preserve">, 15(3), pp. 1050-1087. Available at: </w:t>
      </w:r>
      <w:hyperlink r:id="rId20" w:history="1">
        <w:r w:rsidRPr="007C4392">
          <w:rPr>
            <w:rStyle w:val="Hyperlink"/>
            <w:sz w:val="24"/>
            <w:szCs w:val="24"/>
          </w:rPr>
          <w:t>https://doi.org/10.1002/cl2.1050</w:t>
        </w:r>
      </w:hyperlink>
      <w:r w:rsidRPr="007C4392">
        <w:rPr>
          <w:sz w:val="24"/>
          <w:szCs w:val="24"/>
        </w:rPr>
        <w:t>.</w:t>
      </w:r>
    </w:p>
    <w:p w14:paraId="40306933" w14:textId="77777777" w:rsidR="007C4392" w:rsidRPr="007C4392" w:rsidRDefault="007C4392" w:rsidP="007C4392">
      <w:pPr>
        <w:spacing w:after="240"/>
        <w:jc w:val="both"/>
        <w:rPr>
          <w:sz w:val="24"/>
          <w:szCs w:val="24"/>
        </w:rPr>
      </w:pPr>
      <w:r w:rsidRPr="0071323D">
        <w:rPr>
          <w:sz w:val="24"/>
          <w:szCs w:val="24"/>
        </w:rPr>
        <w:t xml:space="preserve">Bucci, R. (2024) ‘Addressing the “Dirty Little Secret” of Deterrence: Testing the Effects of Increased Police Presence on Perceptions of Arrest Risk’, </w:t>
      </w:r>
      <w:r w:rsidRPr="0071323D">
        <w:rPr>
          <w:i/>
          <w:iCs/>
          <w:sz w:val="24"/>
          <w:szCs w:val="24"/>
        </w:rPr>
        <w:t>Journal of quantitative criminology</w:t>
      </w:r>
      <w:r w:rsidRPr="0071323D">
        <w:rPr>
          <w:sz w:val="24"/>
          <w:szCs w:val="24"/>
        </w:rPr>
        <w:t>, 40(2), pp. 311–342. Available at: https://doi.org/10.1007/s10940-023-09570-3.</w:t>
      </w:r>
    </w:p>
    <w:p w14:paraId="1C40A312" w14:textId="77777777" w:rsidR="007C4392" w:rsidRPr="007C4392" w:rsidRDefault="007C4392" w:rsidP="007C4392">
      <w:pPr>
        <w:spacing w:after="240"/>
        <w:jc w:val="both"/>
        <w:rPr>
          <w:sz w:val="24"/>
          <w:szCs w:val="24"/>
        </w:rPr>
      </w:pPr>
      <w:r w:rsidRPr="007C4392">
        <w:rPr>
          <w:sz w:val="24"/>
          <w:szCs w:val="24"/>
        </w:rPr>
        <w:t xml:space="preserve">College of Policing (2021) </w:t>
      </w:r>
      <w:r w:rsidRPr="007C4392">
        <w:rPr>
          <w:i/>
          <w:iCs/>
          <w:sz w:val="24"/>
          <w:szCs w:val="24"/>
        </w:rPr>
        <w:t>Introduction to vulnerability-related risk</w:t>
      </w:r>
      <w:r w:rsidRPr="007C4392">
        <w:rPr>
          <w:sz w:val="24"/>
          <w:szCs w:val="24"/>
        </w:rPr>
        <w:t xml:space="preserve">. Available at: </w:t>
      </w:r>
      <w:hyperlink r:id="rId21" w:history="1">
        <w:r w:rsidRPr="007C4392">
          <w:rPr>
            <w:rStyle w:val="Hyperlink"/>
            <w:sz w:val="24"/>
            <w:szCs w:val="24"/>
          </w:rPr>
          <w:t>https://www.college.police.uk/guidance/vulnerability-related-risks/introduction-vulnerability-related-risk</w:t>
        </w:r>
      </w:hyperlink>
      <w:r w:rsidRPr="007C4392">
        <w:rPr>
          <w:sz w:val="24"/>
          <w:szCs w:val="24"/>
        </w:rPr>
        <w:t xml:space="preserve"> (Accessed: 17 March 2025).</w:t>
      </w:r>
    </w:p>
    <w:p w14:paraId="76BC9F56" w14:textId="77777777" w:rsidR="007C4392" w:rsidRPr="007C4392" w:rsidRDefault="007C4392" w:rsidP="007C4392">
      <w:pPr>
        <w:spacing w:after="240"/>
        <w:jc w:val="both"/>
        <w:rPr>
          <w:sz w:val="24"/>
          <w:szCs w:val="24"/>
        </w:rPr>
      </w:pPr>
      <w:r w:rsidRPr="007C4392">
        <w:rPr>
          <w:sz w:val="24"/>
          <w:szCs w:val="24"/>
        </w:rPr>
        <w:t xml:space="preserve">College of Policing (2023) </w:t>
      </w:r>
      <w:r w:rsidRPr="007C4392">
        <w:rPr>
          <w:i/>
          <w:iCs/>
          <w:sz w:val="24"/>
          <w:szCs w:val="24"/>
        </w:rPr>
        <w:t>Automatic number plate recognition (ANPR).</w:t>
      </w:r>
      <w:r w:rsidRPr="007C4392">
        <w:rPr>
          <w:sz w:val="24"/>
          <w:szCs w:val="24"/>
        </w:rPr>
        <w:t xml:space="preserve"> Available at: </w:t>
      </w:r>
      <w:hyperlink r:id="rId22" w:history="1">
        <w:r w:rsidRPr="007C4392">
          <w:rPr>
            <w:rStyle w:val="Hyperlink"/>
            <w:sz w:val="24"/>
            <w:szCs w:val="24"/>
          </w:rPr>
          <w:t>https://www.college.police.uk/app/investigation/investigative-strategies/automatic-number-plate-recognition-anpr</w:t>
        </w:r>
      </w:hyperlink>
      <w:r w:rsidRPr="007C4392">
        <w:rPr>
          <w:sz w:val="24"/>
          <w:szCs w:val="24"/>
        </w:rPr>
        <w:t xml:space="preserve"> (Accessed: 2 December 2025).</w:t>
      </w:r>
    </w:p>
    <w:p w14:paraId="3D39901E" w14:textId="77777777" w:rsidR="007C4392" w:rsidRPr="007C4392" w:rsidRDefault="007C4392" w:rsidP="007C4392">
      <w:pPr>
        <w:spacing w:after="240"/>
        <w:jc w:val="both"/>
        <w:rPr>
          <w:sz w:val="24"/>
          <w:szCs w:val="24"/>
        </w:rPr>
      </w:pPr>
      <w:r w:rsidRPr="007C4392">
        <w:rPr>
          <w:sz w:val="24"/>
          <w:szCs w:val="24"/>
        </w:rPr>
        <w:t xml:space="preserve">College of Policing (2024) </w:t>
      </w:r>
      <w:r w:rsidRPr="007C4392">
        <w:rPr>
          <w:i/>
          <w:iCs/>
          <w:sz w:val="24"/>
          <w:szCs w:val="24"/>
        </w:rPr>
        <w:t>Investigation process</w:t>
      </w:r>
      <w:r w:rsidRPr="007C4392">
        <w:rPr>
          <w:sz w:val="24"/>
          <w:szCs w:val="24"/>
        </w:rPr>
        <w:t xml:space="preserve">. Available at: </w:t>
      </w:r>
      <w:hyperlink r:id="rId23" w:history="1">
        <w:r w:rsidRPr="007C4392">
          <w:rPr>
            <w:rStyle w:val="Hyperlink"/>
            <w:sz w:val="24"/>
            <w:szCs w:val="24"/>
          </w:rPr>
          <w:t>https://www.college.police.uk/app/investigation/investigation-process</w:t>
        </w:r>
      </w:hyperlink>
      <w:r w:rsidRPr="007C4392">
        <w:rPr>
          <w:sz w:val="24"/>
          <w:szCs w:val="24"/>
        </w:rPr>
        <w:t xml:space="preserve"> (Accessed: 25 November 2024).</w:t>
      </w:r>
      <w:r w:rsidRPr="003E465B">
        <w:rPr>
          <w:sz w:val="24"/>
          <w:szCs w:val="24"/>
        </w:rPr>
        <w:t>   </w:t>
      </w:r>
    </w:p>
    <w:p w14:paraId="645A9BB3" w14:textId="77777777" w:rsidR="007C4392" w:rsidRPr="007C4392" w:rsidRDefault="007C4392" w:rsidP="007C4392">
      <w:pPr>
        <w:spacing w:after="240"/>
        <w:jc w:val="both"/>
        <w:rPr>
          <w:sz w:val="24"/>
          <w:szCs w:val="24"/>
        </w:rPr>
      </w:pPr>
      <w:r w:rsidRPr="007C4392">
        <w:rPr>
          <w:sz w:val="24"/>
          <w:szCs w:val="24"/>
        </w:rPr>
        <w:t xml:space="preserve">Copp, J.E. </w:t>
      </w:r>
      <w:r w:rsidRPr="007C4392">
        <w:rPr>
          <w:i/>
          <w:iCs/>
          <w:sz w:val="24"/>
          <w:szCs w:val="24"/>
        </w:rPr>
        <w:t>et al.</w:t>
      </w:r>
      <w:r w:rsidRPr="007C4392">
        <w:rPr>
          <w:sz w:val="24"/>
          <w:szCs w:val="24"/>
        </w:rPr>
        <w:t xml:space="preserve"> (2020) ‘Desistance from Crime during the Transition to Adulthood: The Influence of Parents, Peers, and Shifts in Identity’, </w:t>
      </w:r>
      <w:r w:rsidRPr="007C4392">
        <w:rPr>
          <w:i/>
          <w:iCs/>
          <w:sz w:val="24"/>
          <w:szCs w:val="24"/>
        </w:rPr>
        <w:t>The journal of research in crime and delinquency</w:t>
      </w:r>
      <w:r w:rsidRPr="007C4392">
        <w:rPr>
          <w:sz w:val="24"/>
          <w:szCs w:val="24"/>
        </w:rPr>
        <w:t xml:space="preserve">, 57(3), pp. 294–332. Available at: </w:t>
      </w:r>
      <w:hyperlink r:id="rId24" w:history="1">
        <w:r w:rsidRPr="007C4392">
          <w:rPr>
            <w:rStyle w:val="Hyperlink"/>
            <w:sz w:val="24"/>
            <w:szCs w:val="24"/>
          </w:rPr>
          <w:t>https://doi.org/10.1177/0022427819878220</w:t>
        </w:r>
      </w:hyperlink>
      <w:r w:rsidRPr="007C4392">
        <w:rPr>
          <w:sz w:val="24"/>
          <w:szCs w:val="24"/>
        </w:rPr>
        <w:t>.</w:t>
      </w:r>
    </w:p>
    <w:p w14:paraId="031402D7" w14:textId="77777777" w:rsidR="007C4392" w:rsidRPr="007C4392" w:rsidRDefault="007C4392" w:rsidP="007C4392">
      <w:pPr>
        <w:spacing w:after="240"/>
        <w:jc w:val="both"/>
        <w:rPr>
          <w:sz w:val="24"/>
          <w:szCs w:val="24"/>
        </w:rPr>
      </w:pPr>
      <w:r w:rsidRPr="003E465B">
        <w:rPr>
          <w:sz w:val="24"/>
          <w:szCs w:val="24"/>
        </w:rPr>
        <w:lastRenderedPageBreak/>
        <w:t xml:space="preserve">Cunha, O.S. and Gonçalves, R.A. (2019) ‘Predictors of Intimate Partner Homicide in a Sample of Portuguese Male Domestic Offenders’, </w:t>
      </w:r>
      <w:r w:rsidRPr="003E465B">
        <w:rPr>
          <w:i/>
          <w:iCs/>
          <w:sz w:val="24"/>
          <w:szCs w:val="24"/>
        </w:rPr>
        <w:t>Journal of interpersonal violence</w:t>
      </w:r>
      <w:r w:rsidRPr="003E465B">
        <w:rPr>
          <w:sz w:val="24"/>
          <w:szCs w:val="24"/>
        </w:rPr>
        <w:t>, 34(12), pp. 2573–2598. Available at: https://doi.org/10.1177/0886260516662304.</w:t>
      </w:r>
    </w:p>
    <w:p w14:paraId="31BD994B" w14:textId="77777777" w:rsidR="007C4392" w:rsidRPr="007C4392" w:rsidRDefault="007C4392" w:rsidP="007C4392">
      <w:pPr>
        <w:spacing w:after="240"/>
        <w:jc w:val="both"/>
        <w:rPr>
          <w:sz w:val="24"/>
          <w:szCs w:val="24"/>
        </w:rPr>
      </w:pPr>
      <w:r w:rsidRPr="007C4392">
        <w:rPr>
          <w:sz w:val="24"/>
          <w:szCs w:val="24"/>
        </w:rPr>
        <w:t xml:space="preserve">Dawson P and Stanko E. (2011). </w:t>
      </w:r>
      <w:r w:rsidRPr="007C4392">
        <w:rPr>
          <w:i/>
          <w:iCs/>
          <w:sz w:val="24"/>
          <w:szCs w:val="24"/>
        </w:rPr>
        <w:t>'An Evaluation of the Diamond Initiative: Year Two Findings'</w:t>
      </w:r>
      <w:r w:rsidRPr="007C4392">
        <w:rPr>
          <w:sz w:val="24"/>
          <w:szCs w:val="24"/>
        </w:rPr>
        <w:t>. London: London Criminal Justice Partnership.</w:t>
      </w:r>
    </w:p>
    <w:p w14:paraId="51AEAC03" w14:textId="77777777" w:rsidR="007C4392" w:rsidRPr="007C4392" w:rsidRDefault="007C4392" w:rsidP="007C4392">
      <w:pPr>
        <w:spacing w:after="240"/>
        <w:jc w:val="both"/>
        <w:rPr>
          <w:sz w:val="24"/>
          <w:szCs w:val="24"/>
        </w:rPr>
      </w:pPr>
      <w:proofErr w:type="spellStart"/>
      <w:r w:rsidRPr="007C4392">
        <w:rPr>
          <w:sz w:val="24"/>
          <w:szCs w:val="24"/>
        </w:rPr>
        <w:t>Eagly</w:t>
      </w:r>
      <w:proofErr w:type="spellEnd"/>
      <w:r w:rsidRPr="007C4392">
        <w:rPr>
          <w:sz w:val="24"/>
          <w:szCs w:val="24"/>
        </w:rPr>
        <w:t xml:space="preserve">, A., and Chaiken, S. (1998) Attitude structure and function. </w:t>
      </w:r>
      <w:r w:rsidRPr="007C4392">
        <w:rPr>
          <w:i/>
          <w:iCs/>
          <w:sz w:val="24"/>
          <w:szCs w:val="24"/>
        </w:rPr>
        <w:t>Handbook of social psychology.</w:t>
      </w:r>
      <w:r w:rsidRPr="007C4392">
        <w:rPr>
          <w:sz w:val="24"/>
          <w:szCs w:val="24"/>
        </w:rPr>
        <w:t xml:space="preserve"> Boston: McGrow Company.</w:t>
      </w:r>
    </w:p>
    <w:p w14:paraId="3509D0CC" w14:textId="77777777" w:rsidR="007C4392" w:rsidRPr="007C4392" w:rsidRDefault="007C4392" w:rsidP="007C4392">
      <w:pPr>
        <w:spacing w:after="240"/>
        <w:jc w:val="both"/>
        <w:rPr>
          <w:sz w:val="24"/>
          <w:szCs w:val="24"/>
        </w:rPr>
      </w:pPr>
      <w:r w:rsidRPr="007C4392">
        <w:rPr>
          <w:sz w:val="24"/>
          <w:szCs w:val="24"/>
        </w:rPr>
        <w:t xml:space="preserve">Farrington, D.P. (2020) ‘The Integrated Cognitive Antisocial Potential (ICAP) Theory: Past, Present, and Future’, </w:t>
      </w:r>
      <w:r w:rsidRPr="007C4392">
        <w:rPr>
          <w:i/>
          <w:iCs/>
          <w:sz w:val="24"/>
          <w:szCs w:val="24"/>
        </w:rPr>
        <w:t>Journal of developmental and life-course criminology</w:t>
      </w:r>
      <w:r w:rsidRPr="007C4392">
        <w:rPr>
          <w:sz w:val="24"/>
          <w:szCs w:val="24"/>
        </w:rPr>
        <w:t>, 6(2), pp. 172–187. Available at: https://doi.org/10.1007/s40865-019-00112-9.</w:t>
      </w:r>
    </w:p>
    <w:p w14:paraId="549BF68D" w14:textId="77777777" w:rsidR="007C4392" w:rsidRPr="007C4392" w:rsidRDefault="007C4392" w:rsidP="007C4392">
      <w:pPr>
        <w:spacing w:after="240"/>
        <w:jc w:val="both"/>
        <w:rPr>
          <w:sz w:val="24"/>
          <w:szCs w:val="24"/>
        </w:rPr>
      </w:pPr>
      <w:r w:rsidRPr="007C4392">
        <w:rPr>
          <w:sz w:val="24"/>
          <w:szCs w:val="24"/>
        </w:rPr>
        <w:t xml:space="preserve">Hindelang, M. J., Gottfredson, M. R., and Garofalo, J. (1978) </w:t>
      </w:r>
      <w:r w:rsidRPr="007C4392">
        <w:rPr>
          <w:i/>
          <w:iCs/>
          <w:sz w:val="24"/>
          <w:szCs w:val="24"/>
        </w:rPr>
        <w:t>Victims of personal crime: An empirical foundation for a theory of personal victimization</w:t>
      </w:r>
      <w:r w:rsidRPr="007C4392">
        <w:rPr>
          <w:sz w:val="24"/>
          <w:szCs w:val="24"/>
        </w:rPr>
        <w:t>. Cambridge, MA: Ballinger.</w:t>
      </w:r>
    </w:p>
    <w:p w14:paraId="7E4E7442" w14:textId="77777777" w:rsidR="007C4392" w:rsidRPr="007C4392" w:rsidRDefault="007C4392" w:rsidP="007C4392">
      <w:pPr>
        <w:spacing w:after="240"/>
        <w:jc w:val="both"/>
        <w:rPr>
          <w:sz w:val="24"/>
          <w:szCs w:val="24"/>
        </w:rPr>
      </w:pPr>
      <w:r w:rsidRPr="007C4392">
        <w:rPr>
          <w:sz w:val="24"/>
          <w:szCs w:val="24"/>
        </w:rPr>
        <w:t xml:space="preserve">HMCPSI (2020) </w:t>
      </w:r>
      <w:r w:rsidRPr="007C4392">
        <w:rPr>
          <w:i/>
          <w:iCs/>
          <w:sz w:val="24"/>
          <w:szCs w:val="24"/>
        </w:rPr>
        <w:t>Evidence led domestic abuse prosecutions</w:t>
      </w:r>
      <w:r w:rsidRPr="007C4392">
        <w:rPr>
          <w:sz w:val="24"/>
          <w:szCs w:val="24"/>
        </w:rPr>
        <w:t>. Criminal Justic Joint Inspection.</w:t>
      </w:r>
    </w:p>
    <w:p w14:paraId="22CEFD8B" w14:textId="77777777" w:rsidR="007C4392" w:rsidRPr="007C4392" w:rsidRDefault="007C4392" w:rsidP="007C4392">
      <w:pPr>
        <w:spacing w:after="240"/>
        <w:jc w:val="both"/>
        <w:rPr>
          <w:sz w:val="24"/>
          <w:szCs w:val="24"/>
        </w:rPr>
      </w:pPr>
      <w:r w:rsidRPr="003E465B">
        <w:rPr>
          <w:sz w:val="24"/>
          <w:szCs w:val="24"/>
        </w:rPr>
        <w:t>HMICFRS (2022) </w:t>
      </w:r>
      <w:r w:rsidRPr="003E465B">
        <w:rPr>
          <w:i/>
          <w:iCs/>
          <w:sz w:val="24"/>
          <w:szCs w:val="24"/>
        </w:rPr>
        <w:t>An Inspection of Vetting, Misconduct, and Misogyny in the Police Service</w:t>
      </w:r>
      <w:r w:rsidRPr="003E465B">
        <w:rPr>
          <w:sz w:val="24"/>
          <w:szCs w:val="24"/>
        </w:rPr>
        <w:t xml:space="preserve">. Available </w:t>
      </w:r>
      <w:r w:rsidRPr="007C4392">
        <w:rPr>
          <w:sz w:val="24"/>
          <w:szCs w:val="24"/>
        </w:rPr>
        <w:t xml:space="preserve">at: </w:t>
      </w:r>
      <w:hyperlink r:id="rId25" w:history="1">
        <w:r w:rsidRPr="003E465B">
          <w:rPr>
            <w:rStyle w:val="Hyperlink"/>
            <w:sz w:val="24"/>
            <w:szCs w:val="24"/>
          </w:rPr>
          <w:t>https://www.justiceinspectorates.gov.uk/hmicfrs/publication-html/an-inspection-of-vetting-misconduct-and-misogyny-in-the-police-service/</w:t>
        </w:r>
      </w:hyperlink>
      <w:r w:rsidRPr="007C4392">
        <w:rPr>
          <w:sz w:val="24"/>
          <w:szCs w:val="24"/>
        </w:rPr>
        <w:t xml:space="preserve"> (Accessed: 25 November 2024).</w:t>
      </w:r>
      <w:r w:rsidRPr="003E465B">
        <w:rPr>
          <w:sz w:val="24"/>
          <w:szCs w:val="24"/>
        </w:rPr>
        <w:t>   </w:t>
      </w:r>
    </w:p>
    <w:p w14:paraId="79E170D2" w14:textId="77777777" w:rsidR="007C4392" w:rsidRPr="007C4392" w:rsidRDefault="007C4392" w:rsidP="007C4392">
      <w:pPr>
        <w:spacing w:after="240"/>
        <w:jc w:val="both"/>
        <w:rPr>
          <w:sz w:val="24"/>
          <w:szCs w:val="24"/>
        </w:rPr>
      </w:pPr>
      <w:r w:rsidRPr="007C4392">
        <w:rPr>
          <w:sz w:val="24"/>
          <w:szCs w:val="24"/>
        </w:rPr>
        <w:t xml:space="preserve">HMICFRS (2023) </w:t>
      </w:r>
      <w:r w:rsidRPr="007C4392">
        <w:rPr>
          <w:i/>
          <w:iCs/>
          <w:sz w:val="24"/>
          <w:szCs w:val="24"/>
        </w:rPr>
        <w:t>Public Protection Notice (PPN).</w:t>
      </w:r>
      <w:r w:rsidRPr="007C4392">
        <w:rPr>
          <w:sz w:val="24"/>
          <w:szCs w:val="24"/>
        </w:rPr>
        <w:t xml:space="preserve"> Available at: </w:t>
      </w:r>
      <w:hyperlink r:id="rId26" w:history="1">
        <w:r w:rsidRPr="007C4392">
          <w:rPr>
            <w:rStyle w:val="Hyperlink"/>
            <w:sz w:val="24"/>
            <w:szCs w:val="24"/>
          </w:rPr>
          <w:t>https://hmicfrs.justiceinspectorates.gov.uk/glossary/public-protection-notice/</w:t>
        </w:r>
      </w:hyperlink>
      <w:r w:rsidRPr="007C4392">
        <w:rPr>
          <w:sz w:val="24"/>
          <w:szCs w:val="24"/>
        </w:rPr>
        <w:t xml:space="preserve"> (Accessed: 11 January 2025).</w:t>
      </w:r>
    </w:p>
    <w:p w14:paraId="58B21263" w14:textId="77777777" w:rsidR="007C4392" w:rsidRPr="007C4392" w:rsidRDefault="007C4392" w:rsidP="007C4392">
      <w:pPr>
        <w:spacing w:after="240"/>
        <w:jc w:val="both"/>
        <w:rPr>
          <w:sz w:val="24"/>
          <w:szCs w:val="24"/>
        </w:rPr>
      </w:pPr>
      <w:r w:rsidRPr="007C4392">
        <w:rPr>
          <w:sz w:val="24"/>
          <w:szCs w:val="24"/>
        </w:rPr>
        <w:t xml:space="preserve">HMIP (2021) </w:t>
      </w:r>
      <w:r w:rsidRPr="007C4392">
        <w:rPr>
          <w:i/>
          <w:iCs/>
          <w:sz w:val="24"/>
          <w:szCs w:val="24"/>
        </w:rPr>
        <w:t>Youth justice – organisational delivery</w:t>
      </w:r>
      <w:r w:rsidRPr="007C4392">
        <w:rPr>
          <w:sz w:val="24"/>
          <w:szCs w:val="24"/>
        </w:rPr>
        <w:t xml:space="preserve">. Available at: </w:t>
      </w:r>
      <w:hyperlink r:id="rId27" w:history="1">
        <w:r w:rsidRPr="007C4392">
          <w:rPr>
            <w:rStyle w:val="Hyperlink"/>
            <w:sz w:val="24"/>
            <w:szCs w:val="24"/>
          </w:rPr>
          <w:t>https://hmiprobation.justiceinspectorates.gov.uk/our-research/evidence-base-youth-justice/organisational-delivery-yj/governance-and-leadership/</w:t>
        </w:r>
      </w:hyperlink>
      <w:r w:rsidRPr="007C4392">
        <w:rPr>
          <w:sz w:val="24"/>
          <w:szCs w:val="24"/>
        </w:rPr>
        <w:t xml:space="preserve"> (Accessed: 2 December 2025).</w:t>
      </w:r>
    </w:p>
    <w:p w14:paraId="42784199" w14:textId="77777777" w:rsidR="007C4392" w:rsidRPr="007C4392" w:rsidRDefault="007C4392" w:rsidP="007C4392">
      <w:pPr>
        <w:spacing w:after="240"/>
        <w:jc w:val="both"/>
        <w:rPr>
          <w:sz w:val="24"/>
          <w:szCs w:val="24"/>
        </w:rPr>
      </w:pPr>
      <w:r w:rsidRPr="007C4392">
        <w:rPr>
          <w:sz w:val="24"/>
          <w:szCs w:val="24"/>
        </w:rPr>
        <w:t xml:space="preserve">Home Office (2021) </w:t>
      </w:r>
      <w:r w:rsidRPr="007C4392">
        <w:rPr>
          <w:i/>
          <w:iCs/>
          <w:sz w:val="24"/>
          <w:szCs w:val="24"/>
        </w:rPr>
        <w:t>Communications Data Code of Practice</w:t>
      </w:r>
      <w:r w:rsidRPr="007C4392">
        <w:rPr>
          <w:sz w:val="24"/>
          <w:szCs w:val="24"/>
        </w:rPr>
        <w:t xml:space="preserve">. Available at: </w:t>
      </w:r>
      <w:hyperlink r:id="rId28" w:anchor="application-process" w:history="1">
        <w:r w:rsidRPr="007C4392">
          <w:rPr>
            <w:rStyle w:val="Hyperlink"/>
            <w:sz w:val="24"/>
            <w:szCs w:val="24"/>
          </w:rPr>
          <w:t>https://www.gov.uk/government/consultations/investigatory-powers-act-2016-codes-of-practice/outcome/communications-data-code-of-practice-accessible-version#application-process</w:t>
        </w:r>
      </w:hyperlink>
      <w:r w:rsidRPr="007C4392">
        <w:rPr>
          <w:sz w:val="24"/>
          <w:szCs w:val="24"/>
        </w:rPr>
        <w:t xml:space="preserve"> (Accessed: 25 November 2024).</w:t>
      </w:r>
      <w:r w:rsidRPr="003E465B">
        <w:rPr>
          <w:sz w:val="24"/>
          <w:szCs w:val="24"/>
        </w:rPr>
        <w:t>   </w:t>
      </w:r>
    </w:p>
    <w:p w14:paraId="1A79580F" w14:textId="77777777" w:rsidR="007C4392" w:rsidRPr="007C4392" w:rsidRDefault="007C4392" w:rsidP="007C4392">
      <w:pPr>
        <w:spacing w:after="240"/>
        <w:jc w:val="both"/>
        <w:rPr>
          <w:sz w:val="24"/>
          <w:szCs w:val="24"/>
        </w:rPr>
      </w:pPr>
      <w:r w:rsidRPr="007C4392">
        <w:rPr>
          <w:sz w:val="24"/>
          <w:szCs w:val="24"/>
        </w:rPr>
        <w:t xml:space="preserve">Home Office (2023) </w:t>
      </w:r>
      <w:r w:rsidRPr="007C4392">
        <w:rPr>
          <w:i/>
          <w:iCs/>
          <w:sz w:val="24"/>
          <w:szCs w:val="24"/>
        </w:rPr>
        <w:t>Anti-social behaviour case review</w:t>
      </w:r>
      <w:r w:rsidRPr="007C4392">
        <w:rPr>
          <w:sz w:val="24"/>
          <w:szCs w:val="24"/>
        </w:rPr>
        <w:t xml:space="preserve">. Available at: </w:t>
      </w:r>
      <w:hyperlink r:id="rId29" w:history="1">
        <w:r w:rsidRPr="007C4392">
          <w:rPr>
            <w:rStyle w:val="Hyperlink"/>
            <w:sz w:val="24"/>
            <w:szCs w:val="24"/>
          </w:rPr>
          <w:t>https://www.gov.uk/guidance/anti-social-behaviour-asb-case-review-also-known-as-the-community-trigger</w:t>
        </w:r>
      </w:hyperlink>
      <w:r w:rsidRPr="007C4392">
        <w:rPr>
          <w:sz w:val="24"/>
          <w:szCs w:val="24"/>
        </w:rPr>
        <w:t xml:space="preserve"> (Accessed: 24 March 2025).</w:t>
      </w:r>
    </w:p>
    <w:p w14:paraId="3C340A3F" w14:textId="77777777" w:rsidR="007C4392" w:rsidRPr="007C4392" w:rsidRDefault="007C4392" w:rsidP="007C4392">
      <w:pPr>
        <w:spacing w:after="240"/>
        <w:jc w:val="both"/>
        <w:rPr>
          <w:sz w:val="24"/>
          <w:szCs w:val="24"/>
        </w:rPr>
      </w:pPr>
      <w:r w:rsidRPr="007C4392">
        <w:rPr>
          <w:sz w:val="24"/>
          <w:szCs w:val="24"/>
        </w:rPr>
        <w:t xml:space="preserve">Home Office (2023) Domestic Violence Disclosure Scheme (DVDS) Statutory Guidance. Available at: </w:t>
      </w:r>
      <w:hyperlink r:id="rId30" w:history="1">
        <w:r w:rsidRPr="007C4392">
          <w:rPr>
            <w:rStyle w:val="Hyperlink"/>
            <w:sz w:val="24"/>
            <w:szCs w:val="24"/>
          </w:rPr>
          <w:t>https://assets.publishing.service.gov.uk/government/uploads/system/uploads/attachment_data/file/1162788/Domestic_Violence_Disclosure_Scheme.pdf</w:t>
        </w:r>
      </w:hyperlink>
      <w:r w:rsidRPr="007C4392">
        <w:rPr>
          <w:sz w:val="24"/>
          <w:szCs w:val="24"/>
        </w:rPr>
        <w:t xml:space="preserve"> (Accessed: 2 December 2025).</w:t>
      </w:r>
    </w:p>
    <w:p w14:paraId="3379E1B6" w14:textId="77777777" w:rsidR="007C4392" w:rsidRPr="007C4392" w:rsidRDefault="007C4392" w:rsidP="007C4392">
      <w:pPr>
        <w:spacing w:after="240"/>
        <w:jc w:val="both"/>
        <w:rPr>
          <w:sz w:val="24"/>
          <w:szCs w:val="24"/>
        </w:rPr>
      </w:pPr>
      <w:r w:rsidRPr="007C4392">
        <w:rPr>
          <w:sz w:val="24"/>
          <w:szCs w:val="24"/>
        </w:rPr>
        <w:t xml:space="preserve">Innes and Weston (2010) </w:t>
      </w:r>
      <w:r w:rsidRPr="007C4392">
        <w:rPr>
          <w:i/>
          <w:iCs/>
          <w:sz w:val="24"/>
          <w:szCs w:val="24"/>
        </w:rPr>
        <w:t>Re-thinking the policing of anti-social behaviour</w:t>
      </w:r>
      <w:r w:rsidRPr="007C4392">
        <w:rPr>
          <w:sz w:val="24"/>
          <w:szCs w:val="24"/>
        </w:rPr>
        <w:t>. Cardiff: HMIC Assets.</w:t>
      </w:r>
    </w:p>
    <w:p w14:paraId="65D4E040" w14:textId="77777777" w:rsidR="007C4392" w:rsidRPr="007C4392" w:rsidRDefault="007C4392" w:rsidP="007C4392">
      <w:pPr>
        <w:spacing w:after="240"/>
        <w:jc w:val="both"/>
        <w:rPr>
          <w:sz w:val="24"/>
          <w:szCs w:val="24"/>
        </w:rPr>
      </w:pPr>
      <w:r w:rsidRPr="007C4392">
        <w:rPr>
          <w:i/>
          <w:iCs/>
          <w:sz w:val="24"/>
          <w:szCs w:val="24"/>
        </w:rPr>
        <w:lastRenderedPageBreak/>
        <w:t>Investigatory Powers Act 2016</w:t>
      </w:r>
      <w:r w:rsidRPr="007C4392">
        <w:rPr>
          <w:sz w:val="24"/>
          <w:szCs w:val="24"/>
        </w:rPr>
        <w:t xml:space="preserve">. Available at: </w:t>
      </w:r>
      <w:hyperlink r:id="rId31" w:history="1">
        <w:r w:rsidRPr="007C4392">
          <w:rPr>
            <w:rStyle w:val="Hyperlink"/>
            <w:sz w:val="24"/>
            <w:szCs w:val="24"/>
          </w:rPr>
          <w:t>https://www.legislation.gov.uk/ukpga/2016/25/contents</w:t>
        </w:r>
      </w:hyperlink>
      <w:r w:rsidRPr="007C4392">
        <w:rPr>
          <w:sz w:val="24"/>
          <w:szCs w:val="24"/>
        </w:rPr>
        <w:t xml:space="preserve"> (Accessed: 25 November 2024).</w:t>
      </w:r>
      <w:r w:rsidRPr="003E465B">
        <w:rPr>
          <w:sz w:val="24"/>
          <w:szCs w:val="24"/>
        </w:rPr>
        <w:t>   </w:t>
      </w:r>
    </w:p>
    <w:p w14:paraId="32ABEEFD" w14:textId="77777777" w:rsidR="007C4392" w:rsidRPr="007C4392" w:rsidRDefault="007C4392" w:rsidP="007C4392">
      <w:pPr>
        <w:spacing w:after="240"/>
        <w:jc w:val="both"/>
        <w:rPr>
          <w:sz w:val="24"/>
          <w:szCs w:val="24"/>
        </w:rPr>
      </w:pPr>
      <w:r w:rsidRPr="003E465B">
        <w:rPr>
          <w:sz w:val="24"/>
          <w:szCs w:val="24"/>
        </w:rPr>
        <w:t>Monckton-Smith, J., </w:t>
      </w:r>
      <w:proofErr w:type="spellStart"/>
      <w:r w:rsidRPr="003E465B">
        <w:rPr>
          <w:sz w:val="24"/>
          <w:szCs w:val="24"/>
        </w:rPr>
        <w:t>Syzmanska</w:t>
      </w:r>
      <w:proofErr w:type="spellEnd"/>
      <w:r w:rsidRPr="003E465B">
        <w:rPr>
          <w:sz w:val="24"/>
          <w:szCs w:val="24"/>
        </w:rPr>
        <w:t xml:space="preserve">, K., </w:t>
      </w:r>
      <w:r w:rsidRPr="007C4392">
        <w:rPr>
          <w:sz w:val="24"/>
          <w:szCs w:val="24"/>
        </w:rPr>
        <w:t>and</w:t>
      </w:r>
      <w:r w:rsidRPr="003E465B">
        <w:rPr>
          <w:sz w:val="24"/>
          <w:szCs w:val="24"/>
        </w:rPr>
        <w:t> Haile, S. (2017) Exploring the relationship between stalking and homicide. </w:t>
      </w:r>
      <w:r w:rsidRPr="003E465B">
        <w:rPr>
          <w:i/>
          <w:iCs/>
          <w:sz w:val="24"/>
          <w:szCs w:val="24"/>
        </w:rPr>
        <w:t>Suzy Lamplugh Trust</w:t>
      </w:r>
      <w:r w:rsidRPr="003E465B">
        <w:rPr>
          <w:sz w:val="24"/>
          <w:szCs w:val="24"/>
        </w:rPr>
        <w:t xml:space="preserve">. </w:t>
      </w:r>
    </w:p>
    <w:p w14:paraId="08FC1D6E" w14:textId="77777777" w:rsidR="007C4392" w:rsidRPr="007C4392" w:rsidRDefault="007C4392" w:rsidP="007C4392">
      <w:pPr>
        <w:spacing w:after="240"/>
        <w:jc w:val="both"/>
        <w:rPr>
          <w:sz w:val="24"/>
          <w:szCs w:val="24"/>
        </w:rPr>
      </w:pPr>
      <w:r w:rsidRPr="007C4392">
        <w:rPr>
          <w:sz w:val="24"/>
          <w:szCs w:val="24"/>
        </w:rPr>
        <w:t xml:space="preserve">Mortimer (2010) </w:t>
      </w:r>
      <w:r w:rsidRPr="007C4392">
        <w:rPr>
          <w:i/>
          <w:iCs/>
          <w:sz w:val="24"/>
          <w:szCs w:val="24"/>
        </w:rPr>
        <w:t>Risk factors for offending: a developmental approach</w:t>
      </w:r>
      <w:r w:rsidRPr="007C4392">
        <w:rPr>
          <w:sz w:val="24"/>
          <w:szCs w:val="24"/>
        </w:rPr>
        <w:t>. Birmingham: University of Birmingham Research Archive e-theses repository.</w:t>
      </w:r>
    </w:p>
    <w:p w14:paraId="4B01BD4F" w14:textId="77777777" w:rsidR="007C4392" w:rsidRPr="007C4392" w:rsidRDefault="007C4392" w:rsidP="007C4392">
      <w:pPr>
        <w:spacing w:after="240"/>
        <w:jc w:val="both"/>
        <w:rPr>
          <w:sz w:val="24"/>
          <w:szCs w:val="24"/>
        </w:rPr>
      </w:pPr>
      <w:r w:rsidRPr="007C4392">
        <w:rPr>
          <w:sz w:val="24"/>
          <w:szCs w:val="24"/>
        </w:rPr>
        <w:t xml:space="preserve">National Police Chief’s Council (2022) </w:t>
      </w:r>
      <w:r w:rsidRPr="007C4392">
        <w:rPr>
          <w:i/>
          <w:iCs/>
          <w:sz w:val="24"/>
          <w:szCs w:val="24"/>
        </w:rPr>
        <w:t>National Vulnerability Action Plan</w:t>
      </w:r>
      <w:r w:rsidRPr="007C4392">
        <w:rPr>
          <w:sz w:val="24"/>
          <w:szCs w:val="24"/>
        </w:rPr>
        <w:t xml:space="preserve">. Available at: </w:t>
      </w:r>
      <w:hyperlink r:id="rId32" w:history="1">
        <w:r w:rsidRPr="007C4392">
          <w:rPr>
            <w:rStyle w:val="Hyperlink"/>
            <w:sz w:val="24"/>
            <w:szCs w:val="24"/>
          </w:rPr>
          <w:t>https://www.npcc.police.uk/SysSiteAssets/media/downloads/publications/publications-log/2019/national-vulnerability-action-plan-2020-2022.pdf</w:t>
        </w:r>
      </w:hyperlink>
      <w:r w:rsidRPr="007C4392">
        <w:rPr>
          <w:sz w:val="24"/>
          <w:szCs w:val="24"/>
        </w:rPr>
        <w:t xml:space="preserve"> (Accessed: 11 January 2025).</w:t>
      </w:r>
    </w:p>
    <w:p w14:paraId="1CC849F5" w14:textId="77777777" w:rsidR="007C4392" w:rsidRPr="007C4392" w:rsidRDefault="007C4392" w:rsidP="007C4392">
      <w:pPr>
        <w:spacing w:after="240"/>
        <w:jc w:val="both"/>
        <w:rPr>
          <w:sz w:val="24"/>
          <w:szCs w:val="24"/>
        </w:rPr>
      </w:pPr>
      <w:r w:rsidRPr="007C4392">
        <w:rPr>
          <w:sz w:val="24"/>
          <w:szCs w:val="24"/>
        </w:rPr>
        <w:t xml:space="preserve">Heap, V. (2021) ‘Exploring the effects of long-term anti-social behaviour victimisation’, </w:t>
      </w:r>
      <w:r w:rsidRPr="007C4392">
        <w:rPr>
          <w:i/>
          <w:iCs/>
          <w:sz w:val="24"/>
          <w:szCs w:val="24"/>
        </w:rPr>
        <w:t>International review of victimology</w:t>
      </w:r>
      <w:r w:rsidRPr="007C4392">
        <w:rPr>
          <w:sz w:val="24"/>
          <w:szCs w:val="24"/>
        </w:rPr>
        <w:t>, 27(2), pp. 227–242. Available at: https://doi.org/10.1177/0269758020961979.</w:t>
      </w:r>
    </w:p>
    <w:p w14:paraId="4AC9EFB4" w14:textId="77777777" w:rsidR="007C4392" w:rsidRPr="007C4392" w:rsidRDefault="007C4392" w:rsidP="007C4392">
      <w:pPr>
        <w:spacing w:after="240"/>
        <w:jc w:val="both"/>
        <w:rPr>
          <w:sz w:val="24"/>
          <w:szCs w:val="24"/>
        </w:rPr>
      </w:pPr>
      <w:r w:rsidRPr="007C4392">
        <w:rPr>
          <w:sz w:val="24"/>
          <w:szCs w:val="24"/>
        </w:rPr>
        <w:t xml:space="preserve">O, S. </w:t>
      </w:r>
      <w:r w:rsidRPr="007C4392">
        <w:rPr>
          <w:i/>
          <w:iCs/>
          <w:sz w:val="24"/>
          <w:szCs w:val="24"/>
        </w:rPr>
        <w:t>et al.</w:t>
      </w:r>
      <w:r w:rsidRPr="007C4392">
        <w:rPr>
          <w:sz w:val="24"/>
          <w:szCs w:val="24"/>
        </w:rPr>
        <w:t xml:space="preserve"> (2017) ‘How concentrated is crime among victims? A systematic review from 1977 to 2014’, </w:t>
      </w:r>
      <w:r w:rsidRPr="007C4392">
        <w:rPr>
          <w:i/>
          <w:iCs/>
          <w:sz w:val="24"/>
          <w:szCs w:val="24"/>
        </w:rPr>
        <w:t>Crime science</w:t>
      </w:r>
      <w:r w:rsidRPr="007C4392">
        <w:rPr>
          <w:sz w:val="24"/>
          <w:szCs w:val="24"/>
        </w:rPr>
        <w:t>, 6(1), pp. 1–16. Available at: https://doi.org/10.1186/s40163-017-0071-3.</w:t>
      </w:r>
    </w:p>
    <w:p w14:paraId="3FFDB2F8" w14:textId="77777777" w:rsidR="007C4392" w:rsidRPr="007C4392" w:rsidRDefault="007C4392" w:rsidP="007C4392">
      <w:pPr>
        <w:spacing w:after="240"/>
        <w:jc w:val="both"/>
        <w:rPr>
          <w:sz w:val="24"/>
          <w:szCs w:val="24"/>
        </w:rPr>
      </w:pPr>
      <w:r w:rsidRPr="007C4392">
        <w:rPr>
          <w:sz w:val="24"/>
          <w:szCs w:val="24"/>
        </w:rPr>
        <w:t>Office for National Statistics (2024) </w:t>
      </w:r>
      <w:r w:rsidRPr="007C4392">
        <w:rPr>
          <w:i/>
          <w:iCs/>
          <w:sz w:val="24"/>
          <w:szCs w:val="24"/>
        </w:rPr>
        <w:t>Crime in England and Wales: Year Ending March 2024 – Other related tables</w:t>
      </w:r>
      <w:r w:rsidRPr="007C4392">
        <w:rPr>
          <w:sz w:val="24"/>
          <w:szCs w:val="24"/>
        </w:rPr>
        <w:t>. </w:t>
      </w:r>
      <w:hyperlink r:id="rId33" w:history="1">
        <w:r w:rsidRPr="007C4392">
          <w:rPr>
            <w:rStyle w:val="Hyperlink"/>
            <w:sz w:val="24"/>
            <w:szCs w:val="24"/>
          </w:rPr>
          <w:t>https://www.ons.gov.uk/peoplepopulationandcommunity/crimeandjustice/datasets/crimeinenglandandwalesannualtrendanddemographictables</w:t>
        </w:r>
      </w:hyperlink>
      <w:r w:rsidRPr="007C4392">
        <w:rPr>
          <w:sz w:val="24"/>
          <w:szCs w:val="24"/>
        </w:rPr>
        <w:t xml:space="preserve"> (Accessed: 11 March 2025). </w:t>
      </w:r>
    </w:p>
    <w:p w14:paraId="02C7A120" w14:textId="77777777" w:rsidR="007C4392" w:rsidRPr="007C4392" w:rsidRDefault="007C4392" w:rsidP="007C4392">
      <w:pPr>
        <w:spacing w:after="240"/>
        <w:jc w:val="both"/>
        <w:rPr>
          <w:sz w:val="24"/>
          <w:szCs w:val="24"/>
        </w:rPr>
      </w:pPr>
      <w:r w:rsidRPr="003E465B">
        <w:rPr>
          <w:sz w:val="24"/>
          <w:szCs w:val="24"/>
        </w:rPr>
        <w:t>Office for National Statistics (ONS) (2023). </w:t>
      </w:r>
      <w:r w:rsidRPr="003E465B">
        <w:rPr>
          <w:i/>
          <w:iCs/>
          <w:sz w:val="24"/>
          <w:szCs w:val="24"/>
        </w:rPr>
        <w:t>Domestic abuse in England and Wales overview: November 2023</w:t>
      </w:r>
      <w:r w:rsidRPr="003E465B">
        <w:rPr>
          <w:sz w:val="24"/>
          <w:szCs w:val="24"/>
        </w:rPr>
        <w:t xml:space="preserve">. Available </w:t>
      </w:r>
      <w:r w:rsidRPr="007C4392">
        <w:rPr>
          <w:sz w:val="24"/>
          <w:szCs w:val="24"/>
        </w:rPr>
        <w:t xml:space="preserve">at: </w:t>
      </w:r>
      <w:hyperlink r:id="rId34" w:history="1">
        <w:r w:rsidRPr="007C4392">
          <w:rPr>
            <w:rStyle w:val="Hyperlink"/>
            <w:sz w:val="24"/>
            <w:szCs w:val="24"/>
          </w:rPr>
          <w:t>https://www.ons.gov.uk/peoplepopulationandcommunity/crimeandjustice/bulletins/domesticabuseinenglandandwalesoverview/november2023</w:t>
        </w:r>
      </w:hyperlink>
      <w:r w:rsidRPr="007C4392">
        <w:rPr>
          <w:sz w:val="24"/>
          <w:szCs w:val="24"/>
        </w:rPr>
        <w:t xml:space="preserve"> (Accessed: 25 November 2024).</w:t>
      </w:r>
      <w:r w:rsidRPr="003E465B">
        <w:rPr>
          <w:sz w:val="24"/>
          <w:szCs w:val="24"/>
        </w:rPr>
        <w:t>   </w:t>
      </w:r>
    </w:p>
    <w:p w14:paraId="3F7CF19C" w14:textId="77777777" w:rsidR="007C4392" w:rsidRPr="007C4392" w:rsidRDefault="007C4392" w:rsidP="007C4392">
      <w:pPr>
        <w:spacing w:after="240"/>
        <w:jc w:val="both"/>
        <w:rPr>
          <w:sz w:val="24"/>
          <w:szCs w:val="24"/>
        </w:rPr>
      </w:pPr>
      <w:r w:rsidRPr="009C3C9B">
        <w:rPr>
          <w:sz w:val="24"/>
          <w:szCs w:val="24"/>
        </w:rPr>
        <w:t xml:space="preserve">Parks-Leduc, L., Feldman, G. and Bardi, A. (2015) ‘Personality Traits and Personal Values: A Meta-Analysis’, </w:t>
      </w:r>
      <w:r w:rsidRPr="009C3C9B">
        <w:rPr>
          <w:i/>
          <w:iCs/>
          <w:sz w:val="24"/>
          <w:szCs w:val="24"/>
        </w:rPr>
        <w:t>Personality and social psychology review</w:t>
      </w:r>
      <w:r w:rsidRPr="009C3C9B">
        <w:rPr>
          <w:sz w:val="24"/>
          <w:szCs w:val="24"/>
        </w:rPr>
        <w:t>, 19(1), pp. 3–29. Available at: https://doi.org/10.1177/1088868314538548.</w:t>
      </w:r>
    </w:p>
    <w:p w14:paraId="374DD53A" w14:textId="77777777" w:rsidR="007C4392" w:rsidRPr="007C4392" w:rsidRDefault="007C4392" w:rsidP="007C4392">
      <w:pPr>
        <w:spacing w:after="240"/>
        <w:jc w:val="both"/>
        <w:rPr>
          <w:sz w:val="24"/>
          <w:szCs w:val="24"/>
        </w:rPr>
      </w:pPr>
      <w:proofErr w:type="spellStart"/>
      <w:r w:rsidRPr="007C4392">
        <w:rPr>
          <w:sz w:val="24"/>
          <w:szCs w:val="24"/>
        </w:rPr>
        <w:t>Pichère</w:t>
      </w:r>
      <w:proofErr w:type="spellEnd"/>
      <w:r w:rsidRPr="007C4392">
        <w:rPr>
          <w:sz w:val="24"/>
          <w:szCs w:val="24"/>
        </w:rPr>
        <w:t xml:space="preserve">, P. and </w:t>
      </w:r>
      <w:proofErr w:type="spellStart"/>
      <w:r w:rsidRPr="007C4392">
        <w:rPr>
          <w:sz w:val="24"/>
          <w:szCs w:val="24"/>
        </w:rPr>
        <w:t>Cadiat</w:t>
      </w:r>
      <w:proofErr w:type="spellEnd"/>
      <w:r w:rsidRPr="007C4392">
        <w:rPr>
          <w:sz w:val="24"/>
          <w:szCs w:val="24"/>
        </w:rPr>
        <w:t xml:space="preserve">, A.-C. (2015) </w:t>
      </w:r>
      <w:r w:rsidRPr="007C4392">
        <w:rPr>
          <w:i/>
          <w:iCs/>
          <w:sz w:val="24"/>
          <w:szCs w:val="24"/>
        </w:rPr>
        <w:t>Maslow’s hierarchy of needs</w:t>
      </w:r>
      <w:r w:rsidRPr="007C4392">
        <w:rPr>
          <w:sz w:val="24"/>
          <w:szCs w:val="24"/>
        </w:rPr>
        <w:t>. Translated by C. Probert. Namur: Lemaitre Publishing.</w:t>
      </w:r>
    </w:p>
    <w:p w14:paraId="3FF9DD99" w14:textId="77777777" w:rsidR="007C4392" w:rsidRPr="007C4392" w:rsidRDefault="007C4392" w:rsidP="007C4392">
      <w:pPr>
        <w:spacing w:after="240"/>
        <w:jc w:val="both"/>
        <w:rPr>
          <w:sz w:val="24"/>
          <w:szCs w:val="24"/>
        </w:rPr>
      </w:pPr>
      <w:r w:rsidRPr="007C4392">
        <w:rPr>
          <w:sz w:val="24"/>
          <w:szCs w:val="24"/>
        </w:rPr>
        <w:t xml:space="preserve">Pratt, T. C. and </w:t>
      </w:r>
      <w:proofErr w:type="spellStart"/>
      <w:r w:rsidRPr="007C4392">
        <w:rPr>
          <w:sz w:val="24"/>
          <w:szCs w:val="24"/>
        </w:rPr>
        <w:t>Turanovic</w:t>
      </w:r>
      <w:proofErr w:type="spellEnd"/>
      <w:r w:rsidRPr="007C4392">
        <w:rPr>
          <w:sz w:val="24"/>
          <w:szCs w:val="24"/>
        </w:rPr>
        <w:t>, J. J. (2015) ‘Lifestyle and Routine Activity Theories Revisited: The Importance of “Risk” to the Study of Victimization’, </w:t>
      </w:r>
      <w:r w:rsidRPr="007C4392">
        <w:rPr>
          <w:i/>
          <w:iCs/>
          <w:sz w:val="24"/>
          <w:szCs w:val="24"/>
        </w:rPr>
        <w:t>Victims &amp; Offenders</w:t>
      </w:r>
      <w:r w:rsidRPr="007C4392">
        <w:rPr>
          <w:sz w:val="24"/>
          <w:szCs w:val="24"/>
        </w:rPr>
        <w:t xml:space="preserve">, 11(3), pp. 335–354. </w:t>
      </w:r>
      <w:proofErr w:type="spellStart"/>
      <w:r w:rsidRPr="007C4392">
        <w:rPr>
          <w:sz w:val="24"/>
          <w:szCs w:val="24"/>
        </w:rPr>
        <w:t>doi</w:t>
      </w:r>
      <w:proofErr w:type="spellEnd"/>
      <w:r w:rsidRPr="007C4392">
        <w:rPr>
          <w:sz w:val="24"/>
          <w:szCs w:val="24"/>
        </w:rPr>
        <w:t>: 10.1080/15564886.2015.1057351.</w:t>
      </w:r>
    </w:p>
    <w:p w14:paraId="6FB71404" w14:textId="77777777" w:rsidR="007C4392" w:rsidRPr="007C4392" w:rsidRDefault="007C4392" w:rsidP="007C4392">
      <w:pPr>
        <w:spacing w:after="240"/>
        <w:jc w:val="both"/>
        <w:rPr>
          <w:sz w:val="24"/>
          <w:szCs w:val="24"/>
        </w:rPr>
      </w:pPr>
      <w:r w:rsidRPr="007C4392">
        <w:rPr>
          <w:i/>
          <w:iCs/>
          <w:sz w:val="24"/>
          <w:szCs w:val="24"/>
        </w:rPr>
        <w:t>Protection from Harassment Act 1997</w:t>
      </w:r>
      <w:r w:rsidRPr="007C4392">
        <w:rPr>
          <w:sz w:val="24"/>
          <w:szCs w:val="24"/>
        </w:rPr>
        <w:t xml:space="preserve">. Available at: </w:t>
      </w:r>
      <w:hyperlink r:id="rId35" w:history="1">
        <w:r w:rsidRPr="007C4392">
          <w:rPr>
            <w:rStyle w:val="Hyperlink"/>
            <w:sz w:val="24"/>
            <w:szCs w:val="24"/>
          </w:rPr>
          <w:t>https://www.legislation.gov.uk/ukpga/1997/40/section/4A</w:t>
        </w:r>
      </w:hyperlink>
      <w:r w:rsidRPr="007C4392">
        <w:rPr>
          <w:sz w:val="24"/>
          <w:szCs w:val="24"/>
        </w:rPr>
        <w:t xml:space="preserve"> (Accessed: 2 December 2025).</w:t>
      </w:r>
    </w:p>
    <w:p w14:paraId="5D87CAB2" w14:textId="77777777" w:rsidR="007C4392" w:rsidRPr="007C4392" w:rsidRDefault="007C4392" w:rsidP="007C4392">
      <w:pPr>
        <w:spacing w:after="240"/>
        <w:jc w:val="both"/>
        <w:rPr>
          <w:sz w:val="24"/>
          <w:szCs w:val="24"/>
        </w:rPr>
      </w:pPr>
      <w:r w:rsidRPr="007C4392">
        <w:rPr>
          <w:sz w:val="24"/>
          <w:szCs w:val="24"/>
        </w:rPr>
        <w:t xml:space="preserve">Ruback, R.B., Clark, V.A. and Warner, C. (2014) ‘Why Are Crime Victims at Risk of Being Victimized Again? Substance Use, Depression, and Offending as Mediators of </w:t>
      </w:r>
      <w:r w:rsidRPr="007C4392">
        <w:rPr>
          <w:sz w:val="24"/>
          <w:szCs w:val="24"/>
        </w:rPr>
        <w:lastRenderedPageBreak/>
        <w:t xml:space="preserve">the Victimization–Revictimization Link’, </w:t>
      </w:r>
      <w:r w:rsidRPr="007C4392">
        <w:rPr>
          <w:i/>
          <w:iCs/>
          <w:sz w:val="24"/>
          <w:szCs w:val="24"/>
        </w:rPr>
        <w:t>Journal of interpersonal violence</w:t>
      </w:r>
      <w:r w:rsidRPr="007C4392">
        <w:rPr>
          <w:sz w:val="24"/>
          <w:szCs w:val="24"/>
        </w:rPr>
        <w:t xml:space="preserve">, 29(1), pp. 157–185. Available at: </w:t>
      </w:r>
      <w:hyperlink r:id="rId36" w:history="1">
        <w:r w:rsidRPr="007C4392">
          <w:rPr>
            <w:rStyle w:val="Hyperlink"/>
            <w:sz w:val="24"/>
            <w:szCs w:val="24"/>
          </w:rPr>
          <w:t>https://doi.org/10.1177/0886260513504626</w:t>
        </w:r>
      </w:hyperlink>
      <w:r w:rsidRPr="007C4392">
        <w:rPr>
          <w:sz w:val="24"/>
          <w:szCs w:val="24"/>
        </w:rPr>
        <w:t>.</w:t>
      </w:r>
    </w:p>
    <w:p w14:paraId="3D780893" w14:textId="77777777" w:rsidR="007C4392" w:rsidRPr="007C4392" w:rsidRDefault="007C4392" w:rsidP="007C4392">
      <w:pPr>
        <w:spacing w:after="240"/>
        <w:jc w:val="both"/>
        <w:rPr>
          <w:sz w:val="24"/>
          <w:szCs w:val="24"/>
        </w:rPr>
      </w:pPr>
      <w:r w:rsidRPr="0071323D">
        <w:rPr>
          <w:sz w:val="24"/>
          <w:szCs w:val="24"/>
        </w:rPr>
        <w:t>Schwartz S. H. (1992) Universals in the content and structure of values: Theoretical advances and empirical tests in 20 countries. In Zanna M. P. (Ed.), </w:t>
      </w:r>
      <w:r w:rsidRPr="0071323D">
        <w:rPr>
          <w:i/>
          <w:iCs/>
          <w:sz w:val="24"/>
          <w:szCs w:val="24"/>
        </w:rPr>
        <w:t>Advances in experimental social psychology</w:t>
      </w:r>
      <w:r w:rsidRPr="0071323D">
        <w:rPr>
          <w:sz w:val="24"/>
          <w:szCs w:val="24"/>
        </w:rPr>
        <w:t xml:space="preserve"> (pp. 1-65). San Diego, CA: Academic Press. </w:t>
      </w:r>
    </w:p>
    <w:p w14:paraId="40EDB72F" w14:textId="77777777" w:rsidR="007C4392" w:rsidRPr="007C4392" w:rsidRDefault="007C4392" w:rsidP="007C4392">
      <w:pPr>
        <w:spacing w:after="240"/>
        <w:jc w:val="both"/>
        <w:rPr>
          <w:sz w:val="24"/>
          <w:szCs w:val="24"/>
        </w:rPr>
      </w:pPr>
      <w:r w:rsidRPr="007C4392">
        <w:rPr>
          <w:sz w:val="24"/>
          <w:szCs w:val="24"/>
        </w:rPr>
        <w:t xml:space="preserve">Schwenker, R. </w:t>
      </w:r>
      <w:r w:rsidRPr="007C4392">
        <w:rPr>
          <w:i/>
          <w:iCs/>
          <w:sz w:val="24"/>
          <w:szCs w:val="24"/>
        </w:rPr>
        <w:t>et al.</w:t>
      </w:r>
      <w:r w:rsidRPr="007C4392">
        <w:rPr>
          <w:sz w:val="24"/>
          <w:szCs w:val="24"/>
        </w:rPr>
        <w:t xml:space="preserve"> (2023) ‘Motivational interviewing for substance use reduction’, </w:t>
      </w:r>
      <w:r w:rsidRPr="007C4392">
        <w:rPr>
          <w:i/>
          <w:iCs/>
          <w:sz w:val="24"/>
          <w:szCs w:val="24"/>
        </w:rPr>
        <w:t>Cochrane database of systematic reviews</w:t>
      </w:r>
      <w:r w:rsidRPr="007C4392">
        <w:rPr>
          <w:sz w:val="24"/>
          <w:szCs w:val="24"/>
        </w:rPr>
        <w:t>, 2023(12), pp. CD008063-. Available at: https://doi.org/10.1002/14651858.CD008063.pub3.</w:t>
      </w:r>
    </w:p>
    <w:p w14:paraId="7A99605C" w14:textId="77777777" w:rsidR="007C4392" w:rsidRPr="007C4392" w:rsidRDefault="007C4392" w:rsidP="007C4392">
      <w:pPr>
        <w:spacing w:after="240"/>
        <w:jc w:val="both"/>
        <w:rPr>
          <w:sz w:val="24"/>
          <w:szCs w:val="24"/>
        </w:rPr>
      </w:pPr>
      <w:r w:rsidRPr="007C4392">
        <w:rPr>
          <w:sz w:val="24"/>
          <w:szCs w:val="24"/>
        </w:rPr>
        <w:t xml:space="preserve">Smith (2004) ‘The links between victimization and offending’, </w:t>
      </w:r>
      <w:r w:rsidRPr="007C4392">
        <w:rPr>
          <w:i/>
          <w:iCs/>
          <w:sz w:val="24"/>
          <w:szCs w:val="24"/>
        </w:rPr>
        <w:t>Centre for Law and Society</w:t>
      </w:r>
      <w:r w:rsidRPr="007C4392">
        <w:rPr>
          <w:sz w:val="24"/>
          <w:szCs w:val="24"/>
        </w:rPr>
        <w:t xml:space="preserve">. Available at: </w:t>
      </w:r>
      <w:hyperlink r:id="rId37" w:history="1">
        <w:r w:rsidRPr="007C4392">
          <w:rPr>
            <w:rStyle w:val="Hyperlink"/>
            <w:sz w:val="24"/>
            <w:szCs w:val="24"/>
          </w:rPr>
          <w:t>https://www.edinstudy.law.ed.ac.uk/wp-content/uploads/sites/36/2019/10/5Victimization.pdf</w:t>
        </w:r>
      </w:hyperlink>
      <w:r w:rsidRPr="007C4392">
        <w:rPr>
          <w:sz w:val="24"/>
          <w:szCs w:val="24"/>
        </w:rPr>
        <w:t xml:space="preserve"> (Accessed: 11 January 2025).</w:t>
      </w:r>
    </w:p>
    <w:p w14:paraId="6912A4E7" w14:textId="77777777" w:rsidR="007C4392" w:rsidRPr="007C4392" w:rsidRDefault="007C4392" w:rsidP="007C4392">
      <w:pPr>
        <w:spacing w:after="240"/>
        <w:jc w:val="both"/>
        <w:rPr>
          <w:sz w:val="24"/>
          <w:szCs w:val="24"/>
        </w:rPr>
      </w:pPr>
      <w:r w:rsidRPr="007C4392">
        <w:rPr>
          <w:sz w:val="24"/>
          <w:szCs w:val="24"/>
        </w:rPr>
        <w:t xml:space="preserve">Welsh Government (2024) </w:t>
      </w:r>
      <w:r w:rsidRPr="007C4392">
        <w:rPr>
          <w:i/>
          <w:iCs/>
          <w:sz w:val="24"/>
          <w:szCs w:val="24"/>
        </w:rPr>
        <w:t>Domestic Abuse</w:t>
      </w:r>
      <w:r w:rsidRPr="007C4392">
        <w:rPr>
          <w:sz w:val="24"/>
          <w:szCs w:val="24"/>
        </w:rPr>
        <w:t xml:space="preserve">. Available at: </w:t>
      </w:r>
      <w:hyperlink r:id="rId38" w:history="1">
        <w:r w:rsidRPr="007C4392">
          <w:rPr>
            <w:rStyle w:val="Hyperlink"/>
            <w:sz w:val="24"/>
            <w:szCs w:val="24"/>
          </w:rPr>
          <w:t>https://www.gov.wales/live-fear-free/domestic-abuse-wales</w:t>
        </w:r>
      </w:hyperlink>
      <w:r w:rsidRPr="007C4392">
        <w:rPr>
          <w:sz w:val="24"/>
          <w:szCs w:val="24"/>
        </w:rPr>
        <w:t xml:space="preserve"> (Accessed: 11 January 2025).</w:t>
      </w:r>
    </w:p>
    <w:p w14:paraId="66754A3E" w14:textId="77777777" w:rsidR="007C4392" w:rsidRDefault="007C4392" w:rsidP="00EA28F1">
      <w:pPr>
        <w:keepNext/>
        <w:spacing w:before="240" w:after="60"/>
        <w:ind w:right="237"/>
        <w:jc w:val="both"/>
      </w:pPr>
    </w:p>
    <w:sectPr w:rsidR="007C4392" w:rsidSect="0022001B">
      <w:headerReference w:type="even" r:id="rId39"/>
      <w:headerReference w:type="default" r:id="rId40"/>
      <w:footerReference w:type="even" r:id="rId41"/>
      <w:footerReference w:type="default" r:id="rId42"/>
      <w:headerReference w:type="first" r:id="rId43"/>
      <w:footerReference w:type="first" r:id="rId44"/>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746FD" w14:textId="77777777" w:rsidR="0009784E" w:rsidRDefault="0009784E">
      <w:r>
        <w:separator/>
      </w:r>
    </w:p>
  </w:endnote>
  <w:endnote w:type="continuationSeparator" w:id="0">
    <w:p w14:paraId="4D3EB51F" w14:textId="77777777" w:rsidR="0009784E" w:rsidRDefault="00097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0980D" w14:textId="77777777" w:rsidR="0009784E" w:rsidRDefault="0009784E">
      <w:r>
        <w:separator/>
      </w:r>
    </w:p>
  </w:footnote>
  <w:footnote w:type="continuationSeparator" w:id="0">
    <w:p w14:paraId="086C8A19" w14:textId="77777777" w:rsidR="0009784E" w:rsidRDefault="00097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7"/>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4"/>
  </w:num>
  <w:num w:numId="6" w16cid:durableId="1535117422">
    <w:abstractNumId w:val="46"/>
  </w:num>
  <w:num w:numId="7" w16cid:durableId="497159976">
    <w:abstractNumId w:val="34"/>
  </w:num>
  <w:num w:numId="8" w16cid:durableId="1969892037">
    <w:abstractNumId w:val="32"/>
  </w:num>
  <w:num w:numId="9" w16cid:durableId="1373725377">
    <w:abstractNumId w:val="29"/>
  </w:num>
  <w:num w:numId="10" w16cid:durableId="825324590">
    <w:abstractNumId w:val="30"/>
  </w:num>
  <w:num w:numId="11" w16cid:durableId="813445957">
    <w:abstractNumId w:val="9"/>
  </w:num>
  <w:num w:numId="12" w16cid:durableId="232394586">
    <w:abstractNumId w:val="33"/>
  </w:num>
  <w:num w:numId="13" w16cid:durableId="1039740215">
    <w:abstractNumId w:val="17"/>
  </w:num>
  <w:num w:numId="14" w16cid:durableId="1170288507">
    <w:abstractNumId w:val="16"/>
  </w:num>
  <w:num w:numId="15" w16cid:durableId="456804283">
    <w:abstractNumId w:val="26"/>
  </w:num>
  <w:num w:numId="16" w16cid:durableId="647825036">
    <w:abstractNumId w:val="7"/>
  </w:num>
  <w:num w:numId="17" w16cid:durableId="431701502">
    <w:abstractNumId w:val="25"/>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7"/>
  </w:num>
  <w:num w:numId="26" w16cid:durableId="236403065">
    <w:abstractNumId w:val="19"/>
  </w:num>
  <w:num w:numId="27" w16cid:durableId="1573000687">
    <w:abstractNumId w:val="40"/>
  </w:num>
  <w:num w:numId="28" w16cid:durableId="66197777">
    <w:abstractNumId w:val="35"/>
  </w:num>
  <w:num w:numId="29" w16cid:durableId="1127815727">
    <w:abstractNumId w:val="39"/>
  </w:num>
  <w:num w:numId="30" w16cid:durableId="1139540040">
    <w:abstractNumId w:val="20"/>
  </w:num>
  <w:num w:numId="31" w16cid:durableId="34090301">
    <w:abstractNumId w:val="42"/>
  </w:num>
  <w:num w:numId="32" w16cid:durableId="222646112">
    <w:abstractNumId w:val="31"/>
  </w:num>
  <w:num w:numId="33" w16cid:durableId="2043940194">
    <w:abstractNumId w:val="12"/>
  </w:num>
  <w:num w:numId="34" w16cid:durableId="1879196244">
    <w:abstractNumId w:val="43"/>
  </w:num>
  <w:num w:numId="35" w16cid:durableId="682361466">
    <w:abstractNumId w:val="38"/>
  </w:num>
  <w:num w:numId="36" w16cid:durableId="1977442909">
    <w:abstractNumId w:val="4"/>
  </w:num>
  <w:num w:numId="37" w16cid:durableId="1583488633">
    <w:abstractNumId w:val="45"/>
  </w:num>
  <w:num w:numId="38" w16cid:durableId="440271129">
    <w:abstractNumId w:val="41"/>
  </w:num>
  <w:num w:numId="39" w16cid:durableId="738553744">
    <w:abstractNumId w:val="36"/>
  </w:num>
  <w:num w:numId="40" w16cid:durableId="1665820156">
    <w:abstractNumId w:val="37"/>
  </w:num>
  <w:num w:numId="41" w16cid:durableId="180051086">
    <w:abstractNumId w:val="3"/>
  </w:num>
  <w:num w:numId="42" w16cid:durableId="659695053">
    <w:abstractNumId w:val="5"/>
  </w:num>
  <w:num w:numId="43" w16cid:durableId="799807383">
    <w:abstractNumId w:val="24"/>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8"/>
  </w:num>
  <w:num w:numId="49" w16cid:durableId="5459262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695"/>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5E7"/>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F3DF3"/>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580"/>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2944"/>
    <w:rsid w:val="005A545C"/>
    <w:rsid w:val="005C1567"/>
    <w:rsid w:val="005C6CE5"/>
    <w:rsid w:val="005C76DE"/>
    <w:rsid w:val="005D3F07"/>
    <w:rsid w:val="005D583E"/>
    <w:rsid w:val="005E13EA"/>
    <w:rsid w:val="005E53BD"/>
    <w:rsid w:val="00604F28"/>
    <w:rsid w:val="00606E27"/>
    <w:rsid w:val="006108C9"/>
    <w:rsid w:val="00615C7E"/>
    <w:rsid w:val="0062158D"/>
    <w:rsid w:val="00626B21"/>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C3F19"/>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6425"/>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4392"/>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00EC"/>
    <w:rsid w:val="008C14B2"/>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370AE"/>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54E1"/>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E154F"/>
    <w:rsid w:val="00CE79E8"/>
    <w:rsid w:val="00CF1E90"/>
    <w:rsid w:val="00CF3DB3"/>
    <w:rsid w:val="00D052BC"/>
    <w:rsid w:val="00D07026"/>
    <w:rsid w:val="00D07BAB"/>
    <w:rsid w:val="00D11C62"/>
    <w:rsid w:val="00D22C8F"/>
    <w:rsid w:val="00D33491"/>
    <w:rsid w:val="00D40785"/>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08B3"/>
    <w:rsid w:val="00DC4729"/>
    <w:rsid w:val="00DE556F"/>
    <w:rsid w:val="00E03B6D"/>
    <w:rsid w:val="00E0649E"/>
    <w:rsid w:val="00E17160"/>
    <w:rsid w:val="00E211BF"/>
    <w:rsid w:val="00E324D9"/>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image" Target="media/image3.png"/><Relationship Id="rId26" Type="http://schemas.openxmlformats.org/officeDocument/2006/relationships/hyperlink" Target="https://hmicfrs.justiceinspectorates.gov.uk/glossary/public-protection-notice/" TargetMode="External"/><Relationship Id="rId39" Type="http://schemas.openxmlformats.org/officeDocument/2006/relationships/header" Target="header1.xml"/><Relationship Id="rId21" Type="http://schemas.openxmlformats.org/officeDocument/2006/relationships/hyperlink" Target="https://www.college.police.uk/guidance/vulnerability-related-risks/introduction-vulnerability-related-risk" TargetMode="External"/><Relationship Id="rId34" Type="http://schemas.openxmlformats.org/officeDocument/2006/relationships/hyperlink" Target="https://www.ons.gov.uk/peoplepopulationandcommunity/crimeandjustice/bulletins/domesticabuseinenglandandwalesoverview/november2023" TargetMode="External"/><Relationship Id="rId42" Type="http://schemas.openxmlformats.org/officeDocument/2006/relationships/footer" Target="footer2.xml"/><Relationship Id="rId47" Type="http://schemas.microsoft.com/office/2020/10/relationships/intelligence" Target="intelligence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hyperlink" Target="https://www.gov.uk/guidance/anti-social-behaviour-asb-case-review-also-known-as-the-community-trigge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177/0022427819878220" TargetMode="External"/><Relationship Id="rId32" Type="http://schemas.openxmlformats.org/officeDocument/2006/relationships/hyperlink" Target="https://www.npcc.police.uk/SysSiteAssets/media/downloads/publications/publications-log/2019/national-vulnerability-action-plan-2020-2022.pdf" TargetMode="External"/><Relationship Id="rId37" Type="http://schemas.openxmlformats.org/officeDocument/2006/relationships/hyperlink" Target="https://www.edinstudy.law.ed.ac.uk/wp-content/uploads/sites/36/2019/10/5Victimization.pdf"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ustomXml" Target="ink/ink1.xml"/><Relationship Id="rId23" Type="http://schemas.openxmlformats.org/officeDocument/2006/relationships/hyperlink" Target="https://www.college.police.uk/app/investigation/investigation-process" TargetMode="External"/><Relationship Id="rId28" Type="http://schemas.openxmlformats.org/officeDocument/2006/relationships/hyperlink" Target="https://www.gov.uk/government/consultations/investigatory-powers-act-2016-codes-of-practice/outcome/communications-data-code-of-practice-accessible-version" TargetMode="External"/><Relationship Id="rId36" Type="http://schemas.openxmlformats.org/officeDocument/2006/relationships/hyperlink" Target="https://doi.org/10.1177/0886260513504626" TargetMode="External"/><Relationship Id="rId10" Type="http://schemas.openxmlformats.org/officeDocument/2006/relationships/endnotes" Target="endnotes.xml"/><Relationship Id="rId19" Type="http://schemas.openxmlformats.org/officeDocument/2006/relationships/hyperlink" Target="https://www.bcpsafeguardingadultsboard.com/uploads/7/4/8/9/74891967/appendix_2_-_changes_in_dorset_police_since_completion_of_the_sar_dhr.pdf" TargetMode="External"/><Relationship Id="rId31" Type="http://schemas.openxmlformats.org/officeDocument/2006/relationships/hyperlink" Target="https://www.legislation.gov.uk/ukpga/2016/25/contents" TargetMode="External"/><Relationship Id="rId44"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app/investigation/investigative-strategies/automatic-number-plate-recognition-anpr" TargetMode="External"/><Relationship Id="rId27" Type="http://schemas.openxmlformats.org/officeDocument/2006/relationships/hyperlink" Target="https://hmiprobation.justiceinspectorates.gov.uk/our-research/evidence-base-youth-justice/organisational-delivery-yj/governance-and-leadership/" TargetMode="External"/><Relationship Id="rId30" Type="http://schemas.openxmlformats.org/officeDocument/2006/relationships/hyperlink" Target="https://assets.publishing.service.gov.uk/government/uploads/system/uploads/attachment_data/file/1162788/Domestic_Violence_Disclosure_Scheme.pdf" TargetMode="External"/><Relationship Id="rId35" Type="http://schemas.openxmlformats.org/officeDocument/2006/relationships/hyperlink" Target="https://www.legislation.gov.uk/ukpga/1997/40/section/4A" TargetMode="External"/><Relationship Id="rId43" Type="http://schemas.openxmlformats.org/officeDocument/2006/relationships/header" Target="header3.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customXml" Target="ink/ink2.xml"/><Relationship Id="rId25" Type="http://schemas.openxmlformats.org/officeDocument/2006/relationships/hyperlink" Target="https://www.justiceinspectorates.gov.uk/hmicfrs/publication-html/an-inspection-of-vetting-misconduct-and-misogyny-in-the-police-service/" TargetMode="External"/><Relationship Id="rId33" Type="http://schemas.openxmlformats.org/officeDocument/2006/relationships/hyperlink" Target="https://www.ons.gov.uk/peoplepopulationandcommunity/crimeandjustice/datasets/crimeinenglandandwalesannualtrendanddemographictables" TargetMode="External"/><Relationship Id="rId38" Type="http://schemas.openxmlformats.org/officeDocument/2006/relationships/hyperlink" Target="https://www.gov.wales/live-fear-free/domestic-abuse-wales" TargetMode="External"/><Relationship Id="rId46" Type="http://schemas.openxmlformats.org/officeDocument/2006/relationships/theme" Target="theme/theme1.xml"/><Relationship Id="rId20" Type="http://schemas.openxmlformats.org/officeDocument/2006/relationships/hyperlink" Target="https://doi.org/10.1002/cl2.1050" TargetMode="External"/><Relationship Id="rId41"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5T19:05:24.180"/>
    </inkml:context>
    <inkml:brush xml:id="br0">
      <inkml:brushProperty name="width" value="0.035" units="cm"/>
      <inkml:brushProperty name="height" value="0.035" units="cm"/>
    </inkml:brush>
  </inkml:definitions>
  <inkml:trace contextRef="#ctx0" brushRef="#br0">332 530 24575,'0'0'0,"-2"8"0,-7 12 0,-11 22 0,-13 24 0,-10 20 0,-4 12 0,0 0 0,9-16-8191</inkml:trace>
  <inkml:trace contextRef="#ctx0" brushRef="#br0" timeOffset="1457.18">1 677 24575,'32'7'0,"-9"0"0,75 11 0,-1-5 0,2-4 0,-1-4 0,1-4 0,0-5 0,133-22 0,-223 24 0,102-21 0,-99 19 0,0 1 0,-1-2 0,0 1 0,0-2 0,0 1 0,18-14 0,-28 19 0,0-1 0,0 0 0,0 1 0,0-1 0,0 0 0,-1 0 0,1 1 0,0-1 0,-1 0 0,1 0 0,0 0 0,-1 0 0,1 0 0,-1 0 0,1 0 0,-1 0 0,0 0 0,1 0 0,-1-2 0,0 3 0,0-1 0,-1 0 0,1 1 0,0-1 0,0 1 0,-1-1 0,1 0 0,0 1 0,-1-1 0,1 1 0,0-1 0,-1 1 0,1-1 0,-1 1 0,1-1 0,-1 1 0,0 0 0,1-1 0,-1 1 0,1 0 0,-1-1 0,-1 1 0,-2-2 0,0 1 0,0 0 0,-1 0 0,1 0 0,-1 1 0,1-1 0,0 1 0,-5 1 0,-9 1 0,0 1 0,0 1 0,1 1 0,-1 1 0,1 0 0,0 1 0,-26 16 0,11-3 0,0 1 0,-46 41 0,35-22 0,2 3 0,2 1 0,2 1 0,2 2 0,-31 54 0,16-12 0,4 2 0,-37 103 0,63-136-1365,5-12-5461</inkml:trace>
  <inkml:trace contextRef="#ctx0" brushRef="#br0" timeOffset="1696.18">439 517 24575,'0'0'0,"-2"6"0,-2 9 0,-7 17 0,-6 20 0,-8 19 0,-4 13 0,-1 4 0,0-4 0,5-16-8191</inkml:trace>
  <inkml:trace contextRef="#ctx0" brushRef="#br0" timeOffset="2433.46">42 552 24575,'8'-12'0,"5"-2"0,-1 1 0,1 0 0,1 1 0,0 0 0,22-12 0,85-44 0,-49 32 0,1 4 0,142-42 0,-166 61 0,1 2 0,1 3 0,-1 1 0,1 3 0,82 4 0,-115 1 0,-1 1 0,0 0 0,0 1 0,0 2 0,31 11 0,-43-15 0,-1 2 0,1-1 0,0 1 0,-1-1 0,0 1 0,1 0 0,-1 1 0,0-1 0,-1 1 0,1 0 0,0 0 0,-1 0 0,0 0 0,0 0 0,-1 1 0,1 0 0,-1-1 0,0 1 0,0 0 0,0 0 0,-1 0 0,1 0 0,0 8 0,-2-3 0,0 1 0,0-1 0,-1 0 0,-1 0 0,1 0 0,-6 17 0,-2-2 0,-18 38 0,-3-7 0,-2-1 0,-2-1 0,-79 91 0,60-86 0,-3-2 0,-109 85 0,125-112 0,-63 35 0,83-54 0,1-2 0,-1 0 0,-1-1 0,0-1 0,-35 7 0,51-13 0,1 0 0,-1 0 0,0-1 0,0 0 0,0 1 0,0-1 0,0-1 0,0 1 0,0-1 0,0 0 0,0 0 0,0-1 0,0 1 0,-6-4 0,10 5 0,1-1 0,-1 1 0,1 0 0,0-1 0,-1 1 0,1 0 0,0-1 0,-1 1 0,1-1 0,0 1 0,-1-1 0,1 1 0,0-1 0,0 1 0,-1-1 0,1 1 0,0-1 0,0 1 0,0-1 0,0 1 0,0-1 0,0 1 0,0-1 0,0 0 0,0 1 0,0-1 0,0 1 0,0-1 0,0 1 0,0-1 0,1 1 0,-1-1 0,0 1 0,0-1 0,1 1 0,-1-1 0,0 1 0,0-1 0,1 1 0,-1 0 0,1-1 0,-1 1 0,0 0 0,1-1 0,0 1 0,23-18 0,-9 10 0,0 1 0,1 1 0,0 1 0,0 0 0,0 1 0,25-3 0,105-3 0,94 19 0,-46 0 0,-143-9 0,90-12 0,-108 5 0,1-1 0,-2-1 0,0-2 0,0-2 0,-1 0 0,0-3 0,-1 0 0,-1-2 0,-1 0 0,0-3 0,-2 0 0,0-1 0,-2-2 0,0 0 0,22-31 0,-39 46 0,19-29 0,-24 36 0,-1-1 0,1 0 0,-1 0 0,0 0 0,0 0 0,0 0 0,0 0 0,0 0 0,-1 0 0,1 0 0,-1-4 0,0 7 0,0 0 0,0 1 0,0-1 0,0 0 0,0 0 0,0 0 0,0 0 0,-1 1 0,1-1 0,0 0 0,0 0 0,0 0 0,0 0 0,-1 0 0,1 0 0,0 0 0,0 0 0,0 0 0,0 1 0,-1-1 0,1 0 0,0 0 0,0 0 0,0 0 0,0 0 0,-1 0 0,1 0 0,0 0 0,0 0 0,0 0 0,-1 0 0,1 0 0,0 0 0,0-1 0,0 1 0,0 0 0,-1 0 0,1 0 0,0 0 0,0 0 0,0 0 0,0 0 0,-1 0 0,1-1 0,0 1 0,0 0 0,0 0 0,0 0 0,0 0 0,0 0 0,0-1 0,-1 1 0,1 0 0,0 0 0,0 0 0,0 0 0,0-1 0,0 1 0,0 0 0,0 0 0,0-1 0,-9 15 0,6-6 0,1 1 0,-1-1 0,1 1 0,1 0 0,0 0 0,0 0 0,0 0 0,1 0 0,1-1 0,-1 1 0,1 0 0,4 15 0,-4-21 0,0 1 0,1 0 0,-1 0 0,1-1 0,0 1 0,0-1 0,0 1 0,0-1 0,0 0 0,1 0 0,0 0 0,-1 0 0,1 0 0,0-1 0,0 1 0,1-1 0,-1 0 0,0 0 0,1 0 0,0 0 0,-1 0 0,1-1 0,0 0 0,0 0 0,-1 0 0,1 0 0,0 0 0,0-1 0,0 0 0,8 0 0,3-1 0,1-1 0,0-1 0,0 0 0,-1-1 0,25-10 0,73-40 0,9-3 0,-122 57 0,1-1 0,0 1 0,0 0 0,0-1 0,-1 1 0,1 0 0,0 0 0,0-1 0,0 1 0,0 0 0,0 0 0,-1 0 0,1 0 0,0 0 0,0 0 0,0 0 0,0 1 0,0-1 0,-1 0 0,1 0 0,0 1 0,0-1 0,0 0 0,-1 1 0,1-1 0,0 1 0,-1-1 0,1 1 0,0-1 0,-1 1 0,2 1 0,-1 1 0,1 0 0,-1-1 0,0 1 0,0 0 0,-1 1 0,1-1 0,0 4 0,3 12 0,5 6-1365,1 0-5461</inkml:trace>
  <inkml:trace contextRef="#ctx0" brushRef="#br0" timeOffset="2969.77">3240 701 24575,'-16'1'0,"0"1"0,1 1 0,-1 0 0,0 1 0,1 0 0,0 1 0,0 1 0,1 1 0,-1 0 0,1 0 0,1 2 0,-17 12 0,-9 10 0,1 2 0,-52 58 0,74-74 0,-53 60 0,60-65 0,0 1 0,1-1 0,0 1 0,-10 23 0,17-25 0,9-13 0,15-14 0,-19 13 0,21-17 0,-17 13 0,-1 1 0,1-1 0,1 1 0,-1 1 0,1 0 0,0 0 0,0 1 0,0 0 0,10-3 0,-17 7 3,-1 0 0,0 0 0,1 0-1,-1 0 1,0 1 0,0-1 0,0 0 0,1 0-1,-1 1 1,0-1 0,0 1 0,0-1 0,1 1-1,-1 0 1,0-1 0,0 1 0,0 0 0,0 0-1,0-1 1,-1 1 0,1 0 0,0 0 0,0 0-1,0 0 1,-1 0 0,2 2 0,13 33-584,-12-27-279,5 15-5966</inkml:trace>
  <inkml:trace contextRef="#ctx0" brushRef="#br0" timeOffset="3654.77">3412 899 24575,'-5'19'0,"-9"39"0,3-14 0,-9 62 0,20-106 0,0 0 0,0 0 0,0 0 0,0 0 0,0 1 0,0-1 0,0 0 0,0 0 0,0 0 0,0 0 0,0 0 0,0 0 0,1 1 0,-1-1 0,0 0 0,0 0 0,0 0 0,0 0 0,0 0 0,0 0 0,0 1 0,0-1 0,0 0 0,0 0 0,1 0 0,-1 0 0,0 0 0,0 0 0,0 0 0,0 0 0,0 0 0,0 0 0,1 0 0,-1 0 0,0 0 0,0 0 0,0 0 0,0 0 0,0 0 0,0 0 0,1 0 0,-1 0 0,0 0 0,0 0 0,0 0 0,1 0 0,10-3 0,16-12 0,-24 13 0,76-45 0,-2 1 0,131-59 0,-205 104 0,0 0 0,0 0 0,0 0 0,0 0 0,0 0 0,0 1 0,0-1 0,0 1 0,0 0 0,0 0 0,0 0 0,3 0 0,-4 1 0,-1 0 0,0-1 0,0 1 0,0 0 0,0 0 0,1 0 0,-1-1 0,0 1 0,0 0 0,-1 1 0,1-1 0,0 0 0,0 0 0,0 0 0,-1 0 0,1 1 0,0-1 0,-1 0 0,0 1 0,1-1 0,-1 0 0,0 1 0,1-1 0,-1 0 0,0 1 0,0-1 0,0 3 0,0 21 0,-1 0 0,-5 39 0,3-45 0,0 0 0,2 0 0,0 0 0,1 1 0,6 33 0,-6-50 5,1 1 0,0-1 0,0 0 1,0 0-1,0 0 0,1 0 0,-1 0 0,1 0 0,0 0 0,0 0 0,0-1 0,0 1 0,0-1 0,1 0 0,-1 1 0,1-1 0,0 0 0,-1 0 1,1-1-1,6 4 0,-2-3-189,1 1 0,-1-2 0,0 1 0,1-1 0,0 0 0,-1 0 0,16-2 0,33-3-6642</inkml:trace>
  <inkml:trace contextRef="#ctx0" brushRef="#br0" timeOffset="3914.76">4874 1 24575,'0'0'0,"0"6"0,-2 12 0,-2 16 0,-6 30 0,-8 34 0,-12 36 0,-11 31 0,1-13-8191</inkml:trace>
  <inkml:trace contextRef="#ctx0" brushRef="#br0" timeOffset="4410.78">4277 694 24575,'51'35'0,"1"-3"0,2-1 0,1-3 0,1-3 0,2-1 0,0-4 0,88 20 0,-103-32 0,0-1 0,1-2 0,-1-2 0,1-2 0,0-2 0,0-1 0,0-3 0,-1-1 0,0-3 0,0-1 0,48-19 0,-79 25 0,0 0 0,-1-1 0,1 0 0,-1-1 0,0 0 0,-1-1 0,0 0 0,0 0 0,12-13 0,-21 19 0,0 1 0,0-1 0,-1 0 0,1 0 0,0 0 0,-1 0 0,1 0 0,-1 0 0,1 0 0,-1 0 0,1 0 0,-1 0 0,0-1 0,1 1 0,-1 0 0,0 0 0,0 0 0,0 0 0,0 0 0,0-1 0,0 1 0,0-2 0,-1 2 0,0 0 0,1 0 0,-1 0 0,0 0 0,0 0 0,1 0 0,-1 0 0,0 1 0,0-1 0,0 0 0,0 1 0,0-1 0,0 0 0,0 1 0,0-1 0,-1 1 0,1 0 0,-1-1 0,-2 0 0,0 0 0,1 1 0,-1-1 0,1 1 0,-1 0 0,0 0 0,1 0 0,-1 0 0,0 1 0,1 0 0,-1-1 0,1 1 0,-7 3 0,7-2 0,0 0 0,0 1 0,0-1 0,0 1 0,1 0 0,-1 0 0,1 0 0,0 0 0,0 0 0,0 0 0,0 1 0,0-1 0,1 1 0,-1-1 0,1 1 0,0 0 0,0 0 0,0-1 0,1 1 0,-1 0 0,1 0 0,0 0 0,0-1 0,1 1 0,0 4 0,0 4 0,1-1 0,1 0 0,0-1 0,1 1 0,0 0 0,0-1 0,10 16 0,-1-7-195,2 1 0,0-2 0,1 0 0,1-1 0,1-1 0,19 15 0,48 32-6631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5T19:05:32.957"/>
    </inkml:context>
    <inkml:brush xml:id="br0">
      <inkml:brushProperty name="width" value="0.035" units="cm"/>
      <inkml:brushProperty name="height" value="0.035" units="cm"/>
    </inkml:brush>
  </inkml:definitions>
  <inkml:trace contextRef="#ctx0" brushRef="#br0">435 393 24575,'0'0'0</inkml:trace>
  <inkml:trace contextRef="#ctx0" brushRef="#br0" timeOffset="1095.44">641 485 24575,'-20'17'0,"-4"6"0,1 1 0,1 1 0,1 2 0,-18 28 0,-63 122 0,15-25 0,-10-15-1365,91-129-5461</inkml:trace>
  <inkml:trace contextRef="#ctx0" brushRef="#br0" timeOffset="2009.08">1 353 24575,'8'1'0,"-1"0"0,1 0 0,0 1 0,0 0 0,7 3 0,17 4 0,103 19 0,1-5 0,265 9 0,-326-32 0,0-3 0,0-4 0,0-3 0,-1-3 0,-1-3 0,0-4 0,72-29 0,-45 3 0,-87 39 0,-1-1 0,1 0 0,-2-1 0,1 0 0,12-13 0,-23 20 0,1 1 0,-1-1 0,1 1 0,-1-1 0,0 1 0,0-1 0,0 0 0,0 1 0,0-1 0,0 0 0,0 0 0,0 0 0,-1 0 0,1 0 0,-1 0 0,1 0 0,-1 0 0,0 0 0,0 0 0,0 0 0,0 0 0,0 0 0,0 0 0,-1-3 0,0 4 0,-1-1 0,1 1 0,0-1 0,0 1 0,-1-1 0,1 1 0,-1 0 0,1-1 0,-1 1 0,0 0 0,1 0 0,-1 0 0,0 1 0,0-1 0,1 0 0,-1 1 0,0-1 0,0 1 0,0-1 0,0 1 0,0 0 0,0 0 0,0 0 0,-4 0 0,-2 1 0,-1 0 0,0 0 0,1 1 0,-1 0 0,1 1 0,0 0 0,0 0 0,0 0 0,-15 10 0,-6 6 0,-31 26 0,41-30 0,-96 80 0,5 5 0,4 4 0,5 5 0,-140 194 0,215-264-1365,20-29-5461</inkml:trace>
  <inkml:trace contextRef="#ctx0" brushRef="#br0" timeOffset="2544.99">1546 190 24575,'0'0'0,"-8"8"0,-19 28 0,-34 60 0,7-11 0,-198 240-125,172-229-1115,61-72-5586</inkml:trace>
  <inkml:trace contextRef="#ctx0" brushRef="#br0" timeOffset="3967.4">989 478 24575,'8'-8'0,"22"-22"0,1 2 0,2 1 0,1 1 0,0 2 0,46-22 0,-26 18 0,1 3 0,1 2 0,61-15 0,-62 24 0,1 2 0,0 2 0,72-2 0,-86 10 0,0 3 0,-1 1 0,1 2 0,-1 2 0,47 13 0,-75-16 0,-1 1 0,0 1 0,0 0 0,-1 0 0,18 11 0,-26-14 0,0 0 0,0 1 0,1-1 0,-1 1 0,-1 0 0,1 0 0,0 0 0,-1 0 0,0 1 0,1-1 0,-1 1 0,-1-1 0,1 1 0,0 0 0,-1 0 0,0-1 0,0 1 0,0 0 0,0 0 0,-1 0 0,1 6 0,-2-1 0,0 1 0,0-1 0,-1 1 0,0-1 0,-1 0 0,0 0 0,0 0 0,-1 0 0,-7 11 0,-6 9 0,-28 34 0,43-61 0,-36 47 0,-3-2 0,-1-1 0,-86 69 0,88-84 0,-1-1 0,-2-3 0,-1-1 0,0-2 0,-53 19 0,79-37 0,-1 0 0,1-1 0,-1-1 0,1-1 0,-1 0 0,0-2 0,-38-1 0,25-3 0,0-2 0,1-2 0,-58-18 0,72 20 0,-16-5 0,0-2 0,1-1 0,0-1 0,-43-27 0,74 41 0,0-1 0,0 0 0,0 1 0,0-1 0,0 0 0,0 0 0,0 0 0,0 0 0,1 0 0,-1 0 0,0 0 0,0 0 0,1 0 0,-1 0 0,1 0 0,-1-2 0,1 3 0,0-1 0,0 0 0,0 1 0,0-1 0,0 1 0,0-1 0,1 0 0,-1 1 0,0-1 0,0 1 0,1-1 0,-1 1 0,0-1 0,0 1 0,1-1 0,-1 1 0,1 0 0,-1-1 0,0 1 0,1-1 0,-1 1 0,1 0 0,0-1 0,5-2 0,0 1 0,-1-1 0,1 1 0,0 1 0,7-2 0,41-8 0,0 3 0,95-2 0,110 18 0,52 29 0,-114-11 0,-170-23 0,0-2 0,1-1 0,-1-1 0,0-1 0,49-11 0,-42 4 0,-1-1 0,0-2 0,0-1 0,32-19 0,-33 15 0,-1-1 0,0-1 0,-1-2 0,-2-1 0,0-2 0,-1 0 0,-2-2 0,27-33 0,-91 132 0,36-69 0,-12 23 0,1 0 0,-11 33 0,22-53 0,1 0 0,-1 0 0,2 1 0,-1-1 0,1 0 0,0 1 0,1-1 0,-1 1 0,1 0 0,1-1 0,0 1 0,0-1 0,0 1 0,4 10 0,-3-15 0,0 1 0,0-1 0,0 1 0,0-1 0,1 0 0,-1 0 0,1 0 0,-1 0 0,1 0 0,0-1 0,1 1 0,-1-1 0,0 0 0,1 0 0,-1 0 0,1 0 0,-1-1 0,1 1 0,0-1 0,0 0 0,-1 0 0,8 0 0,1 1 0,1-2 0,0 0 0,0 0 0,0-1 0,22-5 0,13-5 0,-1-3 0,0-1 0,-1-3 0,-1-1 0,-1-3 0,-1-1 0,0-2 0,-2-2 0,44-38 0,-72 52 0,-3 4 0,-10 9 0,1 0 0,-1 1 0,0-1 0,0 0 0,1 1 0,-1-1 0,0 1 0,0-1 0,0 0 0,0 1 0,1-1 0,-1 1 0,0-1 0,0 1 0,0-1 0,0 0 0,0 1 0,0-1 0,0 1 0,0-1 0,0 1 0,0-1 0,0 1 0,-1-1 0,1 0 0,0 1 0,0-1 0,0 1 0,-1 0 0,-3 25-170,1 1-1,1 0 0,1 1 1,2-1-1,1 0 0,0 0 1,10 34-1,-2-26-6655</inkml:trace>
  <inkml:trace contextRef="#ctx0" brushRef="#br0" timeOffset="4671.57">4382 612 24575,'-19'-11'0,"15"8"0,-1 0 0,1 1 0,-1 0 0,0 0 0,-9-3 0,-3 2 0,1 0 0,0 2 0,-1 0 0,1 1 0,0 0 0,-1 2 0,1 0 0,0 0 0,-20 7 0,3 0 0,-1 3 0,2 1 0,-41 21 0,39-15 0,0 2 0,1 1 0,-33 29 0,47-35 0,2 1 0,0 0 0,1 2 0,0-1 0,2 2 0,-16 27 0,27-42 0,0 1 0,1-1 0,0 0 0,0 1 0,-2 11 0,4-16 0,-1 0 0,1 0 0,0 1 0,0-1 0,0 0 0,0 0 0,0 1 0,0-1 0,1 0 0,-1 0 0,0 0 0,0 1 0,1-1 0,-1 0 0,1 0 0,-1 0 0,1 0 0,0 0 0,-1 0 0,1 0 0,0 0 0,0 0 0,0 0 0,-1 0 0,1 0 0,0-1 0,0 1 0,0 0 0,0 0 0,1-1 0,-1 1 0,0-1 0,2 1 0,2 0 0,0 0 0,1 0 0,-1 0 0,0-1 0,0 0 0,1 0 0,-1-1 0,0 1 0,0-1 0,7-2 0,54-20 0,-52 17 0,42-16 0,0-3 0,-2-3 0,-1-2 0,-1-2 0,-1-2 0,50-46 0,-89 67 0,-4 5 0,-8 8 0,0 0 0,0 0 0,1 0 0,-1 0 0,0 0 0,0 0 0,0 0 0,0 0 0,0 0 0,0 0 0,0 0 0,0 0 0,0 0 0,0 0 0,0 0 0,0 0 0,0 0 0,0 0 0,0 0 0,0 0 0,0 0 0,0 0 0,1 0 0,-1 0 0,0 0 0,0 0 0,0 0 0,0 0 0,0 0 0,0 0 0,0 0 0,0 0 0,0 0 0,0 0 0,0 0 0,0 0 0,0 0 0,0 0 0,0 0 0,0 0 0,0 0 0,0 0 0,0 0 0,1 0 0,-3 6 0,0 1 0,1 0 0,0 0 0,1 0 0,-1 0 0,2 0 0,-1-1 0,0 1 0,3 7 0,-1-1 0,1-1 0,0 0 0,1 0 0,7 13 0,-4-11-227,2 0-1,0-1 1,0 0-1,2-1 1,16 18-1,22 16-6598</inkml:trace>
  <inkml:trace contextRef="#ctx0" brushRef="#br0" timeOffset="5454.24">4792 692 24575,'-5'114'0,"-4"0"0,-25 115 0,49-258 0,-7 16 0,28-41 0,2 2 0,3 2 0,1 1 0,3 3 0,1 1 0,99-71 0,-132 106 0,-4 3 0,0 0 0,0 0 0,1 1 0,-1 1 0,1 0 0,0 0 0,17-5 0,-26 10 0,-1 0 0,0-1 0,1 1 0,-1 0 0,0 0 0,0 0 0,1 0 0,-1 0 0,1 0 0,-1-1 0,0 1 0,1 0 0,-1 0 0,0 0 0,1 0 0,-1 0 0,0 0 0,1 1 0,-1-1 0,0 0 0,1 0 0,-1 0 0,0 0 0,1 0 0,-1 0 0,0 1 0,1-1 0,-1 0 0,0 0 0,0 0 0,1 1 0,-1-1 0,0 0 0,0 0 0,1 1 0,-1-1 0,0 0 0,0 1 0,0-1 0,0 0 0,1 1 0,-1-1 0,0 0 0,0 1 0,0-1 0,0 0 0,0 1 0,0-1 0,0 0 0,0 1 0,0-1 0,0 1 0,-8 20 0,7-17 0,-110 212 0,7-14 0,99-193 0,0 2 0,0-1 0,1 1 0,-5 18 0,9-28 0,-1 1 0,1 0 0,-1 0 0,1-1 0,0 1 0,0 0 0,0 0 0,0-1 0,0 1 0,0 0 0,0 0 0,0-1 0,1 1 0,-1 0 0,1-1 0,0 1 0,-1 0 0,1-1 0,0 1 0,0-1 0,0 1 0,0-1 0,0 1 0,0-1 0,0 0 0,0 0 0,1 1 0,-1-1 0,0 0 0,4 1 0,0 1 5,1-2-1,0 1 1,0 0 0,0-1-1,0 0 1,0-1-1,0 1 1,0-1-1,0 0 1,7-2-1,12-1-311,26-8-1,-30 6-492,61-14-6026</inkml:trace>
  <inkml:trace contextRef="#ctx0" brushRef="#br0" timeOffset="5863.91">6093 1 24575,'0'0'0,"0"0"0,0 0 0,-4 6 0,-4 7 0,-7 12 0,-7 18 0,-6 22 0,-7 21 0,-4 19 0,-3 12 0,0 7 0,-3-2 0,-2-4 0,7-23-8191</inkml:trace>
  <inkml:trace contextRef="#ctx0" brushRef="#br0" timeOffset="6406.01">5421 596 24575,'447'114'0,"-349"-98"0,1-4 0,160 0 0,-199-14 0,70-12 0,-107 11 0,1-2 0,-1-1 0,0-1 0,0-1 0,39-20 0,-56 24 0,-1 1 0,1-1 0,-1 0 0,0 0 0,-1-1 0,1 1 0,4-7 0,-8 10 0,-1 0 0,1 0 0,-1 0 0,1 0 0,-1 0 0,1 1 0,-1-1 0,1 0 0,-1-1 0,0 1 0,0 0 0,1 0 0,-1 0 0,0 0 0,0 0 0,0 0 0,0 0 0,0 0 0,-1-2 0,0 2 0,1 0 0,-1 0 0,0 0 0,0 0 0,0 0 0,0 0 0,0 0 0,0 0 0,0 0 0,0 1 0,0-1 0,-1 1 0,1-1 0,0 1 0,0-1 0,0 1 0,-1-1 0,1 1 0,0 0 0,-1 0 0,0 0 0,-9-1 0,1 1 0,0 0 0,0 1 0,0 0 0,0 0 0,0 1 0,0 0 0,0 1 0,0 1 0,1-1 0,-1 1 0,1 1 0,0 0 0,1 0 0,-1 1 0,1 0 0,0 0 0,-8 9 0,13-13 0,1 1 0,0 0 0,0 0 0,0 0 0,1 0 0,-1 1 0,1-1 0,-1 0 0,1 1 0,0-1 0,0 0 0,1 1 0,-1-1 0,1 1 0,0 0 0,0-1 0,0 1 0,0-1 0,0 1 0,1-1 0,0 1 0,0-1 0,1 4 0,2 3 0,0-1 0,0 0 0,1 0 0,1-1 0,-1 1 0,1-1 0,10 10 0,3 1 19,0 0-1,2-1 0,0-2 1,43 27-1,-11-14-747,58 24 1,22 1-6098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6099</Words>
  <Characters>37895</Characters>
  <Application>Microsoft Office Word</Application>
  <DocSecurity>0</DocSecurity>
  <Lines>315</Lines>
  <Paragraphs>87</Paragraphs>
  <ScaleCrop>false</ScaleCrop>
  <Company>Powys County Council</Company>
  <LinksUpToDate>false</LinksUpToDate>
  <CharactersWithSpaces>43907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Duarte Serrao,Monica swp8792</cp:lastModifiedBy>
  <cp:revision>2</cp:revision>
  <cp:lastPrinted>2014-08-26T08:55:00Z</cp:lastPrinted>
  <dcterms:created xsi:type="dcterms:W3CDTF">2025-03-25T19:06:00Z</dcterms:created>
  <dcterms:modified xsi:type="dcterms:W3CDTF">2025-03-25T19:06:00Z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