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36"/>
          <w:szCs w:val="36"/>
          <w:lang w:eastAsia="en-GB"/>
        </w:rPr>
      </w:pPr>
      <w:r>
        <w:fldChar w:fldCharType="begin"/>
      </w:r>
      <w:r>
        <w:instrText xml:space="preserve"> HYPERLINK "https://www.cipd.co.uk/news-views/brexit-hub/workforce-trends" </w:instrText>
      </w:r>
      <w:r>
        <w:fldChar w:fldCharType="separate"/>
      </w:r>
      <w:r>
        <w:rPr>
          <w:rStyle w:val="Hyperlink"/>
        </w:rPr>
        <w:t>https://www.cipd.co.uk/news-views/brexit-hub/workforce-trends</w:t>
      </w:r>
      <w:r>
        <w:fldChar w:fldCharType="end"/>
      </w:r>
      <w:r>
        <w:t xml:space="preserve">  (Date accessed 26 November 2019).</w:t>
      </w:r>
      <w:bookmarkStart w:id="0" w:name="_GoBack"/>
      <w:bookmarkEnd w:id="0"/>
    </w:p>
    <w:p w:rsid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36"/>
          <w:szCs w:val="36"/>
          <w:lang w:eastAsia="en-GB"/>
        </w:rPr>
      </w:pPr>
      <w:r>
        <w:rPr>
          <w:rFonts w:ascii="Helvetica" w:eastAsia="Times New Roman" w:hAnsi="Helvetica" w:cs="Helvetica"/>
          <w:b/>
          <w:bCs/>
          <w:color w:val="58595B"/>
          <w:sz w:val="36"/>
          <w:szCs w:val="36"/>
          <w:lang w:eastAsia="en-GB"/>
        </w:rPr>
        <w:t>Brexit Impact on Workforce Trends – Our latest data and analysis provide insight on the key workforce issues arising from BREXIT</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Since the EU Referendum vote in June 2016, the CIPD’s Labour Market Outlook and </w:t>
      </w:r>
      <w:hyperlink r:id="rId5" w:tgtFrame="_self" w:tooltip="Resourcing and talent planning survey" w:history="1">
        <w:r w:rsidRPr="00D36C67">
          <w:rPr>
            <w:rFonts w:ascii="Helvetica" w:eastAsia="Times New Roman" w:hAnsi="Helvetica" w:cs="Helvetica"/>
            <w:b/>
            <w:bCs/>
            <w:color w:val="68297F"/>
            <w:sz w:val="24"/>
            <w:szCs w:val="24"/>
            <w:u w:val="single"/>
            <w:lang w:eastAsia="en-GB"/>
          </w:rPr>
          <w:t>Resource and Talent Planning</w:t>
        </w:r>
      </w:hyperlink>
      <w:r w:rsidRPr="00D36C67">
        <w:rPr>
          <w:rFonts w:ascii="Helvetica" w:eastAsia="Times New Roman" w:hAnsi="Helvetica" w:cs="Helvetica"/>
          <w:b/>
          <w:bCs/>
          <w:color w:val="58595B"/>
          <w:sz w:val="24"/>
          <w:szCs w:val="24"/>
          <w:lang w:eastAsia="en-GB"/>
        </w:rPr>
        <w:t> surveys have closely monitored the impact of Brexit on employment and workforce trends, as well as market perspectives and expectations. The following digest is compiled from our most recent data and analysis to help employers remain alert to potential changes and sustain their ability to attract and retain people best-suited to their needs.</w:t>
      </w:r>
    </w:p>
    <w:p w:rsidR="00D36C67" w:rsidRPr="00D36C67" w:rsidRDefault="00D36C67" w:rsidP="00D36C67">
      <w:pPr>
        <w:shd w:val="clear" w:color="auto" w:fill="FFFFFF"/>
        <w:spacing w:after="0" w:line="240" w:lineRule="auto"/>
        <w:outlineLvl w:val="1"/>
        <w:rPr>
          <w:rFonts w:ascii="Helvetica" w:eastAsia="Times New Roman" w:hAnsi="Helvetica" w:cs="Helvetica"/>
          <w:b/>
          <w:bCs/>
          <w:color w:val="58595B"/>
          <w:sz w:val="36"/>
          <w:szCs w:val="36"/>
          <w:lang w:eastAsia="en-GB"/>
        </w:rPr>
      </w:pPr>
      <w:r w:rsidRPr="00D36C67">
        <w:rPr>
          <w:rFonts w:ascii="Helvetica" w:eastAsia="Times New Roman" w:hAnsi="Helvetica" w:cs="Helvetica"/>
          <w:b/>
          <w:bCs/>
          <w:color w:val="58595B"/>
          <w:sz w:val="36"/>
          <w:szCs w:val="36"/>
          <w:lang w:eastAsia="en-GB"/>
        </w:rPr>
        <w:t>Overall employment</w:t>
      </w:r>
    </w:p>
    <w:p w:rsidR="00D36C67" w:rsidRPr="00D36C67" w:rsidRDefault="00D36C67" w:rsidP="00D36C67">
      <w:pPr>
        <w:shd w:val="clear" w:color="auto" w:fill="FFFFFF"/>
        <w:spacing w:after="0"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noProof/>
          <w:color w:val="58595B"/>
          <w:sz w:val="24"/>
          <w:szCs w:val="24"/>
          <w:lang w:eastAsia="en-GB"/>
        </w:rPr>
        <w:drawing>
          <wp:inline distT="0" distB="0" distL="0" distR="0" wp14:anchorId="0C9649EA" wp14:editId="36E9FBB4">
            <wp:extent cx="6381115" cy="4284345"/>
            <wp:effectExtent l="0" t="0" r="0" b="0"/>
            <wp:docPr id="2" name="Picture 2" descr="https://www.cipd.co.uk/Images/Icons-LMO_010-670x450_tcm18-521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ipd.co.uk/Images/Icons-LMO_010-670x450_tcm18-52107.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81115" cy="4284345"/>
                    </a:xfrm>
                    <a:prstGeom prst="rect">
                      <a:avLst/>
                    </a:prstGeom>
                    <a:noFill/>
                    <a:ln>
                      <a:noFill/>
                    </a:ln>
                  </pic:spPr>
                </pic:pic>
              </a:graphicData>
            </a:graphic>
          </wp:inline>
        </w:drawing>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Despite early concerns about Brexit’s implications on employment — as emphasised by </w:t>
      </w:r>
      <w:hyperlink r:id="rId7" w:tgtFrame="_self" w:tooltip="Labour Market Outlook: Summer 2016" w:history="1">
        <w:r w:rsidRPr="00D36C67">
          <w:rPr>
            <w:rFonts w:ascii="Helvetica" w:eastAsia="Times New Roman" w:hAnsi="Helvetica" w:cs="Helvetica"/>
            <w:b/>
            <w:bCs/>
            <w:color w:val="68297F"/>
            <w:sz w:val="24"/>
            <w:szCs w:val="24"/>
            <w:u w:val="single"/>
            <w:lang w:eastAsia="en-GB"/>
          </w:rPr>
          <w:t>a sharp drop in the net employment score</w:t>
        </w:r>
      </w:hyperlink>
      <w:r w:rsidRPr="00D36C67">
        <w:rPr>
          <w:rFonts w:ascii="Helvetica" w:eastAsia="Times New Roman" w:hAnsi="Helvetica" w:cs="Helvetica"/>
          <w:b/>
          <w:bCs/>
          <w:color w:val="58595B"/>
          <w:sz w:val="24"/>
          <w:szCs w:val="24"/>
          <w:lang w:eastAsia="en-GB"/>
        </w:rPr>
        <w:t> immediately after the referendum vote — the proportion of employers looking to increase staff versus those looking to reduce staff has </w:t>
      </w:r>
      <w:hyperlink r:id="rId8" w:tgtFrame="_self" w:tooltip="Labour Market Outlook: Autumn 2018" w:history="1">
        <w:r w:rsidRPr="00D36C67">
          <w:rPr>
            <w:rFonts w:ascii="Helvetica" w:eastAsia="Times New Roman" w:hAnsi="Helvetica" w:cs="Helvetica"/>
            <w:b/>
            <w:bCs/>
            <w:color w:val="68297F"/>
            <w:sz w:val="24"/>
            <w:szCs w:val="24"/>
            <w:u w:val="single"/>
            <w:lang w:eastAsia="en-GB"/>
          </w:rPr>
          <w:t>recovered strongly and remains around pre-vote levels</w:t>
        </w:r>
      </w:hyperlink>
      <w:r w:rsidRPr="00D36C67">
        <w:rPr>
          <w:rFonts w:ascii="Helvetica" w:eastAsia="Times New Roman" w:hAnsi="Helvetica" w:cs="Helvetica"/>
          <w:b/>
          <w:bCs/>
          <w:color w:val="58595B"/>
          <w:sz w:val="24"/>
          <w:szCs w:val="24"/>
          <w:lang w:eastAsia="en-GB"/>
        </w:rPr>
        <w:t>. This indicator of continued, robust labour demand is consistent with official employment data evidencing high employment.</w:t>
      </w:r>
    </w:p>
    <w:p w:rsidR="00D36C67" w:rsidRPr="00D36C67" w:rsidRDefault="00D36C67" w:rsidP="00D36C67">
      <w:pPr>
        <w:shd w:val="clear" w:color="auto" w:fill="FFFFFF"/>
        <w:spacing w:after="0" w:line="240" w:lineRule="auto"/>
        <w:outlineLvl w:val="1"/>
        <w:rPr>
          <w:rFonts w:ascii="Helvetica" w:eastAsia="Times New Roman" w:hAnsi="Helvetica" w:cs="Helvetica"/>
          <w:b/>
          <w:bCs/>
          <w:color w:val="58595B"/>
          <w:sz w:val="36"/>
          <w:szCs w:val="36"/>
          <w:lang w:eastAsia="en-GB"/>
        </w:rPr>
      </w:pPr>
      <w:r w:rsidRPr="00D36C67">
        <w:rPr>
          <w:rFonts w:ascii="Helvetica" w:eastAsia="Times New Roman" w:hAnsi="Helvetica" w:cs="Helvetica"/>
          <w:b/>
          <w:bCs/>
          <w:color w:val="58595B"/>
          <w:sz w:val="36"/>
          <w:szCs w:val="36"/>
          <w:lang w:eastAsia="en-GB"/>
        </w:rPr>
        <w:lastRenderedPageBreak/>
        <w:t>Impact on recruitment</w:t>
      </w:r>
    </w:p>
    <w:p w:rsidR="00D36C67" w:rsidRPr="00D36C67" w:rsidRDefault="00D36C67" w:rsidP="00D36C67">
      <w:pPr>
        <w:shd w:val="clear" w:color="auto" w:fill="FFFFFF"/>
        <w:spacing w:after="0"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noProof/>
          <w:color w:val="58595B"/>
          <w:sz w:val="24"/>
          <w:szCs w:val="24"/>
          <w:lang w:eastAsia="en-GB"/>
        </w:rPr>
        <w:drawing>
          <wp:inline distT="0" distB="0" distL="0" distR="0" wp14:anchorId="7C9E4702" wp14:editId="30C8579D">
            <wp:extent cx="6381115" cy="4284345"/>
            <wp:effectExtent l="0" t="0" r="0" b="0"/>
            <wp:docPr id="3" name="Picture 3" descr="https://www.cipd.co.uk/Images/Icons-LMO_05-670x450_tcm18-521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cipd.co.uk/Images/Icons-LMO_05-670x450_tcm18-52108.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115" cy="4284345"/>
                    </a:xfrm>
                    <a:prstGeom prst="rect">
                      <a:avLst/>
                    </a:prstGeom>
                    <a:noFill/>
                    <a:ln>
                      <a:noFill/>
                    </a:ln>
                  </pic:spPr>
                </pic:pic>
              </a:graphicData>
            </a:graphic>
          </wp:inline>
        </w:drawing>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In the period since June 2016, the combination of strong labour demand, low unemployment and a dramatic </w:t>
      </w:r>
      <w:hyperlink r:id="rId10" w:tgtFrame="_self" w:tooltip="Labour Market Outlook: Summer 2018" w:history="1">
        <w:r w:rsidRPr="00D36C67">
          <w:rPr>
            <w:rFonts w:ascii="Helvetica" w:eastAsia="Times New Roman" w:hAnsi="Helvetica" w:cs="Helvetica"/>
            <w:b/>
            <w:bCs/>
            <w:color w:val="68297F"/>
            <w:sz w:val="24"/>
            <w:szCs w:val="24"/>
            <w:u w:val="single"/>
            <w:lang w:eastAsia="en-GB"/>
          </w:rPr>
          <w:t>95% fall in EU nationals</w:t>
        </w:r>
      </w:hyperlink>
      <w:r w:rsidRPr="00D36C67">
        <w:rPr>
          <w:rFonts w:ascii="Helvetica" w:eastAsia="Times New Roman" w:hAnsi="Helvetica" w:cs="Helvetica"/>
          <w:b/>
          <w:bCs/>
          <w:color w:val="58595B"/>
          <w:sz w:val="24"/>
          <w:szCs w:val="24"/>
          <w:lang w:eastAsia="en-GB"/>
        </w:rPr>
        <w:t> joining the UK workforce between Q1 2018 and Q1 2016, has put significant pressure on recruitment. </w:t>
      </w:r>
      <w:hyperlink r:id="rId11" w:tgtFrame="_self" w:tooltip="Labour Market Outlook: Autumn 2018" w:history="1">
        <w:r w:rsidRPr="00D36C67">
          <w:rPr>
            <w:rFonts w:ascii="Helvetica" w:eastAsia="Times New Roman" w:hAnsi="Helvetica" w:cs="Helvetica"/>
            <w:b/>
            <w:bCs/>
            <w:color w:val="68297F"/>
            <w:sz w:val="24"/>
            <w:szCs w:val="24"/>
            <w:u w:val="single"/>
            <w:lang w:eastAsia="en-GB"/>
          </w:rPr>
          <w:t>The Autumn 2018 Labour Market Outlook found</w:t>
        </w:r>
      </w:hyperlink>
      <w:r w:rsidRPr="00D36C67">
        <w:rPr>
          <w:rFonts w:ascii="Helvetica" w:eastAsia="Times New Roman" w:hAnsi="Helvetica" w:cs="Helvetica"/>
          <w:b/>
          <w:bCs/>
          <w:color w:val="58595B"/>
          <w:sz w:val="24"/>
          <w:szCs w:val="24"/>
          <w:lang w:eastAsia="en-GB"/>
        </w:rPr>
        <w:t> that 44% of employers experienced greater difficulty in recruitment during 2018, and another 34% faced a similar challenge in retaining staff.</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 xml:space="preserve">As of </w:t>
      </w:r>
      <w:proofErr w:type="gramStart"/>
      <w:r w:rsidRPr="00D36C67">
        <w:rPr>
          <w:rFonts w:ascii="Helvetica" w:eastAsia="Times New Roman" w:hAnsi="Helvetica" w:cs="Helvetica"/>
          <w:b/>
          <w:bCs/>
          <w:color w:val="58595B"/>
          <w:sz w:val="24"/>
          <w:szCs w:val="24"/>
          <w:lang w:eastAsia="en-GB"/>
        </w:rPr>
        <w:t>Summer</w:t>
      </w:r>
      <w:proofErr w:type="gramEnd"/>
      <w:r w:rsidRPr="00D36C67">
        <w:rPr>
          <w:rFonts w:ascii="Helvetica" w:eastAsia="Times New Roman" w:hAnsi="Helvetica" w:cs="Helvetica"/>
          <w:b/>
          <w:bCs/>
          <w:color w:val="58595B"/>
          <w:sz w:val="24"/>
          <w:szCs w:val="24"/>
          <w:lang w:eastAsia="en-GB"/>
        </w:rPr>
        <w:t xml:space="preserve"> 2019, employers are still experiencing a high proportion of hard-to-fill vacancies. Of organisations advertising vacancies, 67% reported they were having difficulty in filling at least some of these. This is compared to 51% during Spring 2017.</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On the supply side, the </w:t>
      </w:r>
      <w:hyperlink r:id="rId12" w:tgtFrame="_self" w:tooltip="Resourcing and talent planning survey" w:history="1">
        <w:r w:rsidRPr="00D36C67">
          <w:rPr>
            <w:rFonts w:ascii="Helvetica" w:eastAsia="Times New Roman" w:hAnsi="Helvetica" w:cs="Helvetica"/>
            <w:b/>
            <w:bCs/>
            <w:color w:val="68297F"/>
            <w:sz w:val="24"/>
            <w:szCs w:val="24"/>
            <w:u w:val="single"/>
            <w:lang w:eastAsia="en-GB"/>
          </w:rPr>
          <w:t>Resourcing and Talent Planning Survey 2017</w:t>
        </w:r>
      </w:hyperlink>
      <w:r w:rsidRPr="00D36C67">
        <w:rPr>
          <w:rFonts w:ascii="Helvetica" w:eastAsia="Times New Roman" w:hAnsi="Helvetica" w:cs="Helvetica"/>
          <w:b/>
          <w:bCs/>
          <w:color w:val="58595B"/>
          <w:sz w:val="24"/>
          <w:szCs w:val="24"/>
          <w:lang w:eastAsia="en-GB"/>
        </w:rPr>
        <w:t> reported that around one-fifth of organisations saw an increased cautiousness in prospective candidates since the referendum vote. Three-fifths anticipated they would face increased difficulty in recruiting senior and skilled/technical employees in the next few years, while two-fifths expect the same in recruiting operational staff.</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These expectations have been met with labour market evidence showing that the median number of </w:t>
      </w:r>
      <w:hyperlink r:id="rId13" w:tgtFrame="_self" w:tooltip="Labour Market Outlook: Summer 2018" w:history="1">
        <w:r w:rsidRPr="00D36C67">
          <w:rPr>
            <w:rFonts w:ascii="Helvetica" w:eastAsia="Times New Roman" w:hAnsi="Helvetica" w:cs="Helvetica"/>
            <w:b/>
            <w:bCs/>
            <w:color w:val="68297F"/>
            <w:sz w:val="24"/>
            <w:szCs w:val="24"/>
            <w:u w:val="single"/>
            <w:lang w:eastAsia="en-GB"/>
          </w:rPr>
          <w:t>applicants per vacancy across all skill levels</w:t>
        </w:r>
      </w:hyperlink>
      <w:r w:rsidRPr="00D36C67">
        <w:rPr>
          <w:rFonts w:ascii="Helvetica" w:eastAsia="Times New Roman" w:hAnsi="Helvetica" w:cs="Helvetica"/>
          <w:b/>
          <w:bCs/>
          <w:color w:val="58595B"/>
          <w:sz w:val="24"/>
          <w:szCs w:val="24"/>
          <w:lang w:eastAsia="en-GB"/>
        </w:rPr>
        <w:t xml:space="preserve"> has fallen significantly. For each low-skilled role, the number of applicants </w:t>
      </w:r>
      <w:proofErr w:type="gramStart"/>
      <w:r w:rsidRPr="00D36C67">
        <w:rPr>
          <w:rFonts w:ascii="Helvetica" w:eastAsia="Times New Roman" w:hAnsi="Helvetica" w:cs="Helvetica"/>
          <w:b/>
          <w:bCs/>
          <w:color w:val="58595B"/>
          <w:sz w:val="24"/>
          <w:szCs w:val="24"/>
          <w:lang w:eastAsia="en-GB"/>
        </w:rPr>
        <w:t>have</w:t>
      </w:r>
      <w:proofErr w:type="gramEnd"/>
      <w:r w:rsidRPr="00D36C67">
        <w:rPr>
          <w:rFonts w:ascii="Helvetica" w:eastAsia="Times New Roman" w:hAnsi="Helvetica" w:cs="Helvetica"/>
          <w:b/>
          <w:bCs/>
          <w:color w:val="58595B"/>
          <w:sz w:val="24"/>
          <w:szCs w:val="24"/>
          <w:lang w:eastAsia="en-GB"/>
        </w:rPr>
        <w:t xml:space="preserve"> fallen from 24 in Summer 2017, to 20 a year later, and 16 in Summer 2019. For </w:t>
      </w:r>
      <w:r w:rsidRPr="00D36C67">
        <w:rPr>
          <w:rFonts w:ascii="Helvetica" w:eastAsia="Times New Roman" w:hAnsi="Helvetica" w:cs="Helvetica"/>
          <w:b/>
          <w:bCs/>
          <w:color w:val="58595B"/>
          <w:sz w:val="24"/>
          <w:szCs w:val="24"/>
          <w:lang w:eastAsia="en-GB"/>
        </w:rPr>
        <w:lastRenderedPageBreak/>
        <w:t>medium-skilled roles, applications have fallen from 19 to just 10 in Summer 2019, and for high-skilled vacancies from 8 to 5 during the same period.</w:t>
      </w:r>
    </w:p>
    <w:p w:rsidR="00D36C67" w:rsidRPr="00D36C67" w:rsidRDefault="00D36C67" w:rsidP="00D36C67">
      <w:pPr>
        <w:shd w:val="clear" w:color="auto" w:fill="FFFFFF"/>
        <w:spacing w:after="0" w:line="240" w:lineRule="auto"/>
        <w:outlineLvl w:val="1"/>
        <w:rPr>
          <w:rFonts w:ascii="Helvetica" w:eastAsia="Times New Roman" w:hAnsi="Helvetica" w:cs="Helvetica"/>
          <w:b/>
          <w:bCs/>
          <w:color w:val="58595B"/>
          <w:sz w:val="36"/>
          <w:szCs w:val="36"/>
          <w:lang w:eastAsia="en-GB"/>
        </w:rPr>
      </w:pPr>
      <w:r w:rsidRPr="00D36C67">
        <w:rPr>
          <w:rFonts w:ascii="Helvetica" w:eastAsia="Times New Roman" w:hAnsi="Helvetica" w:cs="Helvetica"/>
          <w:b/>
          <w:bCs/>
          <w:color w:val="58595B"/>
          <w:sz w:val="36"/>
          <w:szCs w:val="36"/>
          <w:lang w:eastAsia="en-GB"/>
        </w:rPr>
        <w:t>Employing EU migrant workers</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Given the shrinking supply of skills and labour, Brexit has not dampened employers’ interest in employing EU migrant workers. At the beginning of 2018, some </w:t>
      </w:r>
      <w:hyperlink r:id="rId14" w:tgtFrame="_self" w:tooltip="Labour Market Outlook: Winter 2017-18" w:history="1">
        <w:r w:rsidRPr="00D36C67">
          <w:rPr>
            <w:rFonts w:ascii="Helvetica" w:eastAsia="Times New Roman" w:hAnsi="Helvetica" w:cs="Helvetica"/>
            <w:b/>
            <w:bCs/>
            <w:color w:val="68297F"/>
            <w:sz w:val="24"/>
            <w:szCs w:val="24"/>
            <w:u w:val="single"/>
            <w:lang w:eastAsia="en-GB"/>
          </w:rPr>
          <w:t>two-thirds of organisations said they would continue to employ EU nationals</w:t>
        </w:r>
      </w:hyperlink>
      <w:r w:rsidRPr="00D36C67">
        <w:rPr>
          <w:rFonts w:ascii="Helvetica" w:eastAsia="Times New Roman" w:hAnsi="Helvetica" w:cs="Helvetica"/>
          <w:b/>
          <w:bCs/>
          <w:color w:val="58595B"/>
          <w:sz w:val="24"/>
          <w:szCs w:val="24"/>
          <w:lang w:eastAsia="en-GB"/>
        </w:rPr>
        <w:t>. Whilst in 2017, </w:t>
      </w:r>
      <w:hyperlink r:id="rId15" w:tgtFrame="_self" w:tooltip="Resourcing and talent planning 2017" w:history="1">
        <w:r w:rsidRPr="00D36C67">
          <w:rPr>
            <w:rFonts w:ascii="Helvetica" w:eastAsia="Times New Roman" w:hAnsi="Helvetica" w:cs="Helvetica"/>
            <w:b/>
            <w:bCs/>
            <w:color w:val="68297F"/>
            <w:sz w:val="24"/>
            <w:szCs w:val="24"/>
            <w:u w:val="single"/>
            <w:lang w:eastAsia="en-GB"/>
          </w:rPr>
          <w:t>CIPD research</w:t>
        </w:r>
      </w:hyperlink>
      <w:r w:rsidRPr="00D36C67">
        <w:rPr>
          <w:rFonts w:ascii="Helvetica" w:eastAsia="Times New Roman" w:hAnsi="Helvetica" w:cs="Helvetica"/>
          <w:b/>
          <w:bCs/>
          <w:color w:val="58595B"/>
          <w:sz w:val="24"/>
          <w:szCs w:val="24"/>
          <w:lang w:eastAsia="en-GB"/>
        </w:rPr>
        <w:t> found that the proportion of employers who intended to recruit EU migrants was largely the same as the proportion doing so in 2016, across all sectors.</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The </w:t>
      </w:r>
      <w:hyperlink r:id="rId16" w:tgtFrame="_self" w:tooltip="Labour Market Outlook: Winter 2017-18" w:history="1">
        <w:r w:rsidRPr="00D36C67">
          <w:rPr>
            <w:rFonts w:ascii="Helvetica" w:eastAsia="Times New Roman" w:hAnsi="Helvetica" w:cs="Helvetica"/>
            <w:b/>
            <w:bCs/>
            <w:color w:val="68297F"/>
            <w:sz w:val="24"/>
            <w:szCs w:val="24"/>
            <w:u w:val="single"/>
            <w:lang w:eastAsia="en-GB"/>
          </w:rPr>
          <w:t>most common reason given by employers</w:t>
        </w:r>
      </w:hyperlink>
      <w:r w:rsidRPr="00D36C67">
        <w:rPr>
          <w:rFonts w:ascii="Helvetica" w:eastAsia="Times New Roman" w:hAnsi="Helvetica" w:cs="Helvetica"/>
          <w:b/>
          <w:bCs/>
          <w:color w:val="58595B"/>
          <w:sz w:val="24"/>
          <w:szCs w:val="24"/>
          <w:lang w:eastAsia="en-GB"/>
        </w:rPr>
        <w:t> as to why they employ EU workers is that they do not consider nationality when hiring, but simply choose the best person for the job. For semi-skilled or unskilled roles, the main reason given was that employers could not find domestic applicants to fill those vacancies.</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Ahead of the introduction of new migration restrictions in 2021, employers will need to ensure they have made the necessary preparations to ensure they continue to have access to the skills their business needs.</w:t>
      </w:r>
    </w:p>
    <w:p w:rsidR="00D36C67" w:rsidRPr="00D36C67" w:rsidRDefault="00D36C67" w:rsidP="00D36C67">
      <w:pPr>
        <w:shd w:val="clear" w:color="auto" w:fill="FFFFFF"/>
        <w:spacing w:after="0" w:line="240" w:lineRule="auto"/>
        <w:outlineLvl w:val="1"/>
        <w:rPr>
          <w:rFonts w:ascii="Helvetica" w:eastAsia="Times New Roman" w:hAnsi="Helvetica" w:cs="Helvetica"/>
          <w:b/>
          <w:bCs/>
          <w:color w:val="58595B"/>
          <w:sz w:val="36"/>
          <w:szCs w:val="36"/>
          <w:lang w:eastAsia="en-GB"/>
        </w:rPr>
      </w:pPr>
      <w:r w:rsidRPr="00D36C67">
        <w:rPr>
          <w:rFonts w:ascii="Helvetica" w:eastAsia="Times New Roman" w:hAnsi="Helvetica" w:cs="Helvetica"/>
          <w:b/>
          <w:bCs/>
          <w:color w:val="58595B"/>
          <w:sz w:val="36"/>
          <w:szCs w:val="36"/>
          <w:lang w:eastAsia="en-GB"/>
        </w:rPr>
        <w:t>Effect on job security</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Of the large proportion of employers who employ EU nationals, around half (48%) reported an </w:t>
      </w:r>
      <w:hyperlink r:id="rId17" w:tgtFrame="_self" w:tooltip="Labour Market Outlook: Autumn 2018" w:history="1">
        <w:r w:rsidRPr="00D36C67">
          <w:rPr>
            <w:rFonts w:ascii="Helvetica" w:eastAsia="Times New Roman" w:hAnsi="Helvetica" w:cs="Helvetica"/>
            <w:b/>
            <w:bCs/>
            <w:color w:val="68297F"/>
            <w:sz w:val="24"/>
            <w:szCs w:val="24"/>
            <w:u w:val="single"/>
            <w:lang w:eastAsia="en-GB"/>
          </w:rPr>
          <w:t>increase in their EU workforce expressing insecurity (Autumn 2018)</w:t>
        </w:r>
      </w:hyperlink>
      <w:r w:rsidRPr="00D36C67">
        <w:rPr>
          <w:rFonts w:ascii="Helvetica" w:eastAsia="Times New Roman" w:hAnsi="Helvetica" w:cs="Helvetica"/>
          <w:b/>
          <w:bCs/>
          <w:color w:val="58595B"/>
          <w:sz w:val="24"/>
          <w:szCs w:val="24"/>
          <w:lang w:eastAsia="en-GB"/>
        </w:rPr>
        <w:t> about their jobs as a result of Brexit. Interestingly, this insecurity was shared by UK citizens at more than a quarter (26%) of organisations. Publication of the </w:t>
      </w:r>
      <w:hyperlink r:id="rId18" w:tgtFrame="_self" w:tooltip="CIPD welcomes new EU settlement toolkit for employers" w:history="1">
        <w:r w:rsidRPr="00D36C67">
          <w:rPr>
            <w:rFonts w:ascii="Helvetica" w:eastAsia="Times New Roman" w:hAnsi="Helvetica" w:cs="Helvetica"/>
            <w:b/>
            <w:bCs/>
            <w:color w:val="68297F"/>
            <w:sz w:val="24"/>
            <w:szCs w:val="24"/>
            <w:u w:val="single"/>
            <w:lang w:eastAsia="en-GB"/>
          </w:rPr>
          <w:t>EU Settlement Scheme</w:t>
        </w:r>
      </w:hyperlink>
      <w:r w:rsidRPr="00D36C67">
        <w:rPr>
          <w:rFonts w:ascii="Helvetica" w:eastAsia="Times New Roman" w:hAnsi="Helvetica" w:cs="Helvetica"/>
          <w:b/>
          <w:bCs/>
          <w:color w:val="58595B"/>
          <w:sz w:val="24"/>
          <w:szCs w:val="24"/>
          <w:lang w:eastAsia="en-GB"/>
        </w:rPr>
        <w:t> has gone some way to reassure EU workers, but only 28% of employers said it has helped their confidence in retaining EU nationals over the next two years.</w:t>
      </w:r>
    </w:p>
    <w:p w:rsidR="00D36C67" w:rsidRPr="00D36C67" w:rsidRDefault="00D36C67" w:rsidP="00D36C67">
      <w:pPr>
        <w:shd w:val="clear" w:color="auto" w:fill="FFFFFF"/>
        <w:spacing w:after="0" w:line="240" w:lineRule="auto"/>
        <w:outlineLvl w:val="1"/>
        <w:rPr>
          <w:rFonts w:ascii="Helvetica" w:eastAsia="Times New Roman" w:hAnsi="Helvetica" w:cs="Helvetica"/>
          <w:b/>
          <w:bCs/>
          <w:color w:val="58595B"/>
          <w:sz w:val="36"/>
          <w:szCs w:val="36"/>
          <w:lang w:eastAsia="en-GB"/>
        </w:rPr>
      </w:pPr>
      <w:r w:rsidRPr="00D36C67">
        <w:rPr>
          <w:rFonts w:ascii="Helvetica" w:eastAsia="Times New Roman" w:hAnsi="Helvetica" w:cs="Helvetica"/>
          <w:b/>
          <w:bCs/>
          <w:color w:val="58595B"/>
          <w:sz w:val="36"/>
          <w:szCs w:val="36"/>
          <w:lang w:eastAsia="en-GB"/>
        </w:rPr>
        <w:t>Addressing recruitment difficulties</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In response to recruitment challenges, over half of organisations in the </w:t>
      </w:r>
      <w:hyperlink r:id="rId19" w:tgtFrame="_self" w:tooltip="Labour Market Outlook: Summer 2019" w:history="1">
        <w:r w:rsidRPr="00D36C67">
          <w:rPr>
            <w:rFonts w:ascii="Helvetica" w:eastAsia="Times New Roman" w:hAnsi="Helvetica" w:cs="Helvetica"/>
            <w:b/>
            <w:bCs/>
            <w:color w:val="68297F"/>
            <w:sz w:val="24"/>
            <w:szCs w:val="24"/>
            <w:u w:val="single"/>
            <w:lang w:eastAsia="en-GB"/>
          </w:rPr>
          <w:t>Summer 2019 LMO survey</w:t>
        </w:r>
      </w:hyperlink>
      <w:r w:rsidRPr="00D36C67">
        <w:rPr>
          <w:rFonts w:ascii="Helvetica" w:eastAsia="Times New Roman" w:hAnsi="Helvetica" w:cs="Helvetica"/>
          <w:b/>
          <w:bCs/>
          <w:color w:val="58595B"/>
          <w:sz w:val="24"/>
          <w:szCs w:val="24"/>
          <w:lang w:eastAsia="en-GB"/>
        </w:rPr>
        <w:t> raised starting salaries (52%). And of employers experiencing increased difficulty in retaining staff, 33% increased salaries in response. Upskilling existing employees to fill hard-to-fill positions was the most popular option to address recruitment difficulties amongst respondents to the </w:t>
      </w:r>
      <w:hyperlink r:id="rId20" w:tgtFrame="_self" w:tooltip="Resourcing and talent planning survey" w:history="1">
        <w:r w:rsidRPr="00D36C67">
          <w:rPr>
            <w:rFonts w:ascii="Helvetica" w:eastAsia="Times New Roman" w:hAnsi="Helvetica" w:cs="Helvetica"/>
            <w:b/>
            <w:bCs/>
            <w:color w:val="68297F"/>
            <w:sz w:val="24"/>
            <w:szCs w:val="24"/>
            <w:u w:val="single"/>
            <w:lang w:eastAsia="en-GB"/>
          </w:rPr>
          <w:t>2017 Resource and Talent Planning survey</w:t>
        </w:r>
      </w:hyperlink>
      <w:r w:rsidRPr="00D36C67">
        <w:rPr>
          <w:rFonts w:ascii="Helvetica" w:eastAsia="Times New Roman" w:hAnsi="Helvetica" w:cs="Helvetica"/>
          <w:b/>
          <w:bCs/>
          <w:color w:val="58595B"/>
          <w:sz w:val="24"/>
          <w:szCs w:val="24"/>
          <w:lang w:eastAsia="en-GB"/>
        </w:rPr>
        <w:t>.</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However, apart from increasing salaries to attract staff, employers can introduce more inclusive recruitment practices, </w:t>
      </w:r>
      <w:hyperlink r:id="rId21" w:tgtFrame="_self" w:tooltip="LMO Summer 2018 - Practitioners' guide" w:history="1">
        <w:r w:rsidRPr="00D36C67">
          <w:rPr>
            <w:rFonts w:ascii="Helvetica" w:eastAsia="Times New Roman" w:hAnsi="Helvetica" w:cs="Helvetica"/>
            <w:b/>
            <w:bCs/>
            <w:color w:val="68297F"/>
            <w:sz w:val="24"/>
            <w:szCs w:val="24"/>
            <w:u w:val="single"/>
            <w:lang w:eastAsia="en-GB"/>
          </w:rPr>
          <w:t>build on their employee offer through non-financial benefits or enhance their brand</w:t>
        </w:r>
      </w:hyperlink>
      <w:r w:rsidRPr="00D36C67">
        <w:rPr>
          <w:rFonts w:ascii="Helvetica" w:eastAsia="Times New Roman" w:hAnsi="Helvetica" w:cs="Helvetica"/>
          <w:b/>
          <w:bCs/>
          <w:color w:val="58595B"/>
          <w:sz w:val="24"/>
          <w:szCs w:val="24"/>
          <w:lang w:eastAsia="en-GB"/>
        </w:rPr>
        <w:t>. These will not only address hiring difficulties in the short term but make their organisations more attractive as an employer in the long run. Likewise, measures such as the provision of flexible working and clear career development will help organisations both recruit and retain the people and skills they need.</w:t>
      </w:r>
    </w:p>
    <w:p w:rsidR="00D36C67" w:rsidRPr="00D36C67" w:rsidRDefault="00D36C67" w:rsidP="00D36C67">
      <w:pPr>
        <w:shd w:val="clear" w:color="auto" w:fill="FFFFFF"/>
        <w:spacing w:after="0" w:line="240" w:lineRule="auto"/>
        <w:outlineLvl w:val="1"/>
        <w:rPr>
          <w:rFonts w:ascii="Helvetica" w:eastAsia="Times New Roman" w:hAnsi="Helvetica" w:cs="Helvetica"/>
          <w:b/>
          <w:bCs/>
          <w:color w:val="58595B"/>
          <w:sz w:val="36"/>
          <w:szCs w:val="36"/>
          <w:lang w:eastAsia="en-GB"/>
        </w:rPr>
      </w:pPr>
      <w:r w:rsidRPr="00D36C67">
        <w:rPr>
          <w:rFonts w:ascii="Helvetica" w:eastAsia="Times New Roman" w:hAnsi="Helvetica" w:cs="Helvetica"/>
          <w:b/>
          <w:bCs/>
          <w:color w:val="58595B"/>
          <w:sz w:val="36"/>
          <w:szCs w:val="36"/>
          <w:lang w:eastAsia="en-GB"/>
        </w:rPr>
        <w:lastRenderedPageBreak/>
        <w:t>Workforce planning and development</w:t>
      </w:r>
    </w:p>
    <w:p w:rsidR="00D36C67" w:rsidRPr="00D36C67" w:rsidRDefault="00D36C67" w:rsidP="00D36C67">
      <w:pPr>
        <w:shd w:val="clear" w:color="auto" w:fill="FFFFFF"/>
        <w:spacing w:after="0"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noProof/>
          <w:color w:val="58595B"/>
          <w:sz w:val="24"/>
          <w:szCs w:val="24"/>
          <w:lang w:eastAsia="en-GB"/>
        </w:rPr>
        <w:drawing>
          <wp:inline distT="0" distB="0" distL="0" distR="0" wp14:anchorId="5F170FFC" wp14:editId="03C859C2">
            <wp:extent cx="6381115" cy="4284345"/>
            <wp:effectExtent l="0" t="0" r="0" b="0"/>
            <wp:docPr id="4" name="Picture 4" descr="https://www.cipd.co.uk/Images/Icons-LMO_09-670x450_tcm18-521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cipd.co.uk/Images/Icons-LMO_09-670x450_tcm18-52109.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81115" cy="4284345"/>
                    </a:xfrm>
                    <a:prstGeom prst="rect">
                      <a:avLst/>
                    </a:prstGeom>
                    <a:noFill/>
                    <a:ln>
                      <a:noFill/>
                    </a:ln>
                  </pic:spPr>
                </pic:pic>
              </a:graphicData>
            </a:graphic>
          </wp:inline>
        </w:drawing>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The scarcity of available skills and labour, potentially exacerbated by </w:t>
      </w:r>
      <w:hyperlink r:id="rId23" w:tgtFrame="_self" w:tooltip="Brexit, immigration and employment law" w:history="1">
        <w:r w:rsidRPr="00D36C67">
          <w:rPr>
            <w:rFonts w:ascii="Helvetica" w:eastAsia="Times New Roman" w:hAnsi="Helvetica" w:cs="Helvetica"/>
            <w:b/>
            <w:bCs/>
            <w:color w:val="68297F"/>
            <w:sz w:val="24"/>
            <w:szCs w:val="24"/>
            <w:u w:val="single"/>
            <w:lang w:eastAsia="en-GB"/>
          </w:rPr>
          <w:t>further reductions post-Brexit</w:t>
        </w:r>
      </w:hyperlink>
      <w:r w:rsidRPr="00D36C67">
        <w:rPr>
          <w:rFonts w:ascii="Helvetica" w:eastAsia="Times New Roman" w:hAnsi="Helvetica" w:cs="Helvetica"/>
          <w:b/>
          <w:bCs/>
          <w:color w:val="58595B"/>
          <w:sz w:val="24"/>
          <w:szCs w:val="24"/>
          <w:lang w:eastAsia="en-GB"/>
        </w:rPr>
        <w:t> once free movement comes to an end, means </w:t>
      </w:r>
      <w:hyperlink r:id="rId24" w:tgtFrame="_self" w:tooltip="Preparing for Brexit through workforce planning" w:history="1">
        <w:r w:rsidRPr="00D36C67">
          <w:rPr>
            <w:rFonts w:ascii="Helvetica" w:eastAsia="Times New Roman" w:hAnsi="Helvetica" w:cs="Helvetica"/>
            <w:b/>
            <w:bCs/>
            <w:color w:val="68297F"/>
            <w:sz w:val="24"/>
            <w:szCs w:val="24"/>
            <w:u w:val="single"/>
            <w:lang w:eastAsia="en-GB"/>
          </w:rPr>
          <w:t>workforce planning</w:t>
        </w:r>
      </w:hyperlink>
      <w:r w:rsidRPr="00D36C67">
        <w:rPr>
          <w:rFonts w:ascii="Helvetica" w:eastAsia="Times New Roman" w:hAnsi="Helvetica" w:cs="Helvetica"/>
          <w:b/>
          <w:bCs/>
          <w:color w:val="58595B"/>
          <w:sz w:val="24"/>
          <w:szCs w:val="24"/>
          <w:lang w:eastAsia="en-GB"/>
        </w:rPr>
        <w:t> and </w:t>
      </w:r>
      <w:hyperlink r:id="rId25" w:tgtFrame="_self" w:tooltip="Countering skills mismatches - Guide" w:history="1">
        <w:r w:rsidRPr="00D36C67">
          <w:rPr>
            <w:rFonts w:ascii="Helvetica" w:eastAsia="Times New Roman" w:hAnsi="Helvetica" w:cs="Helvetica"/>
            <w:b/>
            <w:bCs/>
            <w:color w:val="68297F"/>
            <w:sz w:val="24"/>
            <w:szCs w:val="24"/>
            <w:u w:val="single"/>
            <w:lang w:eastAsia="en-GB"/>
          </w:rPr>
          <w:t>development</w:t>
        </w:r>
      </w:hyperlink>
      <w:r w:rsidRPr="00D36C67">
        <w:rPr>
          <w:rFonts w:ascii="Helvetica" w:eastAsia="Times New Roman" w:hAnsi="Helvetica" w:cs="Helvetica"/>
          <w:b/>
          <w:bCs/>
          <w:color w:val="58595B"/>
          <w:sz w:val="24"/>
          <w:szCs w:val="24"/>
          <w:lang w:eastAsia="en-GB"/>
        </w:rPr>
        <w:t> should become a priority. However, some 52% of private sector and 38% of public sector organisations responding to our </w:t>
      </w:r>
      <w:hyperlink r:id="rId26" w:tgtFrame="_self" w:tooltip="Labour Market Outlook: Summer 2018" w:history="1">
        <w:r w:rsidRPr="00D36C67">
          <w:rPr>
            <w:rFonts w:ascii="Helvetica" w:eastAsia="Times New Roman" w:hAnsi="Helvetica" w:cs="Helvetica"/>
            <w:b/>
            <w:bCs/>
            <w:color w:val="68297F"/>
            <w:sz w:val="24"/>
            <w:szCs w:val="24"/>
            <w:u w:val="single"/>
            <w:lang w:eastAsia="en-GB"/>
          </w:rPr>
          <w:t>Summer 2018 labour market survey</w:t>
        </w:r>
      </w:hyperlink>
      <w:r w:rsidRPr="00D36C67">
        <w:rPr>
          <w:rFonts w:ascii="Helvetica" w:eastAsia="Times New Roman" w:hAnsi="Helvetica" w:cs="Helvetica"/>
          <w:b/>
          <w:bCs/>
          <w:color w:val="58595B"/>
          <w:sz w:val="24"/>
          <w:szCs w:val="24"/>
          <w:lang w:eastAsia="en-GB"/>
        </w:rPr>
        <w:t> said they were only just planning to upskill their existing workforce to address the potential skills shortage. To be able to respond in due time, employers need to assign greater urgency to undertake strategic workforce planning that will help identify the skills and knowledge required now and for the future, which in turn will help to narrow down the focus of the learning and development required.</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hyperlink r:id="rId27" w:tgtFrame="_self" w:tooltip="Labour Market Outlook: Winter 2017-18" w:history="1">
        <w:r w:rsidRPr="00D36C67">
          <w:rPr>
            <w:rFonts w:ascii="Helvetica" w:eastAsia="Times New Roman" w:hAnsi="Helvetica" w:cs="Helvetica"/>
            <w:b/>
            <w:bCs/>
            <w:color w:val="68297F"/>
            <w:sz w:val="24"/>
            <w:szCs w:val="24"/>
            <w:u w:val="single"/>
            <w:lang w:eastAsia="en-GB"/>
          </w:rPr>
          <w:t>Statistics from early 2018</w:t>
        </w:r>
      </w:hyperlink>
      <w:r w:rsidRPr="00D36C67">
        <w:rPr>
          <w:rFonts w:ascii="Helvetica" w:eastAsia="Times New Roman" w:hAnsi="Helvetica" w:cs="Helvetica"/>
          <w:b/>
          <w:bCs/>
          <w:color w:val="58595B"/>
          <w:sz w:val="24"/>
          <w:szCs w:val="24"/>
          <w:lang w:eastAsia="en-GB"/>
        </w:rPr>
        <w:t> showed that while 72% of employers have a dedicated training budget, growth in this area was comparatively slow. More than half (55%) said that leaving the EU has had no impact on their training and skills development investment, while 20% said it had caused them to reduce it. This shows that some employers are dialling back on development and training, at the very time they should be investing heavily to mitigate against the real risk of the current skills shortage worsening post-Brexit.</w:t>
      </w:r>
    </w:p>
    <w:p w:rsidR="00D36C67" w:rsidRPr="00D36C67" w:rsidRDefault="00D36C67" w:rsidP="00D36C6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D36C67">
        <w:rPr>
          <w:rFonts w:ascii="Helvetica" w:eastAsia="Times New Roman" w:hAnsi="Helvetica" w:cs="Helvetica"/>
          <w:b/>
          <w:bCs/>
          <w:color w:val="58595B"/>
          <w:sz w:val="24"/>
          <w:szCs w:val="24"/>
          <w:lang w:eastAsia="en-GB"/>
        </w:rPr>
        <w:t>Interestingly, </w:t>
      </w:r>
      <w:hyperlink r:id="rId28" w:tgtFrame="_self" w:tooltip="Labour Market Outlook: Winter 2017-18" w:history="1">
        <w:r w:rsidRPr="00D36C67">
          <w:rPr>
            <w:rFonts w:ascii="Helvetica" w:eastAsia="Times New Roman" w:hAnsi="Helvetica" w:cs="Helvetica"/>
            <w:b/>
            <w:bCs/>
            <w:color w:val="68297F"/>
            <w:sz w:val="24"/>
            <w:szCs w:val="24"/>
            <w:u w:val="single"/>
            <w:lang w:eastAsia="en-GB"/>
          </w:rPr>
          <w:t>organisations that employ EU nationals</w:t>
        </w:r>
      </w:hyperlink>
      <w:r w:rsidRPr="00D36C67">
        <w:rPr>
          <w:rFonts w:ascii="Helvetica" w:eastAsia="Times New Roman" w:hAnsi="Helvetica" w:cs="Helvetica"/>
          <w:b/>
          <w:bCs/>
          <w:color w:val="58595B"/>
          <w:sz w:val="24"/>
          <w:szCs w:val="24"/>
          <w:lang w:eastAsia="en-GB"/>
        </w:rPr>
        <w:t xml:space="preserve"> were significantly more likely than employers that don’t recruit EU nationals to be investing in training and seeking to recruit from a wider range of under-represented or disadvantaged groups, such as older workers or those from minority ethnic </w:t>
      </w:r>
      <w:r w:rsidRPr="00D36C67">
        <w:rPr>
          <w:rFonts w:ascii="Helvetica" w:eastAsia="Times New Roman" w:hAnsi="Helvetica" w:cs="Helvetica"/>
          <w:b/>
          <w:bCs/>
          <w:color w:val="58595B"/>
          <w:sz w:val="24"/>
          <w:szCs w:val="24"/>
          <w:lang w:eastAsia="en-GB"/>
        </w:rPr>
        <w:lastRenderedPageBreak/>
        <w:t>backgrounds. This strongly indicates that organisations which employ EU migrants were typically doing so as part of wider efforts to find the labour they require and to build workforce skills, not because they were failing to invest in UK-born workers or looking to cut costs.</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015887"/>
    <w:multiLevelType w:val="multilevel"/>
    <w:tmpl w:val="F18E8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36C67"/>
    <w:rsid w:val="002B0FF5"/>
    <w:rsid w:val="00D36C67"/>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FCDC8"/>
  <w15:chartTrackingRefBased/>
  <w15:docId w15:val="{27CE7E02-9BFC-4017-96D9-6C1FA53C2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36C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6C67"/>
    <w:rPr>
      <w:rFonts w:ascii="Segoe UI" w:hAnsi="Segoe UI" w:cs="Segoe UI"/>
      <w:sz w:val="18"/>
      <w:szCs w:val="18"/>
    </w:rPr>
  </w:style>
  <w:style w:type="character" w:styleId="Hyperlink">
    <w:name w:val="Hyperlink"/>
    <w:basedOn w:val="DefaultParagraphFont"/>
    <w:uiPriority w:val="99"/>
    <w:semiHidden/>
    <w:unhideWhenUsed/>
    <w:rsid w:val="00D36C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141299">
      <w:bodyDiv w:val="1"/>
      <w:marLeft w:val="0"/>
      <w:marRight w:val="0"/>
      <w:marTop w:val="0"/>
      <w:marBottom w:val="0"/>
      <w:divBdr>
        <w:top w:val="none" w:sz="0" w:space="0" w:color="auto"/>
        <w:left w:val="none" w:sz="0" w:space="0" w:color="auto"/>
        <w:bottom w:val="none" w:sz="0" w:space="0" w:color="auto"/>
        <w:right w:val="none" w:sz="0" w:space="0" w:color="auto"/>
      </w:divBdr>
    </w:div>
    <w:div w:id="1179733298">
      <w:bodyDiv w:val="1"/>
      <w:marLeft w:val="0"/>
      <w:marRight w:val="0"/>
      <w:marTop w:val="0"/>
      <w:marBottom w:val="0"/>
      <w:divBdr>
        <w:top w:val="none" w:sz="0" w:space="0" w:color="auto"/>
        <w:left w:val="none" w:sz="0" w:space="0" w:color="auto"/>
        <w:bottom w:val="none" w:sz="0" w:space="0" w:color="auto"/>
        <w:right w:val="none" w:sz="0" w:space="0" w:color="auto"/>
      </w:divBdr>
      <w:divsChild>
        <w:div w:id="272173630">
          <w:marLeft w:val="0"/>
          <w:marRight w:val="0"/>
          <w:marTop w:val="0"/>
          <w:marBottom w:val="0"/>
          <w:divBdr>
            <w:top w:val="none" w:sz="0" w:space="0" w:color="auto"/>
            <w:left w:val="none" w:sz="0" w:space="0" w:color="auto"/>
            <w:bottom w:val="none" w:sz="0" w:space="0" w:color="auto"/>
            <w:right w:val="none" w:sz="0" w:space="0" w:color="auto"/>
          </w:divBdr>
          <w:divsChild>
            <w:div w:id="1528517571">
              <w:marLeft w:val="0"/>
              <w:marRight w:val="0"/>
              <w:marTop w:val="0"/>
              <w:marBottom w:val="0"/>
              <w:divBdr>
                <w:top w:val="none" w:sz="0" w:space="0" w:color="auto"/>
                <w:left w:val="none" w:sz="0" w:space="0" w:color="auto"/>
                <w:bottom w:val="none" w:sz="0" w:space="0" w:color="auto"/>
                <w:right w:val="none" w:sz="0" w:space="0" w:color="auto"/>
              </w:divBdr>
              <w:divsChild>
                <w:div w:id="1289627243">
                  <w:marLeft w:val="0"/>
                  <w:marRight w:val="0"/>
                  <w:marTop w:val="0"/>
                  <w:marBottom w:val="0"/>
                  <w:divBdr>
                    <w:top w:val="none" w:sz="0" w:space="0" w:color="auto"/>
                    <w:left w:val="none" w:sz="0" w:space="0" w:color="auto"/>
                    <w:bottom w:val="none" w:sz="0" w:space="0" w:color="auto"/>
                    <w:right w:val="none" w:sz="0" w:space="0" w:color="auto"/>
                  </w:divBdr>
                  <w:divsChild>
                    <w:div w:id="188686433">
                      <w:marLeft w:val="0"/>
                      <w:marRight w:val="0"/>
                      <w:marTop w:val="0"/>
                      <w:marBottom w:val="0"/>
                      <w:divBdr>
                        <w:top w:val="none" w:sz="0" w:space="0" w:color="auto"/>
                        <w:left w:val="none" w:sz="0" w:space="0" w:color="auto"/>
                        <w:bottom w:val="none" w:sz="0" w:space="0" w:color="auto"/>
                        <w:right w:val="none" w:sz="0" w:space="0" w:color="auto"/>
                      </w:divBdr>
                      <w:divsChild>
                        <w:div w:id="49927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097036">
          <w:marLeft w:val="0"/>
          <w:marRight w:val="0"/>
          <w:marTop w:val="0"/>
          <w:marBottom w:val="0"/>
          <w:divBdr>
            <w:top w:val="none" w:sz="0" w:space="0" w:color="auto"/>
            <w:left w:val="none" w:sz="0" w:space="0" w:color="auto"/>
            <w:bottom w:val="none" w:sz="0" w:space="0" w:color="auto"/>
            <w:right w:val="none" w:sz="0" w:space="0" w:color="auto"/>
          </w:divBdr>
          <w:divsChild>
            <w:div w:id="182062376">
              <w:marLeft w:val="0"/>
              <w:marRight w:val="0"/>
              <w:marTop w:val="0"/>
              <w:marBottom w:val="0"/>
              <w:divBdr>
                <w:top w:val="none" w:sz="0" w:space="0" w:color="auto"/>
                <w:left w:val="none" w:sz="0" w:space="0" w:color="auto"/>
                <w:bottom w:val="none" w:sz="0" w:space="0" w:color="auto"/>
                <w:right w:val="none" w:sz="0" w:space="0" w:color="auto"/>
              </w:divBdr>
              <w:divsChild>
                <w:div w:id="1347051850">
                  <w:marLeft w:val="0"/>
                  <w:marRight w:val="0"/>
                  <w:marTop w:val="0"/>
                  <w:marBottom w:val="0"/>
                  <w:divBdr>
                    <w:top w:val="none" w:sz="0" w:space="0" w:color="auto"/>
                    <w:left w:val="none" w:sz="0" w:space="0" w:color="auto"/>
                    <w:bottom w:val="none" w:sz="0" w:space="0" w:color="auto"/>
                    <w:right w:val="none" w:sz="0" w:space="0" w:color="auto"/>
                  </w:divBdr>
                  <w:divsChild>
                    <w:div w:id="95027382">
                      <w:marLeft w:val="0"/>
                      <w:marRight w:val="0"/>
                      <w:marTop w:val="0"/>
                      <w:marBottom w:val="0"/>
                      <w:divBdr>
                        <w:top w:val="none" w:sz="0" w:space="0" w:color="auto"/>
                        <w:left w:val="none" w:sz="0" w:space="0" w:color="auto"/>
                        <w:bottom w:val="none" w:sz="0" w:space="0" w:color="auto"/>
                        <w:right w:val="none" w:sz="0" w:space="0" w:color="auto"/>
                      </w:divBdr>
                      <w:divsChild>
                        <w:div w:id="1760566874">
                          <w:marLeft w:val="1605"/>
                          <w:marRight w:val="1605"/>
                          <w:marTop w:val="0"/>
                          <w:marBottom w:val="0"/>
                          <w:divBdr>
                            <w:top w:val="none" w:sz="0" w:space="0" w:color="auto"/>
                            <w:left w:val="none" w:sz="0" w:space="0" w:color="auto"/>
                            <w:bottom w:val="none" w:sz="0" w:space="0" w:color="auto"/>
                            <w:right w:val="none" w:sz="0" w:space="0" w:color="auto"/>
                          </w:divBdr>
                          <w:divsChild>
                            <w:div w:id="197259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57141">
              <w:marLeft w:val="0"/>
              <w:marRight w:val="0"/>
              <w:marTop w:val="0"/>
              <w:marBottom w:val="0"/>
              <w:divBdr>
                <w:top w:val="none" w:sz="0" w:space="0" w:color="auto"/>
                <w:left w:val="none" w:sz="0" w:space="0" w:color="auto"/>
                <w:bottom w:val="none" w:sz="0" w:space="0" w:color="auto"/>
                <w:right w:val="none" w:sz="0" w:space="0" w:color="auto"/>
              </w:divBdr>
              <w:divsChild>
                <w:div w:id="39477064">
                  <w:marLeft w:val="0"/>
                  <w:marRight w:val="0"/>
                  <w:marTop w:val="0"/>
                  <w:marBottom w:val="0"/>
                  <w:divBdr>
                    <w:top w:val="none" w:sz="0" w:space="0" w:color="auto"/>
                    <w:left w:val="none" w:sz="0" w:space="0" w:color="auto"/>
                    <w:bottom w:val="none" w:sz="0" w:space="0" w:color="auto"/>
                    <w:right w:val="none" w:sz="0" w:space="0" w:color="auto"/>
                  </w:divBdr>
                  <w:divsChild>
                    <w:div w:id="1892379746">
                      <w:marLeft w:val="0"/>
                      <w:marRight w:val="0"/>
                      <w:marTop w:val="0"/>
                      <w:marBottom w:val="0"/>
                      <w:divBdr>
                        <w:top w:val="none" w:sz="0" w:space="0" w:color="auto"/>
                        <w:left w:val="none" w:sz="0" w:space="0" w:color="auto"/>
                        <w:bottom w:val="none" w:sz="0" w:space="0" w:color="auto"/>
                        <w:right w:val="none" w:sz="0" w:space="0" w:color="auto"/>
                      </w:divBdr>
                      <w:divsChild>
                        <w:div w:id="992102478">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 w:id="177350545">
              <w:marLeft w:val="0"/>
              <w:marRight w:val="0"/>
              <w:marTop w:val="0"/>
              <w:marBottom w:val="0"/>
              <w:divBdr>
                <w:top w:val="none" w:sz="0" w:space="0" w:color="auto"/>
                <w:left w:val="none" w:sz="0" w:space="0" w:color="auto"/>
                <w:bottom w:val="none" w:sz="0" w:space="0" w:color="auto"/>
                <w:right w:val="none" w:sz="0" w:space="0" w:color="auto"/>
              </w:divBdr>
              <w:divsChild>
                <w:div w:id="1735424329">
                  <w:marLeft w:val="0"/>
                  <w:marRight w:val="0"/>
                  <w:marTop w:val="0"/>
                  <w:marBottom w:val="0"/>
                  <w:divBdr>
                    <w:top w:val="none" w:sz="0" w:space="0" w:color="auto"/>
                    <w:left w:val="none" w:sz="0" w:space="0" w:color="auto"/>
                    <w:bottom w:val="none" w:sz="0" w:space="0" w:color="auto"/>
                    <w:right w:val="none" w:sz="0" w:space="0" w:color="auto"/>
                  </w:divBdr>
                  <w:divsChild>
                    <w:div w:id="1184977375">
                      <w:marLeft w:val="0"/>
                      <w:marRight w:val="0"/>
                      <w:marTop w:val="0"/>
                      <w:marBottom w:val="0"/>
                      <w:divBdr>
                        <w:top w:val="none" w:sz="0" w:space="0" w:color="auto"/>
                        <w:left w:val="none" w:sz="0" w:space="0" w:color="auto"/>
                        <w:bottom w:val="none" w:sz="0" w:space="0" w:color="auto"/>
                        <w:right w:val="none" w:sz="0" w:space="0" w:color="auto"/>
                      </w:divBdr>
                      <w:divsChild>
                        <w:div w:id="1994798269">
                          <w:marLeft w:val="0"/>
                          <w:marRight w:val="180"/>
                          <w:marTop w:val="0"/>
                          <w:marBottom w:val="0"/>
                          <w:divBdr>
                            <w:top w:val="none" w:sz="0" w:space="0" w:color="auto"/>
                            <w:left w:val="none" w:sz="0" w:space="0" w:color="auto"/>
                            <w:bottom w:val="none" w:sz="0" w:space="0" w:color="auto"/>
                            <w:right w:val="none" w:sz="0" w:space="0" w:color="auto"/>
                          </w:divBdr>
                          <w:divsChild>
                            <w:div w:id="537930551">
                              <w:marLeft w:val="0"/>
                              <w:marRight w:val="0"/>
                              <w:marTop w:val="0"/>
                              <w:marBottom w:val="0"/>
                              <w:divBdr>
                                <w:top w:val="none" w:sz="0" w:space="0" w:color="auto"/>
                                <w:left w:val="none" w:sz="0" w:space="0" w:color="auto"/>
                                <w:bottom w:val="none" w:sz="0" w:space="0" w:color="auto"/>
                                <w:right w:val="none" w:sz="0" w:space="0" w:color="auto"/>
                              </w:divBdr>
                              <w:divsChild>
                                <w:div w:id="1004436636">
                                  <w:marLeft w:val="713"/>
                                  <w:marRight w:val="0"/>
                                  <w:marTop w:val="0"/>
                                  <w:marBottom w:val="0"/>
                                  <w:divBdr>
                                    <w:top w:val="none" w:sz="0" w:space="0" w:color="auto"/>
                                    <w:left w:val="none" w:sz="0" w:space="0" w:color="auto"/>
                                    <w:bottom w:val="none" w:sz="0" w:space="0" w:color="auto"/>
                                    <w:right w:val="none" w:sz="0" w:space="0" w:color="auto"/>
                                  </w:divBdr>
                                  <w:divsChild>
                                    <w:div w:id="21496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2591665">
              <w:marLeft w:val="0"/>
              <w:marRight w:val="0"/>
              <w:marTop w:val="0"/>
              <w:marBottom w:val="0"/>
              <w:divBdr>
                <w:top w:val="none" w:sz="0" w:space="0" w:color="auto"/>
                <w:left w:val="none" w:sz="0" w:space="0" w:color="auto"/>
                <w:bottom w:val="none" w:sz="0" w:space="0" w:color="auto"/>
                <w:right w:val="none" w:sz="0" w:space="0" w:color="auto"/>
              </w:divBdr>
              <w:divsChild>
                <w:div w:id="1694846744">
                  <w:marLeft w:val="0"/>
                  <w:marRight w:val="0"/>
                  <w:marTop w:val="0"/>
                  <w:marBottom w:val="0"/>
                  <w:divBdr>
                    <w:top w:val="none" w:sz="0" w:space="0" w:color="auto"/>
                    <w:left w:val="none" w:sz="0" w:space="0" w:color="auto"/>
                    <w:bottom w:val="none" w:sz="0" w:space="0" w:color="auto"/>
                    <w:right w:val="none" w:sz="0" w:space="0" w:color="auto"/>
                  </w:divBdr>
                  <w:divsChild>
                    <w:div w:id="767819875">
                      <w:marLeft w:val="0"/>
                      <w:marRight w:val="0"/>
                      <w:marTop w:val="0"/>
                      <w:marBottom w:val="0"/>
                      <w:divBdr>
                        <w:top w:val="none" w:sz="0" w:space="0" w:color="auto"/>
                        <w:left w:val="none" w:sz="0" w:space="0" w:color="auto"/>
                        <w:bottom w:val="none" w:sz="0" w:space="0" w:color="auto"/>
                        <w:right w:val="none" w:sz="0" w:space="0" w:color="auto"/>
                      </w:divBdr>
                      <w:divsChild>
                        <w:div w:id="1766269762">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 w:id="1839153268">
              <w:marLeft w:val="0"/>
              <w:marRight w:val="0"/>
              <w:marTop w:val="0"/>
              <w:marBottom w:val="0"/>
              <w:divBdr>
                <w:top w:val="none" w:sz="0" w:space="0" w:color="auto"/>
                <w:left w:val="none" w:sz="0" w:space="0" w:color="auto"/>
                <w:bottom w:val="none" w:sz="0" w:space="0" w:color="auto"/>
                <w:right w:val="none" w:sz="0" w:space="0" w:color="auto"/>
              </w:divBdr>
              <w:divsChild>
                <w:div w:id="676811731">
                  <w:marLeft w:val="0"/>
                  <w:marRight w:val="0"/>
                  <w:marTop w:val="0"/>
                  <w:marBottom w:val="0"/>
                  <w:divBdr>
                    <w:top w:val="none" w:sz="0" w:space="0" w:color="auto"/>
                    <w:left w:val="none" w:sz="0" w:space="0" w:color="auto"/>
                    <w:bottom w:val="none" w:sz="0" w:space="0" w:color="auto"/>
                    <w:right w:val="none" w:sz="0" w:space="0" w:color="auto"/>
                  </w:divBdr>
                  <w:divsChild>
                    <w:div w:id="1009218829">
                      <w:marLeft w:val="0"/>
                      <w:marRight w:val="0"/>
                      <w:marTop w:val="0"/>
                      <w:marBottom w:val="0"/>
                      <w:divBdr>
                        <w:top w:val="none" w:sz="0" w:space="0" w:color="auto"/>
                        <w:left w:val="none" w:sz="0" w:space="0" w:color="auto"/>
                        <w:bottom w:val="none" w:sz="0" w:space="0" w:color="auto"/>
                        <w:right w:val="none" w:sz="0" w:space="0" w:color="auto"/>
                      </w:divBdr>
                      <w:divsChild>
                        <w:div w:id="2107144779">
                          <w:marLeft w:val="0"/>
                          <w:marRight w:val="180"/>
                          <w:marTop w:val="0"/>
                          <w:marBottom w:val="0"/>
                          <w:divBdr>
                            <w:top w:val="none" w:sz="0" w:space="0" w:color="auto"/>
                            <w:left w:val="none" w:sz="0" w:space="0" w:color="auto"/>
                            <w:bottom w:val="none" w:sz="0" w:space="0" w:color="auto"/>
                            <w:right w:val="none" w:sz="0" w:space="0" w:color="auto"/>
                          </w:divBdr>
                          <w:divsChild>
                            <w:div w:id="188110577">
                              <w:marLeft w:val="0"/>
                              <w:marRight w:val="0"/>
                              <w:marTop w:val="0"/>
                              <w:marBottom w:val="0"/>
                              <w:divBdr>
                                <w:top w:val="none" w:sz="0" w:space="0" w:color="auto"/>
                                <w:left w:val="none" w:sz="0" w:space="0" w:color="auto"/>
                                <w:bottom w:val="none" w:sz="0" w:space="0" w:color="auto"/>
                                <w:right w:val="none" w:sz="0" w:space="0" w:color="auto"/>
                              </w:divBdr>
                              <w:divsChild>
                                <w:div w:id="35668997">
                                  <w:marLeft w:val="713"/>
                                  <w:marRight w:val="0"/>
                                  <w:marTop w:val="0"/>
                                  <w:marBottom w:val="0"/>
                                  <w:divBdr>
                                    <w:top w:val="none" w:sz="0" w:space="0" w:color="auto"/>
                                    <w:left w:val="none" w:sz="0" w:space="0" w:color="auto"/>
                                    <w:bottom w:val="none" w:sz="0" w:space="0" w:color="auto"/>
                                    <w:right w:val="none" w:sz="0" w:space="0" w:color="auto"/>
                                  </w:divBdr>
                                  <w:divsChild>
                                    <w:div w:id="70440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2795972">
              <w:marLeft w:val="0"/>
              <w:marRight w:val="0"/>
              <w:marTop w:val="0"/>
              <w:marBottom w:val="0"/>
              <w:divBdr>
                <w:top w:val="none" w:sz="0" w:space="0" w:color="auto"/>
                <w:left w:val="none" w:sz="0" w:space="0" w:color="auto"/>
                <w:bottom w:val="none" w:sz="0" w:space="0" w:color="auto"/>
                <w:right w:val="none" w:sz="0" w:space="0" w:color="auto"/>
              </w:divBdr>
              <w:divsChild>
                <w:div w:id="2049643954">
                  <w:marLeft w:val="0"/>
                  <w:marRight w:val="0"/>
                  <w:marTop w:val="0"/>
                  <w:marBottom w:val="0"/>
                  <w:divBdr>
                    <w:top w:val="none" w:sz="0" w:space="0" w:color="auto"/>
                    <w:left w:val="none" w:sz="0" w:space="0" w:color="auto"/>
                    <w:bottom w:val="none" w:sz="0" w:space="0" w:color="auto"/>
                    <w:right w:val="none" w:sz="0" w:space="0" w:color="auto"/>
                  </w:divBdr>
                  <w:divsChild>
                    <w:div w:id="1608584873">
                      <w:marLeft w:val="0"/>
                      <w:marRight w:val="0"/>
                      <w:marTop w:val="0"/>
                      <w:marBottom w:val="0"/>
                      <w:divBdr>
                        <w:top w:val="none" w:sz="0" w:space="0" w:color="auto"/>
                        <w:left w:val="none" w:sz="0" w:space="0" w:color="auto"/>
                        <w:bottom w:val="none" w:sz="0" w:space="0" w:color="auto"/>
                        <w:right w:val="none" w:sz="0" w:space="0" w:color="auto"/>
                      </w:divBdr>
                      <w:divsChild>
                        <w:div w:id="1881551978">
                          <w:marLeft w:val="1605"/>
                          <w:marRight w:val="1605"/>
                          <w:marTop w:val="0"/>
                          <w:marBottom w:val="0"/>
                          <w:divBdr>
                            <w:top w:val="none" w:sz="0" w:space="0" w:color="auto"/>
                            <w:left w:val="none" w:sz="0" w:space="0" w:color="auto"/>
                            <w:bottom w:val="none" w:sz="0" w:space="0" w:color="auto"/>
                            <w:right w:val="none" w:sz="0" w:space="0" w:color="auto"/>
                          </w:divBdr>
                          <w:divsChild>
                            <w:div w:id="91273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088116">
              <w:marLeft w:val="0"/>
              <w:marRight w:val="0"/>
              <w:marTop w:val="0"/>
              <w:marBottom w:val="0"/>
              <w:divBdr>
                <w:top w:val="none" w:sz="0" w:space="0" w:color="auto"/>
                <w:left w:val="none" w:sz="0" w:space="0" w:color="auto"/>
                <w:bottom w:val="none" w:sz="0" w:space="0" w:color="auto"/>
                <w:right w:val="none" w:sz="0" w:space="0" w:color="auto"/>
              </w:divBdr>
              <w:divsChild>
                <w:div w:id="2022735502">
                  <w:marLeft w:val="0"/>
                  <w:marRight w:val="0"/>
                  <w:marTop w:val="0"/>
                  <w:marBottom w:val="0"/>
                  <w:divBdr>
                    <w:top w:val="none" w:sz="0" w:space="0" w:color="auto"/>
                    <w:left w:val="none" w:sz="0" w:space="0" w:color="auto"/>
                    <w:bottom w:val="none" w:sz="0" w:space="0" w:color="auto"/>
                    <w:right w:val="none" w:sz="0" w:space="0" w:color="auto"/>
                  </w:divBdr>
                  <w:divsChild>
                    <w:div w:id="1496843020">
                      <w:marLeft w:val="0"/>
                      <w:marRight w:val="0"/>
                      <w:marTop w:val="0"/>
                      <w:marBottom w:val="0"/>
                      <w:divBdr>
                        <w:top w:val="none" w:sz="0" w:space="0" w:color="auto"/>
                        <w:left w:val="none" w:sz="0" w:space="0" w:color="auto"/>
                        <w:bottom w:val="none" w:sz="0" w:space="0" w:color="auto"/>
                        <w:right w:val="none" w:sz="0" w:space="0" w:color="auto"/>
                      </w:divBdr>
                      <w:divsChild>
                        <w:div w:id="407581932">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 w:id="1714422099">
              <w:marLeft w:val="0"/>
              <w:marRight w:val="0"/>
              <w:marTop w:val="0"/>
              <w:marBottom w:val="0"/>
              <w:divBdr>
                <w:top w:val="none" w:sz="0" w:space="0" w:color="auto"/>
                <w:left w:val="none" w:sz="0" w:space="0" w:color="auto"/>
                <w:bottom w:val="none" w:sz="0" w:space="0" w:color="auto"/>
                <w:right w:val="none" w:sz="0" w:space="0" w:color="auto"/>
              </w:divBdr>
              <w:divsChild>
                <w:div w:id="559289858">
                  <w:marLeft w:val="0"/>
                  <w:marRight w:val="0"/>
                  <w:marTop w:val="0"/>
                  <w:marBottom w:val="0"/>
                  <w:divBdr>
                    <w:top w:val="none" w:sz="0" w:space="0" w:color="auto"/>
                    <w:left w:val="none" w:sz="0" w:space="0" w:color="auto"/>
                    <w:bottom w:val="none" w:sz="0" w:space="0" w:color="auto"/>
                    <w:right w:val="none" w:sz="0" w:space="0" w:color="auto"/>
                  </w:divBdr>
                  <w:divsChild>
                    <w:div w:id="1017081057">
                      <w:marLeft w:val="0"/>
                      <w:marRight w:val="0"/>
                      <w:marTop w:val="0"/>
                      <w:marBottom w:val="0"/>
                      <w:divBdr>
                        <w:top w:val="none" w:sz="0" w:space="0" w:color="auto"/>
                        <w:left w:val="none" w:sz="0" w:space="0" w:color="auto"/>
                        <w:bottom w:val="none" w:sz="0" w:space="0" w:color="auto"/>
                        <w:right w:val="none" w:sz="0" w:space="0" w:color="auto"/>
                      </w:divBdr>
                      <w:divsChild>
                        <w:div w:id="164589574">
                          <w:marLeft w:val="1605"/>
                          <w:marRight w:val="1605"/>
                          <w:marTop w:val="0"/>
                          <w:marBottom w:val="0"/>
                          <w:divBdr>
                            <w:top w:val="none" w:sz="0" w:space="0" w:color="auto"/>
                            <w:left w:val="none" w:sz="0" w:space="0" w:color="auto"/>
                            <w:bottom w:val="none" w:sz="0" w:space="0" w:color="auto"/>
                            <w:right w:val="none" w:sz="0" w:space="0" w:color="auto"/>
                          </w:divBdr>
                          <w:divsChild>
                            <w:div w:id="97525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461315">
              <w:marLeft w:val="0"/>
              <w:marRight w:val="0"/>
              <w:marTop w:val="0"/>
              <w:marBottom w:val="0"/>
              <w:divBdr>
                <w:top w:val="none" w:sz="0" w:space="0" w:color="auto"/>
                <w:left w:val="none" w:sz="0" w:space="0" w:color="auto"/>
                <w:bottom w:val="none" w:sz="0" w:space="0" w:color="auto"/>
                <w:right w:val="none" w:sz="0" w:space="0" w:color="auto"/>
              </w:divBdr>
              <w:divsChild>
                <w:div w:id="994845243">
                  <w:marLeft w:val="0"/>
                  <w:marRight w:val="0"/>
                  <w:marTop w:val="0"/>
                  <w:marBottom w:val="0"/>
                  <w:divBdr>
                    <w:top w:val="none" w:sz="0" w:space="0" w:color="auto"/>
                    <w:left w:val="none" w:sz="0" w:space="0" w:color="auto"/>
                    <w:bottom w:val="none" w:sz="0" w:space="0" w:color="auto"/>
                    <w:right w:val="none" w:sz="0" w:space="0" w:color="auto"/>
                  </w:divBdr>
                  <w:divsChild>
                    <w:div w:id="1074280253">
                      <w:marLeft w:val="0"/>
                      <w:marRight w:val="0"/>
                      <w:marTop w:val="0"/>
                      <w:marBottom w:val="0"/>
                      <w:divBdr>
                        <w:top w:val="none" w:sz="0" w:space="0" w:color="auto"/>
                        <w:left w:val="none" w:sz="0" w:space="0" w:color="auto"/>
                        <w:bottom w:val="none" w:sz="0" w:space="0" w:color="auto"/>
                        <w:right w:val="none" w:sz="0" w:space="0" w:color="auto"/>
                      </w:divBdr>
                      <w:divsChild>
                        <w:div w:id="1594437163">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 w:id="411201923">
              <w:marLeft w:val="0"/>
              <w:marRight w:val="0"/>
              <w:marTop w:val="0"/>
              <w:marBottom w:val="0"/>
              <w:divBdr>
                <w:top w:val="none" w:sz="0" w:space="0" w:color="auto"/>
                <w:left w:val="none" w:sz="0" w:space="0" w:color="auto"/>
                <w:bottom w:val="none" w:sz="0" w:space="0" w:color="auto"/>
                <w:right w:val="none" w:sz="0" w:space="0" w:color="auto"/>
              </w:divBdr>
              <w:divsChild>
                <w:div w:id="1430855412">
                  <w:marLeft w:val="0"/>
                  <w:marRight w:val="0"/>
                  <w:marTop w:val="0"/>
                  <w:marBottom w:val="0"/>
                  <w:divBdr>
                    <w:top w:val="none" w:sz="0" w:space="0" w:color="auto"/>
                    <w:left w:val="none" w:sz="0" w:space="0" w:color="auto"/>
                    <w:bottom w:val="none" w:sz="0" w:space="0" w:color="auto"/>
                    <w:right w:val="none" w:sz="0" w:space="0" w:color="auto"/>
                  </w:divBdr>
                  <w:divsChild>
                    <w:div w:id="1214734258">
                      <w:marLeft w:val="0"/>
                      <w:marRight w:val="0"/>
                      <w:marTop w:val="0"/>
                      <w:marBottom w:val="0"/>
                      <w:divBdr>
                        <w:top w:val="none" w:sz="0" w:space="0" w:color="auto"/>
                        <w:left w:val="none" w:sz="0" w:space="0" w:color="auto"/>
                        <w:bottom w:val="none" w:sz="0" w:space="0" w:color="auto"/>
                        <w:right w:val="none" w:sz="0" w:space="0" w:color="auto"/>
                      </w:divBdr>
                      <w:divsChild>
                        <w:div w:id="146632790">
                          <w:marLeft w:val="1605"/>
                          <w:marRight w:val="1605"/>
                          <w:marTop w:val="0"/>
                          <w:marBottom w:val="0"/>
                          <w:divBdr>
                            <w:top w:val="none" w:sz="0" w:space="0" w:color="auto"/>
                            <w:left w:val="none" w:sz="0" w:space="0" w:color="auto"/>
                            <w:bottom w:val="none" w:sz="0" w:space="0" w:color="auto"/>
                            <w:right w:val="none" w:sz="0" w:space="0" w:color="auto"/>
                          </w:divBdr>
                          <w:divsChild>
                            <w:div w:id="168559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007042">
              <w:marLeft w:val="0"/>
              <w:marRight w:val="0"/>
              <w:marTop w:val="0"/>
              <w:marBottom w:val="0"/>
              <w:divBdr>
                <w:top w:val="none" w:sz="0" w:space="0" w:color="auto"/>
                <w:left w:val="none" w:sz="0" w:space="0" w:color="auto"/>
                <w:bottom w:val="none" w:sz="0" w:space="0" w:color="auto"/>
                <w:right w:val="none" w:sz="0" w:space="0" w:color="auto"/>
              </w:divBdr>
              <w:divsChild>
                <w:div w:id="266889415">
                  <w:marLeft w:val="0"/>
                  <w:marRight w:val="0"/>
                  <w:marTop w:val="0"/>
                  <w:marBottom w:val="0"/>
                  <w:divBdr>
                    <w:top w:val="none" w:sz="0" w:space="0" w:color="auto"/>
                    <w:left w:val="none" w:sz="0" w:space="0" w:color="auto"/>
                    <w:bottom w:val="none" w:sz="0" w:space="0" w:color="auto"/>
                    <w:right w:val="none" w:sz="0" w:space="0" w:color="auto"/>
                  </w:divBdr>
                  <w:divsChild>
                    <w:div w:id="867837001">
                      <w:marLeft w:val="0"/>
                      <w:marRight w:val="0"/>
                      <w:marTop w:val="0"/>
                      <w:marBottom w:val="0"/>
                      <w:divBdr>
                        <w:top w:val="none" w:sz="0" w:space="0" w:color="auto"/>
                        <w:left w:val="none" w:sz="0" w:space="0" w:color="auto"/>
                        <w:bottom w:val="none" w:sz="0" w:space="0" w:color="auto"/>
                        <w:right w:val="none" w:sz="0" w:space="0" w:color="auto"/>
                      </w:divBdr>
                      <w:divsChild>
                        <w:div w:id="1422601390">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 w:id="765615862">
              <w:marLeft w:val="0"/>
              <w:marRight w:val="0"/>
              <w:marTop w:val="0"/>
              <w:marBottom w:val="0"/>
              <w:divBdr>
                <w:top w:val="none" w:sz="0" w:space="0" w:color="auto"/>
                <w:left w:val="none" w:sz="0" w:space="0" w:color="auto"/>
                <w:bottom w:val="none" w:sz="0" w:space="0" w:color="auto"/>
                <w:right w:val="none" w:sz="0" w:space="0" w:color="auto"/>
              </w:divBdr>
              <w:divsChild>
                <w:div w:id="587353985">
                  <w:marLeft w:val="0"/>
                  <w:marRight w:val="0"/>
                  <w:marTop w:val="0"/>
                  <w:marBottom w:val="0"/>
                  <w:divBdr>
                    <w:top w:val="none" w:sz="0" w:space="0" w:color="auto"/>
                    <w:left w:val="none" w:sz="0" w:space="0" w:color="auto"/>
                    <w:bottom w:val="none" w:sz="0" w:space="0" w:color="auto"/>
                    <w:right w:val="none" w:sz="0" w:space="0" w:color="auto"/>
                  </w:divBdr>
                  <w:divsChild>
                    <w:div w:id="33383722">
                      <w:marLeft w:val="0"/>
                      <w:marRight w:val="0"/>
                      <w:marTop w:val="0"/>
                      <w:marBottom w:val="0"/>
                      <w:divBdr>
                        <w:top w:val="none" w:sz="0" w:space="0" w:color="auto"/>
                        <w:left w:val="none" w:sz="0" w:space="0" w:color="auto"/>
                        <w:bottom w:val="none" w:sz="0" w:space="0" w:color="auto"/>
                        <w:right w:val="none" w:sz="0" w:space="0" w:color="auto"/>
                      </w:divBdr>
                      <w:divsChild>
                        <w:div w:id="1167403091">
                          <w:marLeft w:val="1605"/>
                          <w:marRight w:val="1605"/>
                          <w:marTop w:val="0"/>
                          <w:marBottom w:val="0"/>
                          <w:divBdr>
                            <w:top w:val="none" w:sz="0" w:space="0" w:color="auto"/>
                            <w:left w:val="none" w:sz="0" w:space="0" w:color="auto"/>
                            <w:bottom w:val="none" w:sz="0" w:space="0" w:color="auto"/>
                            <w:right w:val="none" w:sz="0" w:space="0" w:color="auto"/>
                          </w:divBdr>
                          <w:divsChild>
                            <w:div w:id="112446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285207">
              <w:marLeft w:val="0"/>
              <w:marRight w:val="0"/>
              <w:marTop w:val="0"/>
              <w:marBottom w:val="0"/>
              <w:divBdr>
                <w:top w:val="none" w:sz="0" w:space="0" w:color="auto"/>
                <w:left w:val="none" w:sz="0" w:space="0" w:color="auto"/>
                <w:bottom w:val="none" w:sz="0" w:space="0" w:color="auto"/>
                <w:right w:val="none" w:sz="0" w:space="0" w:color="auto"/>
              </w:divBdr>
              <w:divsChild>
                <w:div w:id="503281201">
                  <w:marLeft w:val="0"/>
                  <w:marRight w:val="0"/>
                  <w:marTop w:val="0"/>
                  <w:marBottom w:val="0"/>
                  <w:divBdr>
                    <w:top w:val="none" w:sz="0" w:space="0" w:color="auto"/>
                    <w:left w:val="none" w:sz="0" w:space="0" w:color="auto"/>
                    <w:bottom w:val="none" w:sz="0" w:space="0" w:color="auto"/>
                    <w:right w:val="none" w:sz="0" w:space="0" w:color="auto"/>
                  </w:divBdr>
                  <w:divsChild>
                    <w:div w:id="1589999685">
                      <w:marLeft w:val="0"/>
                      <w:marRight w:val="0"/>
                      <w:marTop w:val="0"/>
                      <w:marBottom w:val="0"/>
                      <w:divBdr>
                        <w:top w:val="none" w:sz="0" w:space="0" w:color="auto"/>
                        <w:left w:val="none" w:sz="0" w:space="0" w:color="auto"/>
                        <w:bottom w:val="none" w:sz="0" w:space="0" w:color="auto"/>
                        <w:right w:val="none" w:sz="0" w:space="0" w:color="auto"/>
                      </w:divBdr>
                      <w:divsChild>
                        <w:div w:id="419837338">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 w:id="605043525">
              <w:marLeft w:val="0"/>
              <w:marRight w:val="0"/>
              <w:marTop w:val="0"/>
              <w:marBottom w:val="0"/>
              <w:divBdr>
                <w:top w:val="none" w:sz="0" w:space="0" w:color="auto"/>
                <w:left w:val="none" w:sz="0" w:space="0" w:color="auto"/>
                <w:bottom w:val="none" w:sz="0" w:space="0" w:color="auto"/>
                <w:right w:val="none" w:sz="0" w:space="0" w:color="auto"/>
              </w:divBdr>
              <w:divsChild>
                <w:div w:id="1261983157">
                  <w:marLeft w:val="0"/>
                  <w:marRight w:val="0"/>
                  <w:marTop w:val="0"/>
                  <w:marBottom w:val="0"/>
                  <w:divBdr>
                    <w:top w:val="none" w:sz="0" w:space="0" w:color="auto"/>
                    <w:left w:val="none" w:sz="0" w:space="0" w:color="auto"/>
                    <w:bottom w:val="none" w:sz="0" w:space="0" w:color="auto"/>
                    <w:right w:val="none" w:sz="0" w:space="0" w:color="auto"/>
                  </w:divBdr>
                  <w:divsChild>
                    <w:div w:id="877359094">
                      <w:marLeft w:val="0"/>
                      <w:marRight w:val="0"/>
                      <w:marTop w:val="0"/>
                      <w:marBottom w:val="0"/>
                      <w:divBdr>
                        <w:top w:val="none" w:sz="0" w:space="0" w:color="auto"/>
                        <w:left w:val="none" w:sz="0" w:space="0" w:color="auto"/>
                        <w:bottom w:val="none" w:sz="0" w:space="0" w:color="auto"/>
                        <w:right w:val="none" w:sz="0" w:space="0" w:color="auto"/>
                      </w:divBdr>
                      <w:divsChild>
                        <w:div w:id="1185942120">
                          <w:marLeft w:val="0"/>
                          <w:marRight w:val="180"/>
                          <w:marTop w:val="0"/>
                          <w:marBottom w:val="0"/>
                          <w:divBdr>
                            <w:top w:val="none" w:sz="0" w:space="0" w:color="auto"/>
                            <w:left w:val="none" w:sz="0" w:space="0" w:color="auto"/>
                            <w:bottom w:val="none" w:sz="0" w:space="0" w:color="auto"/>
                            <w:right w:val="none" w:sz="0" w:space="0" w:color="auto"/>
                          </w:divBdr>
                          <w:divsChild>
                            <w:div w:id="342170291">
                              <w:marLeft w:val="0"/>
                              <w:marRight w:val="0"/>
                              <w:marTop w:val="0"/>
                              <w:marBottom w:val="0"/>
                              <w:divBdr>
                                <w:top w:val="none" w:sz="0" w:space="0" w:color="auto"/>
                                <w:left w:val="none" w:sz="0" w:space="0" w:color="auto"/>
                                <w:bottom w:val="none" w:sz="0" w:space="0" w:color="auto"/>
                                <w:right w:val="none" w:sz="0" w:space="0" w:color="auto"/>
                              </w:divBdr>
                              <w:divsChild>
                                <w:div w:id="904490249">
                                  <w:marLeft w:val="713"/>
                                  <w:marRight w:val="0"/>
                                  <w:marTop w:val="0"/>
                                  <w:marBottom w:val="0"/>
                                  <w:divBdr>
                                    <w:top w:val="none" w:sz="0" w:space="0" w:color="auto"/>
                                    <w:left w:val="none" w:sz="0" w:space="0" w:color="auto"/>
                                    <w:bottom w:val="none" w:sz="0" w:space="0" w:color="auto"/>
                                    <w:right w:val="none" w:sz="0" w:space="0" w:color="auto"/>
                                  </w:divBdr>
                                  <w:divsChild>
                                    <w:div w:id="48871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872427">
              <w:marLeft w:val="0"/>
              <w:marRight w:val="0"/>
              <w:marTop w:val="0"/>
              <w:marBottom w:val="0"/>
              <w:divBdr>
                <w:top w:val="none" w:sz="0" w:space="0" w:color="auto"/>
                <w:left w:val="none" w:sz="0" w:space="0" w:color="auto"/>
                <w:bottom w:val="none" w:sz="0" w:space="0" w:color="auto"/>
                <w:right w:val="none" w:sz="0" w:space="0" w:color="auto"/>
              </w:divBdr>
              <w:divsChild>
                <w:div w:id="352732336">
                  <w:marLeft w:val="0"/>
                  <w:marRight w:val="0"/>
                  <w:marTop w:val="0"/>
                  <w:marBottom w:val="0"/>
                  <w:divBdr>
                    <w:top w:val="none" w:sz="0" w:space="0" w:color="auto"/>
                    <w:left w:val="none" w:sz="0" w:space="0" w:color="auto"/>
                    <w:bottom w:val="none" w:sz="0" w:space="0" w:color="auto"/>
                    <w:right w:val="none" w:sz="0" w:space="0" w:color="auto"/>
                  </w:divBdr>
                  <w:divsChild>
                    <w:div w:id="1083720175">
                      <w:marLeft w:val="0"/>
                      <w:marRight w:val="0"/>
                      <w:marTop w:val="0"/>
                      <w:marBottom w:val="0"/>
                      <w:divBdr>
                        <w:top w:val="none" w:sz="0" w:space="0" w:color="auto"/>
                        <w:left w:val="none" w:sz="0" w:space="0" w:color="auto"/>
                        <w:bottom w:val="none" w:sz="0" w:space="0" w:color="auto"/>
                        <w:right w:val="none" w:sz="0" w:space="0" w:color="auto"/>
                      </w:divBdr>
                      <w:divsChild>
                        <w:div w:id="1382708581">
                          <w:marLeft w:val="1605"/>
                          <w:marRight w:val="1605"/>
                          <w:marTop w:val="0"/>
                          <w:marBottom w:val="0"/>
                          <w:divBdr>
                            <w:top w:val="none" w:sz="0" w:space="0" w:color="auto"/>
                            <w:left w:val="none" w:sz="0" w:space="0" w:color="auto"/>
                            <w:bottom w:val="none" w:sz="0" w:space="0" w:color="auto"/>
                            <w:right w:val="none" w:sz="0" w:space="0" w:color="auto"/>
                          </w:divBdr>
                          <w:divsChild>
                            <w:div w:id="179393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6799458">
      <w:bodyDiv w:val="1"/>
      <w:marLeft w:val="0"/>
      <w:marRight w:val="0"/>
      <w:marTop w:val="0"/>
      <w:marBottom w:val="0"/>
      <w:divBdr>
        <w:top w:val="none" w:sz="0" w:space="0" w:color="auto"/>
        <w:left w:val="none" w:sz="0" w:space="0" w:color="auto"/>
        <w:bottom w:val="none" w:sz="0" w:space="0" w:color="auto"/>
        <w:right w:val="none" w:sz="0" w:space="0" w:color="auto"/>
      </w:divBdr>
    </w:div>
    <w:div w:id="1725830069">
      <w:bodyDiv w:val="1"/>
      <w:marLeft w:val="0"/>
      <w:marRight w:val="0"/>
      <w:marTop w:val="0"/>
      <w:marBottom w:val="0"/>
      <w:divBdr>
        <w:top w:val="none" w:sz="0" w:space="0" w:color="auto"/>
        <w:left w:val="none" w:sz="0" w:space="0" w:color="auto"/>
        <w:bottom w:val="none" w:sz="0" w:space="0" w:color="auto"/>
        <w:right w:val="none" w:sz="0" w:space="0" w:color="auto"/>
      </w:divBdr>
    </w:div>
    <w:div w:id="194900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labour-market-outlook_2018-autumn-2018_tcm18-50460.pdf" TargetMode="External"/><Relationship Id="rId13" Type="http://schemas.openxmlformats.org/officeDocument/2006/relationships/hyperlink" Target="https://www.cipd.co.uk/Images/lmo-survey-summer2018_tcm18-45850.pdf" TargetMode="External"/><Relationship Id="rId18" Type="http://schemas.openxmlformats.org/officeDocument/2006/relationships/hyperlink" Target="http://www.cipd.co.uk/news-views/news-articles/cipd-eu-settlement-toolkit/" TargetMode="External"/><Relationship Id="rId26" Type="http://schemas.openxmlformats.org/officeDocument/2006/relationships/hyperlink" Target="https://www.cipd.co.uk/Images/lmo-survey-summer2018_tcm18-45850.pdf" TargetMode="External"/><Relationship Id="rId3" Type="http://schemas.openxmlformats.org/officeDocument/2006/relationships/settings" Target="settings.xml"/><Relationship Id="rId21" Type="http://schemas.openxmlformats.org/officeDocument/2006/relationships/hyperlink" Target="https://www.cipd.co.uk/Images/practitioners-guide-to-lmo-summer18_tcm18-45839.pdf" TargetMode="External"/><Relationship Id="rId7" Type="http://schemas.openxmlformats.org/officeDocument/2006/relationships/hyperlink" Target="https://www.cipd.co.uk/Images/labour-market-outlook_2016-summer-2016_tcm18-10627.pdf" TargetMode="External"/><Relationship Id="rId12" Type="http://schemas.openxmlformats.org/officeDocument/2006/relationships/hyperlink" Target="http://www.cipd.co.uk/knowledge/strategy/resourcing/surveys/" TargetMode="External"/><Relationship Id="rId17" Type="http://schemas.openxmlformats.org/officeDocument/2006/relationships/hyperlink" Target="https://www.cipd.co.uk/Images/labour-market-outlook_2018-autumn-2018_tcm18-50460.pdf" TargetMode="External"/><Relationship Id="rId25" Type="http://schemas.openxmlformats.org/officeDocument/2006/relationships/hyperlink" Target="https://www.cipd.co.uk/Images/countering-skills-mismatches-through-people-management-practice_tcm18-47752.pdf" TargetMode="External"/><Relationship Id="rId2" Type="http://schemas.openxmlformats.org/officeDocument/2006/relationships/styles" Target="styles.xml"/><Relationship Id="rId16" Type="http://schemas.openxmlformats.org/officeDocument/2006/relationships/hyperlink" Target="https://www.cipd.co.uk/Images/labour-market-outlook_2018-winter-2017-1_tcm18-38214.pdf" TargetMode="External"/><Relationship Id="rId20" Type="http://schemas.openxmlformats.org/officeDocument/2006/relationships/hyperlink" Target="http://www.cipd.co.uk/knowledge/strategy/resourcing/survey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cipd.co.uk/Images/labour-market-outlook_2018-autumn-2018_tcm18-50460.pdf" TargetMode="External"/><Relationship Id="rId24" Type="http://schemas.openxmlformats.org/officeDocument/2006/relationships/hyperlink" Target="https://www.cipd.co.uk/news-views/brexit-hub/workforce-planning/" TargetMode="External"/><Relationship Id="rId5" Type="http://schemas.openxmlformats.org/officeDocument/2006/relationships/hyperlink" Target="http://www.cipd.co.uk/knowledge/strategy/resourcing/surveys/" TargetMode="External"/><Relationship Id="rId15" Type="http://schemas.openxmlformats.org/officeDocument/2006/relationships/hyperlink" Target="https://www.cipd.co.uk/Images/resourcing-talent-planning_2017_tcm18-23747.pdf" TargetMode="External"/><Relationship Id="rId23" Type="http://schemas.openxmlformats.org/officeDocument/2006/relationships/hyperlink" Target="https://www.cipd.co.uk/news-views/brexit-hub/emp-law-immigration-policy/" TargetMode="External"/><Relationship Id="rId28" Type="http://schemas.openxmlformats.org/officeDocument/2006/relationships/hyperlink" Target="https://www.cipd.co.uk/Images/labour-market-outlook_2018-winter-2017-1_tcm18-38214.pdf" TargetMode="External"/><Relationship Id="rId10" Type="http://schemas.openxmlformats.org/officeDocument/2006/relationships/hyperlink" Target="https://www.cipd.co.uk/Images/lmo-survey-summer2018_tcm18-45850.pdf" TargetMode="External"/><Relationship Id="rId19" Type="http://schemas.openxmlformats.org/officeDocument/2006/relationships/hyperlink" Target="https://www.cipd.co.uk/knowledge/work/trends/labour-market-outloo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ipd.co.uk/Images/labour-market-outlook_2018-winter-2017-1_tcm18-38214.pdf" TargetMode="External"/><Relationship Id="rId22" Type="http://schemas.openxmlformats.org/officeDocument/2006/relationships/image" Target="media/image3.png"/><Relationship Id="rId27" Type="http://schemas.openxmlformats.org/officeDocument/2006/relationships/hyperlink" Target="https://www.cipd.co.uk/Images/labour-market-outlook_2018-winter-2017-1_tcm18-38214.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1523</Words>
  <Characters>8686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2019-11-26T12:40:00Z</dcterms:created>
  <dcterms:modified xsi:type="dcterms:W3CDTF">2019-11-26T12:44:00Z</dcterms:modified>
</cp:coreProperties>
</file>