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AD254" w14:textId="77777777" w:rsidR="004322E7" w:rsidRDefault="000C275E">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14:anchorId="56DAD644" wp14:editId="56DAD645">
            <wp:extent cx="4636076" cy="1936156"/>
            <wp:effectExtent l="0" t="0" r="0" b="0"/>
            <wp:docPr id="211988721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8"/>
                    <a:srcRect/>
                    <a:stretch>
                      <a:fillRect/>
                    </a:stretch>
                  </pic:blipFill>
                  <pic:spPr>
                    <a:xfrm>
                      <a:off x="0" y="0"/>
                      <a:ext cx="4636076" cy="1936156"/>
                    </a:xfrm>
                    <a:prstGeom prst="rect">
                      <a:avLst/>
                    </a:prstGeom>
                    <a:ln/>
                  </pic:spPr>
                </pic:pic>
              </a:graphicData>
            </a:graphic>
          </wp:inline>
        </w:drawing>
      </w:r>
    </w:p>
    <w:p w14:paraId="56DAD255" w14:textId="77777777" w:rsidR="004322E7" w:rsidRDefault="000C275E">
      <w:pPr>
        <w:spacing w:line="360" w:lineRule="auto"/>
        <w:jc w:val="center"/>
        <w:rPr>
          <w:rFonts w:ascii="Times New Roman" w:eastAsia="Times New Roman" w:hAnsi="Times New Roman" w:cs="Times New Roman"/>
        </w:rPr>
      </w:pPr>
      <w:r>
        <w:rPr>
          <w:rFonts w:ascii="Times New Roman" w:eastAsia="Times New Roman" w:hAnsi="Times New Roman" w:cs="Times New Roman"/>
        </w:rPr>
        <w:t>A DBA PROJECT REPORT</w:t>
      </w:r>
    </w:p>
    <w:p w14:paraId="56DAD256" w14:textId="77777777" w:rsidR="004322E7" w:rsidRDefault="000C275E">
      <w:pPr>
        <w:spacing w:line="360" w:lineRule="auto"/>
        <w:jc w:val="center"/>
        <w:rPr>
          <w:rFonts w:ascii="Times New Roman" w:eastAsia="Times New Roman" w:hAnsi="Times New Roman" w:cs="Times New Roman"/>
        </w:rPr>
      </w:pPr>
      <w:r>
        <w:rPr>
          <w:rFonts w:ascii="Times New Roman" w:eastAsia="Times New Roman" w:hAnsi="Times New Roman" w:cs="Times New Roman"/>
        </w:rPr>
        <w:t>ON</w:t>
      </w:r>
    </w:p>
    <w:p w14:paraId="56DAD257" w14:textId="77777777" w:rsidR="004322E7" w:rsidRDefault="004322E7">
      <w:pPr>
        <w:spacing w:line="360" w:lineRule="auto"/>
        <w:jc w:val="center"/>
        <w:rPr>
          <w:rFonts w:ascii="Times New Roman" w:eastAsia="Times New Roman" w:hAnsi="Times New Roman" w:cs="Times New Roman"/>
        </w:rPr>
      </w:pPr>
    </w:p>
    <w:p w14:paraId="56DAD258" w14:textId="77777777" w:rsidR="004322E7" w:rsidRDefault="004322E7">
      <w:pPr>
        <w:spacing w:line="360" w:lineRule="auto"/>
        <w:jc w:val="center"/>
        <w:rPr>
          <w:rFonts w:ascii="Times New Roman" w:eastAsia="Times New Roman" w:hAnsi="Times New Roman" w:cs="Times New Roman"/>
        </w:rPr>
      </w:pPr>
    </w:p>
    <w:p w14:paraId="56DAD259" w14:textId="77777777" w:rsidR="004322E7" w:rsidRDefault="000C275E">
      <w:pPr>
        <w:spacing w:line="360" w:lineRule="auto"/>
        <w:jc w:val="center"/>
        <w:rPr>
          <w:rFonts w:ascii="Times New Roman" w:eastAsia="Times New Roman" w:hAnsi="Times New Roman" w:cs="Times New Roman"/>
          <w:b/>
          <w:bCs/>
        </w:rPr>
      </w:pPr>
      <w:r>
        <w:rPr>
          <w:rFonts w:ascii="Times New Roman" w:eastAsia="Times New Roman" w:hAnsi="Times New Roman" w:cs="Times New Roman"/>
          <w:b/>
          <w:bCs/>
        </w:rPr>
        <w:t>THE IMPACT OF CORPORATE GOVERNANCE AND ESG PERFORMANCE ON THE FINANCIAL PERFORMANCE OF FTSE 350.</w:t>
      </w:r>
    </w:p>
    <w:p w14:paraId="56DAD25A" w14:textId="77777777" w:rsidR="004322E7" w:rsidRDefault="004322E7">
      <w:pPr>
        <w:spacing w:line="360" w:lineRule="auto"/>
        <w:jc w:val="center"/>
        <w:rPr>
          <w:rFonts w:ascii="Times New Roman" w:eastAsia="Times New Roman" w:hAnsi="Times New Roman" w:cs="Times New Roman"/>
        </w:rPr>
      </w:pPr>
    </w:p>
    <w:p w14:paraId="56DAD25B" w14:textId="77777777" w:rsidR="004322E7" w:rsidRDefault="004322E7">
      <w:pPr>
        <w:spacing w:line="360" w:lineRule="auto"/>
        <w:jc w:val="center"/>
        <w:rPr>
          <w:rFonts w:ascii="Times New Roman" w:eastAsia="Times New Roman" w:hAnsi="Times New Roman" w:cs="Times New Roman"/>
        </w:rPr>
      </w:pPr>
    </w:p>
    <w:p w14:paraId="56DAD25C" w14:textId="77777777" w:rsidR="004322E7" w:rsidRDefault="000C275E">
      <w:pPr>
        <w:spacing w:line="360" w:lineRule="auto"/>
        <w:jc w:val="center"/>
        <w:rPr>
          <w:rFonts w:ascii="Times New Roman" w:eastAsia="Times New Roman" w:hAnsi="Times New Roman" w:cs="Times New Roman"/>
        </w:rPr>
      </w:pPr>
      <w:r>
        <w:rPr>
          <w:rFonts w:ascii="Times New Roman" w:eastAsia="Times New Roman" w:hAnsi="Times New Roman" w:cs="Times New Roman"/>
        </w:rPr>
        <w:t>7th AUGUST 2026</w:t>
      </w:r>
    </w:p>
    <w:p w14:paraId="56DAD25D" w14:textId="77777777" w:rsidR="004322E7" w:rsidRDefault="000C275E">
      <w:pPr>
        <w:spacing w:line="360" w:lineRule="auto"/>
        <w:jc w:val="center"/>
        <w:rPr>
          <w:rFonts w:ascii="Times New Roman" w:eastAsia="Times New Roman" w:hAnsi="Times New Roman" w:cs="Times New Roman"/>
        </w:rPr>
      </w:pPr>
      <w:r>
        <w:rPr>
          <w:rFonts w:ascii="Times New Roman" w:eastAsia="Times New Roman" w:hAnsi="Times New Roman" w:cs="Times New Roman"/>
        </w:rPr>
        <w:t>STUDENT: BINA SUBEDI (2512009)</w:t>
      </w:r>
    </w:p>
    <w:p w14:paraId="56DAD25E" w14:textId="77777777" w:rsidR="004322E7" w:rsidRDefault="000C275E">
      <w:pPr>
        <w:spacing w:line="360" w:lineRule="auto"/>
        <w:jc w:val="center"/>
        <w:rPr>
          <w:rFonts w:ascii="Times New Roman" w:eastAsia="Times New Roman" w:hAnsi="Times New Roman" w:cs="Times New Roman"/>
          <w:b/>
          <w:bCs/>
        </w:rPr>
      </w:pPr>
      <w:r>
        <w:rPr>
          <w:rFonts w:ascii="Times New Roman" w:eastAsia="Times New Roman" w:hAnsi="Times New Roman" w:cs="Times New Roman"/>
        </w:rPr>
        <w:t>LECTURER: DR MASUD IBRAHIM</w:t>
      </w:r>
      <w:r>
        <w:rPr>
          <w:rFonts w:ascii="Times New Roman" w:eastAsia="Times New Roman" w:hAnsi="Times New Roman" w:cs="Times New Roman"/>
          <w:b/>
          <w:bCs/>
        </w:rPr>
        <w:t xml:space="preserve"> </w:t>
      </w:r>
    </w:p>
    <w:p w14:paraId="56DAD25F" w14:textId="77777777" w:rsidR="004322E7" w:rsidRDefault="000C275E">
      <w:pPr>
        <w:spacing w:line="360" w:lineRule="auto"/>
        <w:jc w:val="center"/>
        <w:rPr>
          <w:rFonts w:ascii="Times New Roman" w:eastAsia="Times New Roman" w:hAnsi="Times New Roman" w:cs="Times New Roman"/>
        </w:rPr>
      </w:pPr>
      <w:r>
        <w:rPr>
          <w:rFonts w:ascii="Times New Roman" w:eastAsia="Times New Roman" w:hAnsi="Times New Roman" w:cs="Times New Roman"/>
        </w:rPr>
        <w:t>QUANTITATIVE RESEARCH METHODS (LCDB7011)</w:t>
      </w:r>
    </w:p>
    <w:p w14:paraId="56DAD260" w14:textId="77777777" w:rsidR="004322E7" w:rsidRDefault="004322E7">
      <w:pPr>
        <w:spacing w:line="360" w:lineRule="auto"/>
        <w:jc w:val="center"/>
        <w:rPr>
          <w:rFonts w:ascii="Times New Roman" w:eastAsia="Times New Roman" w:hAnsi="Times New Roman" w:cs="Times New Roman"/>
        </w:rPr>
      </w:pPr>
    </w:p>
    <w:p w14:paraId="56DAD261" w14:textId="77777777" w:rsidR="004322E7" w:rsidRDefault="000C275E">
      <w:pPr>
        <w:spacing w:line="360" w:lineRule="auto"/>
        <w:jc w:val="center"/>
        <w:rPr>
          <w:rFonts w:ascii="Times New Roman" w:eastAsia="Times New Roman" w:hAnsi="Times New Roman" w:cs="Times New Roman"/>
        </w:rPr>
      </w:pPr>
      <w:r>
        <w:rPr>
          <w:noProof/>
        </w:rPr>
        <w:drawing>
          <wp:anchor distT="0" distB="0" distL="114300" distR="114300" simplePos="0" relativeHeight="251658240" behindDoc="0" locked="0" layoutInCell="1" hidden="0" allowOverlap="1" wp14:anchorId="56DAD646" wp14:editId="56DAD647">
            <wp:simplePos x="0" y="0"/>
            <wp:positionH relativeFrom="column">
              <wp:posOffset>2014727</wp:posOffset>
            </wp:positionH>
            <wp:positionV relativeFrom="paragraph">
              <wp:posOffset>166645</wp:posOffset>
            </wp:positionV>
            <wp:extent cx="1914144" cy="1218692"/>
            <wp:effectExtent l="0" t="0" r="0" b="0"/>
            <wp:wrapNone/>
            <wp:docPr id="211988720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1914144" cy="1218692"/>
                    </a:xfrm>
                    <a:prstGeom prst="rect">
                      <a:avLst/>
                    </a:prstGeom>
                    <a:ln/>
                  </pic:spPr>
                </pic:pic>
              </a:graphicData>
            </a:graphic>
          </wp:anchor>
        </w:drawing>
      </w:r>
    </w:p>
    <w:p w14:paraId="56DAD262" w14:textId="77777777" w:rsidR="004322E7" w:rsidRDefault="004322E7">
      <w:pPr>
        <w:spacing w:line="360" w:lineRule="auto"/>
        <w:jc w:val="center"/>
        <w:rPr>
          <w:rFonts w:ascii="Times New Roman" w:eastAsia="Times New Roman" w:hAnsi="Times New Roman" w:cs="Times New Roman"/>
        </w:rPr>
      </w:pPr>
    </w:p>
    <w:p w14:paraId="56DAD263" w14:textId="77777777" w:rsidR="004322E7" w:rsidRDefault="004322E7">
      <w:pPr>
        <w:spacing w:line="360" w:lineRule="auto"/>
        <w:jc w:val="both"/>
        <w:rPr>
          <w:rFonts w:ascii="Times New Roman" w:eastAsia="Times New Roman" w:hAnsi="Times New Roman" w:cs="Times New Roman"/>
          <w:b/>
          <w:bCs/>
        </w:rPr>
      </w:pPr>
    </w:p>
    <w:p w14:paraId="56DAD264" w14:textId="77777777" w:rsidR="004322E7" w:rsidRDefault="004322E7">
      <w:pPr>
        <w:spacing w:line="360" w:lineRule="auto"/>
        <w:jc w:val="both"/>
        <w:rPr>
          <w:rFonts w:ascii="Times New Roman" w:eastAsia="Times New Roman" w:hAnsi="Times New Roman" w:cs="Times New Roman"/>
          <w:b/>
          <w:bCs/>
        </w:rPr>
      </w:pPr>
    </w:p>
    <w:p w14:paraId="56DAD265" w14:textId="77777777"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Abstract</w:t>
      </w:r>
    </w:p>
    <w:p w14:paraId="56DAD266" w14:textId="77777777"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Purpose: </w:t>
      </w:r>
      <w:r>
        <w:rPr>
          <w:rFonts w:ascii="Times New Roman" w:eastAsia="Times New Roman" w:hAnsi="Times New Roman" w:cs="Times New Roman"/>
        </w:rPr>
        <w:t>This study investigates whether corporate governance (CG) mechanisms impact financial performance (FP) in FTSE 350 corporations, and if Environmental, Social, Governmental (ESG) performance modifies this connection. It answers to the continuing mixed findings in CG-FP research, as well as the restricted number of FTSE 350 studies that use ESG as a moderator instead of a direct forecast.</w:t>
      </w:r>
    </w:p>
    <w:p w14:paraId="56DAD267" w14:textId="5FEC3C7F"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Design / Methodology: </w:t>
      </w:r>
      <w:r w:rsidR="005761CE">
        <w:rPr>
          <w:rFonts w:ascii="Times New Roman" w:eastAsia="Times New Roman" w:hAnsi="Times New Roman" w:cs="Times New Roman"/>
        </w:rPr>
        <w:t>Grounded</w:t>
      </w:r>
      <w:r>
        <w:rPr>
          <w:rFonts w:ascii="Times New Roman" w:eastAsia="Times New Roman" w:hAnsi="Times New Roman" w:cs="Times New Roman"/>
        </w:rPr>
        <w:t xml:space="preserve"> on agency theory, stakeholder theory, and the resource-based </w:t>
      </w:r>
      <w:r w:rsidR="00E419CB">
        <w:rPr>
          <w:rFonts w:ascii="Times New Roman" w:eastAsia="Times New Roman" w:hAnsi="Times New Roman" w:cs="Times New Roman"/>
        </w:rPr>
        <w:t xml:space="preserve">view </w:t>
      </w:r>
      <w:r>
        <w:rPr>
          <w:rFonts w:ascii="Times New Roman" w:eastAsia="Times New Roman" w:hAnsi="Times New Roman" w:cs="Times New Roman"/>
        </w:rPr>
        <w:t xml:space="preserve">approach, the study </w:t>
      </w:r>
      <w:r w:rsidR="007125C8">
        <w:rPr>
          <w:rFonts w:ascii="Times New Roman" w:eastAsia="Times New Roman" w:hAnsi="Times New Roman" w:cs="Times New Roman"/>
        </w:rPr>
        <w:t>uses</w:t>
      </w:r>
      <w:r>
        <w:rPr>
          <w:rFonts w:ascii="Times New Roman" w:eastAsia="Times New Roman" w:hAnsi="Times New Roman" w:cs="Times New Roman"/>
        </w:rPr>
        <w:t xml:space="preserve"> a quantitative explanatory design with secondary data from the London Stock Exchange Group (LSEG), Yahoo Finance</w:t>
      </w:r>
      <w:r w:rsidR="007125C8">
        <w:rPr>
          <w:rFonts w:ascii="Times New Roman" w:eastAsia="Times New Roman" w:hAnsi="Times New Roman" w:cs="Times New Roman"/>
        </w:rPr>
        <w:t xml:space="preserve"> and annual reports</w:t>
      </w:r>
      <w:r>
        <w:rPr>
          <w:rFonts w:ascii="Times New Roman" w:eastAsia="Times New Roman" w:hAnsi="Times New Roman" w:cs="Times New Roman"/>
        </w:rPr>
        <w:t>. A selective, market capitalisation filtered sample of six FTSE 350 companies is examined. CG is implemented through board independence, board size, CEO duality, ownership concentration, and audit committee effectiveness; ESG performance through LSEG pillar and composite scores; and FP through Return On Assets (ROA) and Return On Equity (ROE). Analytical methods involve utilising descriptive statistics, Pearson correlation, and hierarchical regression with interaction factors.</w:t>
      </w:r>
    </w:p>
    <w:p w14:paraId="56DAD268" w14:textId="13E63E86"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Findings: </w:t>
      </w:r>
      <w:r>
        <w:rPr>
          <w:rFonts w:ascii="Times New Roman" w:eastAsia="Times New Roman" w:hAnsi="Times New Roman" w:cs="Times New Roman"/>
        </w:rPr>
        <w:t xml:space="preserve">CG mechanisms are statistically significant for ROE (p =.038), driven mostly by ownership concentration and annual audit meetings, but have no similar influence on ROA (p =.147). Board independence is moderately significant, while board size has no influence. ESG performance has no substantial direct association with ROA or ROE, and extreme multicollinearity within ESG pillars makes interpretation difficult. The </w:t>
      </w:r>
      <w:r w:rsidR="00D8447C">
        <w:rPr>
          <w:rFonts w:ascii="Times New Roman" w:eastAsia="Times New Roman" w:hAnsi="Times New Roman" w:cs="Times New Roman"/>
        </w:rPr>
        <w:t>four</w:t>
      </w:r>
      <w:r>
        <w:rPr>
          <w:rFonts w:ascii="Times New Roman" w:eastAsia="Times New Roman" w:hAnsi="Times New Roman" w:cs="Times New Roman"/>
        </w:rPr>
        <w:t>-term model (Board Size × ESG,</w:t>
      </w:r>
      <w:r w:rsidR="00673052" w:rsidRPr="00673052">
        <w:rPr>
          <w:rFonts w:ascii="Times New Roman" w:eastAsia="Times New Roman" w:hAnsi="Times New Roman" w:cs="Times New Roman"/>
        </w:rPr>
        <w:t xml:space="preserve"> </w:t>
      </w:r>
      <w:r w:rsidR="00673052">
        <w:rPr>
          <w:rFonts w:ascii="Times New Roman" w:eastAsia="Times New Roman" w:hAnsi="Times New Roman" w:cs="Times New Roman"/>
        </w:rPr>
        <w:t>Board Independence × ESG,</w:t>
      </w:r>
      <w:r>
        <w:rPr>
          <w:rFonts w:ascii="Times New Roman" w:eastAsia="Times New Roman" w:hAnsi="Times New Roman" w:cs="Times New Roman"/>
        </w:rPr>
        <w:t xml:space="preserve"> Ownership Concentration × ESG, Audit Meetings × ESG) is estimable but does not show any significant moderating for ROA or ROE.</w:t>
      </w:r>
    </w:p>
    <w:p w14:paraId="56DAD269" w14:textId="77777777"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Practical Implications: </w:t>
      </w:r>
      <w:r>
        <w:rPr>
          <w:rFonts w:ascii="Times New Roman" w:eastAsia="Times New Roman" w:hAnsi="Times New Roman" w:cs="Times New Roman"/>
        </w:rPr>
        <w:t>The results suggest that governance quality, namely ownership dispersion and audit committee engagement, may be more important for ROE than ROA. Boards and stewardship teams may utilise these insights to favour governance improvements above ESG investments when aiming for accounting-based results. Regulators may also be aware of the methodological hurdles associated with assessing multi-way interactions in tiny FTSE 350 subsamples.</w:t>
      </w:r>
    </w:p>
    <w:p w14:paraId="56DAD26A" w14:textId="77777777"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Originality / Value: </w:t>
      </w:r>
      <w:r>
        <w:rPr>
          <w:rFonts w:ascii="Times New Roman" w:eastAsia="Times New Roman" w:hAnsi="Times New Roman" w:cs="Times New Roman"/>
        </w:rPr>
        <w:t xml:space="preserve">The study combines agency, stakeholder, and resource-based viewpoints into a unified FTSE 350 moderation framework, demonstrating the methodological challenges of </w:t>
      </w:r>
      <w:r>
        <w:rPr>
          <w:rFonts w:ascii="Times New Roman" w:eastAsia="Times New Roman" w:hAnsi="Times New Roman" w:cs="Times New Roman"/>
        </w:rPr>
        <w:lastRenderedPageBreak/>
        <w:t>modelling ESG moderation in small, stratified samples. It makes a theoretical contribution by defining when CG mechanisms link to FP, as well as underlining the situations under which ESG does not modify this relationship.</w:t>
      </w:r>
    </w:p>
    <w:p w14:paraId="56DAD26B" w14:textId="77777777" w:rsidR="004322E7" w:rsidRDefault="000C275E">
      <w:pPr>
        <w:spacing w:before="200" w:line="360" w:lineRule="auto"/>
        <w:jc w:val="both"/>
        <w:rPr>
          <w:rFonts w:ascii="Times New Roman" w:eastAsia="Times New Roman" w:hAnsi="Times New Roman" w:cs="Times New Roman"/>
        </w:rPr>
      </w:pPr>
      <w:r>
        <w:rPr>
          <w:rFonts w:ascii="Times New Roman" w:eastAsia="Times New Roman" w:hAnsi="Times New Roman" w:cs="Times New Roman"/>
          <w:b/>
          <w:bCs/>
        </w:rPr>
        <w:t xml:space="preserve">Keywords: </w:t>
      </w:r>
      <w:r>
        <w:rPr>
          <w:rFonts w:ascii="Times New Roman" w:eastAsia="Times New Roman" w:hAnsi="Times New Roman" w:cs="Times New Roman"/>
        </w:rPr>
        <w:t>Corporate Governance; ESG Performance; Financial Performance; FTSE 350; Agency Theory; Stakeholder Theory; Resource-Based View; Moderation Analysis</w:t>
      </w:r>
    </w:p>
    <w:p w14:paraId="56DAD26C" w14:textId="77777777" w:rsidR="004322E7" w:rsidRDefault="004322E7">
      <w:pPr>
        <w:spacing w:line="360" w:lineRule="auto"/>
        <w:jc w:val="both"/>
        <w:rPr>
          <w:rFonts w:ascii="Times New Roman" w:eastAsia="Times New Roman" w:hAnsi="Times New Roman" w:cs="Times New Roman"/>
        </w:rPr>
      </w:pPr>
    </w:p>
    <w:p w14:paraId="56DAD26D" w14:textId="77777777" w:rsidR="004322E7" w:rsidRDefault="004322E7">
      <w:pPr>
        <w:spacing w:line="360" w:lineRule="auto"/>
        <w:jc w:val="both"/>
        <w:rPr>
          <w:rFonts w:ascii="Times New Roman" w:eastAsia="Times New Roman" w:hAnsi="Times New Roman" w:cs="Times New Roman"/>
        </w:rPr>
      </w:pPr>
    </w:p>
    <w:p w14:paraId="56DAD26E" w14:textId="77777777" w:rsidR="004322E7" w:rsidRDefault="004322E7">
      <w:pPr>
        <w:spacing w:line="360" w:lineRule="auto"/>
        <w:jc w:val="both"/>
        <w:rPr>
          <w:rFonts w:ascii="Times New Roman" w:eastAsia="Times New Roman" w:hAnsi="Times New Roman" w:cs="Times New Roman"/>
        </w:rPr>
      </w:pPr>
    </w:p>
    <w:p w14:paraId="56DAD26F" w14:textId="77777777" w:rsidR="004322E7" w:rsidRDefault="004322E7">
      <w:pPr>
        <w:spacing w:line="360" w:lineRule="auto"/>
        <w:jc w:val="both"/>
        <w:rPr>
          <w:rFonts w:ascii="Times New Roman" w:eastAsia="Times New Roman" w:hAnsi="Times New Roman" w:cs="Times New Roman"/>
        </w:rPr>
      </w:pPr>
    </w:p>
    <w:p w14:paraId="56DAD270" w14:textId="77777777" w:rsidR="004322E7" w:rsidRDefault="004322E7">
      <w:pPr>
        <w:spacing w:line="360" w:lineRule="auto"/>
        <w:jc w:val="both"/>
        <w:rPr>
          <w:rFonts w:ascii="Times New Roman" w:eastAsia="Times New Roman" w:hAnsi="Times New Roman" w:cs="Times New Roman"/>
        </w:rPr>
      </w:pPr>
    </w:p>
    <w:p w14:paraId="56DAD271" w14:textId="77777777" w:rsidR="004322E7" w:rsidRDefault="004322E7">
      <w:pPr>
        <w:spacing w:line="360" w:lineRule="auto"/>
        <w:jc w:val="both"/>
        <w:rPr>
          <w:rFonts w:ascii="Times New Roman" w:eastAsia="Times New Roman" w:hAnsi="Times New Roman" w:cs="Times New Roman"/>
        </w:rPr>
      </w:pPr>
    </w:p>
    <w:p w14:paraId="56DAD272" w14:textId="77777777" w:rsidR="004322E7" w:rsidRDefault="004322E7">
      <w:pPr>
        <w:spacing w:line="360" w:lineRule="auto"/>
        <w:jc w:val="both"/>
        <w:rPr>
          <w:rFonts w:ascii="Times New Roman" w:eastAsia="Times New Roman" w:hAnsi="Times New Roman" w:cs="Times New Roman"/>
        </w:rPr>
      </w:pPr>
    </w:p>
    <w:p w14:paraId="56DAD273" w14:textId="77777777" w:rsidR="004322E7" w:rsidRDefault="004322E7">
      <w:pPr>
        <w:spacing w:line="360" w:lineRule="auto"/>
        <w:jc w:val="both"/>
        <w:rPr>
          <w:rFonts w:ascii="Times New Roman" w:eastAsia="Times New Roman" w:hAnsi="Times New Roman" w:cs="Times New Roman"/>
        </w:rPr>
      </w:pPr>
    </w:p>
    <w:p w14:paraId="56DAD274" w14:textId="77777777" w:rsidR="004322E7" w:rsidRDefault="004322E7">
      <w:pPr>
        <w:spacing w:line="360" w:lineRule="auto"/>
        <w:jc w:val="both"/>
        <w:rPr>
          <w:rFonts w:ascii="Times New Roman" w:eastAsia="Times New Roman" w:hAnsi="Times New Roman" w:cs="Times New Roman"/>
        </w:rPr>
      </w:pPr>
    </w:p>
    <w:p w14:paraId="56DAD275" w14:textId="77777777" w:rsidR="004322E7" w:rsidRDefault="004322E7">
      <w:pPr>
        <w:spacing w:line="360" w:lineRule="auto"/>
        <w:jc w:val="both"/>
        <w:rPr>
          <w:rFonts w:ascii="Times New Roman" w:eastAsia="Times New Roman" w:hAnsi="Times New Roman" w:cs="Times New Roman"/>
        </w:rPr>
      </w:pPr>
    </w:p>
    <w:p w14:paraId="56DAD276" w14:textId="77777777" w:rsidR="004322E7" w:rsidRDefault="004322E7">
      <w:pPr>
        <w:spacing w:line="360" w:lineRule="auto"/>
        <w:jc w:val="both"/>
        <w:rPr>
          <w:rFonts w:ascii="Times New Roman" w:eastAsia="Times New Roman" w:hAnsi="Times New Roman" w:cs="Times New Roman"/>
        </w:rPr>
      </w:pPr>
    </w:p>
    <w:p w14:paraId="56DAD277" w14:textId="77777777" w:rsidR="004322E7" w:rsidRDefault="004322E7">
      <w:pPr>
        <w:spacing w:line="360" w:lineRule="auto"/>
        <w:jc w:val="both"/>
        <w:rPr>
          <w:rFonts w:ascii="Times New Roman" w:eastAsia="Times New Roman" w:hAnsi="Times New Roman" w:cs="Times New Roman"/>
        </w:rPr>
      </w:pPr>
    </w:p>
    <w:p w14:paraId="56DAD278" w14:textId="77777777" w:rsidR="004322E7" w:rsidRDefault="004322E7">
      <w:pPr>
        <w:spacing w:line="360" w:lineRule="auto"/>
        <w:jc w:val="both"/>
        <w:rPr>
          <w:rFonts w:ascii="Times New Roman" w:eastAsia="Times New Roman" w:hAnsi="Times New Roman" w:cs="Times New Roman"/>
        </w:rPr>
      </w:pPr>
    </w:p>
    <w:p w14:paraId="56DAD279" w14:textId="77777777" w:rsidR="004322E7" w:rsidRDefault="004322E7">
      <w:pPr>
        <w:spacing w:line="360" w:lineRule="auto"/>
        <w:jc w:val="both"/>
        <w:rPr>
          <w:rFonts w:ascii="Times New Roman" w:eastAsia="Times New Roman" w:hAnsi="Times New Roman" w:cs="Times New Roman"/>
        </w:rPr>
      </w:pPr>
    </w:p>
    <w:p w14:paraId="56DAD27A" w14:textId="77777777" w:rsidR="004322E7" w:rsidRDefault="004322E7">
      <w:pPr>
        <w:spacing w:line="360" w:lineRule="auto"/>
        <w:jc w:val="both"/>
        <w:rPr>
          <w:rFonts w:ascii="Times New Roman" w:eastAsia="Times New Roman" w:hAnsi="Times New Roman" w:cs="Times New Roman"/>
        </w:rPr>
      </w:pPr>
    </w:p>
    <w:p w14:paraId="56DAD27B" w14:textId="77777777" w:rsidR="004322E7" w:rsidRDefault="004322E7">
      <w:pPr>
        <w:spacing w:line="360" w:lineRule="auto"/>
        <w:jc w:val="both"/>
        <w:rPr>
          <w:rFonts w:ascii="Times New Roman" w:eastAsia="Times New Roman" w:hAnsi="Times New Roman" w:cs="Times New Roman"/>
        </w:rPr>
      </w:pPr>
    </w:p>
    <w:p w14:paraId="05B7BD9B" w14:textId="77777777" w:rsidR="00D91214" w:rsidRDefault="00D91214">
      <w:pPr>
        <w:spacing w:line="360" w:lineRule="auto"/>
        <w:jc w:val="both"/>
        <w:rPr>
          <w:rFonts w:ascii="Times New Roman" w:eastAsia="Times New Roman" w:hAnsi="Times New Roman" w:cs="Times New Roman"/>
        </w:rPr>
      </w:pPr>
    </w:p>
    <w:p w14:paraId="56DAD27C" w14:textId="77777777" w:rsidR="004322E7" w:rsidRDefault="004322E7">
      <w:pPr>
        <w:spacing w:line="360" w:lineRule="auto"/>
        <w:jc w:val="both"/>
        <w:rPr>
          <w:rFonts w:ascii="Times New Roman" w:eastAsia="Times New Roman" w:hAnsi="Times New Roman" w:cs="Times New Roman"/>
        </w:rPr>
      </w:pPr>
    </w:p>
    <w:sdt>
      <w:sdtPr>
        <w:rPr>
          <w:color w:val="auto"/>
          <w:sz w:val="24"/>
          <w:szCs w:val="24"/>
        </w:rPr>
        <w:id w:val="283621101"/>
        <w:docPartObj>
          <w:docPartGallery w:val="Table of Contents"/>
          <w:docPartUnique/>
        </w:docPartObj>
      </w:sdtPr>
      <w:sdtEndPr>
        <w:rPr>
          <w:b/>
          <w:bCs/>
          <w:noProof/>
        </w:rPr>
      </w:sdtEndPr>
      <w:sdtContent>
        <w:p w14:paraId="16523E8A" w14:textId="112D0DB6" w:rsidR="00D4570A" w:rsidRDefault="00D4570A">
          <w:pPr>
            <w:pStyle w:val="TOCHeading"/>
          </w:pPr>
          <w:r w:rsidRPr="00D4570A">
            <w:rPr>
              <w:rFonts w:ascii="Times New Roman" w:hAnsi="Times New Roman" w:cs="Times New Roman"/>
              <w:b/>
              <w:bCs/>
              <w:color w:val="auto"/>
              <w:sz w:val="24"/>
              <w:szCs w:val="24"/>
            </w:rPr>
            <w:t>Table of Contents</w:t>
          </w:r>
        </w:p>
        <w:p w14:paraId="1B81C0D8" w14:textId="3A2C922F" w:rsidR="0078735B" w:rsidRDefault="00D4570A">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237010656" w:history="1">
            <w:r w:rsidR="0078735B" w:rsidRPr="00AB4CE9">
              <w:rPr>
                <w:rStyle w:val="Hyperlink"/>
                <w:rFonts w:ascii="Times New Roman" w:eastAsia="Times New Roman" w:hAnsi="Times New Roman" w:cs="Times New Roman"/>
                <w:b/>
                <w:bCs/>
                <w:noProof/>
              </w:rPr>
              <w:t>1.Introduction</w:t>
            </w:r>
            <w:r w:rsidR="0078735B">
              <w:rPr>
                <w:noProof/>
                <w:webHidden/>
              </w:rPr>
              <w:tab/>
            </w:r>
            <w:r w:rsidR="0078735B">
              <w:rPr>
                <w:noProof/>
                <w:webHidden/>
              </w:rPr>
              <w:fldChar w:fldCharType="begin"/>
            </w:r>
            <w:r w:rsidR="0078735B">
              <w:rPr>
                <w:noProof/>
                <w:webHidden/>
              </w:rPr>
              <w:instrText xml:space="preserve"> PAGEREF _Toc237010656 \h </w:instrText>
            </w:r>
            <w:r w:rsidR="0078735B">
              <w:rPr>
                <w:noProof/>
                <w:webHidden/>
              </w:rPr>
            </w:r>
            <w:r w:rsidR="0078735B">
              <w:rPr>
                <w:noProof/>
                <w:webHidden/>
              </w:rPr>
              <w:fldChar w:fldCharType="separate"/>
            </w:r>
            <w:r w:rsidR="0078735B">
              <w:rPr>
                <w:noProof/>
                <w:webHidden/>
              </w:rPr>
              <w:t>1</w:t>
            </w:r>
            <w:r w:rsidR="0078735B">
              <w:rPr>
                <w:noProof/>
                <w:webHidden/>
              </w:rPr>
              <w:fldChar w:fldCharType="end"/>
            </w:r>
          </w:hyperlink>
        </w:p>
        <w:p w14:paraId="5BCFEA5F" w14:textId="67218327"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57" w:history="1">
            <w:r w:rsidRPr="00AB4CE9">
              <w:rPr>
                <w:rStyle w:val="Hyperlink"/>
                <w:rFonts w:ascii="Times New Roman" w:eastAsia="Times New Roman" w:hAnsi="Times New Roman" w:cs="Times New Roman"/>
                <w:b/>
                <w:bCs/>
                <w:noProof/>
              </w:rPr>
              <w:t>1.1 Background of the study</w:t>
            </w:r>
            <w:r>
              <w:rPr>
                <w:noProof/>
                <w:webHidden/>
              </w:rPr>
              <w:tab/>
            </w:r>
            <w:r>
              <w:rPr>
                <w:noProof/>
                <w:webHidden/>
              </w:rPr>
              <w:fldChar w:fldCharType="begin"/>
            </w:r>
            <w:r>
              <w:rPr>
                <w:noProof/>
                <w:webHidden/>
              </w:rPr>
              <w:instrText xml:space="preserve"> PAGEREF _Toc237010657 \h </w:instrText>
            </w:r>
            <w:r>
              <w:rPr>
                <w:noProof/>
                <w:webHidden/>
              </w:rPr>
            </w:r>
            <w:r>
              <w:rPr>
                <w:noProof/>
                <w:webHidden/>
              </w:rPr>
              <w:fldChar w:fldCharType="separate"/>
            </w:r>
            <w:r>
              <w:rPr>
                <w:noProof/>
                <w:webHidden/>
              </w:rPr>
              <w:t>1</w:t>
            </w:r>
            <w:r>
              <w:rPr>
                <w:noProof/>
                <w:webHidden/>
              </w:rPr>
              <w:fldChar w:fldCharType="end"/>
            </w:r>
          </w:hyperlink>
        </w:p>
        <w:p w14:paraId="525F186D" w14:textId="2F4155BF"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58" w:history="1">
            <w:r w:rsidRPr="00AB4CE9">
              <w:rPr>
                <w:rStyle w:val="Hyperlink"/>
                <w:rFonts w:ascii="Times New Roman" w:eastAsia="Times New Roman" w:hAnsi="Times New Roman" w:cs="Times New Roman"/>
                <w:b/>
                <w:bCs/>
                <w:noProof/>
              </w:rPr>
              <w:t>1.2 Problem of the Statement</w:t>
            </w:r>
            <w:r>
              <w:rPr>
                <w:noProof/>
                <w:webHidden/>
              </w:rPr>
              <w:tab/>
            </w:r>
            <w:r>
              <w:rPr>
                <w:noProof/>
                <w:webHidden/>
              </w:rPr>
              <w:fldChar w:fldCharType="begin"/>
            </w:r>
            <w:r>
              <w:rPr>
                <w:noProof/>
                <w:webHidden/>
              </w:rPr>
              <w:instrText xml:space="preserve"> PAGEREF _Toc237010658 \h </w:instrText>
            </w:r>
            <w:r>
              <w:rPr>
                <w:noProof/>
                <w:webHidden/>
              </w:rPr>
            </w:r>
            <w:r>
              <w:rPr>
                <w:noProof/>
                <w:webHidden/>
              </w:rPr>
              <w:fldChar w:fldCharType="separate"/>
            </w:r>
            <w:r>
              <w:rPr>
                <w:noProof/>
                <w:webHidden/>
              </w:rPr>
              <w:t>2</w:t>
            </w:r>
            <w:r>
              <w:rPr>
                <w:noProof/>
                <w:webHidden/>
              </w:rPr>
              <w:fldChar w:fldCharType="end"/>
            </w:r>
          </w:hyperlink>
        </w:p>
        <w:p w14:paraId="2538E63D" w14:textId="628DD037"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59" w:history="1">
            <w:r w:rsidRPr="00AB4CE9">
              <w:rPr>
                <w:rStyle w:val="Hyperlink"/>
                <w:rFonts w:ascii="Times New Roman" w:eastAsia="Times New Roman" w:hAnsi="Times New Roman" w:cs="Times New Roman"/>
                <w:b/>
                <w:bCs/>
                <w:noProof/>
              </w:rPr>
              <w:t>1.3 Research Question</w:t>
            </w:r>
            <w:r>
              <w:rPr>
                <w:noProof/>
                <w:webHidden/>
              </w:rPr>
              <w:tab/>
            </w:r>
            <w:r>
              <w:rPr>
                <w:noProof/>
                <w:webHidden/>
              </w:rPr>
              <w:fldChar w:fldCharType="begin"/>
            </w:r>
            <w:r>
              <w:rPr>
                <w:noProof/>
                <w:webHidden/>
              </w:rPr>
              <w:instrText xml:space="preserve"> PAGEREF _Toc237010659 \h </w:instrText>
            </w:r>
            <w:r>
              <w:rPr>
                <w:noProof/>
                <w:webHidden/>
              </w:rPr>
            </w:r>
            <w:r>
              <w:rPr>
                <w:noProof/>
                <w:webHidden/>
              </w:rPr>
              <w:fldChar w:fldCharType="separate"/>
            </w:r>
            <w:r>
              <w:rPr>
                <w:noProof/>
                <w:webHidden/>
              </w:rPr>
              <w:t>3</w:t>
            </w:r>
            <w:r>
              <w:rPr>
                <w:noProof/>
                <w:webHidden/>
              </w:rPr>
              <w:fldChar w:fldCharType="end"/>
            </w:r>
          </w:hyperlink>
        </w:p>
        <w:p w14:paraId="12E5876E" w14:textId="587B25B3"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60" w:history="1">
            <w:r w:rsidRPr="00AB4CE9">
              <w:rPr>
                <w:rStyle w:val="Hyperlink"/>
                <w:rFonts w:ascii="Times New Roman" w:eastAsia="Times New Roman" w:hAnsi="Times New Roman" w:cs="Times New Roman"/>
                <w:b/>
                <w:bCs/>
                <w:noProof/>
              </w:rPr>
              <w:t>1.4 Research Aims and objectives</w:t>
            </w:r>
            <w:r>
              <w:rPr>
                <w:noProof/>
                <w:webHidden/>
              </w:rPr>
              <w:tab/>
            </w:r>
            <w:r>
              <w:rPr>
                <w:noProof/>
                <w:webHidden/>
              </w:rPr>
              <w:fldChar w:fldCharType="begin"/>
            </w:r>
            <w:r>
              <w:rPr>
                <w:noProof/>
                <w:webHidden/>
              </w:rPr>
              <w:instrText xml:space="preserve"> PAGEREF _Toc237010660 \h </w:instrText>
            </w:r>
            <w:r>
              <w:rPr>
                <w:noProof/>
                <w:webHidden/>
              </w:rPr>
            </w:r>
            <w:r>
              <w:rPr>
                <w:noProof/>
                <w:webHidden/>
              </w:rPr>
              <w:fldChar w:fldCharType="separate"/>
            </w:r>
            <w:r>
              <w:rPr>
                <w:noProof/>
                <w:webHidden/>
              </w:rPr>
              <w:t>3</w:t>
            </w:r>
            <w:r>
              <w:rPr>
                <w:noProof/>
                <w:webHidden/>
              </w:rPr>
              <w:fldChar w:fldCharType="end"/>
            </w:r>
          </w:hyperlink>
        </w:p>
        <w:p w14:paraId="0A895590" w14:textId="5BEC8AA0"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61" w:history="1">
            <w:r w:rsidRPr="00AB4CE9">
              <w:rPr>
                <w:rStyle w:val="Hyperlink"/>
                <w:rFonts w:ascii="Times New Roman" w:eastAsia="Times New Roman" w:hAnsi="Times New Roman" w:cs="Times New Roman"/>
                <w:b/>
                <w:bCs/>
                <w:noProof/>
              </w:rPr>
              <w:t>1.5 Significance of the Study</w:t>
            </w:r>
            <w:r>
              <w:rPr>
                <w:noProof/>
                <w:webHidden/>
              </w:rPr>
              <w:tab/>
            </w:r>
            <w:r>
              <w:rPr>
                <w:noProof/>
                <w:webHidden/>
              </w:rPr>
              <w:fldChar w:fldCharType="begin"/>
            </w:r>
            <w:r>
              <w:rPr>
                <w:noProof/>
                <w:webHidden/>
              </w:rPr>
              <w:instrText xml:space="preserve"> PAGEREF _Toc237010661 \h </w:instrText>
            </w:r>
            <w:r>
              <w:rPr>
                <w:noProof/>
                <w:webHidden/>
              </w:rPr>
            </w:r>
            <w:r>
              <w:rPr>
                <w:noProof/>
                <w:webHidden/>
              </w:rPr>
              <w:fldChar w:fldCharType="separate"/>
            </w:r>
            <w:r>
              <w:rPr>
                <w:noProof/>
                <w:webHidden/>
              </w:rPr>
              <w:t>3</w:t>
            </w:r>
            <w:r>
              <w:rPr>
                <w:noProof/>
                <w:webHidden/>
              </w:rPr>
              <w:fldChar w:fldCharType="end"/>
            </w:r>
          </w:hyperlink>
        </w:p>
        <w:p w14:paraId="51A43D8B" w14:textId="38196161"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62" w:history="1">
            <w:r w:rsidRPr="00AB4CE9">
              <w:rPr>
                <w:rStyle w:val="Hyperlink"/>
                <w:rFonts w:ascii="Times New Roman" w:eastAsia="Times New Roman" w:hAnsi="Times New Roman" w:cs="Times New Roman"/>
                <w:b/>
                <w:bCs/>
                <w:noProof/>
              </w:rPr>
              <w:t>1.6 Scope and limitation of the study</w:t>
            </w:r>
            <w:r>
              <w:rPr>
                <w:noProof/>
                <w:webHidden/>
              </w:rPr>
              <w:tab/>
            </w:r>
            <w:r>
              <w:rPr>
                <w:noProof/>
                <w:webHidden/>
              </w:rPr>
              <w:fldChar w:fldCharType="begin"/>
            </w:r>
            <w:r>
              <w:rPr>
                <w:noProof/>
                <w:webHidden/>
              </w:rPr>
              <w:instrText xml:space="preserve"> PAGEREF _Toc237010662 \h </w:instrText>
            </w:r>
            <w:r>
              <w:rPr>
                <w:noProof/>
                <w:webHidden/>
              </w:rPr>
            </w:r>
            <w:r>
              <w:rPr>
                <w:noProof/>
                <w:webHidden/>
              </w:rPr>
              <w:fldChar w:fldCharType="separate"/>
            </w:r>
            <w:r>
              <w:rPr>
                <w:noProof/>
                <w:webHidden/>
              </w:rPr>
              <w:t>4</w:t>
            </w:r>
            <w:r>
              <w:rPr>
                <w:noProof/>
                <w:webHidden/>
              </w:rPr>
              <w:fldChar w:fldCharType="end"/>
            </w:r>
          </w:hyperlink>
        </w:p>
        <w:p w14:paraId="24D9DB3C" w14:textId="2BEE748F" w:rsidR="0078735B" w:rsidRDefault="0078735B">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010663" w:history="1">
            <w:r w:rsidRPr="00AB4CE9">
              <w:rPr>
                <w:rStyle w:val="Hyperlink"/>
                <w:rFonts w:ascii="Times New Roman" w:eastAsia="Times New Roman" w:hAnsi="Times New Roman" w:cs="Times New Roman"/>
                <w:b/>
                <w:bCs/>
                <w:noProof/>
              </w:rPr>
              <w:t>2. Literature Review</w:t>
            </w:r>
            <w:r>
              <w:rPr>
                <w:noProof/>
                <w:webHidden/>
              </w:rPr>
              <w:tab/>
            </w:r>
            <w:r>
              <w:rPr>
                <w:noProof/>
                <w:webHidden/>
              </w:rPr>
              <w:fldChar w:fldCharType="begin"/>
            </w:r>
            <w:r>
              <w:rPr>
                <w:noProof/>
                <w:webHidden/>
              </w:rPr>
              <w:instrText xml:space="preserve"> PAGEREF _Toc237010663 \h </w:instrText>
            </w:r>
            <w:r>
              <w:rPr>
                <w:noProof/>
                <w:webHidden/>
              </w:rPr>
            </w:r>
            <w:r>
              <w:rPr>
                <w:noProof/>
                <w:webHidden/>
              </w:rPr>
              <w:fldChar w:fldCharType="separate"/>
            </w:r>
            <w:r>
              <w:rPr>
                <w:noProof/>
                <w:webHidden/>
              </w:rPr>
              <w:t>4</w:t>
            </w:r>
            <w:r>
              <w:rPr>
                <w:noProof/>
                <w:webHidden/>
              </w:rPr>
              <w:fldChar w:fldCharType="end"/>
            </w:r>
          </w:hyperlink>
        </w:p>
        <w:p w14:paraId="54BC4930" w14:textId="23003651"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64" w:history="1">
            <w:r w:rsidRPr="00AB4CE9">
              <w:rPr>
                <w:rStyle w:val="Hyperlink"/>
                <w:rFonts w:ascii="Times New Roman" w:hAnsi="Times New Roman" w:cs="Times New Roman"/>
                <w:b/>
                <w:bCs/>
                <w:noProof/>
              </w:rPr>
              <w:t>2.1 Corporate Governance and Financial Performance</w:t>
            </w:r>
            <w:r>
              <w:rPr>
                <w:noProof/>
                <w:webHidden/>
              </w:rPr>
              <w:tab/>
            </w:r>
            <w:r>
              <w:rPr>
                <w:noProof/>
                <w:webHidden/>
              </w:rPr>
              <w:fldChar w:fldCharType="begin"/>
            </w:r>
            <w:r>
              <w:rPr>
                <w:noProof/>
                <w:webHidden/>
              </w:rPr>
              <w:instrText xml:space="preserve"> PAGEREF _Toc237010664 \h </w:instrText>
            </w:r>
            <w:r>
              <w:rPr>
                <w:noProof/>
                <w:webHidden/>
              </w:rPr>
            </w:r>
            <w:r>
              <w:rPr>
                <w:noProof/>
                <w:webHidden/>
              </w:rPr>
              <w:fldChar w:fldCharType="separate"/>
            </w:r>
            <w:r>
              <w:rPr>
                <w:noProof/>
                <w:webHidden/>
              </w:rPr>
              <w:t>4</w:t>
            </w:r>
            <w:r>
              <w:rPr>
                <w:noProof/>
                <w:webHidden/>
              </w:rPr>
              <w:fldChar w:fldCharType="end"/>
            </w:r>
          </w:hyperlink>
        </w:p>
        <w:p w14:paraId="56509FB6" w14:textId="112C8625"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65" w:history="1">
            <w:r w:rsidRPr="00AB4CE9">
              <w:rPr>
                <w:rStyle w:val="Hyperlink"/>
                <w:rFonts w:ascii="Times New Roman" w:hAnsi="Times New Roman" w:cs="Times New Roman"/>
                <w:b/>
                <w:bCs/>
                <w:noProof/>
              </w:rPr>
              <w:t>2.2 ESG Performance and Financial Performance</w:t>
            </w:r>
            <w:r>
              <w:rPr>
                <w:noProof/>
                <w:webHidden/>
              </w:rPr>
              <w:tab/>
            </w:r>
            <w:r>
              <w:rPr>
                <w:noProof/>
                <w:webHidden/>
              </w:rPr>
              <w:fldChar w:fldCharType="begin"/>
            </w:r>
            <w:r>
              <w:rPr>
                <w:noProof/>
                <w:webHidden/>
              </w:rPr>
              <w:instrText xml:space="preserve"> PAGEREF _Toc237010665 \h </w:instrText>
            </w:r>
            <w:r>
              <w:rPr>
                <w:noProof/>
                <w:webHidden/>
              </w:rPr>
            </w:r>
            <w:r>
              <w:rPr>
                <w:noProof/>
                <w:webHidden/>
              </w:rPr>
              <w:fldChar w:fldCharType="separate"/>
            </w:r>
            <w:r>
              <w:rPr>
                <w:noProof/>
                <w:webHidden/>
              </w:rPr>
              <w:t>7</w:t>
            </w:r>
            <w:r>
              <w:rPr>
                <w:noProof/>
                <w:webHidden/>
              </w:rPr>
              <w:fldChar w:fldCharType="end"/>
            </w:r>
          </w:hyperlink>
        </w:p>
        <w:p w14:paraId="6E0BEAD2" w14:textId="79D99132"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66" w:history="1">
            <w:r w:rsidRPr="00AB4CE9">
              <w:rPr>
                <w:rStyle w:val="Hyperlink"/>
                <w:rFonts w:ascii="Times New Roman" w:hAnsi="Times New Roman" w:cs="Times New Roman"/>
                <w:b/>
                <w:bCs/>
                <w:noProof/>
              </w:rPr>
              <w:t>2.3 ESG as a Moderating Variable</w:t>
            </w:r>
            <w:r>
              <w:rPr>
                <w:noProof/>
                <w:webHidden/>
              </w:rPr>
              <w:tab/>
            </w:r>
            <w:r>
              <w:rPr>
                <w:noProof/>
                <w:webHidden/>
              </w:rPr>
              <w:fldChar w:fldCharType="begin"/>
            </w:r>
            <w:r>
              <w:rPr>
                <w:noProof/>
                <w:webHidden/>
              </w:rPr>
              <w:instrText xml:space="preserve"> PAGEREF _Toc237010666 \h </w:instrText>
            </w:r>
            <w:r>
              <w:rPr>
                <w:noProof/>
                <w:webHidden/>
              </w:rPr>
            </w:r>
            <w:r>
              <w:rPr>
                <w:noProof/>
                <w:webHidden/>
              </w:rPr>
              <w:fldChar w:fldCharType="separate"/>
            </w:r>
            <w:r>
              <w:rPr>
                <w:noProof/>
                <w:webHidden/>
              </w:rPr>
              <w:t>9</w:t>
            </w:r>
            <w:r>
              <w:rPr>
                <w:noProof/>
                <w:webHidden/>
              </w:rPr>
              <w:fldChar w:fldCharType="end"/>
            </w:r>
          </w:hyperlink>
        </w:p>
        <w:p w14:paraId="5A3C7518" w14:textId="779F0134"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67" w:history="1">
            <w:r w:rsidRPr="00AB4CE9">
              <w:rPr>
                <w:rStyle w:val="Hyperlink"/>
                <w:rFonts w:ascii="Times New Roman" w:eastAsia="Times New Roman" w:hAnsi="Times New Roman" w:cs="Times New Roman"/>
                <w:b/>
                <w:bCs/>
                <w:noProof/>
              </w:rPr>
              <w:t>2.4 Conceptual Framework</w:t>
            </w:r>
            <w:r>
              <w:rPr>
                <w:noProof/>
                <w:webHidden/>
              </w:rPr>
              <w:tab/>
            </w:r>
            <w:r>
              <w:rPr>
                <w:noProof/>
                <w:webHidden/>
              </w:rPr>
              <w:fldChar w:fldCharType="begin"/>
            </w:r>
            <w:r>
              <w:rPr>
                <w:noProof/>
                <w:webHidden/>
              </w:rPr>
              <w:instrText xml:space="preserve"> PAGEREF _Toc237010667 \h </w:instrText>
            </w:r>
            <w:r>
              <w:rPr>
                <w:noProof/>
                <w:webHidden/>
              </w:rPr>
            </w:r>
            <w:r>
              <w:rPr>
                <w:noProof/>
                <w:webHidden/>
              </w:rPr>
              <w:fldChar w:fldCharType="separate"/>
            </w:r>
            <w:r>
              <w:rPr>
                <w:noProof/>
                <w:webHidden/>
              </w:rPr>
              <w:t>10</w:t>
            </w:r>
            <w:r>
              <w:rPr>
                <w:noProof/>
                <w:webHidden/>
              </w:rPr>
              <w:fldChar w:fldCharType="end"/>
            </w:r>
          </w:hyperlink>
        </w:p>
        <w:p w14:paraId="5C650ED5" w14:textId="1321B767"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68" w:history="1">
            <w:r w:rsidRPr="00AB4CE9">
              <w:rPr>
                <w:rStyle w:val="Hyperlink"/>
                <w:rFonts w:ascii="Times New Roman" w:eastAsia="Times New Roman" w:hAnsi="Times New Roman" w:cs="Times New Roman"/>
                <w:b/>
                <w:bCs/>
                <w:noProof/>
              </w:rPr>
              <w:t>2.5 Theoretical Foundations</w:t>
            </w:r>
            <w:r>
              <w:rPr>
                <w:noProof/>
                <w:webHidden/>
              </w:rPr>
              <w:tab/>
            </w:r>
            <w:r>
              <w:rPr>
                <w:noProof/>
                <w:webHidden/>
              </w:rPr>
              <w:fldChar w:fldCharType="begin"/>
            </w:r>
            <w:r>
              <w:rPr>
                <w:noProof/>
                <w:webHidden/>
              </w:rPr>
              <w:instrText xml:space="preserve"> PAGEREF _Toc237010668 \h </w:instrText>
            </w:r>
            <w:r>
              <w:rPr>
                <w:noProof/>
                <w:webHidden/>
              </w:rPr>
            </w:r>
            <w:r>
              <w:rPr>
                <w:noProof/>
                <w:webHidden/>
              </w:rPr>
              <w:fldChar w:fldCharType="separate"/>
            </w:r>
            <w:r>
              <w:rPr>
                <w:noProof/>
                <w:webHidden/>
              </w:rPr>
              <w:t>10</w:t>
            </w:r>
            <w:r>
              <w:rPr>
                <w:noProof/>
                <w:webHidden/>
              </w:rPr>
              <w:fldChar w:fldCharType="end"/>
            </w:r>
          </w:hyperlink>
        </w:p>
        <w:p w14:paraId="2BF6D78C" w14:textId="13D64E11"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69" w:history="1">
            <w:r w:rsidRPr="00AB4CE9">
              <w:rPr>
                <w:rStyle w:val="Hyperlink"/>
                <w:rFonts w:ascii="Times New Roman" w:eastAsia="Times New Roman" w:hAnsi="Times New Roman" w:cs="Times New Roman"/>
                <w:b/>
                <w:bCs/>
                <w:noProof/>
              </w:rPr>
              <w:t>2.6 Philosophical Underpinning</w:t>
            </w:r>
            <w:r>
              <w:rPr>
                <w:noProof/>
                <w:webHidden/>
              </w:rPr>
              <w:tab/>
            </w:r>
            <w:r>
              <w:rPr>
                <w:noProof/>
                <w:webHidden/>
              </w:rPr>
              <w:fldChar w:fldCharType="begin"/>
            </w:r>
            <w:r>
              <w:rPr>
                <w:noProof/>
                <w:webHidden/>
              </w:rPr>
              <w:instrText xml:space="preserve"> PAGEREF _Toc237010669 \h </w:instrText>
            </w:r>
            <w:r>
              <w:rPr>
                <w:noProof/>
                <w:webHidden/>
              </w:rPr>
            </w:r>
            <w:r>
              <w:rPr>
                <w:noProof/>
                <w:webHidden/>
              </w:rPr>
              <w:fldChar w:fldCharType="separate"/>
            </w:r>
            <w:r>
              <w:rPr>
                <w:noProof/>
                <w:webHidden/>
              </w:rPr>
              <w:t>11</w:t>
            </w:r>
            <w:r>
              <w:rPr>
                <w:noProof/>
                <w:webHidden/>
              </w:rPr>
              <w:fldChar w:fldCharType="end"/>
            </w:r>
          </w:hyperlink>
        </w:p>
        <w:p w14:paraId="37B7EB5A" w14:textId="2ED1E5A1" w:rsidR="0078735B" w:rsidRDefault="0078735B">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010670" w:history="1">
            <w:r w:rsidRPr="00AB4CE9">
              <w:rPr>
                <w:rStyle w:val="Hyperlink"/>
                <w:rFonts w:ascii="Times New Roman" w:eastAsia="Times New Roman" w:hAnsi="Times New Roman" w:cs="Times New Roman"/>
                <w:b/>
                <w:bCs/>
                <w:noProof/>
              </w:rPr>
              <w:t>3. Research Methodology</w:t>
            </w:r>
            <w:r>
              <w:rPr>
                <w:noProof/>
                <w:webHidden/>
              </w:rPr>
              <w:tab/>
            </w:r>
            <w:r>
              <w:rPr>
                <w:noProof/>
                <w:webHidden/>
              </w:rPr>
              <w:fldChar w:fldCharType="begin"/>
            </w:r>
            <w:r>
              <w:rPr>
                <w:noProof/>
                <w:webHidden/>
              </w:rPr>
              <w:instrText xml:space="preserve"> PAGEREF _Toc237010670 \h </w:instrText>
            </w:r>
            <w:r>
              <w:rPr>
                <w:noProof/>
                <w:webHidden/>
              </w:rPr>
            </w:r>
            <w:r>
              <w:rPr>
                <w:noProof/>
                <w:webHidden/>
              </w:rPr>
              <w:fldChar w:fldCharType="separate"/>
            </w:r>
            <w:r>
              <w:rPr>
                <w:noProof/>
                <w:webHidden/>
              </w:rPr>
              <w:t>12</w:t>
            </w:r>
            <w:r>
              <w:rPr>
                <w:noProof/>
                <w:webHidden/>
              </w:rPr>
              <w:fldChar w:fldCharType="end"/>
            </w:r>
          </w:hyperlink>
        </w:p>
        <w:p w14:paraId="25CCBF34" w14:textId="03DEDC9A"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71" w:history="1">
            <w:r w:rsidRPr="00AB4CE9">
              <w:rPr>
                <w:rStyle w:val="Hyperlink"/>
                <w:rFonts w:ascii="Times New Roman" w:eastAsia="Times New Roman" w:hAnsi="Times New Roman" w:cs="Times New Roman"/>
                <w:b/>
                <w:bCs/>
                <w:noProof/>
              </w:rPr>
              <w:t>3.1 Research Design</w:t>
            </w:r>
            <w:r>
              <w:rPr>
                <w:noProof/>
                <w:webHidden/>
              </w:rPr>
              <w:tab/>
            </w:r>
            <w:r>
              <w:rPr>
                <w:noProof/>
                <w:webHidden/>
              </w:rPr>
              <w:fldChar w:fldCharType="begin"/>
            </w:r>
            <w:r>
              <w:rPr>
                <w:noProof/>
                <w:webHidden/>
              </w:rPr>
              <w:instrText xml:space="preserve"> PAGEREF _Toc237010671 \h </w:instrText>
            </w:r>
            <w:r>
              <w:rPr>
                <w:noProof/>
                <w:webHidden/>
              </w:rPr>
            </w:r>
            <w:r>
              <w:rPr>
                <w:noProof/>
                <w:webHidden/>
              </w:rPr>
              <w:fldChar w:fldCharType="separate"/>
            </w:r>
            <w:r>
              <w:rPr>
                <w:noProof/>
                <w:webHidden/>
              </w:rPr>
              <w:t>12</w:t>
            </w:r>
            <w:r>
              <w:rPr>
                <w:noProof/>
                <w:webHidden/>
              </w:rPr>
              <w:fldChar w:fldCharType="end"/>
            </w:r>
          </w:hyperlink>
        </w:p>
        <w:p w14:paraId="3ACFE9C2" w14:textId="7F15507F"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72" w:history="1">
            <w:r w:rsidRPr="00AB4CE9">
              <w:rPr>
                <w:rStyle w:val="Hyperlink"/>
                <w:rFonts w:ascii="Times New Roman" w:eastAsia="Times New Roman" w:hAnsi="Times New Roman" w:cs="Times New Roman"/>
                <w:b/>
                <w:bCs/>
                <w:noProof/>
              </w:rPr>
              <w:t>3.2 Data Sources and Collection Methods</w:t>
            </w:r>
            <w:r>
              <w:rPr>
                <w:noProof/>
                <w:webHidden/>
              </w:rPr>
              <w:tab/>
            </w:r>
            <w:r>
              <w:rPr>
                <w:noProof/>
                <w:webHidden/>
              </w:rPr>
              <w:fldChar w:fldCharType="begin"/>
            </w:r>
            <w:r>
              <w:rPr>
                <w:noProof/>
                <w:webHidden/>
              </w:rPr>
              <w:instrText xml:space="preserve"> PAGEREF _Toc237010672 \h </w:instrText>
            </w:r>
            <w:r>
              <w:rPr>
                <w:noProof/>
                <w:webHidden/>
              </w:rPr>
            </w:r>
            <w:r>
              <w:rPr>
                <w:noProof/>
                <w:webHidden/>
              </w:rPr>
              <w:fldChar w:fldCharType="separate"/>
            </w:r>
            <w:r>
              <w:rPr>
                <w:noProof/>
                <w:webHidden/>
              </w:rPr>
              <w:t>13</w:t>
            </w:r>
            <w:r>
              <w:rPr>
                <w:noProof/>
                <w:webHidden/>
              </w:rPr>
              <w:fldChar w:fldCharType="end"/>
            </w:r>
          </w:hyperlink>
        </w:p>
        <w:p w14:paraId="55479656" w14:textId="681AD18F"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73" w:history="1">
            <w:r w:rsidRPr="00AB4CE9">
              <w:rPr>
                <w:rStyle w:val="Hyperlink"/>
                <w:rFonts w:ascii="Times New Roman" w:eastAsia="Times New Roman" w:hAnsi="Times New Roman" w:cs="Times New Roman"/>
                <w:b/>
                <w:bCs/>
                <w:noProof/>
              </w:rPr>
              <w:t>3.3 Sampling Techniques</w:t>
            </w:r>
            <w:r>
              <w:rPr>
                <w:noProof/>
                <w:webHidden/>
              </w:rPr>
              <w:tab/>
            </w:r>
            <w:r>
              <w:rPr>
                <w:noProof/>
                <w:webHidden/>
              </w:rPr>
              <w:fldChar w:fldCharType="begin"/>
            </w:r>
            <w:r>
              <w:rPr>
                <w:noProof/>
                <w:webHidden/>
              </w:rPr>
              <w:instrText xml:space="preserve"> PAGEREF _Toc237010673 \h </w:instrText>
            </w:r>
            <w:r>
              <w:rPr>
                <w:noProof/>
                <w:webHidden/>
              </w:rPr>
            </w:r>
            <w:r>
              <w:rPr>
                <w:noProof/>
                <w:webHidden/>
              </w:rPr>
              <w:fldChar w:fldCharType="separate"/>
            </w:r>
            <w:r>
              <w:rPr>
                <w:noProof/>
                <w:webHidden/>
              </w:rPr>
              <w:t>14</w:t>
            </w:r>
            <w:r>
              <w:rPr>
                <w:noProof/>
                <w:webHidden/>
              </w:rPr>
              <w:fldChar w:fldCharType="end"/>
            </w:r>
          </w:hyperlink>
        </w:p>
        <w:p w14:paraId="365F396F" w14:textId="07B761B6"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74" w:history="1">
            <w:r w:rsidRPr="00AB4CE9">
              <w:rPr>
                <w:rStyle w:val="Hyperlink"/>
                <w:rFonts w:ascii="Times New Roman" w:eastAsia="Times New Roman" w:hAnsi="Times New Roman" w:cs="Times New Roman"/>
                <w:b/>
                <w:bCs/>
                <w:noProof/>
              </w:rPr>
              <w:t>3.4 Operationalisation of variables</w:t>
            </w:r>
            <w:r>
              <w:rPr>
                <w:noProof/>
                <w:webHidden/>
              </w:rPr>
              <w:tab/>
            </w:r>
            <w:r>
              <w:rPr>
                <w:noProof/>
                <w:webHidden/>
              </w:rPr>
              <w:fldChar w:fldCharType="begin"/>
            </w:r>
            <w:r>
              <w:rPr>
                <w:noProof/>
                <w:webHidden/>
              </w:rPr>
              <w:instrText xml:space="preserve"> PAGEREF _Toc237010674 \h </w:instrText>
            </w:r>
            <w:r>
              <w:rPr>
                <w:noProof/>
                <w:webHidden/>
              </w:rPr>
            </w:r>
            <w:r>
              <w:rPr>
                <w:noProof/>
                <w:webHidden/>
              </w:rPr>
              <w:fldChar w:fldCharType="separate"/>
            </w:r>
            <w:r>
              <w:rPr>
                <w:noProof/>
                <w:webHidden/>
              </w:rPr>
              <w:t>14</w:t>
            </w:r>
            <w:r>
              <w:rPr>
                <w:noProof/>
                <w:webHidden/>
              </w:rPr>
              <w:fldChar w:fldCharType="end"/>
            </w:r>
          </w:hyperlink>
        </w:p>
        <w:p w14:paraId="7E2B2924" w14:textId="37D57B4A"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75" w:history="1">
            <w:r w:rsidRPr="00AB4CE9">
              <w:rPr>
                <w:rStyle w:val="Hyperlink"/>
                <w:rFonts w:ascii="Times New Roman" w:eastAsia="Times New Roman" w:hAnsi="Times New Roman" w:cs="Times New Roman"/>
                <w:b/>
                <w:bCs/>
                <w:noProof/>
              </w:rPr>
              <w:t>3.5 Data Analysis Techniques</w:t>
            </w:r>
            <w:r>
              <w:rPr>
                <w:noProof/>
                <w:webHidden/>
              </w:rPr>
              <w:tab/>
            </w:r>
            <w:r>
              <w:rPr>
                <w:noProof/>
                <w:webHidden/>
              </w:rPr>
              <w:fldChar w:fldCharType="begin"/>
            </w:r>
            <w:r>
              <w:rPr>
                <w:noProof/>
                <w:webHidden/>
              </w:rPr>
              <w:instrText xml:space="preserve"> PAGEREF _Toc237010675 \h </w:instrText>
            </w:r>
            <w:r>
              <w:rPr>
                <w:noProof/>
                <w:webHidden/>
              </w:rPr>
            </w:r>
            <w:r>
              <w:rPr>
                <w:noProof/>
                <w:webHidden/>
              </w:rPr>
              <w:fldChar w:fldCharType="separate"/>
            </w:r>
            <w:r>
              <w:rPr>
                <w:noProof/>
                <w:webHidden/>
              </w:rPr>
              <w:t>14</w:t>
            </w:r>
            <w:r>
              <w:rPr>
                <w:noProof/>
                <w:webHidden/>
              </w:rPr>
              <w:fldChar w:fldCharType="end"/>
            </w:r>
          </w:hyperlink>
        </w:p>
        <w:p w14:paraId="58D657C4" w14:textId="35D665AD"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76" w:history="1">
            <w:r w:rsidRPr="00AB4CE9">
              <w:rPr>
                <w:rStyle w:val="Hyperlink"/>
                <w:rFonts w:ascii="Times New Roman" w:eastAsia="Times New Roman" w:hAnsi="Times New Roman" w:cs="Times New Roman"/>
                <w:b/>
                <w:bCs/>
                <w:noProof/>
              </w:rPr>
              <w:t>3.6 Ethical consideration</w:t>
            </w:r>
            <w:r>
              <w:rPr>
                <w:noProof/>
                <w:webHidden/>
              </w:rPr>
              <w:tab/>
            </w:r>
            <w:r>
              <w:rPr>
                <w:noProof/>
                <w:webHidden/>
              </w:rPr>
              <w:fldChar w:fldCharType="begin"/>
            </w:r>
            <w:r>
              <w:rPr>
                <w:noProof/>
                <w:webHidden/>
              </w:rPr>
              <w:instrText xml:space="preserve"> PAGEREF _Toc237010676 \h </w:instrText>
            </w:r>
            <w:r>
              <w:rPr>
                <w:noProof/>
                <w:webHidden/>
              </w:rPr>
            </w:r>
            <w:r>
              <w:rPr>
                <w:noProof/>
                <w:webHidden/>
              </w:rPr>
              <w:fldChar w:fldCharType="separate"/>
            </w:r>
            <w:r>
              <w:rPr>
                <w:noProof/>
                <w:webHidden/>
              </w:rPr>
              <w:t>15</w:t>
            </w:r>
            <w:r>
              <w:rPr>
                <w:noProof/>
                <w:webHidden/>
              </w:rPr>
              <w:fldChar w:fldCharType="end"/>
            </w:r>
          </w:hyperlink>
        </w:p>
        <w:p w14:paraId="31F1E6A0" w14:textId="211D3CE8" w:rsidR="0078735B" w:rsidRDefault="0078735B">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010677" w:history="1">
            <w:r w:rsidRPr="00AB4CE9">
              <w:rPr>
                <w:rStyle w:val="Hyperlink"/>
                <w:rFonts w:ascii="Times New Roman" w:eastAsia="Times New Roman" w:hAnsi="Times New Roman" w:cs="Times New Roman"/>
                <w:b/>
                <w:bCs/>
                <w:noProof/>
              </w:rPr>
              <w:t>4. Data Analysis and Findings</w:t>
            </w:r>
            <w:r>
              <w:rPr>
                <w:noProof/>
                <w:webHidden/>
              </w:rPr>
              <w:tab/>
            </w:r>
            <w:r>
              <w:rPr>
                <w:noProof/>
                <w:webHidden/>
              </w:rPr>
              <w:fldChar w:fldCharType="begin"/>
            </w:r>
            <w:r>
              <w:rPr>
                <w:noProof/>
                <w:webHidden/>
              </w:rPr>
              <w:instrText xml:space="preserve"> PAGEREF _Toc237010677 \h </w:instrText>
            </w:r>
            <w:r>
              <w:rPr>
                <w:noProof/>
                <w:webHidden/>
              </w:rPr>
            </w:r>
            <w:r>
              <w:rPr>
                <w:noProof/>
                <w:webHidden/>
              </w:rPr>
              <w:fldChar w:fldCharType="separate"/>
            </w:r>
            <w:r>
              <w:rPr>
                <w:noProof/>
                <w:webHidden/>
              </w:rPr>
              <w:t>16</w:t>
            </w:r>
            <w:r>
              <w:rPr>
                <w:noProof/>
                <w:webHidden/>
              </w:rPr>
              <w:fldChar w:fldCharType="end"/>
            </w:r>
          </w:hyperlink>
        </w:p>
        <w:p w14:paraId="28295B99" w14:textId="6354987D"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78" w:history="1">
            <w:r w:rsidRPr="00AB4CE9">
              <w:rPr>
                <w:rStyle w:val="Hyperlink"/>
                <w:rFonts w:ascii="Times New Roman" w:eastAsia="Times New Roman" w:hAnsi="Times New Roman" w:cs="Times New Roman"/>
                <w:b/>
                <w:bCs/>
                <w:noProof/>
              </w:rPr>
              <w:t>4.1 Descriptive Statistics Analysis</w:t>
            </w:r>
            <w:r>
              <w:rPr>
                <w:noProof/>
                <w:webHidden/>
              </w:rPr>
              <w:tab/>
            </w:r>
            <w:r>
              <w:rPr>
                <w:noProof/>
                <w:webHidden/>
              </w:rPr>
              <w:fldChar w:fldCharType="begin"/>
            </w:r>
            <w:r>
              <w:rPr>
                <w:noProof/>
                <w:webHidden/>
              </w:rPr>
              <w:instrText xml:space="preserve"> PAGEREF _Toc237010678 \h </w:instrText>
            </w:r>
            <w:r>
              <w:rPr>
                <w:noProof/>
                <w:webHidden/>
              </w:rPr>
            </w:r>
            <w:r>
              <w:rPr>
                <w:noProof/>
                <w:webHidden/>
              </w:rPr>
              <w:fldChar w:fldCharType="separate"/>
            </w:r>
            <w:r>
              <w:rPr>
                <w:noProof/>
                <w:webHidden/>
              </w:rPr>
              <w:t>16</w:t>
            </w:r>
            <w:r>
              <w:rPr>
                <w:noProof/>
                <w:webHidden/>
              </w:rPr>
              <w:fldChar w:fldCharType="end"/>
            </w:r>
          </w:hyperlink>
        </w:p>
        <w:p w14:paraId="55ABBD65" w14:textId="007BD47A" w:rsidR="0078735B" w:rsidRDefault="0078735B">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7010679" w:history="1">
            <w:r w:rsidRPr="00AB4CE9">
              <w:rPr>
                <w:rStyle w:val="Hyperlink"/>
                <w:rFonts w:ascii="Times New Roman" w:eastAsia="Times New Roman" w:hAnsi="Times New Roman" w:cs="Times New Roman"/>
                <w:b/>
                <w:bCs/>
                <w:noProof/>
              </w:rPr>
              <w:t>4.1.1 Corporate Governance Variables</w:t>
            </w:r>
            <w:r>
              <w:rPr>
                <w:noProof/>
                <w:webHidden/>
              </w:rPr>
              <w:tab/>
            </w:r>
            <w:r>
              <w:rPr>
                <w:noProof/>
                <w:webHidden/>
              </w:rPr>
              <w:fldChar w:fldCharType="begin"/>
            </w:r>
            <w:r>
              <w:rPr>
                <w:noProof/>
                <w:webHidden/>
              </w:rPr>
              <w:instrText xml:space="preserve"> PAGEREF _Toc237010679 \h </w:instrText>
            </w:r>
            <w:r>
              <w:rPr>
                <w:noProof/>
                <w:webHidden/>
              </w:rPr>
            </w:r>
            <w:r>
              <w:rPr>
                <w:noProof/>
                <w:webHidden/>
              </w:rPr>
              <w:fldChar w:fldCharType="separate"/>
            </w:r>
            <w:r>
              <w:rPr>
                <w:noProof/>
                <w:webHidden/>
              </w:rPr>
              <w:t>16</w:t>
            </w:r>
            <w:r>
              <w:rPr>
                <w:noProof/>
                <w:webHidden/>
              </w:rPr>
              <w:fldChar w:fldCharType="end"/>
            </w:r>
          </w:hyperlink>
        </w:p>
        <w:p w14:paraId="388DAA1A" w14:textId="065DD2F1" w:rsidR="0078735B" w:rsidRDefault="0078735B">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7010680" w:history="1">
            <w:r w:rsidRPr="00AB4CE9">
              <w:rPr>
                <w:rStyle w:val="Hyperlink"/>
                <w:rFonts w:ascii="Times New Roman" w:eastAsia="Times New Roman" w:hAnsi="Times New Roman" w:cs="Times New Roman"/>
                <w:b/>
                <w:bCs/>
                <w:noProof/>
              </w:rPr>
              <w:t>4.1.2 ESG Performance Variables</w:t>
            </w:r>
            <w:r>
              <w:rPr>
                <w:noProof/>
                <w:webHidden/>
              </w:rPr>
              <w:tab/>
            </w:r>
            <w:r>
              <w:rPr>
                <w:noProof/>
                <w:webHidden/>
              </w:rPr>
              <w:fldChar w:fldCharType="begin"/>
            </w:r>
            <w:r>
              <w:rPr>
                <w:noProof/>
                <w:webHidden/>
              </w:rPr>
              <w:instrText xml:space="preserve"> PAGEREF _Toc237010680 \h </w:instrText>
            </w:r>
            <w:r>
              <w:rPr>
                <w:noProof/>
                <w:webHidden/>
              </w:rPr>
            </w:r>
            <w:r>
              <w:rPr>
                <w:noProof/>
                <w:webHidden/>
              </w:rPr>
              <w:fldChar w:fldCharType="separate"/>
            </w:r>
            <w:r>
              <w:rPr>
                <w:noProof/>
                <w:webHidden/>
              </w:rPr>
              <w:t>17</w:t>
            </w:r>
            <w:r>
              <w:rPr>
                <w:noProof/>
                <w:webHidden/>
              </w:rPr>
              <w:fldChar w:fldCharType="end"/>
            </w:r>
          </w:hyperlink>
        </w:p>
        <w:p w14:paraId="2DC37C31" w14:textId="2EBB63AD" w:rsidR="0078735B" w:rsidRDefault="0078735B">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7010681" w:history="1">
            <w:r w:rsidRPr="00AB4CE9">
              <w:rPr>
                <w:rStyle w:val="Hyperlink"/>
                <w:rFonts w:ascii="Times New Roman" w:eastAsia="Times New Roman" w:hAnsi="Times New Roman" w:cs="Times New Roman"/>
                <w:b/>
                <w:bCs/>
                <w:noProof/>
              </w:rPr>
              <w:t>4.1.3 Financial Performance Variables</w:t>
            </w:r>
            <w:r>
              <w:rPr>
                <w:noProof/>
                <w:webHidden/>
              </w:rPr>
              <w:tab/>
            </w:r>
            <w:r>
              <w:rPr>
                <w:noProof/>
                <w:webHidden/>
              </w:rPr>
              <w:fldChar w:fldCharType="begin"/>
            </w:r>
            <w:r>
              <w:rPr>
                <w:noProof/>
                <w:webHidden/>
              </w:rPr>
              <w:instrText xml:space="preserve"> PAGEREF _Toc237010681 \h </w:instrText>
            </w:r>
            <w:r>
              <w:rPr>
                <w:noProof/>
                <w:webHidden/>
              </w:rPr>
            </w:r>
            <w:r>
              <w:rPr>
                <w:noProof/>
                <w:webHidden/>
              </w:rPr>
              <w:fldChar w:fldCharType="separate"/>
            </w:r>
            <w:r>
              <w:rPr>
                <w:noProof/>
                <w:webHidden/>
              </w:rPr>
              <w:t>18</w:t>
            </w:r>
            <w:r>
              <w:rPr>
                <w:noProof/>
                <w:webHidden/>
              </w:rPr>
              <w:fldChar w:fldCharType="end"/>
            </w:r>
          </w:hyperlink>
        </w:p>
        <w:p w14:paraId="3F8027FC" w14:textId="1BA8AADA"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82" w:history="1">
            <w:r w:rsidRPr="00AB4CE9">
              <w:rPr>
                <w:rStyle w:val="Hyperlink"/>
                <w:rFonts w:ascii="Times New Roman" w:eastAsia="Times New Roman" w:hAnsi="Times New Roman" w:cs="Times New Roman"/>
                <w:b/>
                <w:bCs/>
                <w:noProof/>
              </w:rPr>
              <w:t>4.2 Correlation Analysis</w:t>
            </w:r>
            <w:r>
              <w:rPr>
                <w:noProof/>
                <w:webHidden/>
              </w:rPr>
              <w:tab/>
            </w:r>
            <w:r>
              <w:rPr>
                <w:noProof/>
                <w:webHidden/>
              </w:rPr>
              <w:fldChar w:fldCharType="begin"/>
            </w:r>
            <w:r>
              <w:rPr>
                <w:noProof/>
                <w:webHidden/>
              </w:rPr>
              <w:instrText xml:space="preserve"> PAGEREF _Toc237010682 \h </w:instrText>
            </w:r>
            <w:r>
              <w:rPr>
                <w:noProof/>
                <w:webHidden/>
              </w:rPr>
            </w:r>
            <w:r>
              <w:rPr>
                <w:noProof/>
                <w:webHidden/>
              </w:rPr>
              <w:fldChar w:fldCharType="separate"/>
            </w:r>
            <w:r>
              <w:rPr>
                <w:noProof/>
                <w:webHidden/>
              </w:rPr>
              <w:t>19</w:t>
            </w:r>
            <w:r>
              <w:rPr>
                <w:noProof/>
                <w:webHidden/>
              </w:rPr>
              <w:fldChar w:fldCharType="end"/>
            </w:r>
          </w:hyperlink>
        </w:p>
        <w:p w14:paraId="328AD3A0" w14:textId="49D89468"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83" w:history="1">
            <w:r w:rsidRPr="00AB4CE9">
              <w:rPr>
                <w:rStyle w:val="Hyperlink"/>
                <w:rFonts w:ascii="Times New Roman" w:eastAsia="Times New Roman" w:hAnsi="Times New Roman" w:cs="Times New Roman"/>
                <w:b/>
                <w:bCs/>
                <w:noProof/>
              </w:rPr>
              <w:t>4.3 Regression Analysis</w:t>
            </w:r>
            <w:r>
              <w:rPr>
                <w:noProof/>
                <w:webHidden/>
              </w:rPr>
              <w:tab/>
            </w:r>
            <w:r>
              <w:rPr>
                <w:noProof/>
                <w:webHidden/>
              </w:rPr>
              <w:fldChar w:fldCharType="begin"/>
            </w:r>
            <w:r>
              <w:rPr>
                <w:noProof/>
                <w:webHidden/>
              </w:rPr>
              <w:instrText xml:space="preserve"> PAGEREF _Toc237010683 \h </w:instrText>
            </w:r>
            <w:r>
              <w:rPr>
                <w:noProof/>
                <w:webHidden/>
              </w:rPr>
            </w:r>
            <w:r>
              <w:rPr>
                <w:noProof/>
                <w:webHidden/>
              </w:rPr>
              <w:fldChar w:fldCharType="separate"/>
            </w:r>
            <w:r>
              <w:rPr>
                <w:noProof/>
                <w:webHidden/>
              </w:rPr>
              <w:t>21</w:t>
            </w:r>
            <w:r>
              <w:rPr>
                <w:noProof/>
                <w:webHidden/>
              </w:rPr>
              <w:fldChar w:fldCharType="end"/>
            </w:r>
          </w:hyperlink>
        </w:p>
        <w:p w14:paraId="12E57C3E" w14:textId="788854D6" w:rsidR="0078735B" w:rsidRDefault="0078735B">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7010684" w:history="1">
            <w:r w:rsidRPr="00AB4CE9">
              <w:rPr>
                <w:rStyle w:val="Hyperlink"/>
                <w:rFonts w:ascii="Times New Roman" w:eastAsia="Times New Roman" w:hAnsi="Times New Roman" w:cs="Times New Roman"/>
                <w:b/>
                <w:bCs/>
                <w:noProof/>
              </w:rPr>
              <w:t>4.3.1 Model 1: Corporate Governance- Financial Performance</w:t>
            </w:r>
            <w:r>
              <w:rPr>
                <w:noProof/>
                <w:webHidden/>
              </w:rPr>
              <w:tab/>
            </w:r>
            <w:r>
              <w:rPr>
                <w:noProof/>
                <w:webHidden/>
              </w:rPr>
              <w:fldChar w:fldCharType="begin"/>
            </w:r>
            <w:r>
              <w:rPr>
                <w:noProof/>
                <w:webHidden/>
              </w:rPr>
              <w:instrText xml:space="preserve"> PAGEREF _Toc237010684 \h </w:instrText>
            </w:r>
            <w:r>
              <w:rPr>
                <w:noProof/>
                <w:webHidden/>
              </w:rPr>
            </w:r>
            <w:r>
              <w:rPr>
                <w:noProof/>
                <w:webHidden/>
              </w:rPr>
              <w:fldChar w:fldCharType="separate"/>
            </w:r>
            <w:r>
              <w:rPr>
                <w:noProof/>
                <w:webHidden/>
              </w:rPr>
              <w:t>22</w:t>
            </w:r>
            <w:r>
              <w:rPr>
                <w:noProof/>
                <w:webHidden/>
              </w:rPr>
              <w:fldChar w:fldCharType="end"/>
            </w:r>
          </w:hyperlink>
        </w:p>
        <w:p w14:paraId="08DC0535" w14:textId="1FF91887" w:rsidR="0078735B" w:rsidRDefault="0078735B">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7010685" w:history="1">
            <w:r w:rsidRPr="00AB4CE9">
              <w:rPr>
                <w:rStyle w:val="Hyperlink"/>
                <w:rFonts w:ascii="Times New Roman" w:eastAsia="Times New Roman" w:hAnsi="Times New Roman" w:cs="Times New Roman"/>
                <w:b/>
                <w:bCs/>
                <w:noProof/>
              </w:rPr>
              <w:t>4.3.2 Model 2: ESG Performance - Financial Performance</w:t>
            </w:r>
            <w:r>
              <w:rPr>
                <w:noProof/>
                <w:webHidden/>
              </w:rPr>
              <w:tab/>
            </w:r>
            <w:r>
              <w:rPr>
                <w:noProof/>
                <w:webHidden/>
              </w:rPr>
              <w:fldChar w:fldCharType="begin"/>
            </w:r>
            <w:r>
              <w:rPr>
                <w:noProof/>
                <w:webHidden/>
              </w:rPr>
              <w:instrText xml:space="preserve"> PAGEREF _Toc237010685 \h </w:instrText>
            </w:r>
            <w:r>
              <w:rPr>
                <w:noProof/>
                <w:webHidden/>
              </w:rPr>
            </w:r>
            <w:r>
              <w:rPr>
                <w:noProof/>
                <w:webHidden/>
              </w:rPr>
              <w:fldChar w:fldCharType="separate"/>
            </w:r>
            <w:r>
              <w:rPr>
                <w:noProof/>
                <w:webHidden/>
              </w:rPr>
              <w:t>26</w:t>
            </w:r>
            <w:r>
              <w:rPr>
                <w:noProof/>
                <w:webHidden/>
              </w:rPr>
              <w:fldChar w:fldCharType="end"/>
            </w:r>
          </w:hyperlink>
        </w:p>
        <w:p w14:paraId="7BC07BF2" w14:textId="46298649" w:rsidR="0078735B" w:rsidRDefault="0078735B">
          <w:pPr>
            <w:pStyle w:val="TOC3"/>
            <w:tabs>
              <w:tab w:val="right" w:leader="dot" w:pos="9350"/>
            </w:tabs>
            <w:rPr>
              <w:rFonts w:asciiTheme="minorHAnsi" w:eastAsiaTheme="minorEastAsia" w:hAnsiTheme="minorHAnsi" w:cstheme="minorBidi"/>
              <w:noProof/>
              <w:kern w:val="2"/>
              <w:lang w:val="en-US"/>
              <w14:ligatures w14:val="standardContextual"/>
            </w:rPr>
          </w:pPr>
          <w:hyperlink w:anchor="_Toc237010686" w:history="1">
            <w:r w:rsidRPr="00AB4CE9">
              <w:rPr>
                <w:rStyle w:val="Hyperlink"/>
                <w:rFonts w:ascii="Times New Roman" w:eastAsia="Times New Roman" w:hAnsi="Times New Roman" w:cs="Times New Roman"/>
                <w:b/>
                <w:bCs/>
                <w:noProof/>
              </w:rPr>
              <w:t>4.3.3 Model 3: Moderation Analysis (CG × ESG = FP)</w:t>
            </w:r>
            <w:r>
              <w:rPr>
                <w:noProof/>
                <w:webHidden/>
              </w:rPr>
              <w:tab/>
            </w:r>
            <w:r>
              <w:rPr>
                <w:noProof/>
                <w:webHidden/>
              </w:rPr>
              <w:fldChar w:fldCharType="begin"/>
            </w:r>
            <w:r>
              <w:rPr>
                <w:noProof/>
                <w:webHidden/>
              </w:rPr>
              <w:instrText xml:space="preserve"> PAGEREF _Toc237010686 \h </w:instrText>
            </w:r>
            <w:r>
              <w:rPr>
                <w:noProof/>
                <w:webHidden/>
              </w:rPr>
            </w:r>
            <w:r>
              <w:rPr>
                <w:noProof/>
                <w:webHidden/>
              </w:rPr>
              <w:fldChar w:fldCharType="separate"/>
            </w:r>
            <w:r>
              <w:rPr>
                <w:noProof/>
                <w:webHidden/>
              </w:rPr>
              <w:t>29</w:t>
            </w:r>
            <w:r>
              <w:rPr>
                <w:noProof/>
                <w:webHidden/>
              </w:rPr>
              <w:fldChar w:fldCharType="end"/>
            </w:r>
          </w:hyperlink>
        </w:p>
        <w:p w14:paraId="225FEDE0" w14:textId="33519273" w:rsidR="0078735B" w:rsidRDefault="0078735B">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010687" w:history="1">
            <w:r w:rsidRPr="00AB4CE9">
              <w:rPr>
                <w:rStyle w:val="Hyperlink"/>
                <w:rFonts w:ascii="Times New Roman" w:eastAsia="Times New Roman" w:hAnsi="Times New Roman" w:cs="Times New Roman"/>
                <w:b/>
                <w:bCs/>
                <w:noProof/>
              </w:rPr>
              <w:t>5. Discussion of findings</w:t>
            </w:r>
            <w:r>
              <w:rPr>
                <w:noProof/>
                <w:webHidden/>
              </w:rPr>
              <w:tab/>
            </w:r>
            <w:r>
              <w:rPr>
                <w:noProof/>
                <w:webHidden/>
              </w:rPr>
              <w:fldChar w:fldCharType="begin"/>
            </w:r>
            <w:r>
              <w:rPr>
                <w:noProof/>
                <w:webHidden/>
              </w:rPr>
              <w:instrText xml:space="preserve"> PAGEREF _Toc237010687 \h </w:instrText>
            </w:r>
            <w:r>
              <w:rPr>
                <w:noProof/>
                <w:webHidden/>
              </w:rPr>
            </w:r>
            <w:r>
              <w:rPr>
                <w:noProof/>
                <w:webHidden/>
              </w:rPr>
              <w:fldChar w:fldCharType="separate"/>
            </w:r>
            <w:r>
              <w:rPr>
                <w:noProof/>
                <w:webHidden/>
              </w:rPr>
              <w:t>34</w:t>
            </w:r>
            <w:r>
              <w:rPr>
                <w:noProof/>
                <w:webHidden/>
              </w:rPr>
              <w:fldChar w:fldCharType="end"/>
            </w:r>
          </w:hyperlink>
        </w:p>
        <w:p w14:paraId="553560B2" w14:textId="5ADE0669"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88" w:history="1">
            <w:r w:rsidRPr="00AB4CE9">
              <w:rPr>
                <w:rStyle w:val="Hyperlink"/>
                <w:rFonts w:ascii="Times New Roman" w:eastAsia="Times New Roman" w:hAnsi="Times New Roman" w:cs="Times New Roman"/>
                <w:b/>
                <w:bCs/>
                <w:noProof/>
              </w:rPr>
              <w:t>5.1 Corporate Governance and Financial Performance (RQ1)</w:t>
            </w:r>
            <w:r>
              <w:rPr>
                <w:noProof/>
                <w:webHidden/>
              </w:rPr>
              <w:tab/>
            </w:r>
            <w:r>
              <w:rPr>
                <w:noProof/>
                <w:webHidden/>
              </w:rPr>
              <w:fldChar w:fldCharType="begin"/>
            </w:r>
            <w:r>
              <w:rPr>
                <w:noProof/>
                <w:webHidden/>
              </w:rPr>
              <w:instrText xml:space="preserve"> PAGEREF _Toc237010688 \h </w:instrText>
            </w:r>
            <w:r>
              <w:rPr>
                <w:noProof/>
                <w:webHidden/>
              </w:rPr>
            </w:r>
            <w:r>
              <w:rPr>
                <w:noProof/>
                <w:webHidden/>
              </w:rPr>
              <w:fldChar w:fldCharType="separate"/>
            </w:r>
            <w:r>
              <w:rPr>
                <w:noProof/>
                <w:webHidden/>
              </w:rPr>
              <w:t>34</w:t>
            </w:r>
            <w:r>
              <w:rPr>
                <w:noProof/>
                <w:webHidden/>
              </w:rPr>
              <w:fldChar w:fldCharType="end"/>
            </w:r>
          </w:hyperlink>
        </w:p>
        <w:p w14:paraId="7BCB80F3" w14:textId="707340B5"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89" w:history="1">
            <w:r w:rsidRPr="00AB4CE9">
              <w:rPr>
                <w:rStyle w:val="Hyperlink"/>
                <w:rFonts w:ascii="Times New Roman" w:eastAsia="Times New Roman" w:hAnsi="Times New Roman" w:cs="Times New Roman"/>
                <w:b/>
                <w:bCs/>
                <w:noProof/>
              </w:rPr>
              <w:t>5.2 ESG Performance and Financial Performance (RQ2)</w:t>
            </w:r>
            <w:r>
              <w:rPr>
                <w:noProof/>
                <w:webHidden/>
              </w:rPr>
              <w:tab/>
            </w:r>
            <w:r>
              <w:rPr>
                <w:noProof/>
                <w:webHidden/>
              </w:rPr>
              <w:fldChar w:fldCharType="begin"/>
            </w:r>
            <w:r>
              <w:rPr>
                <w:noProof/>
                <w:webHidden/>
              </w:rPr>
              <w:instrText xml:space="preserve"> PAGEREF _Toc237010689 \h </w:instrText>
            </w:r>
            <w:r>
              <w:rPr>
                <w:noProof/>
                <w:webHidden/>
              </w:rPr>
            </w:r>
            <w:r>
              <w:rPr>
                <w:noProof/>
                <w:webHidden/>
              </w:rPr>
              <w:fldChar w:fldCharType="separate"/>
            </w:r>
            <w:r>
              <w:rPr>
                <w:noProof/>
                <w:webHidden/>
              </w:rPr>
              <w:t>34</w:t>
            </w:r>
            <w:r>
              <w:rPr>
                <w:noProof/>
                <w:webHidden/>
              </w:rPr>
              <w:fldChar w:fldCharType="end"/>
            </w:r>
          </w:hyperlink>
        </w:p>
        <w:p w14:paraId="491EE6E2" w14:textId="0AD1D1B9" w:rsidR="0078735B" w:rsidRDefault="0078735B">
          <w:pPr>
            <w:pStyle w:val="TOC2"/>
            <w:tabs>
              <w:tab w:val="right" w:leader="dot" w:pos="9350"/>
            </w:tabs>
            <w:rPr>
              <w:rFonts w:asciiTheme="minorHAnsi" w:eastAsiaTheme="minorEastAsia" w:hAnsiTheme="minorHAnsi" w:cstheme="minorBidi"/>
              <w:noProof/>
              <w:kern w:val="2"/>
              <w:lang w:val="en-US"/>
              <w14:ligatures w14:val="standardContextual"/>
            </w:rPr>
          </w:pPr>
          <w:hyperlink w:anchor="_Toc237010690" w:history="1">
            <w:r w:rsidRPr="00AB4CE9">
              <w:rPr>
                <w:rStyle w:val="Hyperlink"/>
                <w:rFonts w:ascii="Times New Roman" w:eastAsia="Times New Roman" w:hAnsi="Times New Roman" w:cs="Times New Roman"/>
                <w:b/>
                <w:bCs/>
                <w:noProof/>
              </w:rPr>
              <w:t>5.3 ESG as a Moderator (RQ3)</w:t>
            </w:r>
            <w:r>
              <w:rPr>
                <w:noProof/>
                <w:webHidden/>
              </w:rPr>
              <w:tab/>
            </w:r>
            <w:r>
              <w:rPr>
                <w:noProof/>
                <w:webHidden/>
              </w:rPr>
              <w:fldChar w:fldCharType="begin"/>
            </w:r>
            <w:r>
              <w:rPr>
                <w:noProof/>
                <w:webHidden/>
              </w:rPr>
              <w:instrText xml:space="preserve"> PAGEREF _Toc237010690 \h </w:instrText>
            </w:r>
            <w:r>
              <w:rPr>
                <w:noProof/>
                <w:webHidden/>
              </w:rPr>
            </w:r>
            <w:r>
              <w:rPr>
                <w:noProof/>
                <w:webHidden/>
              </w:rPr>
              <w:fldChar w:fldCharType="separate"/>
            </w:r>
            <w:r>
              <w:rPr>
                <w:noProof/>
                <w:webHidden/>
              </w:rPr>
              <w:t>35</w:t>
            </w:r>
            <w:r>
              <w:rPr>
                <w:noProof/>
                <w:webHidden/>
              </w:rPr>
              <w:fldChar w:fldCharType="end"/>
            </w:r>
          </w:hyperlink>
        </w:p>
        <w:p w14:paraId="418C48A3" w14:textId="4CE88BC1" w:rsidR="0078735B" w:rsidRDefault="0078735B">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010691" w:history="1">
            <w:r w:rsidRPr="00AB4CE9">
              <w:rPr>
                <w:rStyle w:val="Hyperlink"/>
                <w:rFonts w:ascii="Times New Roman" w:eastAsia="Times New Roman" w:hAnsi="Times New Roman" w:cs="Times New Roman"/>
                <w:b/>
                <w:bCs/>
                <w:noProof/>
              </w:rPr>
              <w:t>6. Conclusion</w:t>
            </w:r>
            <w:r>
              <w:rPr>
                <w:noProof/>
                <w:webHidden/>
              </w:rPr>
              <w:tab/>
            </w:r>
            <w:r>
              <w:rPr>
                <w:noProof/>
                <w:webHidden/>
              </w:rPr>
              <w:fldChar w:fldCharType="begin"/>
            </w:r>
            <w:r>
              <w:rPr>
                <w:noProof/>
                <w:webHidden/>
              </w:rPr>
              <w:instrText xml:space="preserve"> PAGEREF _Toc237010691 \h </w:instrText>
            </w:r>
            <w:r>
              <w:rPr>
                <w:noProof/>
                <w:webHidden/>
              </w:rPr>
            </w:r>
            <w:r>
              <w:rPr>
                <w:noProof/>
                <w:webHidden/>
              </w:rPr>
              <w:fldChar w:fldCharType="separate"/>
            </w:r>
            <w:r>
              <w:rPr>
                <w:noProof/>
                <w:webHidden/>
              </w:rPr>
              <w:t>36</w:t>
            </w:r>
            <w:r>
              <w:rPr>
                <w:noProof/>
                <w:webHidden/>
              </w:rPr>
              <w:fldChar w:fldCharType="end"/>
            </w:r>
          </w:hyperlink>
        </w:p>
        <w:p w14:paraId="3DCB7B91" w14:textId="75F7D1F8" w:rsidR="0078735B" w:rsidRDefault="0078735B">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010692" w:history="1">
            <w:r w:rsidRPr="00AB4CE9">
              <w:rPr>
                <w:rStyle w:val="Hyperlink"/>
                <w:rFonts w:ascii="Times New Roman" w:eastAsia="Times New Roman" w:hAnsi="Times New Roman" w:cs="Times New Roman"/>
                <w:b/>
                <w:bCs/>
                <w:noProof/>
              </w:rPr>
              <w:t>7. Implications of the Study</w:t>
            </w:r>
            <w:r>
              <w:rPr>
                <w:noProof/>
                <w:webHidden/>
              </w:rPr>
              <w:tab/>
            </w:r>
            <w:r>
              <w:rPr>
                <w:noProof/>
                <w:webHidden/>
              </w:rPr>
              <w:fldChar w:fldCharType="begin"/>
            </w:r>
            <w:r>
              <w:rPr>
                <w:noProof/>
                <w:webHidden/>
              </w:rPr>
              <w:instrText xml:space="preserve"> PAGEREF _Toc237010692 \h </w:instrText>
            </w:r>
            <w:r>
              <w:rPr>
                <w:noProof/>
                <w:webHidden/>
              </w:rPr>
            </w:r>
            <w:r>
              <w:rPr>
                <w:noProof/>
                <w:webHidden/>
              </w:rPr>
              <w:fldChar w:fldCharType="separate"/>
            </w:r>
            <w:r>
              <w:rPr>
                <w:noProof/>
                <w:webHidden/>
              </w:rPr>
              <w:t>37</w:t>
            </w:r>
            <w:r>
              <w:rPr>
                <w:noProof/>
                <w:webHidden/>
              </w:rPr>
              <w:fldChar w:fldCharType="end"/>
            </w:r>
          </w:hyperlink>
        </w:p>
        <w:p w14:paraId="42504829" w14:textId="714B3D7E" w:rsidR="0078735B" w:rsidRDefault="0078735B">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010693" w:history="1">
            <w:r w:rsidRPr="00AB4CE9">
              <w:rPr>
                <w:rStyle w:val="Hyperlink"/>
                <w:rFonts w:ascii="Times New Roman" w:eastAsia="Times New Roman" w:hAnsi="Times New Roman" w:cs="Times New Roman"/>
                <w:b/>
                <w:bCs/>
                <w:noProof/>
              </w:rPr>
              <w:t>8. Limitation of the study</w:t>
            </w:r>
            <w:r>
              <w:rPr>
                <w:noProof/>
                <w:webHidden/>
              </w:rPr>
              <w:tab/>
            </w:r>
            <w:r>
              <w:rPr>
                <w:noProof/>
                <w:webHidden/>
              </w:rPr>
              <w:fldChar w:fldCharType="begin"/>
            </w:r>
            <w:r>
              <w:rPr>
                <w:noProof/>
                <w:webHidden/>
              </w:rPr>
              <w:instrText xml:space="preserve"> PAGEREF _Toc237010693 \h </w:instrText>
            </w:r>
            <w:r>
              <w:rPr>
                <w:noProof/>
                <w:webHidden/>
              </w:rPr>
            </w:r>
            <w:r>
              <w:rPr>
                <w:noProof/>
                <w:webHidden/>
              </w:rPr>
              <w:fldChar w:fldCharType="separate"/>
            </w:r>
            <w:r>
              <w:rPr>
                <w:noProof/>
                <w:webHidden/>
              </w:rPr>
              <w:t>38</w:t>
            </w:r>
            <w:r>
              <w:rPr>
                <w:noProof/>
                <w:webHidden/>
              </w:rPr>
              <w:fldChar w:fldCharType="end"/>
            </w:r>
          </w:hyperlink>
        </w:p>
        <w:p w14:paraId="1CED289C" w14:textId="2FB13F8A" w:rsidR="0078735B" w:rsidRDefault="0078735B">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010694" w:history="1">
            <w:r w:rsidRPr="00AB4CE9">
              <w:rPr>
                <w:rStyle w:val="Hyperlink"/>
                <w:rFonts w:ascii="Times New Roman" w:eastAsia="Times New Roman" w:hAnsi="Times New Roman" w:cs="Times New Roman"/>
                <w:b/>
                <w:bCs/>
                <w:noProof/>
              </w:rPr>
              <w:t>9. Recommendation for future research</w:t>
            </w:r>
            <w:r>
              <w:rPr>
                <w:noProof/>
                <w:webHidden/>
              </w:rPr>
              <w:tab/>
            </w:r>
            <w:r>
              <w:rPr>
                <w:noProof/>
                <w:webHidden/>
              </w:rPr>
              <w:fldChar w:fldCharType="begin"/>
            </w:r>
            <w:r>
              <w:rPr>
                <w:noProof/>
                <w:webHidden/>
              </w:rPr>
              <w:instrText xml:space="preserve"> PAGEREF _Toc237010694 \h </w:instrText>
            </w:r>
            <w:r>
              <w:rPr>
                <w:noProof/>
                <w:webHidden/>
              </w:rPr>
            </w:r>
            <w:r>
              <w:rPr>
                <w:noProof/>
                <w:webHidden/>
              </w:rPr>
              <w:fldChar w:fldCharType="separate"/>
            </w:r>
            <w:r>
              <w:rPr>
                <w:noProof/>
                <w:webHidden/>
              </w:rPr>
              <w:t>38</w:t>
            </w:r>
            <w:r>
              <w:rPr>
                <w:noProof/>
                <w:webHidden/>
              </w:rPr>
              <w:fldChar w:fldCharType="end"/>
            </w:r>
          </w:hyperlink>
        </w:p>
        <w:p w14:paraId="513BA8BC" w14:textId="3B015334" w:rsidR="0078735B" w:rsidRDefault="0078735B">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010695" w:history="1">
            <w:r w:rsidRPr="00AB4CE9">
              <w:rPr>
                <w:rStyle w:val="Hyperlink"/>
                <w:rFonts w:ascii="Times New Roman" w:eastAsia="Times New Roman" w:hAnsi="Times New Roman" w:cs="Times New Roman"/>
                <w:b/>
                <w:bCs/>
                <w:noProof/>
              </w:rPr>
              <w:t>References</w:t>
            </w:r>
            <w:r>
              <w:rPr>
                <w:noProof/>
                <w:webHidden/>
              </w:rPr>
              <w:tab/>
            </w:r>
            <w:r>
              <w:rPr>
                <w:noProof/>
                <w:webHidden/>
              </w:rPr>
              <w:fldChar w:fldCharType="begin"/>
            </w:r>
            <w:r>
              <w:rPr>
                <w:noProof/>
                <w:webHidden/>
              </w:rPr>
              <w:instrText xml:space="preserve"> PAGEREF _Toc237010695 \h </w:instrText>
            </w:r>
            <w:r>
              <w:rPr>
                <w:noProof/>
                <w:webHidden/>
              </w:rPr>
            </w:r>
            <w:r>
              <w:rPr>
                <w:noProof/>
                <w:webHidden/>
              </w:rPr>
              <w:fldChar w:fldCharType="separate"/>
            </w:r>
            <w:r>
              <w:rPr>
                <w:noProof/>
                <w:webHidden/>
              </w:rPr>
              <w:t>40</w:t>
            </w:r>
            <w:r>
              <w:rPr>
                <w:noProof/>
                <w:webHidden/>
              </w:rPr>
              <w:fldChar w:fldCharType="end"/>
            </w:r>
          </w:hyperlink>
        </w:p>
        <w:p w14:paraId="78C519BF" w14:textId="3DD5D0A8" w:rsidR="0078735B" w:rsidRDefault="0078735B">
          <w:pPr>
            <w:pStyle w:val="TOC1"/>
            <w:tabs>
              <w:tab w:val="right" w:leader="dot" w:pos="9350"/>
            </w:tabs>
            <w:rPr>
              <w:rFonts w:asciiTheme="minorHAnsi" w:eastAsiaTheme="minorEastAsia" w:hAnsiTheme="minorHAnsi" w:cstheme="minorBidi"/>
              <w:noProof/>
              <w:kern w:val="2"/>
              <w:lang w:val="en-US"/>
              <w14:ligatures w14:val="standardContextual"/>
            </w:rPr>
          </w:pPr>
          <w:hyperlink w:anchor="_Toc237010696" w:history="1">
            <w:r w:rsidRPr="00AB4CE9">
              <w:rPr>
                <w:rStyle w:val="Hyperlink"/>
                <w:rFonts w:ascii="Times New Roman" w:eastAsia="Times New Roman" w:hAnsi="Times New Roman" w:cs="Times New Roman"/>
                <w:b/>
                <w:bCs/>
                <w:noProof/>
              </w:rPr>
              <w:t>Appendices</w:t>
            </w:r>
            <w:r>
              <w:rPr>
                <w:noProof/>
                <w:webHidden/>
              </w:rPr>
              <w:tab/>
            </w:r>
            <w:r>
              <w:rPr>
                <w:noProof/>
                <w:webHidden/>
              </w:rPr>
              <w:fldChar w:fldCharType="begin"/>
            </w:r>
            <w:r>
              <w:rPr>
                <w:noProof/>
                <w:webHidden/>
              </w:rPr>
              <w:instrText xml:space="preserve"> PAGEREF _Toc237010696 \h </w:instrText>
            </w:r>
            <w:r>
              <w:rPr>
                <w:noProof/>
                <w:webHidden/>
              </w:rPr>
            </w:r>
            <w:r>
              <w:rPr>
                <w:noProof/>
                <w:webHidden/>
              </w:rPr>
              <w:fldChar w:fldCharType="separate"/>
            </w:r>
            <w:r>
              <w:rPr>
                <w:noProof/>
                <w:webHidden/>
              </w:rPr>
              <w:t>47</w:t>
            </w:r>
            <w:r>
              <w:rPr>
                <w:noProof/>
                <w:webHidden/>
              </w:rPr>
              <w:fldChar w:fldCharType="end"/>
            </w:r>
          </w:hyperlink>
        </w:p>
        <w:p w14:paraId="6C35F120" w14:textId="3C79B257" w:rsidR="00D4570A" w:rsidRDefault="00D4570A">
          <w:r>
            <w:rPr>
              <w:b/>
              <w:bCs/>
              <w:noProof/>
            </w:rPr>
            <w:fldChar w:fldCharType="end"/>
          </w:r>
        </w:p>
      </w:sdtContent>
    </w:sdt>
    <w:p w14:paraId="56DAD2D4" w14:textId="77777777" w:rsidR="004322E7" w:rsidRDefault="000C275E">
      <w:pPr>
        <w:spacing w:line="360" w:lineRule="auto"/>
        <w:jc w:val="both"/>
        <w:rPr>
          <w:rFonts w:ascii="Times New Roman" w:eastAsia="Times New Roman" w:hAnsi="Times New Roman" w:cs="Times New Roman"/>
        </w:rPr>
      </w:pPr>
      <w:r>
        <w:rPr>
          <w:noProof/>
        </w:rPr>
        <mc:AlternateContent>
          <mc:Choice Requires="wps">
            <w:drawing>
              <wp:anchor distT="0" distB="0" distL="114300" distR="114300" simplePos="0" relativeHeight="251659264" behindDoc="0" locked="0" layoutInCell="1" hidden="0" allowOverlap="1" wp14:anchorId="56DAD648" wp14:editId="56DAD649">
                <wp:simplePos x="0" y="0"/>
                <wp:positionH relativeFrom="column">
                  <wp:posOffset>83127</wp:posOffset>
                </wp:positionH>
                <wp:positionV relativeFrom="paragraph">
                  <wp:posOffset>316576</wp:posOffset>
                </wp:positionV>
                <wp:extent cx="6928" cy="12700"/>
                <wp:effectExtent l="0" t="0" r="0" b="0"/>
                <wp:wrapNone/>
                <wp:docPr id="2119887202" name="Straight Arrow Connector 2119887202"/>
                <wp:cNvGraphicFramePr/>
                <a:graphic xmlns:a="http://schemas.openxmlformats.org/drawingml/2006/main">
                  <a:graphicData uri="http://schemas.microsoft.com/office/word/2010/wordprocessingShape">
                    <wps:wsp>
                      <wps:cNvCnPr/>
                      <wps:spPr>
                        <a:xfrm rot="10800000" flipH="1">
                          <a:off x="2415764" y="3776536"/>
                          <a:ext cx="5860473" cy="6928"/>
                        </a:xfrm>
                        <a:prstGeom prst="straightConnector1">
                          <a:avLst/>
                        </a:prstGeom>
                        <a:noFill/>
                        <a:ln w="12700" cap="flat" cmpd="sng">
                          <a:solidFill>
                            <a:schemeClr val="dk1"/>
                          </a:solidFill>
                          <a:prstDash val="solid"/>
                          <a:miter lim="8000"/>
                          <a:headEnd type="none" w="sm" len="sm"/>
                          <a:tailEnd type="none" w="sm" len="sm"/>
                        </a:ln>
                      </wps:spPr>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http://schemas.microsoft.com/office/tasks/2019/documenttasks" xmlns:cr="http://schemas.microsoft.com/office/comments/2020/reactions">
            <w:drawing>
              <wp:anchor allowOverlap="1" behindDoc="0" distB="0" distT="0" distL="114300" distR="114300" hidden="0" layoutInCell="1" locked="0" relativeHeight="0" simplePos="0">
                <wp:simplePos x="0" y="0"/>
                <wp:positionH relativeFrom="column">
                  <wp:posOffset>83127</wp:posOffset>
                </wp:positionH>
                <wp:positionV relativeFrom="paragraph">
                  <wp:posOffset>316576</wp:posOffset>
                </wp:positionV>
                <wp:extent cx="6928" cy="12700"/>
                <wp:effectExtent b="0" l="0" r="0" t="0"/>
                <wp:wrapNone/>
                <wp:docPr id="2119887202" name="image21.png"/>
                <a:graphic>
                  <a:graphicData uri="http://schemas.openxmlformats.org/drawingml/2006/picture">
                    <pic:pic>
                      <pic:nvPicPr>
                        <pic:cNvPr id="0" name="image21.png"/>
                        <pic:cNvPicPr preferRelativeResize="0"/>
                      </pic:nvPicPr>
                      <pic:blipFill>
                        <a:blip r:embed="rId10"/>
                        <a:srcRect/>
                        <a:stretch>
                          <a:fillRect/>
                        </a:stretch>
                      </pic:blipFill>
                      <pic:spPr>
                        <a:xfrm>
                          <a:off x="0" y="0"/>
                          <a:ext cx="6928" cy="12700"/>
                        </a:xfrm>
                        <a:prstGeom prst="rect"/>
                        <a:ln/>
                      </pic:spPr>
                    </pic:pic>
                  </a:graphicData>
                </a:graphic>
              </wp:anchor>
            </w:drawing>
          </mc:Fallback>
        </mc:AlternateContent>
      </w:r>
    </w:p>
    <w:p w14:paraId="56DAD2D5" w14:textId="77777777" w:rsidR="004322E7" w:rsidRDefault="004322E7">
      <w:pPr>
        <w:spacing w:line="360" w:lineRule="auto"/>
        <w:jc w:val="both"/>
        <w:rPr>
          <w:rFonts w:ascii="Times New Roman" w:eastAsia="Times New Roman" w:hAnsi="Times New Roman" w:cs="Times New Roman"/>
        </w:rPr>
      </w:pPr>
    </w:p>
    <w:p w14:paraId="23F0C430" w14:textId="77777777" w:rsidR="002854E0" w:rsidRDefault="002854E0">
      <w:pPr>
        <w:spacing w:line="360" w:lineRule="auto"/>
        <w:jc w:val="both"/>
        <w:rPr>
          <w:rFonts w:ascii="Times New Roman" w:eastAsia="Times New Roman" w:hAnsi="Times New Roman" w:cs="Times New Roman"/>
        </w:rPr>
      </w:pPr>
    </w:p>
    <w:p w14:paraId="1DB70FE0" w14:textId="77777777" w:rsidR="002854E0" w:rsidRDefault="002854E0">
      <w:pPr>
        <w:spacing w:line="360" w:lineRule="auto"/>
        <w:jc w:val="both"/>
        <w:rPr>
          <w:rFonts w:ascii="Times New Roman" w:eastAsia="Times New Roman" w:hAnsi="Times New Roman" w:cs="Times New Roman"/>
        </w:rPr>
      </w:pPr>
    </w:p>
    <w:p w14:paraId="075D3B4A" w14:textId="77777777" w:rsidR="002854E0" w:rsidRDefault="002854E0">
      <w:pPr>
        <w:spacing w:line="360" w:lineRule="auto"/>
        <w:jc w:val="both"/>
        <w:rPr>
          <w:rFonts w:ascii="Times New Roman" w:eastAsia="Times New Roman" w:hAnsi="Times New Roman" w:cs="Times New Roman"/>
        </w:rPr>
      </w:pPr>
    </w:p>
    <w:p w14:paraId="1DEA5FAC" w14:textId="77777777" w:rsidR="002854E0" w:rsidRDefault="002854E0">
      <w:pPr>
        <w:spacing w:line="360" w:lineRule="auto"/>
        <w:jc w:val="both"/>
        <w:rPr>
          <w:rFonts w:ascii="Times New Roman" w:eastAsia="Times New Roman" w:hAnsi="Times New Roman" w:cs="Times New Roman"/>
        </w:rPr>
      </w:pPr>
    </w:p>
    <w:p w14:paraId="16460427" w14:textId="77777777" w:rsidR="002854E0" w:rsidRDefault="002854E0">
      <w:pPr>
        <w:spacing w:line="360" w:lineRule="auto"/>
        <w:jc w:val="both"/>
        <w:rPr>
          <w:rFonts w:ascii="Times New Roman" w:eastAsia="Times New Roman" w:hAnsi="Times New Roman" w:cs="Times New Roman"/>
        </w:rPr>
      </w:pPr>
    </w:p>
    <w:p w14:paraId="5B4BD04B" w14:textId="77777777" w:rsidR="002854E0" w:rsidRDefault="002854E0">
      <w:pPr>
        <w:spacing w:line="360" w:lineRule="auto"/>
        <w:jc w:val="both"/>
        <w:rPr>
          <w:rFonts w:ascii="Times New Roman" w:eastAsia="Times New Roman" w:hAnsi="Times New Roman" w:cs="Times New Roman"/>
        </w:rPr>
      </w:pPr>
    </w:p>
    <w:p w14:paraId="5F870F2F" w14:textId="77777777" w:rsidR="002854E0" w:rsidRDefault="002854E0">
      <w:pPr>
        <w:spacing w:line="360" w:lineRule="auto"/>
        <w:jc w:val="both"/>
        <w:rPr>
          <w:rFonts w:ascii="Times New Roman" w:eastAsia="Times New Roman" w:hAnsi="Times New Roman" w:cs="Times New Roman"/>
        </w:rPr>
      </w:pPr>
    </w:p>
    <w:p w14:paraId="521F66F9" w14:textId="77777777" w:rsidR="002854E0" w:rsidRDefault="002854E0">
      <w:pPr>
        <w:spacing w:line="360" w:lineRule="auto"/>
        <w:jc w:val="both"/>
        <w:rPr>
          <w:rFonts w:ascii="Times New Roman" w:eastAsia="Times New Roman" w:hAnsi="Times New Roman" w:cs="Times New Roman"/>
        </w:rPr>
      </w:pPr>
    </w:p>
    <w:p w14:paraId="34AA48F1" w14:textId="77777777" w:rsidR="002854E0" w:rsidRDefault="002854E0">
      <w:pPr>
        <w:spacing w:line="360" w:lineRule="auto"/>
        <w:jc w:val="both"/>
        <w:rPr>
          <w:rFonts w:ascii="Times New Roman" w:eastAsia="Times New Roman" w:hAnsi="Times New Roman" w:cs="Times New Roman"/>
        </w:rPr>
      </w:pPr>
    </w:p>
    <w:p w14:paraId="0847BE11" w14:textId="77777777" w:rsidR="002854E0" w:rsidRDefault="002854E0">
      <w:pPr>
        <w:spacing w:line="360" w:lineRule="auto"/>
        <w:jc w:val="both"/>
        <w:rPr>
          <w:rFonts w:ascii="Times New Roman" w:eastAsia="Times New Roman" w:hAnsi="Times New Roman" w:cs="Times New Roman"/>
        </w:rPr>
      </w:pPr>
    </w:p>
    <w:p w14:paraId="6BB55412" w14:textId="77777777" w:rsidR="002854E0" w:rsidRDefault="002854E0">
      <w:pPr>
        <w:spacing w:line="360" w:lineRule="auto"/>
        <w:jc w:val="both"/>
        <w:rPr>
          <w:rFonts w:ascii="Times New Roman" w:eastAsia="Times New Roman" w:hAnsi="Times New Roman" w:cs="Times New Roman"/>
        </w:rPr>
      </w:pPr>
    </w:p>
    <w:p w14:paraId="56DAD2D6" w14:textId="01E5A184" w:rsidR="004322E7" w:rsidRDefault="000C275E">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 xml:space="preserve">List of </w:t>
      </w:r>
      <w:r w:rsidR="00D4570A">
        <w:rPr>
          <w:rFonts w:ascii="Times New Roman" w:eastAsia="Times New Roman" w:hAnsi="Times New Roman" w:cs="Times New Roman"/>
          <w:b/>
          <w:bCs/>
        </w:rPr>
        <w:t>Tables</w:t>
      </w:r>
    </w:p>
    <w:p w14:paraId="43BA58E7" w14:textId="258182C1" w:rsidR="0078735B" w:rsidRDefault="002854E0"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b/>
          <w:bCs/>
        </w:rPr>
        <w:fldChar w:fldCharType="begin"/>
      </w:r>
      <w:r>
        <w:rPr>
          <w:rFonts w:ascii="Times New Roman" w:eastAsia="Times New Roman" w:hAnsi="Times New Roman" w:cs="Times New Roman"/>
          <w:b/>
          <w:bCs/>
        </w:rPr>
        <w:instrText xml:space="preserve"> TOC \h \z \c "Table" </w:instrText>
      </w:r>
      <w:r>
        <w:rPr>
          <w:rFonts w:ascii="Times New Roman" w:eastAsia="Times New Roman" w:hAnsi="Times New Roman" w:cs="Times New Roman"/>
          <w:b/>
          <w:bCs/>
        </w:rPr>
        <w:fldChar w:fldCharType="separate"/>
      </w:r>
      <w:hyperlink w:anchor="_Toc237010697" w:history="1">
        <w:r w:rsidR="0078735B" w:rsidRPr="00CD0ED6">
          <w:rPr>
            <w:rStyle w:val="Hyperlink"/>
            <w:rFonts w:ascii="Times New Roman" w:hAnsi="Times New Roman" w:cs="Times New Roman"/>
            <w:noProof/>
          </w:rPr>
          <w:t>Table 1: The FTSE 350's market-capitalization bands and the business chosen to symbolise each band.</w:t>
        </w:r>
        <w:r w:rsidR="0078735B">
          <w:rPr>
            <w:noProof/>
            <w:webHidden/>
          </w:rPr>
          <w:tab/>
        </w:r>
        <w:r w:rsidR="0078735B">
          <w:rPr>
            <w:noProof/>
            <w:webHidden/>
          </w:rPr>
          <w:fldChar w:fldCharType="begin"/>
        </w:r>
        <w:r w:rsidR="0078735B">
          <w:rPr>
            <w:noProof/>
            <w:webHidden/>
          </w:rPr>
          <w:instrText xml:space="preserve"> PAGEREF _Toc237010697 \h </w:instrText>
        </w:r>
        <w:r w:rsidR="0078735B">
          <w:rPr>
            <w:noProof/>
            <w:webHidden/>
          </w:rPr>
        </w:r>
        <w:r w:rsidR="0078735B">
          <w:rPr>
            <w:noProof/>
            <w:webHidden/>
          </w:rPr>
          <w:fldChar w:fldCharType="separate"/>
        </w:r>
        <w:r w:rsidR="0078735B">
          <w:rPr>
            <w:noProof/>
            <w:webHidden/>
          </w:rPr>
          <w:t>13</w:t>
        </w:r>
        <w:r w:rsidR="0078735B">
          <w:rPr>
            <w:noProof/>
            <w:webHidden/>
          </w:rPr>
          <w:fldChar w:fldCharType="end"/>
        </w:r>
      </w:hyperlink>
    </w:p>
    <w:p w14:paraId="5EF15CCC" w14:textId="39AF8C0A"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698" w:history="1">
        <w:r w:rsidRPr="00CD0ED6">
          <w:rPr>
            <w:rStyle w:val="Hyperlink"/>
            <w:rFonts w:ascii="Times New Roman" w:hAnsi="Times New Roman" w:cs="Times New Roman"/>
            <w:noProof/>
          </w:rPr>
          <w:t>Table 2: Descriptive statistics for corporate governance variables.</w:t>
        </w:r>
        <w:r>
          <w:rPr>
            <w:noProof/>
            <w:webHidden/>
          </w:rPr>
          <w:tab/>
        </w:r>
        <w:r>
          <w:rPr>
            <w:noProof/>
            <w:webHidden/>
          </w:rPr>
          <w:fldChar w:fldCharType="begin"/>
        </w:r>
        <w:r>
          <w:rPr>
            <w:noProof/>
            <w:webHidden/>
          </w:rPr>
          <w:instrText xml:space="preserve"> PAGEREF _Toc237010698 \h </w:instrText>
        </w:r>
        <w:r>
          <w:rPr>
            <w:noProof/>
            <w:webHidden/>
          </w:rPr>
        </w:r>
        <w:r>
          <w:rPr>
            <w:noProof/>
            <w:webHidden/>
          </w:rPr>
          <w:fldChar w:fldCharType="separate"/>
        </w:r>
        <w:r>
          <w:rPr>
            <w:noProof/>
            <w:webHidden/>
          </w:rPr>
          <w:t>16</w:t>
        </w:r>
        <w:r>
          <w:rPr>
            <w:noProof/>
            <w:webHidden/>
          </w:rPr>
          <w:fldChar w:fldCharType="end"/>
        </w:r>
      </w:hyperlink>
    </w:p>
    <w:p w14:paraId="6C81F7DE" w14:textId="674F5090"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699" w:history="1">
        <w:r w:rsidRPr="00CD0ED6">
          <w:rPr>
            <w:rStyle w:val="Hyperlink"/>
            <w:rFonts w:ascii="Times New Roman" w:hAnsi="Times New Roman" w:cs="Times New Roman"/>
            <w:noProof/>
          </w:rPr>
          <w:t>Table 3: Descriptive statistics for ESG performance variables.</w:t>
        </w:r>
        <w:r>
          <w:rPr>
            <w:noProof/>
            <w:webHidden/>
          </w:rPr>
          <w:tab/>
        </w:r>
        <w:r>
          <w:rPr>
            <w:noProof/>
            <w:webHidden/>
          </w:rPr>
          <w:fldChar w:fldCharType="begin"/>
        </w:r>
        <w:r>
          <w:rPr>
            <w:noProof/>
            <w:webHidden/>
          </w:rPr>
          <w:instrText xml:space="preserve"> PAGEREF _Toc237010699 \h </w:instrText>
        </w:r>
        <w:r>
          <w:rPr>
            <w:noProof/>
            <w:webHidden/>
          </w:rPr>
        </w:r>
        <w:r>
          <w:rPr>
            <w:noProof/>
            <w:webHidden/>
          </w:rPr>
          <w:fldChar w:fldCharType="separate"/>
        </w:r>
        <w:r>
          <w:rPr>
            <w:noProof/>
            <w:webHidden/>
          </w:rPr>
          <w:t>17</w:t>
        </w:r>
        <w:r>
          <w:rPr>
            <w:noProof/>
            <w:webHidden/>
          </w:rPr>
          <w:fldChar w:fldCharType="end"/>
        </w:r>
      </w:hyperlink>
    </w:p>
    <w:p w14:paraId="510EDFDB" w14:textId="6F58232A"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00" w:history="1">
        <w:r w:rsidRPr="00CD0ED6">
          <w:rPr>
            <w:rStyle w:val="Hyperlink"/>
            <w:rFonts w:ascii="Times New Roman" w:hAnsi="Times New Roman" w:cs="Times New Roman"/>
            <w:noProof/>
          </w:rPr>
          <w:t>Table 4: Descriptive statistics for financial performance variables</w:t>
        </w:r>
        <w:r>
          <w:rPr>
            <w:noProof/>
            <w:webHidden/>
          </w:rPr>
          <w:tab/>
        </w:r>
        <w:r>
          <w:rPr>
            <w:noProof/>
            <w:webHidden/>
          </w:rPr>
          <w:fldChar w:fldCharType="begin"/>
        </w:r>
        <w:r>
          <w:rPr>
            <w:noProof/>
            <w:webHidden/>
          </w:rPr>
          <w:instrText xml:space="preserve"> PAGEREF _Toc237010700 \h </w:instrText>
        </w:r>
        <w:r>
          <w:rPr>
            <w:noProof/>
            <w:webHidden/>
          </w:rPr>
        </w:r>
        <w:r>
          <w:rPr>
            <w:noProof/>
            <w:webHidden/>
          </w:rPr>
          <w:fldChar w:fldCharType="separate"/>
        </w:r>
        <w:r>
          <w:rPr>
            <w:noProof/>
            <w:webHidden/>
          </w:rPr>
          <w:t>18</w:t>
        </w:r>
        <w:r>
          <w:rPr>
            <w:noProof/>
            <w:webHidden/>
          </w:rPr>
          <w:fldChar w:fldCharType="end"/>
        </w:r>
      </w:hyperlink>
    </w:p>
    <w:p w14:paraId="42AEB717" w14:textId="6633DE4E"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01" w:history="1">
        <w:r w:rsidRPr="00CD0ED6">
          <w:rPr>
            <w:rStyle w:val="Hyperlink"/>
            <w:rFonts w:ascii="Times New Roman" w:hAnsi="Times New Roman" w:cs="Times New Roman"/>
            <w:noProof/>
          </w:rPr>
          <w:t>Table 5: Pearson correlation matrix for all study variables.</w:t>
        </w:r>
        <w:r>
          <w:rPr>
            <w:noProof/>
            <w:webHidden/>
          </w:rPr>
          <w:tab/>
        </w:r>
        <w:r>
          <w:rPr>
            <w:noProof/>
            <w:webHidden/>
          </w:rPr>
          <w:fldChar w:fldCharType="begin"/>
        </w:r>
        <w:r>
          <w:rPr>
            <w:noProof/>
            <w:webHidden/>
          </w:rPr>
          <w:instrText xml:space="preserve"> PAGEREF _Toc237010701 \h </w:instrText>
        </w:r>
        <w:r>
          <w:rPr>
            <w:noProof/>
            <w:webHidden/>
          </w:rPr>
        </w:r>
        <w:r>
          <w:rPr>
            <w:noProof/>
            <w:webHidden/>
          </w:rPr>
          <w:fldChar w:fldCharType="separate"/>
        </w:r>
        <w:r>
          <w:rPr>
            <w:noProof/>
            <w:webHidden/>
          </w:rPr>
          <w:t>20</w:t>
        </w:r>
        <w:r>
          <w:rPr>
            <w:noProof/>
            <w:webHidden/>
          </w:rPr>
          <w:fldChar w:fldCharType="end"/>
        </w:r>
      </w:hyperlink>
    </w:p>
    <w:p w14:paraId="43B2C1BA" w14:textId="47CD69D5"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02" w:history="1">
        <w:r w:rsidRPr="00CD0ED6">
          <w:rPr>
            <w:rStyle w:val="Hyperlink"/>
            <w:rFonts w:ascii="Times New Roman" w:hAnsi="Times New Roman" w:cs="Times New Roman"/>
            <w:noProof/>
          </w:rPr>
          <w:t>Table 6: Model 1a (ROA) model summary</w:t>
        </w:r>
        <w:r>
          <w:rPr>
            <w:noProof/>
            <w:webHidden/>
          </w:rPr>
          <w:tab/>
        </w:r>
        <w:r>
          <w:rPr>
            <w:noProof/>
            <w:webHidden/>
          </w:rPr>
          <w:fldChar w:fldCharType="begin"/>
        </w:r>
        <w:r>
          <w:rPr>
            <w:noProof/>
            <w:webHidden/>
          </w:rPr>
          <w:instrText xml:space="preserve"> PAGEREF _Toc237010702 \h </w:instrText>
        </w:r>
        <w:r>
          <w:rPr>
            <w:noProof/>
            <w:webHidden/>
          </w:rPr>
        </w:r>
        <w:r>
          <w:rPr>
            <w:noProof/>
            <w:webHidden/>
          </w:rPr>
          <w:fldChar w:fldCharType="separate"/>
        </w:r>
        <w:r>
          <w:rPr>
            <w:noProof/>
            <w:webHidden/>
          </w:rPr>
          <w:t>22</w:t>
        </w:r>
        <w:r>
          <w:rPr>
            <w:noProof/>
            <w:webHidden/>
          </w:rPr>
          <w:fldChar w:fldCharType="end"/>
        </w:r>
      </w:hyperlink>
    </w:p>
    <w:p w14:paraId="3BBEC447" w14:textId="7D46794E"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03" w:history="1">
        <w:r w:rsidRPr="00CD0ED6">
          <w:rPr>
            <w:rStyle w:val="Hyperlink"/>
            <w:rFonts w:ascii="Times New Roman" w:hAnsi="Times New Roman" w:cs="Times New Roman"/>
            <w:noProof/>
          </w:rPr>
          <w:t>Table 7: Model 1a (ROA) ANOVA.</w:t>
        </w:r>
        <w:r>
          <w:rPr>
            <w:noProof/>
            <w:webHidden/>
          </w:rPr>
          <w:tab/>
        </w:r>
        <w:r>
          <w:rPr>
            <w:noProof/>
            <w:webHidden/>
          </w:rPr>
          <w:fldChar w:fldCharType="begin"/>
        </w:r>
        <w:r>
          <w:rPr>
            <w:noProof/>
            <w:webHidden/>
          </w:rPr>
          <w:instrText xml:space="preserve"> PAGEREF _Toc237010703 \h </w:instrText>
        </w:r>
        <w:r>
          <w:rPr>
            <w:noProof/>
            <w:webHidden/>
          </w:rPr>
        </w:r>
        <w:r>
          <w:rPr>
            <w:noProof/>
            <w:webHidden/>
          </w:rPr>
          <w:fldChar w:fldCharType="separate"/>
        </w:r>
        <w:r>
          <w:rPr>
            <w:noProof/>
            <w:webHidden/>
          </w:rPr>
          <w:t>22</w:t>
        </w:r>
        <w:r>
          <w:rPr>
            <w:noProof/>
            <w:webHidden/>
          </w:rPr>
          <w:fldChar w:fldCharType="end"/>
        </w:r>
      </w:hyperlink>
    </w:p>
    <w:p w14:paraId="207CAB1E" w14:textId="483F6CBE"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04" w:history="1">
        <w:r w:rsidRPr="00CD0ED6">
          <w:rPr>
            <w:rStyle w:val="Hyperlink"/>
            <w:rFonts w:ascii="Times New Roman" w:hAnsi="Times New Roman" w:cs="Times New Roman"/>
            <w:noProof/>
          </w:rPr>
          <w:t>Table 8: Model 1a (ROA) coefficients</w:t>
        </w:r>
        <w:r>
          <w:rPr>
            <w:noProof/>
            <w:webHidden/>
          </w:rPr>
          <w:tab/>
        </w:r>
        <w:r>
          <w:rPr>
            <w:noProof/>
            <w:webHidden/>
          </w:rPr>
          <w:fldChar w:fldCharType="begin"/>
        </w:r>
        <w:r>
          <w:rPr>
            <w:noProof/>
            <w:webHidden/>
          </w:rPr>
          <w:instrText xml:space="preserve"> PAGEREF _Toc237010704 \h </w:instrText>
        </w:r>
        <w:r>
          <w:rPr>
            <w:noProof/>
            <w:webHidden/>
          </w:rPr>
        </w:r>
        <w:r>
          <w:rPr>
            <w:noProof/>
            <w:webHidden/>
          </w:rPr>
          <w:fldChar w:fldCharType="separate"/>
        </w:r>
        <w:r>
          <w:rPr>
            <w:noProof/>
            <w:webHidden/>
          </w:rPr>
          <w:t>23</w:t>
        </w:r>
        <w:r>
          <w:rPr>
            <w:noProof/>
            <w:webHidden/>
          </w:rPr>
          <w:fldChar w:fldCharType="end"/>
        </w:r>
      </w:hyperlink>
    </w:p>
    <w:p w14:paraId="69BD50C6" w14:textId="3A5AB7AD"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05" w:history="1">
        <w:r w:rsidRPr="00CD0ED6">
          <w:rPr>
            <w:rStyle w:val="Hyperlink"/>
            <w:rFonts w:ascii="Times New Roman" w:hAnsi="Times New Roman" w:cs="Times New Roman"/>
            <w:noProof/>
          </w:rPr>
          <w:t>Table 9: Model 1b (ROE) model summary</w:t>
        </w:r>
        <w:r>
          <w:rPr>
            <w:noProof/>
            <w:webHidden/>
          </w:rPr>
          <w:tab/>
        </w:r>
        <w:r>
          <w:rPr>
            <w:noProof/>
            <w:webHidden/>
          </w:rPr>
          <w:fldChar w:fldCharType="begin"/>
        </w:r>
        <w:r>
          <w:rPr>
            <w:noProof/>
            <w:webHidden/>
          </w:rPr>
          <w:instrText xml:space="preserve"> PAGEREF _Toc237010705 \h </w:instrText>
        </w:r>
        <w:r>
          <w:rPr>
            <w:noProof/>
            <w:webHidden/>
          </w:rPr>
        </w:r>
        <w:r>
          <w:rPr>
            <w:noProof/>
            <w:webHidden/>
          </w:rPr>
          <w:fldChar w:fldCharType="separate"/>
        </w:r>
        <w:r>
          <w:rPr>
            <w:noProof/>
            <w:webHidden/>
          </w:rPr>
          <w:t>24</w:t>
        </w:r>
        <w:r>
          <w:rPr>
            <w:noProof/>
            <w:webHidden/>
          </w:rPr>
          <w:fldChar w:fldCharType="end"/>
        </w:r>
      </w:hyperlink>
    </w:p>
    <w:p w14:paraId="1ED0A295" w14:textId="0B43C224"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06" w:history="1">
        <w:r w:rsidRPr="00CD0ED6">
          <w:rPr>
            <w:rStyle w:val="Hyperlink"/>
            <w:rFonts w:ascii="Times New Roman" w:hAnsi="Times New Roman" w:cs="Times New Roman"/>
            <w:noProof/>
          </w:rPr>
          <w:t>Table 10: Model 1b (ROE) ANOVA</w:t>
        </w:r>
        <w:r>
          <w:rPr>
            <w:noProof/>
            <w:webHidden/>
          </w:rPr>
          <w:tab/>
        </w:r>
        <w:r>
          <w:rPr>
            <w:noProof/>
            <w:webHidden/>
          </w:rPr>
          <w:fldChar w:fldCharType="begin"/>
        </w:r>
        <w:r>
          <w:rPr>
            <w:noProof/>
            <w:webHidden/>
          </w:rPr>
          <w:instrText xml:space="preserve"> PAGEREF _Toc237010706 \h </w:instrText>
        </w:r>
        <w:r>
          <w:rPr>
            <w:noProof/>
            <w:webHidden/>
          </w:rPr>
        </w:r>
        <w:r>
          <w:rPr>
            <w:noProof/>
            <w:webHidden/>
          </w:rPr>
          <w:fldChar w:fldCharType="separate"/>
        </w:r>
        <w:r>
          <w:rPr>
            <w:noProof/>
            <w:webHidden/>
          </w:rPr>
          <w:t>24</w:t>
        </w:r>
        <w:r>
          <w:rPr>
            <w:noProof/>
            <w:webHidden/>
          </w:rPr>
          <w:fldChar w:fldCharType="end"/>
        </w:r>
      </w:hyperlink>
    </w:p>
    <w:p w14:paraId="44FA0220" w14:textId="3DE5B56C"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07" w:history="1">
        <w:r w:rsidRPr="00CD0ED6">
          <w:rPr>
            <w:rStyle w:val="Hyperlink"/>
            <w:rFonts w:ascii="Times New Roman" w:hAnsi="Times New Roman" w:cs="Times New Roman"/>
            <w:noProof/>
          </w:rPr>
          <w:t>Table 11:Model 1b (ROE) coefficients</w:t>
        </w:r>
        <w:r>
          <w:rPr>
            <w:noProof/>
            <w:webHidden/>
          </w:rPr>
          <w:tab/>
        </w:r>
        <w:r>
          <w:rPr>
            <w:noProof/>
            <w:webHidden/>
          </w:rPr>
          <w:fldChar w:fldCharType="begin"/>
        </w:r>
        <w:r>
          <w:rPr>
            <w:noProof/>
            <w:webHidden/>
          </w:rPr>
          <w:instrText xml:space="preserve"> PAGEREF _Toc237010707 \h </w:instrText>
        </w:r>
        <w:r>
          <w:rPr>
            <w:noProof/>
            <w:webHidden/>
          </w:rPr>
        </w:r>
        <w:r>
          <w:rPr>
            <w:noProof/>
            <w:webHidden/>
          </w:rPr>
          <w:fldChar w:fldCharType="separate"/>
        </w:r>
        <w:r>
          <w:rPr>
            <w:noProof/>
            <w:webHidden/>
          </w:rPr>
          <w:t>25</w:t>
        </w:r>
        <w:r>
          <w:rPr>
            <w:noProof/>
            <w:webHidden/>
          </w:rPr>
          <w:fldChar w:fldCharType="end"/>
        </w:r>
      </w:hyperlink>
    </w:p>
    <w:p w14:paraId="463050DA" w14:textId="7C058E11"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08" w:history="1">
        <w:r w:rsidRPr="00CD0ED6">
          <w:rPr>
            <w:rStyle w:val="Hyperlink"/>
            <w:rFonts w:ascii="Times New Roman" w:hAnsi="Times New Roman" w:cs="Times New Roman"/>
            <w:noProof/>
          </w:rPr>
          <w:t>Table 12: Model 2a (ROA) model summary.</w:t>
        </w:r>
        <w:r>
          <w:rPr>
            <w:noProof/>
            <w:webHidden/>
          </w:rPr>
          <w:tab/>
        </w:r>
        <w:r>
          <w:rPr>
            <w:noProof/>
            <w:webHidden/>
          </w:rPr>
          <w:fldChar w:fldCharType="begin"/>
        </w:r>
        <w:r>
          <w:rPr>
            <w:noProof/>
            <w:webHidden/>
          </w:rPr>
          <w:instrText xml:space="preserve"> PAGEREF _Toc237010708 \h </w:instrText>
        </w:r>
        <w:r>
          <w:rPr>
            <w:noProof/>
            <w:webHidden/>
          </w:rPr>
        </w:r>
        <w:r>
          <w:rPr>
            <w:noProof/>
            <w:webHidden/>
          </w:rPr>
          <w:fldChar w:fldCharType="separate"/>
        </w:r>
        <w:r>
          <w:rPr>
            <w:noProof/>
            <w:webHidden/>
          </w:rPr>
          <w:t>26</w:t>
        </w:r>
        <w:r>
          <w:rPr>
            <w:noProof/>
            <w:webHidden/>
          </w:rPr>
          <w:fldChar w:fldCharType="end"/>
        </w:r>
      </w:hyperlink>
    </w:p>
    <w:p w14:paraId="469AA31F" w14:textId="29A4E19B"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09" w:history="1">
        <w:r w:rsidRPr="00CD0ED6">
          <w:rPr>
            <w:rStyle w:val="Hyperlink"/>
            <w:rFonts w:ascii="Times New Roman" w:hAnsi="Times New Roman" w:cs="Times New Roman"/>
            <w:noProof/>
          </w:rPr>
          <w:t>Table 13: Model 2a (ROA) ANOVA</w:t>
        </w:r>
        <w:r>
          <w:rPr>
            <w:noProof/>
            <w:webHidden/>
          </w:rPr>
          <w:tab/>
        </w:r>
        <w:r>
          <w:rPr>
            <w:noProof/>
            <w:webHidden/>
          </w:rPr>
          <w:fldChar w:fldCharType="begin"/>
        </w:r>
        <w:r>
          <w:rPr>
            <w:noProof/>
            <w:webHidden/>
          </w:rPr>
          <w:instrText xml:space="preserve"> PAGEREF _Toc237010709 \h </w:instrText>
        </w:r>
        <w:r>
          <w:rPr>
            <w:noProof/>
            <w:webHidden/>
          </w:rPr>
        </w:r>
        <w:r>
          <w:rPr>
            <w:noProof/>
            <w:webHidden/>
          </w:rPr>
          <w:fldChar w:fldCharType="separate"/>
        </w:r>
        <w:r>
          <w:rPr>
            <w:noProof/>
            <w:webHidden/>
          </w:rPr>
          <w:t>26</w:t>
        </w:r>
        <w:r>
          <w:rPr>
            <w:noProof/>
            <w:webHidden/>
          </w:rPr>
          <w:fldChar w:fldCharType="end"/>
        </w:r>
      </w:hyperlink>
    </w:p>
    <w:p w14:paraId="3570B3A1" w14:textId="1C69FF7B"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10" w:history="1">
        <w:r w:rsidRPr="00CD0ED6">
          <w:rPr>
            <w:rStyle w:val="Hyperlink"/>
            <w:rFonts w:ascii="Times New Roman" w:hAnsi="Times New Roman" w:cs="Times New Roman"/>
            <w:noProof/>
          </w:rPr>
          <w:t>Table 14: Model 2b (ROA) coefficients.</w:t>
        </w:r>
        <w:r>
          <w:rPr>
            <w:noProof/>
            <w:webHidden/>
          </w:rPr>
          <w:tab/>
        </w:r>
        <w:r>
          <w:rPr>
            <w:noProof/>
            <w:webHidden/>
          </w:rPr>
          <w:fldChar w:fldCharType="begin"/>
        </w:r>
        <w:r>
          <w:rPr>
            <w:noProof/>
            <w:webHidden/>
          </w:rPr>
          <w:instrText xml:space="preserve"> PAGEREF _Toc237010710 \h </w:instrText>
        </w:r>
        <w:r>
          <w:rPr>
            <w:noProof/>
            <w:webHidden/>
          </w:rPr>
        </w:r>
        <w:r>
          <w:rPr>
            <w:noProof/>
            <w:webHidden/>
          </w:rPr>
          <w:fldChar w:fldCharType="separate"/>
        </w:r>
        <w:r>
          <w:rPr>
            <w:noProof/>
            <w:webHidden/>
          </w:rPr>
          <w:t>27</w:t>
        </w:r>
        <w:r>
          <w:rPr>
            <w:noProof/>
            <w:webHidden/>
          </w:rPr>
          <w:fldChar w:fldCharType="end"/>
        </w:r>
      </w:hyperlink>
    </w:p>
    <w:p w14:paraId="3FA7F963" w14:textId="687FA9D2"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11" w:history="1">
        <w:r w:rsidRPr="00CD0ED6">
          <w:rPr>
            <w:rStyle w:val="Hyperlink"/>
            <w:rFonts w:ascii="Times New Roman" w:hAnsi="Times New Roman" w:cs="Times New Roman"/>
            <w:noProof/>
          </w:rPr>
          <w:t>Table 15: Model 2b (ROE) model summary</w:t>
        </w:r>
        <w:r>
          <w:rPr>
            <w:noProof/>
            <w:webHidden/>
          </w:rPr>
          <w:tab/>
        </w:r>
        <w:r>
          <w:rPr>
            <w:noProof/>
            <w:webHidden/>
          </w:rPr>
          <w:fldChar w:fldCharType="begin"/>
        </w:r>
        <w:r>
          <w:rPr>
            <w:noProof/>
            <w:webHidden/>
          </w:rPr>
          <w:instrText xml:space="preserve"> PAGEREF _Toc237010711 \h </w:instrText>
        </w:r>
        <w:r>
          <w:rPr>
            <w:noProof/>
            <w:webHidden/>
          </w:rPr>
        </w:r>
        <w:r>
          <w:rPr>
            <w:noProof/>
            <w:webHidden/>
          </w:rPr>
          <w:fldChar w:fldCharType="separate"/>
        </w:r>
        <w:r>
          <w:rPr>
            <w:noProof/>
            <w:webHidden/>
          </w:rPr>
          <w:t>27</w:t>
        </w:r>
        <w:r>
          <w:rPr>
            <w:noProof/>
            <w:webHidden/>
          </w:rPr>
          <w:fldChar w:fldCharType="end"/>
        </w:r>
      </w:hyperlink>
    </w:p>
    <w:p w14:paraId="2A1712E6" w14:textId="72F62C09"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12" w:history="1">
        <w:r w:rsidRPr="00CD0ED6">
          <w:rPr>
            <w:rStyle w:val="Hyperlink"/>
            <w:rFonts w:ascii="Times New Roman" w:hAnsi="Times New Roman" w:cs="Times New Roman"/>
            <w:noProof/>
          </w:rPr>
          <w:t>Table 16: : Model 2b (ROE) ANOVA.</w:t>
        </w:r>
        <w:r>
          <w:rPr>
            <w:noProof/>
            <w:webHidden/>
          </w:rPr>
          <w:tab/>
        </w:r>
        <w:r>
          <w:rPr>
            <w:noProof/>
            <w:webHidden/>
          </w:rPr>
          <w:fldChar w:fldCharType="begin"/>
        </w:r>
        <w:r>
          <w:rPr>
            <w:noProof/>
            <w:webHidden/>
          </w:rPr>
          <w:instrText xml:space="preserve"> PAGEREF _Toc237010712 \h </w:instrText>
        </w:r>
        <w:r>
          <w:rPr>
            <w:noProof/>
            <w:webHidden/>
          </w:rPr>
        </w:r>
        <w:r>
          <w:rPr>
            <w:noProof/>
            <w:webHidden/>
          </w:rPr>
          <w:fldChar w:fldCharType="separate"/>
        </w:r>
        <w:r>
          <w:rPr>
            <w:noProof/>
            <w:webHidden/>
          </w:rPr>
          <w:t>28</w:t>
        </w:r>
        <w:r>
          <w:rPr>
            <w:noProof/>
            <w:webHidden/>
          </w:rPr>
          <w:fldChar w:fldCharType="end"/>
        </w:r>
      </w:hyperlink>
    </w:p>
    <w:p w14:paraId="523CC36A" w14:textId="638CB484"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13" w:history="1">
        <w:r w:rsidRPr="00CD0ED6">
          <w:rPr>
            <w:rStyle w:val="Hyperlink"/>
            <w:rFonts w:ascii="Times New Roman" w:hAnsi="Times New Roman" w:cs="Times New Roman"/>
            <w:noProof/>
          </w:rPr>
          <w:t>Table 17: Model 2b (ROE) coefficients</w:t>
        </w:r>
        <w:r>
          <w:rPr>
            <w:noProof/>
            <w:webHidden/>
          </w:rPr>
          <w:tab/>
        </w:r>
        <w:r>
          <w:rPr>
            <w:noProof/>
            <w:webHidden/>
          </w:rPr>
          <w:fldChar w:fldCharType="begin"/>
        </w:r>
        <w:r>
          <w:rPr>
            <w:noProof/>
            <w:webHidden/>
          </w:rPr>
          <w:instrText xml:space="preserve"> PAGEREF _Toc237010713 \h </w:instrText>
        </w:r>
        <w:r>
          <w:rPr>
            <w:noProof/>
            <w:webHidden/>
          </w:rPr>
        </w:r>
        <w:r>
          <w:rPr>
            <w:noProof/>
            <w:webHidden/>
          </w:rPr>
          <w:fldChar w:fldCharType="separate"/>
        </w:r>
        <w:r>
          <w:rPr>
            <w:noProof/>
            <w:webHidden/>
          </w:rPr>
          <w:t>28</w:t>
        </w:r>
        <w:r>
          <w:rPr>
            <w:noProof/>
            <w:webHidden/>
          </w:rPr>
          <w:fldChar w:fldCharType="end"/>
        </w:r>
      </w:hyperlink>
    </w:p>
    <w:p w14:paraId="0021ACC0" w14:textId="27B5C6FA"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14" w:history="1">
        <w:r w:rsidRPr="00CD0ED6">
          <w:rPr>
            <w:rStyle w:val="Hyperlink"/>
            <w:rFonts w:ascii="Times New Roman" w:hAnsi="Times New Roman" w:cs="Times New Roman"/>
            <w:noProof/>
          </w:rPr>
          <w:t>Table 18: Model 3a (ROA) model summary</w:t>
        </w:r>
        <w:r>
          <w:rPr>
            <w:noProof/>
            <w:webHidden/>
          </w:rPr>
          <w:tab/>
        </w:r>
        <w:r>
          <w:rPr>
            <w:noProof/>
            <w:webHidden/>
          </w:rPr>
          <w:fldChar w:fldCharType="begin"/>
        </w:r>
        <w:r>
          <w:rPr>
            <w:noProof/>
            <w:webHidden/>
          </w:rPr>
          <w:instrText xml:space="preserve"> PAGEREF _Toc237010714 \h </w:instrText>
        </w:r>
        <w:r>
          <w:rPr>
            <w:noProof/>
            <w:webHidden/>
          </w:rPr>
        </w:r>
        <w:r>
          <w:rPr>
            <w:noProof/>
            <w:webHidden/>
          </w:rPr>
          <w:fldChar w:fldCharType="separate"/>
        </w:r>
        <w:r>
          <w:rPr>
            <w:noProof/>
            <w:webHidden/>
          </w:rPr>
          <w:t>30</w:t>
        </w:r>
        <w:r>
          <w:rPr>
            <w:noProof/>
            <w:webHidden/>
          </w:rPr>
          <w:fldChar w:fldCharType="end"/>
        </w:r>
      </w:hyperlink>
    </w:p>
    <w:p w14:paraId="26ED032A" w14:textId="0ABE7E6A"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15" w:history="1">
        <w:r w:rsidRPr="00CD0ED6">
          <w:rPr>
            <w:rStyle w:val="Hyperlink"/>
            <w:rFonts w:ascii="Times New Roman" w:hAnsi="Times New Roman" w:cs="Times New Roman"/>
            <w:noProof/>
          </w:rPr>
          <w:t>Table 19: Model 3a (ROA) ANOVA.</w:t>
        </w:r>
        <w:r>
          <w:rPr>
            <w:noProof/>
            <w:webHidden/>
          </w:rPr>
          <w:tab/>
        </w:r>
        <w:r>
          <w:rPr>
            <w:noProof/>
            <w:webHidden/>
          </w:rPr>
          <w:fldChar w:fldCharType="begin"/>
        </w:r>
        <w:r>
          <w:rPr>
            <w:noProof/>
            <w:webHidden/>
          </w:rPr>
          <w:instrText xml:space="preserve"> PAGEREF _Toc237010715 \h </w:instrText>
        </w:r>
        <w:r>
          <w:rPr>
            <w:noProof/>
            <w:webHidden/>
          </w:rPr>
        </w:r>
        <w:r>
          <w:rPr>
            <w:noProof/>
            <w:webHidden/>
          </w:rPr>
          <w:fldChar w:fldCharType="separate"/>
        </w:r>
        <w:r>
          <w:rPr>
            <w:noProof/>
            <w:webHidden/>
          </w:rPr>
          <w:t>30</w:t>
        </w:r>
        <w:r>
          <w:rPr>
            <w:noProof/>
            <w:webHidden/>
          </w:rPr>
          <w:fldChar w:fldCharType="end"/>
        </w:r>
      </w:hyperlink>
    </w:p>
    <w:p w14:paraId="6D9F2BB0" w14:textId="45301C67"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16" w:history="1">
        <w:r w:rsidRPr="00CD0ED6">
          <w:rPr>
            <w:rStyle w:val="Hyperlink"/>
            <w:rFonts w:ascii="Times New Roman" w:hAnsi="Times New Roman" w:cs="Times New Roman"/>
            <w:noProof/>
          </w:rPr>
          <w:t>Table 20: Model 3a (ROA) coefficients</w:t>
        </w:r>
        <w:r>
          <w:rPr>
            <w:noProof/>
            <w:webHidden/>
          </w:rPr>
          <w:tab/>
        </w:r>
        <w:r>
          <w:rPr>
            <w:noProof/>
            <w:webHidden/>
          </w:rPr>
          <w:fldChar w:fldCharType="begin"/>
        </w:r>
        <w:r>
          <w:rPr>
            <w:noProof/>
            <w:webHidden/>
          </w:rPr>
          <w:instrText xml:space="preserve"> PAGEREF _Toc237010716 \h </w:instrText>
        </w:r>
        <w:r>
          <w:rPr>
            <w:noProof/>
            <w:webHidden/>
          </w:rPr>
        </w:r>
        <w:r>
          <w:rPr>
            <w:noProof/>
            <w:webHidden/>
          </w:rPr>
          <w:fldChar w:fldCharType="separate"/>
        </w:r>
        <w:r>
          <w:rPr>
            <w:noProof/>
            <w:webHidden/>
          </w:rPr>
          <w:t>31</w:t>
        </w:r>
        <w:r>
          <w:rPr>
            <w:noProof/>
            <w:webHidden/>
          </w:rPr>
          <w:fldChar w:fldCharType="end"/>
        </w:r>
      </w:hyperlink>
    </w:p>
    <w:p w14:paraId="0E5BE777" w14:textId="6315519A"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17" w:history="1">
        <w:r w:rsidRPr="00CD0ED6">
          <w:rPr>
            <w:rStyle w:val="Hyperlink"/>
            <w:rFonts w:ascii="Times New Roman" w:hAnsi="Times New Roman" w:cs="Times New Roman"/>
            <w:noProof/>
          </w:rPr>
          <w:t>Table 21: Model 3b (ROE) model summary.</w:t>
        </w:r>
        <w:r>
          <w:rPr>
            <w:noProof/>
            <w:webHidden/>
          </w:rPr>
          <w:tab/>
        </w:r>
        <w:r>
          <w:rPr>
            <w:noProof/>
            <w:webHidden/>
          </w:rPr>
          <w:fldChar w:fldCharType="begin"/>
        </w:r>
        <w:r>
          <w:rPr>
            <w:noProof/>
            <w:webHidden/>
          </w:rPr>
          <w:instrText xml:space="preserve"> PAGEREF _Toc237010717 \h </w:instrText>
        </w:r>
        <w:r>
          <w:rPr>
            <w:noProof/>
            <w:webHidden/>
          </w:rPr>
        </w:r>
        <w:r>
          <w:rPr>
            <w:noProof/>
            <w:webHidden/>
          </w:rPr>
          <w:fldChar w:fldCharType="separate"/>
        </w:r>
        <w:r>
          <w:rPr>
            <w:noProof/>
            <w:webHidden/>
          </w:rPr>
          <w:t>31</w:t>
        </w:r>
        <w:r>
          <w:rPr>
            <w:noProof/>
            <w:webHidden/>
          </w:rPr>
          <w:fldChar w:fldCharType="end"/>
        </w:r>
      </w:hyperlink>
    </w:p>
    <w:p w14:paraId="76CB82B0" w14:textId="48874DCC"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18" w:history="1">
        <w:r w:rsidRPr="00CD0ED6">
          <w:rPr>
            <w:rStyle w:val="Hyperlink"/>
            <w:rFonts w:ascii="Times New Roman" w:hAnsi="Times New Roman" w:cs="Times New Roman"/>
            <w:noProof/>
          </w:rPr>
          <w:t>Table 22: Model 3b (ROE) ANOVA</w:t>
        </w:r>
        <w:r>
          <w:rPr>
            <w:noProof/>
            <w:webHidden/>
          </w:rPr>
          <w:tab/>
        </w:r>
        <w:r>
          <w:rPr>
            <w:noProof/>
            <w:webHidden/>
          </w:rPr>
          <w:fldChar w:fldCharType="begin"/>
        </w:r>
        <w:r>
          <w:rPr>
            <w:noProof/>
            <w:webHidden/>
          </w:rPr>
          <w:instrText xml:space="preserve"> PAGEREF _Toc237010718 \h </w:instrText>
        </w:r>
        <w:r>
          <w:rPr>
            <w:noProof/>
            <w:webHidden/>
          </w:rPr>
        </w:r>
        <w:r>
          <w:rPr>
            <w:noProof/>
            <w:webHidden/>
          </w:rPr>
          <w:fldChar w:fldCharType="separate"/>
        </w:r>
        <w:r>
          <w:rPr>
            <w:noProof/>
            <w:webHidden/>
          </w:rPr>
          <w:t>32</w:t>
        </w:r>
        <w:r>
          <w:rPr>
            <w:noProof/>
            <w:webHidden/>
          </w:rPr>
          <w:fldChar w:fldCharType="end"/>
        </w:r>
      </w:hyperlink>
    </w:p>
    <w:p w14:paraId="78619E8F" w14:textId="353B2C75" w:rsidR="0078735B" w:rsidRDefault="0078735B" w:rsidP="0078735B">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7010719" w:history="1">
        <w:r w:rsidRPr="00CD0ED6">
          <w:rPr>
            <w:rStyle w:val="Hyperlink"/>
            <w:rFonts w:ascii="Times New Roman" w:hAnsi="Times New Roman" w:cs="Times New Roman"/>
            <w:noProof/>
          </w:rPr>
          <w:t>Table 23: Model 3b (ROE) coefficients</w:t>
        </w:r>
        <w:r>
          <w:rPr>
            <w:noProof/>
            <w:webHidden/>
          </w:rPr>
          <w:tab/>
        </w:r>
        <w:r>
          <w:rPr>
            <w:noProof/>
            <w:webHidden/>
          </w:rPr>
          <w:fldChar w:fldCharType="begin"/>
        </w:r>
        <w:r>
          <w:rPr>
            <w:noProof/>
            <w:webHidden/>
          </w:rPr>
          <w:instrText xml:space="preserve"> PAGEREF _Toc237010719 \h </w:instrText>
        </w:r>
        <w:r>
          <w:rPr>
            <w:noProof/>
            <w:webHidden/>
          </w:rPr>
        </w:r>
        <w:r>
          <w:rPr>
            <w:noProof/>
            <w:webHidden/>
          </w:rPr>
          <w:fldChar w:fldCharType="separate"/>
        </w:r>
        <w:r>
          <w:rPr>
            <w:noProof/>
            <w:webHidden/>
          </w:rPr>
          <w:t>32</w:t>
        </w:r>
        <w:r>
          <w:rPr>
            <w:noProof/>
            <w:webHidden/>
          </w:rPr>
          <w:fldChar w:fldCharType="end"/>
        </w:r>
      </w:hyperlink>
    </w:p>
    <w:p w14:paraId="51548C19" w14:textId="540CC145" w:rsidR="00471CB5" w:rsidRDefault="002854E0" w:rsidP="0078735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fldChar w:fldCharType="end"/>
      </w:r>
    </w:p>
    <w:p w14:paraId="24AFEEF0" w14:textId="77777777" w:rsidR="00471CB5" w:rsidRDefault="00471CB5" w:rsidP="00471CB5">
      <w:pPr>
        <w:spacing w:line="360" w:lineRule="auto"/>
        <w:jc w:val="both"/>
        <w:rPr>
          <w:rFonts w:ascii="Times New Roman" w:eastAsia="Times New Roman" w:hAnsi="Times New Roman" w:cs="Times New Roman"/>
          <w:b/>
          <w:bCs/>
        </w:rPr>
      </w:pPr>
    </w:p>
    <w:p w14:paraId="7BE73D63" w14:textId="77777777" w:rsidR="00471CB5" w:rsidRDefault="00471CB5" w:rsidP="00471CB5">
      <w:pPr>
        <w:spacing w:line="360" w:lineRule="auto"/>
        <w:jc w:val="both"/>
        <w:rPr>
          <w:rFonts w:ascii="Times New Roman" w:eastAsia="Times New Roman" w:hAnsi="Times New Roman" w:cs="Times New Roman"/>
          <w:b/>
          <w:bCs/>
        </w:rPr>
      </w:pPr>
    </w:p>
    <w:p w14:paraId="30DD04A9" w14:textId="0C6E3B57" w:rsidR="002854E0" w:rsidRDefault="00D4570A" w:rsidP="00471CB5">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List of Figures</w:t>
      </w:r>
    </w:p>
    <w:p w14:paraId="58F97D7E" w14:textId="76CA8CB2" w:rsidR="001854FB" w:rsidRDefault="001854FB">
      <w:pPr>
        <w:pStyle w:val="TableofFigures"/>
        <w:tabs>
          <w:tab w:val="right" w:leader="dot" w:pos="9350"/>
        </w:tabs>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b/>
          <w:bCs/>
        </w:rPr>
        <w:fldChar w:fldCharType="begin"/>
      </w:r>
      <w:r>
        <w:rPr>
          <w:rFonts w:ascii="Times New Roman" w:eastAsia="Times New Roman" w:hAnsi="Times New Roman" w:cs="Times New Roman"/>
          <w:b/>
          <w:bCs/>
        </w:rPr>
        <w:instrText xml:space="preserve"> TOC \h \z \c "Figure" </w:instrText>
      </w:r>
      <w:r>
        <w:rPr>
          <w:rFonts w:ascii="Times New Roman" w:eastAsia="Times New Roman" w:hAnsi="Times New Roman" w:cs="Times New Roman"/>
          <w:b/>
          <w:bCs/>
        </w:rPr>
        <w:fldChar w:fldCharType="separate"/>
      </w:r>
      <w:hyperlink w:anchor="_Toc236978916" w:history="1">
        <w:r w:rsidRPr="00465764">
          <w:rPr>
            <w:rStyle w:val="Hyperlink"/>
            <w:rFonts w:ascii="Times New Roman" w:hAnsi="Times New Roman" w:cs="Times New Roman"/>
            <w:noProof/>
          </w:rPr>
          <w:t>Figure 1: Conceptual framework of the Study</w:t>
        </w:r>
        <w:r>
          <w:rPr>
            <w:noProof/>
            <w:webHidden/>
          </w:rPr>
          <w:tab/>
        </w:r>
        <w:r>
          <w:rPr>
            <w:noProof/>
            <w:webHidden/>
          </w:rPr>
          <w:fldChar w:fldCharType="begin"/>
        </w:r>
        <w:r>
          <w:rPr>
            <w:noProof/>
            <w:webHidden/>
          </w:rPr>
          <w:instrText xml:space="preserve"> PAGEREF _Toc236978916 \h </w:instrText>
        </w:r>
        <w:r>
          <w:rPr>
            <w:noProof/>
            <w:webHidden/>
          </w:rPr>
        </w:r>
        <w:r>
          <w:rPr>
            <w:noProof/>
            <w:webHidden/>
          </w:rPr>
          <w:fldChar w:fldCharType="separate"/>
        </w:r>
        <w:r>
          <w:rPr>
            <w:noProof/>
            <w:webHidden/>
          </w:rPr>
          <w:t>10</w:t>
        </w:r>
        <w:r>
          <w:rPr>
            <w:noProof/>
            <w:webHidden/>
          </w:rPr>
          <w:fldChar w:fldCharType="end"/>
        </w:r>
      </w:hyperlink>
    </w:p>
    <w:p w14:paraId="56DAD2D9" w14:textId="31E4768A" w:rsidR="004322E7" w:rsidRDefault="001854FB" w:rsidP="001854F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fldChar w:fldCharType="end"/>
      </w:r>
    </w:p>
    <w:p w14:paraId="0BD63634" w14:textId="77777777" w:rsidR="001854FB" w:rsidRDefault="001854FB" w:rsidP="001854FB">
      <w:pPr>
        <w:spacing w:line="360" w:lineRule="auto"/>
        <w:jc w:val="both"/>
        <w:rPr>
          <w:rFonts w:ascii="Times New Roman" w:eastAsia="Times New Roman" w:hAnsi="Times New Roman" w:cs="Times New Roman"/>
          <w:b/>
          <w:bCs/>
        </w:rPr>
      </w:pPr>
    </w:p>
    <w:p w14:paraId="36749DA6" w14:textId="01756325" w:rsidR="001854FB" w:rsidRDefault="001854FB" w:rsidP="001854FB">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noProof/>
        </w:rPr>
        <mc:AlternateContent>
          <mc:Choice Requires="wps">
            <w:drawing>
              <wp:anchor distT="0" distB="0" distL="114300" distR="114300" simplePos="0" relativeHeight="251660288" behindDoc="0" locked="0" layoutInCell="1" allowOverlap="1" wp14:anchorId="0F6921B1" wp14:editId="5D6ADB9B">
                <wp:simplePos x="0" y="0"/>
                <wp:positionH relativeFrom="column">
                  <wp:posOffset>90151</wp:posOffset>
                </wp:positionH>
                <wp:positionV relativeFrom="paragraph">
                  <wp:posOffset>262488</wp:posOffset>
                </wp:positionV>
                <wp:extent cx="5937161" cy="25757"/>
                <wp:effectExtent l="0" t="0" r="26035" b="31750"/>
                <wp:wrapNone/>
                <wp:docPr id="339728245" name="Straight Connector 2"/>
                <wp:cNvGraphicFramePr/>
                <a:graphic xmlns:a="http://schemas.openxmlformats.org/drawingml/2006/main">
                  <a:graphicData uri="http://schemas.microsoft.com/office/word/2010/wordprocessingShape">
                    <wps:wsp>
                      <wps:cNvCnPr/>
                      <wps:spPr>
                        <a:xfrm flipV="1">
                          <a:off x="0" y="0"/>
                          <a:ext cx="5937161" cy="25757"/>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9E054D6" id="Straight Connector 2"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7.1pt,20.65pt" to="474.6pt,2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" strokecolor="black [3200]" strokeweight="1pt">
                <v:stroke joinstyle="miter"/>
              </v:line>
            </w:pict>
          </mc:Fallback>
        </mc:AlternateContent>
      </w:r>
    </w:p>
    <w:p w14:paraId="0EBB6A07" w14:textId="77777777" w:rsidR="001854FB" w:rsidRDefault="001854FB" w:rsidP="001854FB">
      <w:pPr>
        <w:spacing w:line="360" w:lineRule="auto"/>
        <w:jc w:val="both"/>
        <w:rPr>
          <w:rFonts w:ascii="Times New Roman" w:eastAsia="Times New Roman" w:hAnsi="Times New Roman" w:cs="Times New Roman"/>
        </w:rPr>
      </w:pPr>
    </w:p>
    <w:p w14:paraId="782FE722" w14:textId="447F5FCA" w:rsidR="001854FB" w:rsidRDefault="001854FB" w:rsidP="001854FB">
      <w:pPr>
        <w:spacing w:line="360" w:lineRule="auto"/>
        <w:jc w:val="both"/>
        <w:rPr>
          <w:rFonts w:ascii="Times New Roman" w:eastAsia="Times New Roman" w:hAnsi="Times New Roman" w:cs="Times New Roman"/>
          <w:b/>
          <w:bCs/>
        </w:rPr>
      </w:pPr>
      <w:r w:rsidRPr="001854FB">
        <w:rPr>
          <w:rFonts w:ascii="Times New Roman" w:eastAsia="Times New Roman" w:hAnsi="Times New Roman" w:cs="Times New Roman"/>
          <w:b/>
          <w:bCs/>
        </w:rPr>
        <w:t>List of Appendices</w:t>
      </w:r>
    </w:p>
    <w:p w14:paraId="548C0726" w14:textId="2FA05CE3" w:rsidR="00604E4B" w:rsidRDefault="00604E4B" w:rsidP="002C539A">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r>
        <w:rPr>
          <w:rFonts w:ascii="Times New Roman" w:eastAsia="Times New Roman" w:hAnsi="Times New Roman" w:cs="Times New Roman"/>
          <w:b/>
          <w:bCs/>
        </w:rPr>
        <w:fldChar w:fldCharType="begin"/>
      </w:r>
      <w:r>
        <w:rPr>
          <w:rFonts w:ascii="Times New Roman" w:eastAsia="Times New Roman" w:hAnsi="Times New Roman" w:cs="Times New Roman"/>
          <w:b/>
          <w:bCs/>
        </w:rPr>
        <w:instrText xml:space="preserve"> TOC \h \z \c "Appendix 1" </w:instrText>
      </w:r>
      <w:r>
        <w:rPr>
          <w:rFonts w:ascii="Times New Roman" w:eastAsia="Times New Roman" w:hAnsi="Times New Roman" w:cs="Times New Roman"/>
          <w:b/>
          <w:bCs/>
        </w:rPr>
        <w:fldChar w:fldCharType="separate"/>
      </w:r>
      <w:hyperlink w:anchor="_Toc236979312" w:history="1">
        <w:r w:rsidRPr="00FF545D">
          <w:rPr>
            <w:rStyle w:val="Hyperlink"/>
            <w:rFonts w:ascii="Times New Roman" w:hAnsi="Times New Roman" w:cs="Times New Roman"/>
            <w:noProof/>
          </w:rPr>
          <w:t>Appendix 1 a: Corporate Governance Variables Values.</w:t>
        </w:r>
        <w:r>
          <w:rPr>
            <w:noProof/>
            <w:webHidden/>
          </w:rPr>
          <w:tab/>
        </w:r>
        <w:r>
          <w:rPr>
            <w:noProof/>
            <w:webHidden/>
          </w:rPr>
          <w:fldChar w:fldCharType="begin"/>
        </w:r>
        <w:r>
          <w:rPr>
            <w:noProof/>
            <w:webHidden/>
          </w:rPr>
          <w:instrText xml:space="preserve"> PAGEREF _Toc236979312 \h </w:instrText>
        </w:r>
        <w:r>
          <w:rPr>
            <w:noProof/>
            <w:webHidden/>
          </w:rPr>
        </w:r>
        <w:r>
          <w:rPr>
            <w:noProof/>
            <w:webHidden/>
          </w:rPr>
          <w:fldChar w:fldCharType="separate"/>
        </w:r>
        <w:r w:rsidR="00701F05">
          <w:rPr>
            <w:noProof/>
            <w:webHidden/>
          </w:rPr>
          <w:t>47</w:t>
        </w:r>
        <w:r>
          <w:rPr>
            <w:noProof/>
            <w:webHidden/>
          </w:rPr>
          <w:fldChar w:fldCharType="end"/>
        </w:r>
      </w:hyperlink>
    </w:p>
    <w:p w14:paraId="1AFB1C1E" w14:textId="550630E4" w:rsidR="00604E4B" w:rsidRDefault="00604E4B" w:rsidP="002C539A">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9313" w:history="1">
        <w:r w:rsidRPr="00FF545D">
          <w:rPr>
            <w:rStyle w:val="Hyperlink"/>
            <w:rFonts w:ascii="Times New Roman" w:hAnsi="Times New Roman" w:cs="Times New Roman"/>
            <w:noProof/>
          </w:rPr>
          <w:t>Appendix 1 b: ESG Performance Variables Values.</w:t>
        </w:r>
        <w:r>
          <w:rPr>
            <w:noProof/>
            <w:webHidden/>
          </w:rPr>
          <w:tab/>
        </w:r>
        <w:r>
          <w:rPr>
            <w:noProof/>
            <w:webHidden/>
          </w:rPr>
          <w:fldChar w:fldCharType="begin"/>
        </w:r>
        <w:r>
          <w:rPr>
            <w:noProof/>
            <w:webHidden/>
          </w:rPr>
          <w:instrText xml:space="preserve"> PAGEREF _Toc236979313 \h </w:instrText>
        </w:r>
        <w:r>
          <w:rPr>
            <w:noProof/>
            <w:webHidden/>
          </w:rPr>
        </w:r>
        <w:r>
          <w:rPr>
            <w:noProof/>
            <w:webHidden/>
          </w:rPr>
          <w:fldChar w:fldCharType="separate"/>
        </w:r>
        <w:r w:rsidR="00701F05">
          <w:rPr>
            <w:noProof/>
            <w:webHidden/>
          </w:rPr>
          <w:t>47</w:t>
        </w:r>
        <w:r>
          <w:rPr>
            <w:noProof/>
            <w:webHidden/>
          </w:rPr>
          <w:fldChar w:fldCharType="end"/>
        </w:r>
      </w:hyperlink>
    </w:p>
    <w:p w14:paraId="2E72602D" w14:textId="13E65557" w:rsidR="00604E4B" w:rsidRDefault="00604E4B" w:rsidP="002C539A">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9314" w:history="1">
        <w:r w:rsidRPr="00FF545D">
          <w:rPr>
            <w:rStyle w:val="Hyperlink"/>
            <w:rFonts w:ascii="Times New Roman" w:hAnsi="Times New Roman" w:cs="Times New Roman"/>
            <w:noProof/>
          </w:rPr>
          <w:t>Appendix 1 c: Financial Performance Variables Values</w:t>
        </w:r>
        <w:r>
          <w:rPr>
            <w:noProof/>
            <w:webHidden/>
          </w:rPr>
          <w:tab/>
        </w:r>
        <w:r>
          <w:rPr>
            <w:noProof/>
            <w:webHidden/>
          </w:rPr>
          <w:fldChar w:fldCharType="begin"/>
        </w:r>
        <w:r>
          <w:rPr>
            <w:noProof/>
            <w:webHidden/>
          </w:rPr>
          <w:instrText xml:space="preserve"> PAGEREF _Toc236979314 \h </w:instrText>
        </w:r>
        <w:r>
          <w:rPr>
            <w:noProof/>
            <w:webHidden/>
          </w:rPr>
        </w:r>
        <w:r>
          <w:rPr>
            <w:noProof/>
            <w:webHidden/>
          </w:rPr>
          <w:fldChar w:fldCharType="separate"/>
        </w:r>
        <w:r w:rsidR="00701F05">
          <w:rPr>
            <w:noProof/>
            <w:webHidden/>
          </w:rPr>
          <w:t>48</w:t>
        </w:r>
        <w:r>
          <w:rPr>
            <w:noProof/>
            <w:webHidden/>
          </w:rPr>
          <w:fldChar w:fldCharType="end"/>
        </w:r>
      </w:hyperlink>
    </w:p>
    <w:p w14:paraId="74E05771" w14:textId="22C30E4A" w:rsidR="00604E4B" w:rsidRDefault="00604E4B" w:rsidP="002C539A">
      <w:pPr>
        <w:pStyle w:val="TableofFigures"/>
        <w:tabs>
          <w:tab w:val="right" w:leader="dot" w:pos="9350"/>
        </w:tabs>
        <w:spacing w:line="360" w:lineRule="auto"/>
        <w:rPr>
          <w:rFonts w:asciiTheme="minorHAnsi" w:eastAsiaTheme="minorEastAsia" w:hAnsiTheme="minorHAnsi" w:cstheme="minorBidi"/>
          <w:noProof/>
          <w:kern w:val="2"/>
          <w:lang w:val="en-US"/>
          <w14:ligatures w14:val="standardContextual"/>
        </w:rPr>
      </w:pPr>
      <w:hyperlink w:anchor="_Toc236979315" w:history="1">
        <w:r w:rsidRPr="00FF545D">
          <w:rPr>
            <w:rStyle w:val="Hyperlink"/>
            <w:rFonts w:ascii="Times New Roman" w:hAnsi="Times New Roman" w:cs="Times New Roman"/>
            <w:noProof/>
          </w:rPr>
          <w:t>Appendix 1 d: Moderation Variables Values.</w:t>
        </w:r>
        <w:r>
          <w:rPr>
            <w:noProof/>
            <w:webHidden/>
          </w:rPr>
          <w:tab/>
        </w:r>
        <w:r>
          <w:rPr>
            <w:noProof/>
            <w:webHidden/>
          </w:rPr>
          <w:fldChar w:fldCharType="begin"/>
        </w:r>
        <w:r>
          <w:rPr>
            <w:noProof/>
            <w:webHidden/>
          </w:rPr>
          <w:instrText xml:space="preserve"> PAGEREF _Toc236979315 \h </w:instrText>
        </w:r>
        <w:r>
          <w:rPr>
            <w:noProof/>
            <w:webHidden/>
          </w:rPr>
        </w:r>
        <w:r>
          <w:rPr>
            <w:noProof/>
            <w:webHidden/>
          </w:rPr>
          <w:fldChar w:fldCharType="separate"/>
        </w:r>
        <w:r w:rsidR="00701F05">
          <w:rPr>
            <w:noProof/>
            <w:webHidden/>
          </w:rPr>
          <w:t>48</w:t>
        </w:r>
        <w:r>
          <w:rPr>
            <w:noProof/>
            <w:webHidden/>
          </w:rPr>
          <w:fldChar w:fldCharType="end"/>
        </w:r>
      </w:hyperlink>
    </w:p>
    <w:p w14:paraId="13C0A18B" w14:textId="5D8773A0" w:rsidR="00604E4B" w:rsidRPr="001854FB" w:rsidRDefault="00604E4B" w:rsidP="002C539A">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fldChar w:fldCharType="end"/>
      </w:r>
    </w:p>
    <w:p w14:paraId="56DAD2DA" w14:textId="77777777" w:rsidR="004322E7" w:rsidRDefault="004322E7">
      <w:pPr>
        <w:spacing w:line="360" w:lineRule="auto"/>
        <w:jc w:val="both"/>
        <w:rPr>
          <w:rFonts w:ascii="Times New Roman" w:eastAsia="Times New Roman" w:hAnsi="Times New Roman" w:cs="Times New Roman"/>
        </w:rPr>
      </w:pPr>
    </w:p>
    <w:p w14:paraId="56DAD2DB" w14:textId="77777777" w:rsidR="004322E7" w:rsidRDefault="004322E7">
      <w:pPr>
        <w:spacing w:line="360" w:lineRule="auto"/>
        <w:jc w:val="both"/>
        <w:rPr>
          <w:rFonts w:ascii="Times New Roman" w:eastAsia="Times New Roman" w:hAnsi="Times New Roman" w:cs="Times New Roman"/>
        </w:rPr>
        <w:sectPr w:rsidR="004322E7">
          <w:headerReference w:type="default" r:id="rId11"/>
          <w:footerReference w:type="first" r:id="rId12"/>
          <w:pgSz w:w="12240" w:h="15840"/>
          <w:pgMar w:top="1440" w:right="1440" w:bottom="1440" w:left="1440" w:header="720" w:footer="720" w:gutter="0"/>
          <w:pgNumType w:start="1"/>
          <w:cols w:space="720"/>
          <w:titlePg/>
        </w:sectPr>
      </w:pPr>
    </w:p>
    <w:p w14:paraId="56DAD2DC" w14:textId="77777777" w:rsidR="004322E7" w:rsidRPr="00161274" w:rsidRDefault="000C275E">
      <w:pPr>
        <w:pStyle w:val="Heading1"/>
        <w:spacing w:line="360" w:lineRule="auto"/>
        <w:rPr>
          <w:rFonts w:ascii="Times New Roman" w:eastAsia="Times New Roman" w:hAnsi="Times New Roman" w:cs="Times New Roman"/>
          <w:b/>
          <w:bCs/>
          <w:color w:val="000000"/>
          <w:sz w:val="24"/>
          <w:szCs w:val="24"/>
        </w:rPr>
      </w:pPr>
      <w:bookmarkStart w:id="0" w:name="_Toc237010656"/>
      <w:r w:rsidRPr="00161274">
        <w:rPr>
          <w:rFonts w:ascii="Times New Roman" w:eastAsia="Times New Roman" w:hAnsi="Times New Roman" w:cs="Times New Roman"/>
          <w:b/>
          <w:bCs/>
          <w:color w:val="000000"/>
          <w:sz w:val="24"/>
          <w:szCs w:val="24"/>
        </w:rPr>
        <w:lastRenderedPageBreak/>
        <w:t>1.Introduction</w:t>
      </w:r>
      <w:bookmarkEnd w:id="0"/>
    </w:p>
    <w:p w14:paraId="56DAD2DD" w14:textId="77C61E78" w:rsidR="004322E7" w:rsidRPr="00161274" w:rsidRDefault="000C275E">
      <w:pPr>
        <w:pStyle w:val="Heading2"/>
        <w:spacing w:line="360" w:lineRule="auto"/>
        <w:rPr>
          <w:rFonts w:ascii="Times New Roman" w:eastAsia="Times New Roman" w:hAnsi="Times New Roman" w:cs="Times New Roman"/>
          <w:b/>
          <w:bCs/>
          <w:color w:val="000000"/>
          <w:sz w:val="24"/>
          <w:szCs w:val="24"/>
        </w:rPr>
      </w:pPr>
      <w:bookmarkStart w:id="1" w:name="_Toc237010657"/>
      <w:r w:rsidRPr="00161274">
        <w:rPr>
          <w:rFonts w:ascii="Times New Roman" w:eastAsia="Times New Roman" w:hAnsi="Times New Roman" w:cs="Times New Roman"/>
          <w:b/>
          <w:bCs/>
          <w:color w:val="000000"/>
          <w:sz w:val="24"/>
          <w:szCs w:val="24"/>
        </w:rPr>
        <w:t>1.1 Background of the study</w:t>
      </w:r>
      <w:bookmarkEnd w:id="1"/>
    </w:p>
    <w:p w14:paraId="56DAD2DE"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Company governance (CG) measures, such as board size, board independence, CEO duality, ownership structure, and audit committee efficacy, have a significant impact on management decision-making, organizational supervision, and company performance (Arsh </w:t>
      </w:r>
      <w:r>
        <w:rPr>
          <w:rFonts w:ascii="Times New Roman" w:eastAsia="Times New Roman" w:hAnsi="Times New Roman" w:cs="Times New Roman"/>
          <w:i/>
          <w:iCs/>
        </w:rPr>
        <w:t>et al.,</w:t>
      </w:r>
      <w:r>
        <w:rPr>
          <w:rFonts w:ascii="Times New Roman" w:eastAsia="Times New Roman" w:hAnsi="Times New Roman" w:cs="Times New Roman"/>
        </w:rPr>
        <w:t xml:space="preserve"> 2025). These techniques increase board responsibility, safeguard shareholders, and impact strategic decision-making. Along with governance, Environmental, Social, and Governance (ESG) performance has emerged as a key measure of an organization's capacity to manage sustainability risks and produce long-term value (Ahmad, Mobarek and Roni, 2021). Despite their expanding relevance, scant research has evaluated the combined impact of corporate governance and ESG performance on the financial performance (FP) of FTSE 350 businesses (Ahmad, Mobarek and Raid, 2023).</w:t>
      </w:r>
    </w:p>
    <w:p w14:paraId="56DAD2DF" w14:textId="32EBE165"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UK's corporate governance structure has changed significantly since the Cadbury Report (1992), culminating in consecutive amendments of the UK Corporate Governance Code (2024). Complementary policies, such as the Companies Act of 2006, Streamlined Energy and Carbon Reporting, and the Task Force on Climate-related Financial Disclosures, have increased corporate responsibility by enhancing governance standards and ESG disclosure requirements.</w:t>
      </w:r>
      <w:r w:rsidR="008A111E">
        <w:rPr>
          <w:rFonts w:ascii="Times New Roman" w:eastAsia="Times New Roman" w:hAnsi="Times New Roman" w:cs="Times New Roman"/>
        </w:rPr>
        <w:t xml:space="preserve"> As a resul</w:t>
      </w:r>
      <w:r w:rsidR="00B623F4">
        <w:rPr>
          <w:rFonts w:ascii="Times New Roman" w:eastAsia="Times New Roman" w:hAnsi="Times New Roman" w:cs="Times New Roman"/>
        </w:rPr>
        <w:t>t,</w:t>
      </w:r>
      <w:r>
        <w:rPr>
          <w:rFonts w:ascii="Times New Roman" w:eastAsia="Times New Roman" w:hAnsi="Times New Roman" w:cs="Times New Roman"/>
        </w:rPr>
        <w:t xml:space="preserve"> ESG performance now has a significant impact on investment decisions, business value, and capital allocation (Aydoğmuş, Gülay and Ergun, 2022).</w:t>
      </w:r>
    </w:p>
    <w:p w14:paraId="56DAD2E0"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Additionally, empirical research implies that corporate governance improves financial performance, however the relationship is uneven. Aibar Guzmán </w:t>
      </w:r>
      <w:r>
        <w:rPr>
          <w:rFonts w:ascii="Times New Roman" w:eastAsia="Times New Roman" w:hAnsi="Times New Roman" w:cs="Times New Roman"/>
          <w:i/>
          <w:iCs/>
        </w:rPr>
        <w:t>et al.</w:t>
      </w:r>
      <w:r>
        <w:rPr>
          <w:rFonts w:ascii="Times New Roman" w:eastAsia="Times New Roman" w:hAnsi="Times New Roman" w:cs="Times New Roman"/>
        </w:rPr>
        <w:t xml:space="preserve"> (2024) show that effective governance improves climate-risk supervision and long-term competitiveness, whereas Paniagua, Rivelles and Sapena (2018) find favorable relationships between governance quality and return on equity (ROE). Darko, Aribi, and Uzonwanne (2016) discover that, while concentrated ownership and female board presence boost business performance, more board independence and more frequent audit committee meetings may lower it. These mixed findings show that contextual factors, particularly ESG performance, can affect the governance-performance link.</w:t>
      </w:r>
    </w:p>
    <w:p w14:paraId="56DAD2E1"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In parallel, ESG has become an important component of CP evaluation, assessing organizations' environmental, social, and governance activities (Gillan, Koch and Starks, 2021). The environmental dimension represents how organizations manage their environmental consequences </w:t>
      </w:r>
      <w:r>
        <w:rPr>
          <w:rFonts w:ascii="Times New Roman" w:eastAsia="Times New Roman" w:hAnsi="Times New Roman" w:cs="Times New Roman"/>
        </w:rPr>
        <w:lastRenderedPageBreak/>
        <w:t xml:space="preserve">(Handoyo and Anas, 2024), whereas the social dimension includes labor practices, employee welfare, consumer interactions, and community participation (Becchetti </w:t>
      </w:r>
      <w:r>
        <w:rPr>
          <w:rFonts w:ascii="Times New Roman" w:eastAsia="Times New Roman" w:hAnsi="Times New Roman" w:cs="Times New Roman"/>
          <w:i/>
          <w:iCs/>
        </w:rPr>
        <w:t>et al.,</w:t>
      </w:r>
      <w:r>
        <w:rPr>
          <w:rFonts w:ascii="Times New Roman" w:eastAsia="Times New Roman" w:hAnsi="Times New Roman" w:cs="Times New Roman"/>
        </w:rPr>
        <w:t xml:space="preserve"> 2022; Boufounou </w:t>
      </w:r>
      <w:r>
        <w:rPr>
          <w:rFonts w:ascii="Times New Roman" w:eastAsia="Times New Roman" w:hAnsi="Times New Roman" w:cs="Times New Roman"/>
          <w:i/>
          <w:iCs/>
        </w:rPr>
        <w:t>et al.,</w:t>
      </w:r>
      <w:r>
        <w:rPr>
          <w:rFonts w:ascii="Times New Roman" w:eastAsia="Times New Roman" w:hAnsi="Times New Roman" w:cs="Times New Roman"/>
        </w:rPr>
        <w:t xml:space="preserve"> 2023). The governance pillar prioritises transparency, ethical leadership, and shareholder protection (Handoyo and Anas, 2024). The growing relevance of ESG is mirrored in the rapid rise of sustainable investing (Cornell, 2021), with global ESG assets topping $30 trillion in 2022 and anticipated to reach $40 trillion by 2030 (Giannopoulos </w:t>
      </w:r>
      <w:r>
        <w:rPr>
          <w:rFonts w:ascii="Times New Roman" w:eastAsia="Times New Roman" w:hAnsi="Times New Roman" w:cs="Times New Roman"/>
          <w:i/>
          <w:iCs/>
        </w:rPr>
        <w:t>et al.,</w:t>
      </w:r>
      <w:r>
        <w:rPr>
          <w:rFonts w:ascii="Times New Roman" w:eastAsia="Times New Roman" w:hAnsi="Times New Roman" w:cs="Times New Roman"/>
        </w:rPr>
        <w:t xml:space="preserve"> 2026).</w:t>
      </w:r>
    </w:p>
    <w:p w14:paraId="56DAD2E2" w14:textId="119F39B6"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Consequently, the </w:t>
      </w:r>
      <w:r w:rsidR="00C95188">
        <w:rPr>
          <w:rFonts w:ascii="Times New Roman" w:eastAsia="Times New Roman" w:hAnsi="Times New Roman" w:cs="Times New Roman"/>
        </w:rPr>
        <w:t>relationship</w:t>
      </w:r>
      <w:r>
        <w:rPr>
          <w:rFonts w:ascii="Times New Roman" w:eastAsia="Times New Roman" w:hAnsi="Times New Roman" w:cs="Times New Roman"/>
        </w:rPr>
        <w:t xml:space="preserve"> between ESG and FP is predominantly positive. Friede, Busch and Bassen (2015) discovered that over ninety percent of empirical research identified positive or neutral relationships between ESG and FP. Furthermore, ESG disclosure improves corporate transparency, lowers information asymmetry, and adds value, especially for </w:t>
      </w:r>
      <w:r w:rsidR="00C95188">
        <w:rPr>
          <w:rFonts w:ascii="Times New Roman" w:eastAsia="Times New Roman" w:hAnsi="Times New Roman" w:cs="Times New Roman"/>
        </w:rPr>
        <w:t>organisations</w:t>
      </w:r>
      <w:r>
        <w:rPr>
          <w:rFonts w:ascii="Times New Roman" w:eastAsia="Times New Roman" w:hAnsi="Times New Roman" w:cs="Times New Roman"/>
        </w:rPr>
        <w:t xml:space="preserve"> with ESG-focused </w:t>
      </w:r>
      <w:r w:rsidR="00854E47">
        <w:rPr>
          <w:rFonts w:ascii="Times New Roman" w:eastAsia="Times New Roman" w:hAnsi="Times New Roman" w:cs="Times New Roman"/>
        </w:rPr>
        <w:t>shareholders</w:t>
      </w:r>
      <w:r>
        <w:rPr>
          <w:rFonts w:ascii="Times New Roman" w:eastAsia="Times New Roman" w:hAnsi="Times New Roman" w:cs="Times New Roman"/>
        </w:rPr>
        <w:t xml:space="preserve"> and higher agency </w:t>
      </w:r>
      <w:r w:rsidR="00854E47">
        <w:rPr>
          <w:rFonts w:ascii="Times New Roman" w:eastAsia="Times New Roman" w:hAnsi="Times New Roman" w:cs="Times New Roman"/>
        </w:rPr>
        <w:t>expenses</w:t>
      </w:r>
      <w:r>
        <w:rPr>
          <w:rFonts w:ascii="Times New Roman" w:eastAsia="Times New Roman" w:hAnsi="Times New Roman" w:cs="Times New Roman"/>
        </w:rPr>
        <w:t xml:space="preserve"> (Chen and Xie, 2022). These findings suggest that ESG may enhance the efficacy of CG in improving FP.</w:t>
      </w:r>
    </w:p>
    <w:p w14:paraId="56DAD2E3" w14:textId="57FE988B"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Furthermore, according to Agency Theory, governance</w:t>
      </w:r>
      <w:r w:rsidR="00456720">
        <w:rPr>
          <w:rFonts w:ascii="Times New Roman" w:eastAsia="Times New Roman" w:hAnsi="Times New Roman" w:cs="Times New Roman"/>
        </w:rPr>
        <w:t xml:space="preserve"> effectiveness</w:t>
      </w:r>
      <w:r>
        <w:rPr>
          <w:rFonts w:ascii="Times New Roman" w:eastAsia="Times New Roman" w:hAnsi="Times New Roman" w:cs="Times New Roman"/>
        </w:rPr>
        <w:t xml:space="preserve"> reduces agency conflicts and monitoring costs (Jensen and Meckling, 1976; Fama and Jensen, 2019), whereas Stakeholder Theory and the Resource-Based View contend that ESG capabilities improve organisational legitimacy, strengthen stakeholder relationships, and create long-term competitive advantages (Freeman, 1984; Barney, 1991). However, the moderating influence of ESG performance has received little attention. Existing research usually looks at corporate governance and ESG separately, ignoring their possible relationship (Kyere and Ausloos, 2021; Hu, Lin, and Tosun, 2023). This study addresses a significant conceptual and practical gap by investigating whether ESG performance modifies the relationship between CG and FP of FTSE 350 companies, offering a better comprehensive understanding of governance, sustainability, and creating long-term value.</w:t>
      </w:r>
    </w:p>
    <w:p w14:paraId="56DAD2E4" w14:textId="77777777" w:rsidR="004322E7" w:rsidRPr="00161274" w:rsidRDefault="000C275E">
      <w:pPr>
        <w:pStyle w:val="Heading2"/>
        <w:spacing w:line="360" w:lineRule="auto"/>
        <w:rPr>
          <w:rFonts w:ascii="Times New Roman" w:eastAsia="Times New Roman" w:hAnsi="Times New Roman" w:cs="Times New Roman"/>
          <w:b/>
          <w:bCs/>
          <w:color w:val="000000"/>
          <w:sz w:val="24"/>
          <w:szCs w:val="24"/>
        </w:rPr>
      </w:pPr>
      <w:bookmarkStart w:id="2" w:name="_Toc237010658"/>
      <w:r w:rsidRPr="00161274">
        <w:rPr>
          <w:rFonts w:ascii="Times New Roman" w:eastAsia="Times New Roman" w:hAnsi="Times New Roman" w:cs="Times New Roman"/>
          <w:b/>
          <w:bCs/>
          <w:color w:val="000000"/>
          <w:sz w:val="24"/>
          <w:szCs w:val="24"/>
        </w:rPr>
        <w:t>1.2 Problem of the Statement</w:t>
      </w:r>
      <w:bookmarkEnd w:id="2"/>
    </w:p>
    <w:p w14:paraId="56DAD2E5" w14:textId="27FBA66F"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study fills three major gaps in previous studies. FTSE 350 governance studies sometimes examine discrete processes or depend solely on FTSE 100 samples, limiting their applicability to the more diversified mid cap size FTSE 350. The evidence on ESG's direct financial consequences is likewise contradictory: Buallay (2019), Alareeni and Hamdan (2020), and Sandberg, Alnoor, and Tiberius (2023) all indicate mixed environmental and social implications on ROA and ROE.  Most importantly, it is unknown if ESG performance moderates the </w:t>
      </w:r>
      <w:r w:rsidR="00C85045">
        <w:rPr>
          <w:rFonts w:ascii="Times New Roman" w:eastAsia="Times New Roman" w:hAnsi="Times New Roman" w:cs="Times New Roman"/>
        </w:rPr>
        <w:t>relationship</w:t>
      </w:r>
      <w:r>
        <w:rPr>
          <w:rFonts w:ascii="Times New Roman" w:eastAsia="Times New Roman" w:hAnsi="Times New Roman" w:cs="Times New Roman"/>
        </w:rPr>
        <w:t xml:space="preserve"> between governance and financial performance. Moussa, Elmarzouky, and Shohaieb (2024) emphasise the </w:t>
      </w:r>
      <w:r>
        <w:rPr>
          <w:rFonts w:ascii="Times New Roman" w:eastAsia="Times New Roman" w:hAnsi="Times New Roman" w:cs="Times New Roman"/>
        </w:rPr>
        <w:lastRenderedPageBreak/>
        <w:t xml:space="preserve">lack of a single UK moderation model that incorporates ESG pillars and internal governance procedures. Using a market capitalization-stratified FTSE 350 sample, this study investigates governance impacts, ESG effects, and ESG's moderating influence. Consistent with this motive, Giannopoulos </w:t>
      </w:r>
      <w:r>
        <w:rPr>
          <w:rFonts w:ascii="Times New Roman" w:eastAsia="Times New Roman" w:hAnsi="Times New Roman" w:cs="Times New Roman"/>
          <w:i/>
          <w:iCs/>
        </w:rPr>
        <w:t>et al.</w:t>
      </w:r>
      <w:r>
        <w:rPr>
          <w:rFonts w:ascii="Times New Roman" w:eastAsia="Times New Roman" w:hAnsi="Times New Roman" w:cs="Times New Roman"/>
        </w:rPr>
        <w:t xml:space="preserve"> (2026) discover that ESG enhances ROA but not ROE, showing small metric-dependent impacts.</w:t>
      </w:r>
    </w:p>
    <w:p w14:paraId="56DAD2E6" w14:textId="77777777" w:rsidR="004322E7" w:rsidRPr="00161274" w:rsidRDefault="000C275E">
      <w:pPr>
        <w:pStyle w:val="Heading2"/>
        <w:spacing w:line="360" w:lineRule="auto"/>
        <w:rPr>
          <w:rFonts w:ascii="Times New Roman" w:eastAsia="Times New Roman" w:hAnsi="Times New Roman" w:cs="Times New Roman"/>
          <w:b/>
          <w:bCs/>
          <w:color w:val="000000"/>
          <w:sz w:val="24"/>
          <w:szCs w:val="24"/>
        </w:rPr>
      </w:pPr>
      <w:bookmarkStart w:id="3" w:name="_Toc237010659"/>
      <w:r w:rsidRPr="00161274">
        <w:rPr>
          <w:rFonts w:ascii="Times New Roman" w:eastAsia="Times New Roman" w:hAnsi="Times New Roman" w:cs="Times New Roman"/>
          <w:b/>
          <w:bCs/>
          <w:color w:val="000000"/>
          <w:sz w:val="24"/>
          <w:szCs w:val="24"/>
        </w:rPr>
        <w:t>1.3 Research Question</w:t>
      </w:r>
      <w:bookmarkEnd w:id="3"/>
    </w:p>
    <w:p w14:paraId="56DAD2E7"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RQ1: How does CG mechanisms impacts FP of FTSE 350-listed organisations?</w:t>
      </w:r>
    </w:p>
    <w:p w14:paraId="56DAD2E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RQ2: How does ESG performance influence the FP of FTSE 350-listed organisations?</w:t>
      </w:r>
    </w:p>
    <w:p w14:paraId="56DAD2E9"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RQ3: Does ESG performance moderate the relationship between CG mechanisms and FP of FTSE 350 organisations?</w:t>
      </w:r>
    </w:p>
    <w:p w14:paraId="56DAD2EA" w14:textId="77777777" w:rsidR="004322E7" w:rsidRPr="00161274" w:rsidRDefault="000C275E">
      <w:pPr>
        <w:pStyle w:val="Heading2"/>
        <w:spacing w:line="360" w:lineRule="auto"/>
        <w:rPr>
          <w:rFonts w:ascii="Times New Roman" w:eastAsia="Times New Roman" w:hAnsi="Times New Roman" w:cs="Times New Roman"/>
          <w:b/>
          <w:bCs/>
          <w:color w:val="000000"/>
          <w:sz w:val="24"/>
          <w:szCs w:val="24"/>
        </w:rPr>
      </w:pPr>
      <w:bookmarkStart w:id="4" w:name="_Toc237010660"/>
      <w:r w:rsidRPr="00161274">
        <w:rPr>
          <w:rFonts w:ascii="Times New Roman" w:eastAsia="Times New Roman" w:hAnsi="Times New Roman" w:cs="Times New Roman"/>
          <w:b/>
          <w:bCs/>
          <w:color w:val="000000"/>
          <w:sz w:val="24"/>
          <w:szCs w:val="24"/>
        </w:rPr>
        <w:t>1.4 Research Aims and objectives</w:t>
      </w:r>
      <w:bookmarkEnd w:id="4"/>
    </w:p>
    <w:p w14:paraId="56DAD2EB"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1.4.1 Research Aim</w:t>
      </w:r>
    </w:p>
    <w:p w14:paraId="56DAD2EC" w14:textId="45BF7B9A"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w:t>
      </w:r>
      <w:r w:rsidR="00C85045">
        <w:rPr>
          <w:rFonts w:ascii="Times New Roman" w:eastAsia="Times New Roman" w:hAnsi="Times New Roman" w:cs="Times New Roman"/>
        </w:rPr>
        <w:t>purpose</w:t>
      </w:r>
      <w:r>
        <w:rPr>
          <w:rFonts w:ascii="Times New Roman" w:eastAsia="Times New Roman" w:hAnsi="Times New Roman" w:cs="Times New Roman"/>
        </w:rPr>
        <w:t xml:space="preserve"> of this study is to investigate the impact of CG mechanisms on the FP of organisations and to examine the moderating role of ESG performance in this relationship of FTSE 350 companies.</w:t>
      </w:r>
    </w:p>
    <w:p w14:paraId="56DAD2ED"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1.4.2 Research Objectives</w:t>
      </w:r>
    </w:p>
    <w:p w14:paraId="56DAD2EE" w14:textId="50150C1D" w:rsidR="004322E7" w:rsidRDefault="000C275E">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To e</w:t>
      </w:r>
      <w:r w:rsidR="008A43D7">
        <w:rPr>
          <w:rFonts w:ascii="Times New Roman" w:eastAsia="Times New Roman" w:hAnsi="Times New Roman" w:cs="Times New Roman"/>
        </w:rPr>
        <w:t>xamine</w:t>
      </w:r>
      <w:r>
        <w:rPr>
          <w:rFonts w:ascii="Times New Roman" w:eastAsia="Times New Roman" w:hAnsi="Times New Roman" w:cs="Times New Roman"/>
        </w:rPr>
        <w:t xml:space="preserve"> the i</w:t>
      </w:r>
      <w:r w:rsidR="008A43D7">
        <w:rPr>
          <w:rFonts w:ascii="Times New Roman" w:eastAsia="Times New Roman" w:hAnsi="Times New Roman" w:cs="Times New Roman"/>
        </w:rPr>
        <w:t>nfluence</w:t>
      </w:r>
      <w:r>
        <w:rPr>
          <w:rFonts w:ascii="Times New Roman" w:eastAsia="Times New Roman" w:hAnsi="Times New Roman" w:cs="Times New Roman"/>
        </w:rPr>
        <w:t xml:space="preserve"> of CG mechanisms on FP of FTSE 350-listed organisations.</w:t>
      </w:r>
    </w:p>
    <w:p w14:paraId="56DAD2EF" w14:textId="6E848ED9" w:rsidR="004322E7" w:rsidRDefault="000C275E">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 </w:t>
      </w:r>
      <w:r w:rsidR="003871C7">
        <w:rPr>
          <w:rFonts w:ascii="Times New Roman" w:eastAsia="Times New Roman" w:hAnsi="Times New Roman" w:cs="Times New Roman"/>
        </w:rPr>
        <w:t>evaluate</w:t>
      </w:r>
      <w:r>
        <w:rPr>
          <w:rFonts w:ascii="Times New Roman" w:eastAsia="Times New Roman" w:hAnsi="Times New Roman" w:cs="Times New Roman"/>
        </w:rPr>
        <w:t xml:space="preserve"> the </w:t>
      </w:r>
      <w:r w:rsidR="009F2245">
        <w:rPr>
          <w:rFonts w:ascii="Times New Roman" w:eastAsia="Times New Roman" w:hAnsi="Times New Roman" w:cs="Times New Roman"/>
        </w:rPr>
        <w:t>effect</w:t>
      </w:r>
      <w:r>
        <w:rPr>
          <w:rFonts w:ascii="Times New Roman" w:eastAsia="Times New Roman" w:hAnsi="Times New Roman" w:cs="Times New Roman"/>
        </w:rPr>
        <w:t xml:space="preserve"> of ESG performance on FP of FTSE 350 organisations.</w:t>
      </w:r>
    </w:p>
    <w:p w14:paraId="56DAD2F0" w14:textId="77777777" w:rsidR="004322E7" w:rsidRDefault="000C275E">
      <w:pPr>
        <w:numPr>
          <w:ilvl w:val="0"/>
          <w:numId w:val="1"/>
        </w:num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To examine whether ESG performance moderates the relationship between CG and FP of FTSE 350 organisation. </w:t>
      </w:r>
    </w:p>
    <w:p w14:paraId="56DAD2F1" w14:textId="77777777" w:rsidR="004322E7" w:rsidRPr="00161274" w:rsidRDefault="000C275E">
      <w:pPr>
        <w:pStyle w:val="Heading2"/>
        <w:spacing w:line="360" w:lineRule="auto"/>
        <w:rPr>
          <w:rFonts w:ascii="Times New Roman" w:eastAsia="Times New Roman" w:hAnsi="Times New Roman" w:cs="Times New Roman"/>
          <w:b/>
          <w:bCs/>
          <w:color w:val="000000"/>
          <w:sz w:val="24"/>
          <w:szCs w:val="24"/>
        </w:rPr>
      </w:pPr>
      <w:bookmarkStart w:id="5" w:name="_Toc237010661"/>
      <w:r w:rsidRPr="00161274">
        <w:rPr>
          <w:rFonts w:ascii="Times New Roman" w:eastAsia="Times New Roman" w:hAnsi="Times New Roman" w:cs="Times New Roman"/>
          <w:b/>
          <w:bCs/>
          <w:color w:val="000000"/>
          <w:sz w:val="24"/>
          <w:szCs w:val="24"/>
        </w:rPr>
        <w:t>1.5 Significance of the Study</w:t>
      </w:r>
      <w:bookmarkEnd w:id="5"/>
    </w:p>
    <w:p w14:paraId="56DAD2F2"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study provides three complementary contributions. It contributes to academic literature by combining agency theory, stakeholder theory, and the resource-based approach into a single moderation framework, addressing a Moussa, Elmarzouky, and Shohaieb's (2024) call urging to regard ESG performance as a conditioning-based variable instead of a direct predictor. It also adds statutory significance by informing the Financial Reporting Council's (2024) review of the UK Corporate Governance Code and ESG disclosure regulations, providing evidence on whether the </w:t>
      </w:r>
      <w:r>
        <w:rPr>
          <w:rFonts w:ascii="Times New Roman" w:eastAsia="Times New Roman" w:hAnsi="Times New Roman" w:cs="Times New Roman"/>
        </w:rPr>
        <w:lastRenderedPageBreak/>
        <w:t>governance as well as sustainability provisions strengthen one another within FTSE 350 firms, which is critical for successful compliance or explanation and mandatory reporting regimes.</w:t>
      </w:r>
      <w:r>
        <w:t xml:space="preserve"> </w:t>
      </w:r>
      <w:r>
        <w:rPr>
          <w:rFonts w:ascii="Times New Roman" w:eastAsia="Times New Roman" w:hAnsi="Times New Roman" w:cs="Times New Roman"/>
        </w:rPr>
        <w:t>Practically, the study informs boards, investors, and asset managers by demonstrating whether stronger ESG performance improves financial returns in relation to governance quality, impacting allocation of capital, stewardship priorities, and the sequential execution of governance as well as sustainability reforms among FTSE 350 constituents.</w:t>
      </w:r>
    </w:p>
    <w:p w14:paraId="56DAD2F3" w14:textId="77777777" w:rsidR="004322E7" w:rsidRPr="00161274" w:rsidRDefault="000C275E">
      <w:pPr>
        <w:pStyle w:val="Heading2"/>
        <w:spacing w:line="360" w:lineRule="auto"/>
        <w:rPr>
          <w:rFonts w:ascii="Times New Roman" w:eastAsia="Times New Roman" w:hAnsi="Times New Roman" w:cs="Times New Roman"/>
          <w:b/>
          <w:bCs/>
          <w:color w:val="000000"/>
          <w:sz w:val="24"/>
          <w:szCs w:val="24"/>
        </w:rPr>
      </w:pPr>
      <w:bookmarkStart w:id="6" w:name="_Toc237010662"/>
      <w:r w:rsidRPr="00161274">
        <w:rPr>
          <w:rFonts w:ascii="Times New Roman" w:eastAsia="Times New Roman" w:hAnsi="Times New Roman" w:cs="Times New Roman"/>
          <w:b/>
          <w:bCs/>
          <w:color w:val="000000"/>
          <w:sz w:val="24"/>
          <w:szCs w:val="24"/>
        </w:rPr>
        <w:t>1.6 Scope and limitation of the study</w:t>
      </w:r>
      <w:bookmarkEnd w:id="6"/>
    </w:p>
    <w:p w14:paraId="56DAD2F4"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analysis is limited to FTSE 350 companies and relies on secondary, publicly accessible data for fiscal year 2025, augmented with the most current governance and ESG filings. The sample consists of six carefully chosen enterprises covering each market capitalisation band, providing analytical depth and cross-band coverage but restricting statistically generalisation to all 350 members. The research is quantitative and uses accounting-based measurements (ROA and ROE), excludes market-based indicators like Tobin's Q, enterprises outside the FTSE 350 (including AIM listed corporations), and banking sector organisations with different regulatory regimes. These restrictions, which are explained further in the limitations of the study section, establish the study's empirical bounds.</w:t>
      </w:r>
    </w:p>
    <w:p w14:paraId="779CB3D0" w14:textId="5D540D34" w:rsidR="00410B76" w:rsidRPr="00450C8C" w:rsidRDefault="000C275E" w:rsidP="00450C8C">
      <w:pPr>
        <w:pStyle w:val="Heading1"/>
        <w:spacing w:line="360" w:lineRule="auto"/>
        <w:rPr>
          <w:rFonts w:ascii="Times New Roman" w:eastAsia="Times New Roman" w:hAnsi="Times New Roman" w:cs="Times New Roman"/>
          <w:b/>
          <w:bCs/>
          <w:color w:val="000000"/>
          <w:sz w:val="24"/>
          <w:szCs w:val="24"/>
        </w:rPr>
      </w:pPr>
      <w:bookmarkStart w:id="7" w:name="_Toc237010663"/>
      <w:r w:rsidRPr="00161274">
        <w:rPr>
          <w:rFonts w:ascii="Times New Roman" w:eastAsia="Times New Roman" w:hAnsi="Times New Roman" w:cs="Times New Roman"/>
          <w:b/>
          <w:bCs/>
          <w:color w:val="000000"/>
          <w:sz w:val="24"/>
          <w:szCs w:val="24"/>
        </w:rPr>
        <w:t>2. Literature Review</w:t>
      </w:r>
      <w:bookmarkEnd w:id="7"/>
    </w:p>
    <w:p w14:paraId="56DAD2F6" w14:textId="3B33F041"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part provides a comprehensive and thematically organised </w:t>
      </w:r>
      <w:r w:rsidR="002E58AC">
        <w:rPr>
          <w:rFonts w:ascii="Times New Roman" w:eastAsia="Times New Roman" w:hAnsi="Times New Roman" w:cs="Times New Roman"/>
        </w:rPr>
        <w:t>examination</w:t>
      </w:r>
      <w:r>
        <w:rPr>
          <w:rFonts w:ascii="Times New Roman" w:eastAsia="Times New Roman" w:hAnsi="Times New Roman" w:cs="Times New Roman"/>
        </w:rPr>
        <w:t xml:space="preserve"> of existing literature on CG, ESG performance, and FP, tying each thematic strand to the study's three guiding research objectives and underlying conceptual framework. It then articulates the theoretical underpinnings and philosophical assumptions that underpin the investigation, before outlining the study gap which requires and ultimately shapes the empirical technique produced in the next methodological section.</w:t>
      </w:r>
    </w:p>
    <w:p w14:paraId="56DAD2F7" w14:textId="77777777" w:rsidR="004322E7" w:rsidRPr="00ED6D63" w:rsidRDefault="000C275E" w:rsidP="00ED6D63">
      <w:pPr>
        <w:pStyle w:val="Heading2"/>
        <w:rPr>
          <w:rFonts w:ascii="Times New Roman" w:hAnsi="Times New Roman" w:cs="Times New Roman"/>
          <w:b/>
          <w:bCs/>
          <w:sz w:val="24"/>
          <w:szCs w:val="24"/>
        </w:rPr>
      </w:pPr>
      <w:bookmarkStart w:id="8" w:name="_Toc237010664"/>
      <w:r w:rsidRPr="00ED6D63">
        <w:rPr>
          <w:rFonts w:ascii="Times New Roman" w:hAnsi="Times New Roman" w:cs="Times New Roman"/>
          <w:b/>
          <w:bCs/>
          <w:color w:val="auto"/>
          <w:sz w:val="24"/>
          <w:szCs w:val="24"/>
        </w:rPr>
        <w:t>2.1 Corporate Governance and Financial Performance</w:t>
      </w:r>
      <w:bookmarkEnd w:id="8"/>
    </w:p>
    <w:p w14:paraId="56DAD2F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Established predominantly on agency theory, which contends that governance structures monitor managerial behaviour and match managerial incentives with shareholder interests, CG quality is closely associated with firm level financial performance in FTSE 350 and larger London Stock Exchange samples (Meckling and Jensen, 1976). In the analysis of 252 companies that significantly overlap with the FTSE 350, Kyere and Ausloos (2021) demonstrate that ROA and </w:t>
      </w:r>
      <w:r>
        <w:rPr>
          <w:rFonts w:ascii="Times New Roman" w:eastAsia="Times New Roman" w:hAnsi="Times New Roman" w:cs="Times New Roman"/>
        </w:rPr>
        <w:lastRenderedPageBreak/>
        <w:t>Tobin's Q are correlated with board size, board independence, CEO duality, and audit committee meetings, supporting interpretations of governance effectiveness based on both agency and stewardship.</w:t>
      </w:r>
    </w:p>
    <w:p w14:paraId="56DAD2F9"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2.1.1 Board Independence</w:t>
      </w:r>
    </w:p>
    <w:p w14:paraId="56DAD2FA"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Board independence, as defined by the number of non-executive directors, remains one of the most contentious governance measures in FTSE-listed companies. The evidence consistently reveals context-dependent rather than universal effects. Hu, Lin, and Tosun (2023) discover that independence boosts monitoring and improves performance, particularly when firm-specific demand drops, implying that its importance increases amid operational stress. Agarwal and Singh (2020) propose that independent directors improve profits quality while lowering agency expenses. Florackis (2005) finds a positive but modest connection, noting that the UK's non-confrontational board culture may restrict independence's monitoring power. In contrast, Hosny and Elgharbawy (2022) find negative and significant associations between numerous independence proxies and ROA and Tobin's Q across FTSE 350 businesses, emphasising the importance of measurement, model design, and sampling time. Overall, board independence emerges as a conditional mechanism, effective only when institutional norms, market conditions, and firm-specific monitoring requirements all coincide.</w:t>
      </w:r>
    </w:p>
    <w:p w14:paraId="56DAD2FB"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2.1.2 Board Size</w:t>
      </w:r>
    </w:p>
    <w:p w14:paraId="56DAD2FC" w14:textId="26742E05"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Board size, </w:t>
      </w:r>
      <w:r w:rsidR="00F96B14">
        <w:rPr>
          <w:rFonts w:ascii="Times New Roman" w:eastAsia="Times New Roman" w:hAnsi="Times New Roman" w:cs="Times New Roman"/>
        </w:rPr>
        <w:t>expressed</w:t>
      </w:r>
      <w:r>
        <w:rPr>
          <w:rFonts w:ascii="Times New Roman" w:eastAsia="Times New Roman" w:hAnsi="Times New Roman" w:cs="Times New Roman"/>
        </w:rPr>
        <w:t xml:space="preserve"> </w:t>
      </w:r>
      <w:r w:rsidR="00F96B14">
        <w:rPr>
          <w:rFonts w:ascii="Times New Roman" w:eastAsia="Times New Roman" w:hAnsi="Times New Roman" w:cs="Times New Roman"/>
        </w:rPr>
        <w:t>as</w:t>
      </w:r>
      <w:r>
        <w:rPr>
          <w:rFonts w:ascii="Times New Roman" w:eastAsia="Times New Roman" w:hAnsi="Times New Roman" w:cs="Times New Roman"/>
        </w:rPr>
        <w:t xml:space="preserve"> the number of directors, has both positive resource-based impacts and negative agency-related coordination costs. Larger boards can improve monitoring, information flow, and strategic supervision, but they also risk making slower decisions and reducing accountability. Empirical evidence reflects this tension. Yusuf and Sherif (2020) demonstrate that board features link with performance across FTSE indexes, albeit in varied directions and magnitudes, emphasizing the significance of examining the whole capitalization spectrum rather than just big size enterprises. More recent research has found that stronger governance structures, including well-sized boards, enhance financial performance, whereas Aladwey, Elgharbawy, and Ganna (2022) argue that large boards mitigate information asymmetry up to an optimum level, after which inefficiency emerges. Thus, board size is advantageous when it enhances knowledge without compromising strategic agility.</w:t>
      </w:r>
    </w:p>
    <w:p w14:paraId="56DAD2FD"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lastRenderedPageBreak/>
        <w:t>2.1.3 CEO Duality</w:t>
      </w:r>
    </w:p>
    <w:p w14:paraId="56DAD2FE" w14:textId="26448DFD" w:rsidR="004322E7" w:rsidRDefault="00C936E4">
      <w:pPr>
        <w:spacing w:line="360" w:lineRule="auto"/>
        <w:jc w:val="both"/>
        <w:rPr>
          <w:rFonts w:ascii="Times New Roman" w:eastAsia="Times New Roman" w:hAnsi="Times New Roman" w:cs="Times New Roman"/>
        </w:rPr>
      </w:pPr>
      <w:r w:rsidRPr="00C936E4">
        <w:rPr>
          <w:rFonts w:ascii="Times New Roman" w:eastAsia="Times New Roman" w:hAnsi="Times New Roman" w:cs="Times New Roman"/>
        </w:rPr>
        <w:t>CEO duality, where the CEO serves as the board chairman</w:t>
      </w:r>
      <w:r w:rsidR="000C275E">
        <w:rPr>
          <w:rFonts w:ascii="Times New Roman" w:eastAsia="Times New Roman" w:hAnsi="Times New Roman" w:cs="Times New Roman"/>
        </w:rPr>
        <w:t>, centralizes authority and represents a trade-off between agency theoretic hazards and stewardship-based advantages. Agency theory predicts weak oversight and worse performance, but stewardship theory argues that united leadership can improve strategy coherence. Empirical results remain varied. Cannella and Lubatkin (1993) indicate positive ROE benefits, however Yu (2023) demonstrates very varied results influenced by institutional environment and ownership structure. Aladwey, Elgharbawy, and Ganna (2022) provide more key data indicating that duality affects monitoring quality and transparency. However, Kyere and Ausloos (2021) find no significant relationship between ROA and Tobin's Q in UK businesses, showing that duality neither damages nor enhances performance in this scenario. Overall, CEO duality appears to be a weak and context-dependent governance lever, influenced more by institutional norms and firm-specific monitoring requirements than by structural design alone.</w:t>
      </w:r>
    </w:p>
    <w:p w14:paraId="56DAD2FF"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2.1.4 Ownership Concentration</w:t>
      </w:r>
    </w:p>
    <w:p w14:paraId="56DAD300"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Ownership concentration is assessed by the collective ownership of the largest blockholders: concentrating holdings may improve monitoring incentives but increase minority shareholder expropriation concerns (Fama and Jensen, 2019). Evidence indicates that its effects are largely situation dependent. Yu (2023) discovers more beneficial benefits in emerging markets than in the scattered ownership arrangements characteristic of FTSE 350 companies. Crisis-focused research (Mitton, 2002; Lemmon &amp; Lins, 2001) indicate that distributed ownership and higher transparency promote resilience, whereas concentrated ownership can exacerbate losses when control authority surpass cash flow rights. However, these investigations do not empirically integrate concentration of ownership in their models, thus their results are theoretically reasonable but not directly validated by the facts. Overall, ownership concentration is a contingent mechanism, with its worth determined by institutional protections and the balance of monitoring positive effects vs taking over risks.</w:t>
      </w:r>
    </w:p>
    <w:p w14:paraId="56DAD301"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2.1.5 Audit Committee Effectiveness</w:t>
      </w:r>
    </w:p>
    <w:p w14:paraId="56DAD302"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Audit committee effectiveness, determined by meetings intervals and autonomy, is often connected with better monitoring, transparency, and financial performance. Kyere and Ausloos </w:t>
      </w:r>
      <w:r>
        <w:rPr>
          <w:rFonts w:ascii="Times New Roman" w:eastAsia="Times New Roman" w:hAnsi="Times New Roman" w:cs="Times New Roman"/>
        </w:rPr>
        <w:lastRenderedPageBreak/>
        <w:t>(2021) demonstrate that more regular audit committee meetings are associated with higher reporting quality, thereby supporting the agency theory perspective that robust monitoring minimizes information asymmetry. Affes and Jarboui (2023) argue that audit effectiveness improves internal control and restricts managerial discretion, resulting in more reliable financial reporting and greater ROE. However, their research incorporates audit effectiveness into a composite governance score, which limits the ability to isolate its independent influence. Li (2022) emphasises internal audit as a critical method for building governance frameworks and maintaining regulated company operations. Overall, while evidence strongly correlates audit effectiveness to better outcomes, conclusions are limited by measurement choices and the frequent confusion of audit quality with larger governance characteristics.</w:t>
      </w:r>
    </w:p>
    <w:p w14:paraId="56DAD303" w14:textId="77777777" w:rsidR="004322E7" w:rsidRPr="00ED6D63" w:rsidRDefault="000C275E" w:rsidP="00ED6D63">
      <w:pPr>
        <w:pStyle w:val="Heading2"/>
        <w:rPr>
          <w:rFonts w:ascii="Times New Roman" w:hAnsi="Times New Roman" w:cs="Times New Roman"/>
          <w:b/>
          <w:bCs/>
          <w:color w:val="auto"/>
          <w:sz w:val="24"/>
          <w:szCs w:val="24"/>
        </w:rPr>
      </w:pPr>
      <w:bookmarkStart w:id="9" w:name="_Toc237010665"/>
      <w:r w:rsidRPr="00ED6D63">
        <w:rPr>
          <w:rFonts w:ascii="Times New Roman" w:hAnsi="Times New Roman" w:cs="Times New Roman"/>
          <w:b/>
          <w:bCs/>
          <w:color w:val="auto"/>
          <w:sz w:val="24"/>
          <w:szCs w:val="24"/>
        </w:rPr>
        <w:t>2.2 ESG Performance and Financial Performance</w:t>
      </w:r>
      <w:bookmarkEnd w:id="9"/>
    </w:p>
    <w:p w14:paraId="56DAD304" w14:textId="033B8E3A"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ESG performance </w:t>
      </w:r>
      <w:r w:rsidR="00C271B3" w:rsidRPr="00C271B3">
        <w:rPr>
          <w:rFonts w:ascii="Times New Roman" w:eastAsia="Times New Roman" w:hAnsi="Times New Roman" w:cs="Times New Roman"/>
        </w:rPr>
        <w:t>has been identified as the primary predictor</w:t>
      </w:r>
      <w:r>
        <w:rPr>
          <w:rFonts w:ascii="Times New Roman" w:eastAsia="Times New Roman" w:hAnsi="Times New Roman" w:cs="Times New Roman"/>
        </w:rPr>
        <w:t xml:space="preserve"> of firm-level results, with a growing body of research examining its direct link with financial success, especially inside the FTSE 350. Aydoğmuş, Gülay, and Ergun (2022) found significant relationships between individual and total ESG ratings, company value, and profitability in Refinitiv data. Din </w:t>
      </w:r>
      <w:r>
        <w:rPr>
          <w:rFonts w:ascii="Times New Roman" w:eastAsia="Times New Roman" w:hAnsi="Times New Roman" w:cs="Times New Roman"/>
          <w:i/>
          <w:iCs/>
        </w:rPr>
        <w:t>et al.</w:t>
      </w:r>
      <w:r>
        <w:rPr>
          <w:rFonts w:ascii="Times New Roman" w:eastAsia="Times New Roman" w:hAnsi="Times New Roman" w:cs="Times New Roman"/>
        </w:rPr>
        <w:t xml:space="preserve"> (2022) also found good connections with Tobin's Q and ROA in developing market businesses. FTSE-specific research is more limited: Ahmad, Mobarek, and Roni (2021) find that ESG ratings have a moderate but considerable positive effect on ROA but no effect on ROE, demonstrating how results are highly influenced by the financial metric used.</w:t>
      </w:r>
    </w:p>
    <w:p w14:paraId="56DAD305"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2.2.1 Environmental Performance</w:t>
      </w:r>
    </w:p>
    <w:p w14:paraId="56DAD306"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Environmental performance is the most inconsistent ESG pillar. According to Buallay (2019), environmental scores boost Tobin's Q while decreasing ROA and ROE, implying that environmental activities may sacrifice short-term profitability while increasing market valuation. Maji and Lohia (2024) observe comparable negative ROA impacts from environmental disclosure, but they explain this to underinvestment and inadequate disclosure rather than underlying financial penalties, arguing that insufficient transparency inhibits markets from detecting long-term environmental strategies. In contrast, Atz </w:t>
      </w:r>
      <w:r>
        <w:rPr>
          <w:rFonts w:ascii="Times New Roman" w:eastAsia="Times New Roman" w:hAnsi="Times New Roman" w:cs="Times New Roman"/>
          <w:i/>
          <w:iCs/>
        </w:rPr>
        <w:t>et al.</w:t>
      </w:r>
      <w:r>
        <w:rPr>
          <w:rFonts w:ascii="Times New Roman" w:eastAsia="Times New Roman" w:hAnsi="Times New Roman" w:cs="Times New Roman"/>
        </w:rPr>
        <w:t xml:space="preserve"> (2023) demonstrate that good environmental performance frequently improves business financial results but does not always convert into improved investor returns, owing to data constraints and diverse ESG portfolio strategies. Overall, environmental consequences vary depending on the metric: accounting returns, market value, and </w:t>
      </w:r>
      <w:r>
        <w:rPr>
          <w:rFonts w:ascii="Times New Roman" w:eastAsia="Times New Roman" w:hAnsi="Times New Roman" w:cs="Times New Roman"/>
        </w:rPr>
        <w:lastRenderedPageBreak/>
        <w:t>investor performance all react differently to environmental activities, and disclosure quality has a significant impact on observed effects.</w:t>
      </w:r>
    </w:p>
    <w:p w14:paraId="56DAD307"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2.2.2 Social Performance</w:t>
      </w:r>
    </w:p>
    <w:p w14:paraId="56DAD30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social pillar, which includes worker, rights for people, society, and product liability principles, offers uneven financial outcomes. Some research show negative ROA and ROE relationships, while others show positive effects where strong social practices improve efficiency, employee productivity, and stakeholder trust, which is consistent with stakeholder theoretic argumentation that focusing on stakeholder requirements reduces relational risk (Freeman, 1984). According to Elamer and Boulhaga (2024), while social performance typically enhances financial results, it becomes vulnerable when ESG disputes occur, as reputational harm depresses market value; only credible, well-governed, and substantial ESG commitments offset this impact. Khan (2022) also finds a positive but context-dependent link, highlighting that while social performance frequently increases market value and decreases risk, its accounting-based impact is uneven due to institutional variances, disclosure quality, and short-term cost constraints.</w:t>
      </w:r>
    </w:p>
    <w:p w14:paraId="56DAD309" w14:textId="77777777" w:rsidR="004322E7" w:rsidRPr="00C170D8" w:rsidRDefault="000C275E">
      <w:pPr>
        <w:spacing w:line="360" w:lineRule="auto"/>
        <w:jc w:val="both"/>
        <w:rPr>
          <w:rFonts w:ascii="Times New Roman" w:eastAsia="Times New Roman" w:hAnsi="Times New Roman" w:cs="Times New Roman"/>
          <w:b/>
          <w:bCs/>
        </w:rPr>
      </w:pPr>
      <w:r w:rsidRPr="00C170D8">
        <w:rPr>
          <w:rFonts w:ascii="Times New Roman" w:eastAsia="Times New Roman" w:hAnsi="Times New Roman" w:cs="Times New Roman"/>
          <w:b/>
          <w:bCs/>
        </w:rPr>
        <w:t>2.2.3 Governance Performance</w:t>
      </w:r>
    </w:p>
    <w:p w14:paraId="56DAD30A"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Governance pillar ESG ratings show a distinct and primarily indirect financial trend. According to Sandberg, Alnoor, and Tiberius (2023), governance scores lower businesses' cost of capital while having minor or negative relationships with ROA and ROE, showing that governance-related ESG advantages are mostly realized through valuation and finance channels rather than short-term accounting returns. Nirino </w:t>
      </w:r>
      <w:r>
        <w:rPr>
          <w:rFonts w:ascii="Times New Roman" w:eastAsia="Times New Roman" w:hAnsi="Times New Roman" w:cs="Times New Roman"/>
          <w:i/>
          <w:iCs/>
        </w:rPr>
        <w:t>et al.</w:t>
      </w:r>
      <w:r>
        <w:rPr>
          <w:rFonts w:ascii="Times New Roman" w:eastAsia="Times New Roman" w:hAnsi="Times New Roman" w:cs="Times New Roman"/>
        </w:rPr>
        <w:t xml:space="preserve"> (2021) show that business conflicts continuously lower financial performance, particularly Tobin's Q, and that governance and other ESG practices do not mitigate this impact, implying that governance serves as a preventative measure rather than a remedy. According to Coelho, Jayantilal, and Ferreira (2023), successful climatic governance enhances financial performance, with greater impact when firms accomplish higher climate performance; governance functions as a strategic tool, integrating environmental concerns into decision making, minimizing risk, and enhancing trust among stakeholders. Pathan and Mohanty (2025) argue that governance performance improves business profitability and firm worth through oversight, transparency, and accountability; however, but that the impacts vary with company size, market maturity level, and ESG emphasis, thus making governance a variable facilitator rather than a guaranteed source of financial performance.</w:t>
      </w:r>
    </w:p>
    <w:p w14:paraId="56DAD30B"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Overall, these data demonstrate that ESG-financial performance correlations in the FTSE 350 are pillar-specific, metric-dependent, and theoretically framed. Environmental activities may incur short-term expenses while increasing long-term value; social practices improve stakeholder connections but vary by context; and governance pillar scores impact capital market sentiment more than accounting outcomes. This mixed evidence emphasizes the need of disaggregating ESG analysis and demonstrates why the FTSE 350 continues to be an important setting for studying how ESG performance interacts with firm-level financial results.</w:t>
      </w:r>
    </w:p>
    <w:p w14:paraId="56DAD30C" w14:textId="77777777" w:rsidR="004322E7" w:rsidRPr="00ED6D63" w:rsidRDefault="000C275E" w:rsidP="00ED6D63">
      <w:pPr>
        <w:pStyle w:val="Heading2"/>
        <w:rPr>
          <w:rFonts w:ascii="Times New Roman" w:hAnsi="Times New Roman" w:cs="Times New Roman"/>
          <w:b/>
          <w:bCs/>
          <w:color w:val="auto"/>
          <w:sz w:val="24"/>
          <w:szCs w:val="24"/>
        </w:rPr>
      </w:pPr>
      <w:bookmarkStart w:id="10" w:name="_Toc237010666"/>
      <w:r w:rsidRPr="00ED6D63">
        <w:rPr>
          <w:rFonts w:ascii="Times New Roman" w:hAnsi="Times New Roman" w:cs="Times New Roman"/>
          <w:b/>
          <w:bCs/>
          <w:color w:val="auto"/>
          <w:sz w:val="24"/>
          <w:szCs w:val="24"/>
        </w:rPr>
        <w:t>2.3 ESG as a Moderating Variable</w:t>
      </w:r>
      <w:bookmarkEnd w:id="10"/>
    </w:p>
    <w:p w14:paraId="56DAD30D"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ESG performance is increasingly being seen as a moderator of the corporate governance-financial performance (CG-FP) connection since it augments monitoring-centered governance with validity and resource-driven capabilities. Strong ESG performance increases support from stakeholders and governance legitimacy (Freeman, 1984), whereas ESG capabilities serve as important, difficult-to-implement tools that enhance governance and promote its conversion into financial results (Barney, 1991). This establishes a consistent theoretical foundation for moderation. Mukhtar </w:t>
      </w:r>
      <w:r>
        <w:rPr>
          <w:rFonts w:ascii="Times New Roman" w:eastAsia="Times New Roman" w:hAnsi="Times New Roman" w:cs="Times New Roman"/>
          <w:i/>
          <w:iCs/>
        </w:rPr>
        <w:t>et al.</w:t>
      </w:r>
      <w:r>
        <w:rPr>
          <w:rFonts w:ascii="Times New Roman" w:eastAsia="Times New Roman" w:hAnsi="Times New Roman" w:cs="Times New Roman"/>
        </w:rPr>
        <w:t xml:space="preserve"> (2025) demonstrate that ESG operates as context determining mechanism, thereby strengthening or weakening governance impacts based on ESG quality; however, ESG is not a universally positive moderator, as poor or inconsistent environmental, social, or governance practices could reduce governance positive outcomes. This logic is supported by information-based explanations: Sharfman and Fernando (2008) contend that high ESG ratings reduce residual risk, whereas Godfrey </w:t>
      </w:r>
      <w:r>
        <w:rPr>
          <w:rFonts w:ascii="Times New Roman" w:eastAsia="Times New Roman" w:hAnsi="Times New Roman" w:cs="Times New Roman"/>
          <w:i/>
          <w:iCs/>
        </w:rPr>
        <w:t>et al.</w:t>
      </w:r>
      <w:r>
        <w:rPr>
          <w:rFonts w:ascii="Times New Roman" w:eastAsia="Times New Roman" w:hAnsi="Times New Roman" w:cs="Times New Roman"/>
        </w:rPr>
        <w:t xml:space="preserve"> (2009) demonstrate that ESG investment offers reputational insurance, implying that ESG improves governance effectiveness by decreasing risk and protects enterprises from reputational shocks.</w:t>
      </w:r>
    </w:p>
    <w:p w14:paraId="56DAD30E"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However, empirical evidence on ESG moderation is very limited but generally encouraging. Moussa, Elmarzouky, and Shohaieb (2024) use FTSE All Share data from 2010 to 2021 to discover that internal governance quality positively moderates the link between ESG performance and market capitalization, with ESG-governance interaction factors providing significant positive coefficients in ROE models. In developing countries, ESG performance also moderates correlations between governance features such as board structure and diversity and firm value, however the direction and magnitude of impacts vary depending on governance feature and national context. On a larger scale, country-specific governance quality has been demonstrated to </w:t>
      </w:r>
      <w:r>
        <w:rPr>
          <w:rFonts w:ascii="Times New Roman" w:eastAsia="Times New Roman" w:hAnsi="Times New Roman" w:cs="Times New Roman"/>
        </w:rPr>
        <w:lastRenderedPageBreak/>
        <w:t>modulate the ESG-financial performance link across global panel data, with higher ESG impacts reported in jurisdictions with successful political, regulatory, and anti-corruption contexts. This strengthens the case for governance-ESG complementary characteristics in a well-governed index like the FTSE 350, where institutional circumstances favor such interaction effects.</w:t>
      </w:r>
    </w:p>
    <w:p w14:paraId="56DAD30F" w14:textId="77777777" w:rsidR="004322E7" w:rsidRPr="00C170D8" w:rsidRDefault="000C275E">
      <w:pPr>
        <w:pStyle w:val="Heading2"/>
        <w:spacing w:line="360" w:lineRule="auto"/>
        <w:rPr>
          <w:rFonts w:ascii="Times New Roman" w:eastAsia="Times New Roman" w:hAnsi="Times New Roman" w:cs="Times New Roman"/>
          <w:b/>
          <w:bCs/>
          <w:color w:val="000000"/>
          <w:sz w:val="24"/>
          <w:szCs w:val="24"/>
        </w:rPr>
      </w:pPr>
      <w:bookmarkStart w:id="11" w:name="_Toc237010667"/>
      <w:r w:rsidRPr="00C170D8">
        <w:rPr>
          <w:rFonts w:ascii="Times New Roman" w:eastAsia="Times New Roman" w:hAnsi="Times New Roman" w:cs="Times New Roman"/>
          <w:b/>
          <w:bCs/>
          <w:color w:val="000000"/>
          <w:sz w:val="24"/>
          <w:szCs w:val="24"/>
        </w:rPr>
        <w:t>2.4 Conceptual Framework</w:t>
      </w:r>
      <w:bookmarkEnd w:id="11"/>
    </w:p>
    <w:p w14:paraId="56DAD310" w14:textId="77777777" w:rsidR="004322E7" w:rsidRDefault="000C275E">
      <w:pPr>
        <w:spacing w:after="200" w:line="360" w:lineRule="auto"/>
        <w:jc w:val="both"/>
        <w:rPr>
          <w:rFonts w:ascii="Times New Roman" w:eastAsia="Times New Roman" w:hAnsi="Times New Roman" w:cs="Times New Roman"/>
        </w:rPr>
      </w:pPr>
      <w:r>
        <w:rPr>
          <w:rFonts w:ascii="Times New Roman" w:eastAsia="Times New Roman" w:hAnsi="Times New Roman" w:cs="Times New Roman"/>
        </w:rPr>
        <w:t>The conceptual framework suggests that the financial performance of FTSE 350 companies (measured by ROA and ROE) is influenced by CG mechanisms (board independence, board size, CEO duality, ownership concentration, and audit committee effectiveness) as independent variables, while ESG performance (environmental, social, and governance scores, along with a composite ESG score) is modelled as a moderating variable that strengthens (Moussa, Elmarzouky, and Shohaieb, 2024).</w:t>
      </w:r>
    </w:p>
    <w:p w14:paraId="7754AA16" w14:textId="77777777" w:rsidR="00427202" w:rsidRDefault="000C275E" w:rsidP="00427202">
      <w:pPr>
        <w:keepNext/>
        <w:spacing w:line="360" w:lineRule="auto"/>
        <w:jc w:val="center"/>
      </w:pPr>
      <w:r>
        <w:rPr>
          <w:rFonts w:ascii="Times New Roman" w:eastAsia="Times New Roman" w:hAnsi="Times New Roman" w:cs="Times New Roman"/>
          <w:noProof/>
        </w:rPr>
        <w:drawing>
          <wp:inline distT="0" distB="0" distL="0" distR="0" wp14:anchorId="56DAD64A" wp14:editId="56DAD64B">
            <wp:extent cx="4684205" cy="3189364"/>
            <wp:effectExtent l="0" t="0" r="0" b="0"/>
            <wp:docPr id="211988721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
                    <a:srcRect/>
                    <a:stretch>
                      <a:fillRect/>
                    </a:stretch>
                  </pic:blipFill>
                  <pic:spPr>
                    <a:xfrm>
                      <a:off x="0" y="0"/>
                      <a:ext cx="4684205" cy="3189364"/>
                    </a:xfrm>
                    <a:prstGeom prst="rect">
                      <a:avLst/>
                    </a:prstGeom>
                    <a:ln/>
                  </pic:spPr>
                </pic:pic>
              </a:graphicData>
            </a:graphic>
          </wp:inline>
        </w:drawing>
      </w:r>
    </w:p>
    <w:p w14:paraId="56DAD311" w14:textId="4D2E7F91" w:rsidR="004322E7" w:rsidRPr="00427202" w:rsidRDefault="00427202" w:rsidP="00427202">
      <w:pPr>
        <w:pStyle w:val="Caption"/>
        <w:rPr>
          <w:rFonts w:ascii="Times New Roman" w:hAnsi="Times New Roman" w:cs="Times New Roman"/>
          <w:color w:val="auto"/>
          <w:sz w:val="24"/>
          <w:szCs w:val="24"/>
        </w:rPr>
      </w:pPr>
      <w:bookmarkStart w:id="12" w:name="_Toc236978916"/>
      <w:r w:rsidRPr="00427202">
        <w:rPr>
          <w:rFonts w:ascii="Times New Roman" w:hAnsi="Times New Roman" w:cs="Times New Roman"/>
          <w:color w:val="auto"/>
          <w:sz w:val="24"/>
          <w:szCs w:val="24"/>
        </w:rPr>
        <w:t xml:space="preserve">Figure </w:t>
      </w:r>
      <w:r w:rsidRPr="00427202">
        <w:rPr>
          <w:rFonts w:ascii="Times New Roman" w:hAnsi="Times New Roman" w:cs="Times New Roman"/>
          <w:color w:val="auto"/>
          <w:sz w:val="24"/>
          <w:szCs w:val="24"/>
        </w:rPr>
        <w:fldChar w:fldCharType="begin"/>
      </w:r>
      <w:r w:rsidRPr="00427202">
        <w:rPr>
          <w:rFonts w:ascii="Times New Roman" w:hAnsi="Times New Roman" w:cs="Times New Roman"/>
          <w:color w:val="auto"/>
          <w:sz w:val="24"/>
          <w:szCs w:val="24"/>
        </w:rPr>
        <w:instrText xml:space="preserve"> SEQ Figure \* ARABIC </w:instrText>
      </w:r>
      <w:r w:rsidRPr="00427202">
        <w:rPr>
          <w:rFonts w:ascii="Times New Roman" w:hAnsi="Times New Roman" w:cs="Times New Roman"/>
          <w:color w:val="auto"/>
          <w:sz w:val="24"/>
          <w:szCs w:val="24"/>
        </w:rPr>
        <w:fldChar w:fldCharType="separate"/>
      </w:r>
      <w:r w:rsidRPr="00427202">
        <w:rPr>
          <w:rFonts w:ascii="Times New Roman" w:hAnsi="Times New Roman" w:cs="Times New Roman"/>
          <w:noProof/>
          <w:color w:val="auto"/>
          <w:sz w:val="24"/>
          <w:szCs w:val="24"/>
        </w:rPr>
        <w:t>1</w:t>
      </w:r>
      <w:r w:rsidRPr="00427202">
        <w:rPr>
          <w:rFonts w:ascii="Times New Roman" w:hAnsi="Times New Roman" w:cs="Times New Roman"/>
          <w:color w:val="auto"/>
          <w:sz w:val="24"/>
          <w:szCs w:val="24"/>
        </w:rPr>
        <w:fldChar w:fldCharType="end"/>
      </w:r>
      <w:r w:rsidRPr="00427202">
        <w:rPr>
          <w:rFonts w:ascii="Times New Roman" w:hAnsi="Times New Roman" w:cs="Times New Roman"/>
          <w:color w:val="auto"/>
          <w:sz w:val="24"/>
          <w:szCs w:val="24"/>
        </w:rPr>
        <w:t>: Conceptual framework of the Study</w:t>
      </w:r>
      <w:bookmarkEnd w:id="12"/>
    </w:p>
    <w:p w14:paraId="56DAD313" w14:textId="77777777" w:rsidR="004322E7" w:rsidRDefault="000C275E">
      <w:pPr>
        <w:spacing w:line="360" w:lineRule="auto"/>
        <w:rPr>
          <w:rFonts w:ascii="Times New Roman" w:eastAsia="Times New Roman" w:hAnsi="Times New Roman" w:cs="Times New Roman"/>
        </w:rPr>
      </w:pPr>
      <w:bookmarkStart w:id="13" w:name="_heading=h.m769fghi5h2" w:colFirst="0" w:colLast="0"/>
      <w:bookmarkEnd w:id="13"/>
      <w:r>
        <w:rPr>
          <w:rFonts w:ascii="Times New Roman" w:eastAsia="Times New Roman" w:hAnsi="Times New Roman" w:cs="Times New Roman"/>
        </w:rPr>
        <w:t>Source: Authors' Work.</w:t>
      </w:r>
    </w:p>
    <w:p w14:paraId="56DAD314" w14:textId="27878153" w:rsidR="004322E7" w:rsidRPr="00785CBA" w:rsidRDefault="000C275E">
      <w:pPr>
        <w:pStyle w:val="Heading2"/>
        <w:spacing w:line="360" w:lineRule="auto"/>
        <w:rPr>
          <w:rFonts w:ascii="Times New Roman" w:eastAsia="Times New Roman" w:hAnsi="Times New Roman" w:cs="Times New Roman"/>
          <w:b/>
          <w:bCs/>
          <w:color w:val="000000"/>
          <w:sz w:val="24"/>
          <w:szCs w:val="24"/>
        </w:rPr>
      </w:pPr>
      <w:bookmarkStart w:id="14" w:name="_Toc237010668"/>
      <w:r w:rsidRPr="00785CBA">
        <w:rPr>
          <w:rFonts w:ascii="Times New Roman" w:eastAsia="Times New Roman" w:hAnsi="Times New Roman" w:cs="Times New Roman"/>
          <w:b/>
          <w:bCs/>
          <w:color w:val="000000"/>
          <w:sz w:val="24"/>
          <w:szCs w:val="24"/>
        </w:rPr>
        <w:t>2.</w:t>
      </w:r>
      <w:r w:rsidR="00347572">
        <w:rPr>
          <w:rFonts w:ascii="Times New Roman" w:eastAsia="Times New Roman" w:hAnsi="Times New Roman" w:cs="Times New Roman"/>
          <w:b/>
          <w:bCs/>
          <w:color w:val="000000"/>
          <w:sz w:val="24"/>
          <w:szCs w:val="24"/>
        </w:rPr>
        <w:t>5</w:t>
      </w:r>
      <w:r w:rsidRPr="00785CBA">
        <w:rPr>
          <w:rFonts w:ascii="Times New Roman" w:eastAsia="Times New Roman" w:hAnsi="Times New Roman" w:cs="Times New Roman"/>
          <w:b/>
          <w:bCs/>
          <w:color w:val="000000"/>
          <w:sz w:val="24"/>
          <w:szCs w:val="24"/>
        </w:rPr>
        <w:t xml:space="preserve"> Theoretical Foundations</w:t>
      </w:r>
      <w:bookmarkEnd w:id="14"/>
    </w:p>
    <w:p w14:paraId="56DAD315"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moderating logic is built upon three theoretical premises. Agency theory (Meckling and Jensen, 1976; Fama and Jensen, 2019) depicts the business as a network of contracts, with </w:t>
      </w:r>
      <w:r>
        <w:rPr>
          <w:rFonts w:ascii="Times New Roman" w:eastAsia="Times New Roman" w:hAnsi="Times New Roman" w:cs="Times New Roman"/>
        </w:rPr>
        <w:lastRenderedPageBreak/>
        <w:t>governance instruments such as independent boards, effective audit committees, CEO-Chair separation, and concentrated monitoring ownership lowering agency costs by increasing supervision. This offers the most direct causal relationship between governance structures and accounting-based success, and it supports RQ1 and Objective 1. According to stakeholder theory (Freeman, 1984), corporations improve their legitimacy, reputation, and trust by addressing stakeholder interests; ESG performance increases these connections, supporting both the direct financial impacts (RQ2) and the moderating function. Finally, the resource-based approach (Barney, 1991) sees ESG skills as valuable, scarce, and non-replaceable resources that supplement governance frameworks. Integrated ESG governance skills may either increase or diminish the CG-FP connection (Moussa, Elmarzouky, and Shohaieb, 2024), which directly supports the moderating logic in RQ3 and Objective 3.</w:t>
      </w:r>
    </w:p>
    <w:p w14:paraId="56DAD316" w14:textId="04EB4631" w:rsidR="004322E7" w:rsidRPr="00785CBA" w:rsidRDefault="000C275E">
      <w:pPr>
        <w:pStyle w:val="Heading2"/>
        <w:spacing w:line="360" w:lineRule="auto"/>
        <w:rPr>
          <w:rFonts w:ascii="Times New Roman" w:eastAsia="Times New Roman" w:hAnsi="Times New Roman" w:cs="Times New Roman"/>
          <w:b/>
          <w:bCs/>
          <w:color w:val="000000"/>
          <w:sz w:val="24"/>
          <w:szCs w:val="24"/>
        </w:rPr>
      </w:pPr>
      <w:bookmarkStart w:id="15" w:name="_Toc237010669"/>
      <w:r w:rsidRPr="00785CBA">
        <w:rPr>
          <w:rFonts w:ascii="Times New Roman" w:eastAsia="Times New Roman" w:hAnsi="Times New Roman" w:cs="Times New Roman"/>
          <w:b/>
          <w:bCs/>
          <w:color w:val="000000"/>
          <w:sz w:val="24"/>
          <w:szCs w:val="24"/>
        </w:rPr>
        <w:t>2.</w:t>
      </w:r>
      <w:r w:rsidR="00347572">
        <w:rPr>
          <w:rFonts w:ascii="Times New Roman" w:eastAsia="Times New Roman" w:hAnsi="Times New Roman" w:cs="Times New Roman"/>
          <w:b/>
          <w:bCs/>
          <w:color w:val="000000"/>
          <w:sz w:val="24"/>
          <w:szCs w:val="24"/>
        </w:rPr>
        <w:t>6</w:t>
      </w:r>
      <w:r w:rsidRPr="00785CBA">
        <w:rPr>
          <w:rFonts w:ascii="Times New Roman" w:eastAsia="Times New Roman" w:hAnsi="Times New Roman" w:cs="Times New Roman"/>
          <w:b/>
          <w:bCs/>
          <w:color w:val="000000"/>
          <w:sz w:val="24"/>
          <w:szCs w:val="24"/>
        </w:rPr>
        <w:t xml:space="preserve"> Philosophical Underpinning</w:t>
      </w:r>
      <w:bookmarkEnd w:id="15"/>
    </w:p>
    <w:p w14:paraId="56DAD317"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Ontologically, the study takes a realistic approach, treating CG structures, ESG performance, and FP as objectively existing organizational features that can be measured through external disclosures, in line with the realistic presumptions established by Creswell and Creswell (2017). Epistemologically, it is positivist in nature, generating knowledge via testable assumptions derived from agency theory, stakeholder theory, and the resource-based view, and evaluating it using statistical relationships between observable governance, ESG, and performance variables, reflecting Bryman's (2016) positivist orientation. Axiologically, the study aims for value neutrality, restricting the investigator's role to objective assessment and inference using publicly accessible information, while acknowledging that the selection of governance and ESG proxies reflects theoretical and disclosure-based decisions made by data providers such as LSEG.</w:t>
      </w:r>
    </w:p>
    <w:p w14:paraId="56DAD31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Although examined collectively, the literature demonstrates three trends that constitute the research gap. First, CG-FP connections in FTSE 350 and associated London Stock Exchange samples are empirically established but directionally inconsistent, with variations between methods, time periods, and index coverage (Kyere and Ausloos, 2021; Hu, Lin, and Tosun, 2023). Second, ESG-FP findings in the FTSE 350 are equally mixed, with outcomes varying depending on the performance indicator and ESG pillar (Ahmad, Mobarek, and Roni, 2021; Sandberg, Alnoor, and Tiberius, 2023).  Third, and most importantly, relatively few FTSE 350 studies investigate ESG as a moderator of the governance-performance connection using samples that </w:t>
      </w:r>
      <w:r>
        <w:rPr>
          <w:rFonts w:ascii="Times New Roman" w:eastAsia="Times New Roman" w:hAnsi="Times New Roman" w:cs="Times New Roman"/>
        </w:rPr>
        <w:lastRenderedPageBreak/>
        <w:t>purposely span the whole capitalization range; Moussa, Elmarzouky, and Shohaieb (2024) highlight this governance-ESG interaction as an underexplored topic. This study is specifically designed to solve that gap.</w:t>
      </w:r>
    </w:p>
    <w:p w14:paraId="56DAD319" w14:textId="77777777" w:rsidR="004322E7" w:rsidRPr="00785CBA" w:rsidRDefault="000C275E">
      <w:pPr>
        <w:pStyle w:val="Heading1"/>
        <w:spacing w:line="360" w:lineRule="auto"/>
        <w:jc w:val="both"/>
        <w:rPr>
          <w:rFonts w:ascii="Times New Roman" w:eastAsia="Times New Roman" w:hAnsi="Times New Roman" w:cs="Times New Roman"/>
          <w:b/>
          <w:bCs/>
          <w:color w:val="000000"/>
          <w:sz w:val="24"/>
          <w:szCs w:val="24"/>
        </w:rPr>
      </w:pPr>
      <w:bookmarkStart w:id="16" w:name="_Toc237010670"/>
      <w:r w:rsidRPr="00785CBA">
        <w:rPr>
          <w:rFonts w:ascii="Times New Roman" w:eastAsia="Times New Roman" w:hAnsi="Times New Roman" w:cs="Times New Roman"/>
          <w:b/>
          <w:bCs/>
          <w:color w:val="000000"/>
          <w:sz w:val="24"/>
          <w:szCs w:val="24"/>
        </w:rPr>
        <w:t>3. Research Methodology</w:t>
      </w:r>
      <w:bookmarkEnd w:id="16"/>
    </w:p>
    <w:p w14:paraId="56DAD31A"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section outlines the analytical technique used to investigate the impact of CG and ESG performance on the FP of FTSE 350-listed companies. The strategy strongly aligns with the three research questions indicated in the introductory section: RQ1 focuses on the link between CG and FP, RQ2 on ESG's direct effect on FP, and RQ3 on ESG's moderating role in the CG-FP relationship. To enhance the interpretation of quantitative data, a quantitative research approach is employed in conjunction with a theme reading of governance and sustainability disclosures. This mixed logic incorporation represents the multilayered methodological choices defined by Saunders </w:t>
      </w:r>
      <w:r>
        <w:rPr>
          <w:rFonts w:ascii="Times New Roman" w:eastAsia="Times New Roman" w:hAnsi="Times New Roman" w:cs="Times New Roman"/>
          <w:i/>
          <w:iCs/>
        </w:rPr>
        <w:t>et al.</w:t>
      </w:r>
      <w:r>
        <w:rPr>
          <w:rFonts w:ascii="Times New Roman" w:eastAsia="Times New Roman" w:hAnsi="Times New Roman" w:cs="Times New Roman"/>
        </w:rPr>
        <w:t xml:space="preserve"> (2019), which ensures consistency across research topics, sources of data, and analytical techniques. The technique aims to improve methodological robustness by triangulating data from governance filings, ESG evaluations, and financial statements.</w:t>
      </w:r>
    </w:p>
    <w:p w14:paraId="56DAD31B" w14:textId="77777777" w:rsidR="004322E7" w:rsidRPr="00785CBA" w:rsidRDefault="000C275E">
      <w:pPr>
        <w:pStyle w:val="Heading2"/>
        <w:spacing w:line="360" w:lineRule="auto"/>
        <w:jc w:val="both"/>
        <w:rPr>
          <w:rFonts w:ascii="Times New Roman" w:eastAsia="Times New Roman" w:hAnsi="Times New Roman" w:cs="Times New Roman"/>
          <w:b/>
          <w:bCs/>
          <w:color w:val="000000"/>
          <w:sz w:val="24"/>
          <w:szCs w:val="24"/>
        </w:rPr>
      </w:pPr>
      <w:bookmarkStart w:id="17" w:name="_Toc237010671"/>
      <w:r w:rsidRPr="00785CBA">
        <w:rPr>
          <w:rFonts w:ascii="Times New Roman" w:eastAsia="Times New Roman" w:hAnsi="Times New Roman" w:cs="Times New Roman"/>
          <w:b/>
          <w:bCs/>
          <w:color w:val="000000"/>
          <w:sz w:val="24"/>
          <w:szCs w:val="24"/>
        </w:rPr>
        <w:t>3.1 Research Design</w:t>
      </w:r>
      <w:bookmarkEnd w:id="17"/>
    </w:p>
    <w:p w14:paraId="56DAD31C"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A concise quantitative explanatory approach is used to investigate the causal links between CG, ESG performance, and FP in FTSE 350 corporations. Quantitative, based on assumptions, methodologies allow for formal assessment of theoretical predictions from agency, stakeholder, and resource perspectives, with limited generalization across the indices (Kyere and Ausloos, 2021; Ahmad, Mobarek, and Roni, 2021). Secondary, externally verified data are employed to minimize researcher bias, which is consistent with the study's positivist philosophy.</w:t>
      </w:r>
    </w:p>
    <w:p w14:paraId="56DAD31D"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In addition to the population, it consists of all FTSE 350 enterprises taken from the London Stock Exchange Group (2025). To prevent the FTSE 100 bias identified by Yusuf and Sherif (2020), the index is divided into six market capitalisation bands, with the largest firm in each band chosen to guarantee representation throughout the whole capitalisation structure. Data are gathered from LSEG, Yahoo Finance, and business filings to guarantee objective and trustworthy measurement.</w:t>
      </w:r>
    </w:p>
    <w:p w14:paraId="1C92D6D9" w14:textId="77777777" w:rsidR="00427202" w:rsidRDefault="000C275E" w:rsidP="00427202">
      <w:pPr>
        <w:keepNext/>
        <w:spacing w:line="360" w:lineRule="auto"/>
        <w:jc w:val="both"/>
      </w:pPr>
      <w:r>
        <w:rPr>
          <w:rFonts w:ascii="Times New Roman" w:eastAsia="Times New Roman" w:hAnsi="Times New Roman" w:cs="Times New Roman"/>
          <w:noProof/>
        </w:rPr>
        <w:lastRenderedPageBreak/>
        <w:drawing>
          <wp:inline distT="0" distB="0" distL="0" distR="0" wp14:anchorId="56DAD64C" wp14:editId="56DAD64D">
            <wp:extent cx="5943600" cy="2739390"/>
            <wp:effectExtent l="0" t="0" r="0" b="0"/>
            <wp:docPr id="21198872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2739390"/>
                    </a:xfrm>
                    <a:prstGeom prst="rect">
                      <a:avLst/>
                    </a:prstGeom>
                    <a:ln/>
                  </pic:spPr>
                </pic:pic>
              </a:graphicData>
            </a:graphic>
          </wp:inline>
        </w:drawing>
      </w:r>
    </w:p>
    <w:p w14:paraId="56DAD31E" w14:textId="7A8D3312" w:rsidR="004322E7" w:rsidRPr="002858FB" w:rsidRDefault="00427202" w:rsidP="00427202">
      <w:pPr>
        <w:pStyle w:val="Caption"/>
        <w:jc w:val="both"/>
        <w:rPr>
          <w:rFonts w:ascii="Times New Roman" w:eastAsia="Times New Roman" w:hAnsi="Times New Roman" w:cs="Times New Roman"/>
          <w:color w:val="auto"/>
          <w:sz w:val="24"/>
          <w:szCs w:val="24"/>
        </w:rPr>
      </w:pPr>
      <w:bookmarkStart w:id="18" w:name="_Toc237010697"/>
      <w:r w:rsidRPr="002858FB">
        <w:rPr>
          <w:rFonts w:ascii="Times New Roman" w:hAnsi="Times New Roman" w:cs="Times New Roman"/>
          <w:color w:val="auto"/>
          <w:sz w:val="24"/>
          <w:szCs w:val="24"/>
        </w:rPr>
        <w:t xml:space="preserve">Table </w:t>
      </w:r>
      <w:r w:rsidR="005B6FA6" w:rsidRPr="002858FB">
        <w:rPr>
          <w:rFonts w:ascii="Times New Roman" w:hAnsi="Times New Roman" w:cs="Times New Roman"/>
          <w:color w:val="auto"/>
          <w:sz w:val="24"/>
          <w:szCs w:val="24"/>
        </w:rPr>
        <w:fldChar w:fldCharType="begin"/>
      </w:r>
      <w:r w:rsidR="005B6FA6" w:rsidRPr="002858FB">
        <w:rPr>
          <w:rFonts w:ascii="Times New Roman" w:hAnsi="Times New Roman" w:cs="Times New Roman"/>
          <w:color w:val="auto"/>
          <w:sz w:val="24"/>
          <w:szCs w:val="24"/>
        </w:rPr>
        <w:instrText xml:space="preserve"> SEQ Table \* ARABIC </w:instrText>
      </w:r>
      <w:r w:rsidR="005B6FA6" w:rsidRPr="002858FB">
        <w:rPr>
          <w:rFonts w:ascii="Times New Roman" w:hAnsi="Times New Roman" w:cs="Times New Roman"/>
          <w:color w:val="auto"/>
          <w:sz w:val="24"/>
          <w:szCs w:val="24"/>
        </w:rPr>
        <w:fldChar w:fldCharType="separate"/>
      </w:r>
      <w:r w:rsidR="001470FE" w:rsidRPr="002858FB">
        <w:rPr>
          <w:rFonts w:ascii="Times New Roman" w:hAnsi="Times New Roman" w:cs="Times New Roman"/>
          <w:noProof/>
          <w:color w:val="auto"/>
          <w:sz w:val="24"/>
          <w:szCs w:val="24"/>
        </w:rPr>
        <w:t>1</w:t>
      </w:r>
      <w:r w:rsidR="005B6FA6" w:rsidRPr="002858FB">
        <w:rPr>
          <w:rFonts w:ascii="Times New Roman" w:hAnsi="Times New Roman" w:cs="Times New Roman"/>
          <w:color w:val="auto"/>
          <w:sz w:val="24"/>
          <w:szCs w:val="24"/>
        </w:rPr>
        <w:fldChar w:fldCharType="end"/>
      </w:r>
      <w:r w:rsidRPr="002858FB">
        <w:rPr>
          <w:rFonts w:ascii="Times New Roman" w:hAnsi="Times New Roman" w:cs="Times New Roman"/>
          <w:color w:val="auto"/>
          <w:sz w:val="24"/>
          <w:szCs w:val="24"/>
        </w:rPr>
        <w:t>: The FTSE 350's market-capitalization bands and the business chosen to symbolise each band.</w:t>
      </w:r>
      <w:bookmarkEnd w:id="18"/>
    </w:p>
    <w:p w14:paraId="56DAD320" w14:textId="77777777" w:rsidR="004322E7" w:rsidRPr="002858FB" w:rsidRDefault="000C275E">
      <w:pPr>
        <w:spacing w:line="360" w:lineRule="auto"/>
        <w:rPr>
          <w:rFonts w:ascii="Times New Roman" w:eastAsia="Times New Roman" w:hAnsi="Times New Roman" w:cs="Times New Roman"/>
        </w:rPr>
      </w:pPr>
      <w:r w:rsidRPr="002858FB">
        <w:rPr>
          <w:rFonts w:ascii="Times New Roman" w:eastAsia="Times New Roman" w:hAnsi="Times New Roman" w:cs="Times New Roman"/>
        </w:rPr>
        <w:t>Source: Authors' Work.</w:t>
      </w:r>
    </w:p>
    <w:p w14:paraId="56DAD321" w14:textId="77777777" w:rsidR="004322E7" w:rsidRPr="002858FB" w:rsidRDefault="000C275E">
      <w:pPr>
        <w:pStyle w:val="Heading2"/>
        <w:spacing w:line="360" w:lineRule="auto"/>
        <w:rPr>
          <w:rFonts w:ascii="Times New Roman" w:eastAsia="Times New Roman" w:hAnsi="Times New Roman" w:cs="Times New Roman"/>
          <w:b/>
          <w:bCs/>
          <w:color w:val="auto"/>
          <w:sz w:val="24"/>
          <w:szCs w:val="24"/>
        </w:rPr>
      </w:pPr>
      <w:bookmarkStart w:id="19" w:name="_Toc237010672"/>
      <w:r w:rsidRPr="002858FB">
        <w:rPr>
          <w:rFonts w:ascii="Times New Roman" w:eastAsia="Times New Roman" w:hAnsi="Times New Roman" w:cs="Times New Roman"/>
          <w:b/>
          <w:bCs/>
          <w:color w:val="auto"/>
          <w:sz w:val="24"/>
          <w:szCs w:val="24"/>
        </w:rPr>
        <w:t>3.2 Data Sources and Collection Methods</w:t>
      </w:r>
      <w:bookmarkEnd w:id="19"/>
    </w:p>
    <w:p w14:paraId="56DAD322"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 xml:space="preserve">Secondary data from different reliable sources were combined to increase reliability, validity, and triangulation. CG variables were taken from annual reports and governance statements obtained from LSEG, in line with FTSE 350 study on the CG-FP relationship (Kyere and Ausloos, 2021). ESG ratings were acquired from LSEG's Sustainability Ratings, which are consistent with previous FTSE 350 research (Ahmad, Mobarek, &amp; Roni, 2021). FP data were sourced from annual reports, with ROA and ROE normalized via GBP conversions using Yahoo Finance exchange rates for USD and EUR reporting companies. The 2020-2024 timeframe includes the COVID-19 shock and recovery, characterized by volatility, operational disruption, and increased stakeholder attention on resilience and sustainability (Giannopoulos </w:t>
      </w:r>
      <w:r w:rsidRPr="002858FB">
        <w:rPr>
          <w:rFonts w:ascii="Times New Roman" w:eastAsia="Times New Roman" w:hAnsi="Times New Roman" w:cs="Times New Roman"/>
          <w:i/>
          <w:iCs/>
        </w:rPr>
        <w:t>et al.,</w:t>
      </w:r>
      <w:r w:rsidRPr="002858FB">
        <w:rPr>
          <w:rFonts w:ascii="Times New Roman" w:eastAsia="Times New Roman" w:hAnsi="Times New Roman" w:cs="Times New Roman"/>
        </w:rPr>
        <w:t xml:space="preserve"> 2026). Post-pandemic financial results are skewed and do not accurately represent enterprises' underlying performance. As a result, 2025 timeframe is taken for study which represents the first steady and methodologically adequate window for studying how corporate governance and ESG performance affect financial outcomes across FTSE 350 companies. The sample includes six FTSE 350 businesses, guaranteeing coverage across market capitalization bands. This multi-source strategy lowers measurement error and improves data trustworthiness.</w:t>
      </w:r>
    </w:p>
    <w:p w14:paraId="56DAD323" w14:textId="77777777" w:rsidR="004322E7" w:rsidRPr="002858FB" w:rsidRDefault="000C275E">
      <w:pPr>
        <w:pStyle w:val="Heading2"/>
        <w:spacing w:line="360" w:lineRule="auto"/>
        <w:rPr>
          <w:rFonts w:ascii="Times New Roman" w:eastAsia="Times New Roman" w:hAnsi="Times New Roman" w:cs="Times New Roman"/>
          <w:b/>
          <w:bCs/>
          <w:color w:val="auto"/>
          <w:sz w:val="24"/>
          <w:szCs w:val="24"/>
        </w:rPr>
      </w:pPr>
      <w:bookmarkStart w:id="20" w:name="_Toc237010673"/>
      <w:r w:rsidRPr="002858FB">
        <w:rPr>
          <w:rFonts w:ascii="Times New Roman" w:eastAsia="Times New Roman" w:hAnsi="Times New Roman" w:cs="Times New Roman"/>
          <w:b/>
          <w:bCs/>
          <w:color w:val="auto"/>
          <w:sz w:val="24"/>
          <w:szCs w:val="24"/>
        </w:rPr>
        <w:lastRenderedPageBreak/>
        <w:t>3.3 Sampling Techniques</w:t>
      </w:r>
      <w:bookmarkEnd w:id="20"/>
    </w:p>
    <w:p w14:paraId="56DAD324"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A purposive sample technique picks FTSE 350 companies with comprehensive and comparable CG, ESG, and FP data sets. The index is split into six market capitalization bands, and the largest firm in each band is picked, eliminating the FTSE 100 bias shown in previous research (Yusuf and Sherif, 2020; Hosny and Elgharbawy, 2022). This approach captures governance and transparency procedures across the whole capital structure, ensuring that each picked business reflects its tier. Although the sample only contains six businesses, collectively they constitute a structured cross section of the FTSE 350 rather than an arbitrary choice, facilitating the investigation of governance and ESG performance correlations across size segments.</w:t>
      </w:r>
    </w:p>
    <w:p w14:paraId="56DAD325" w14:textId="77777777" w:rsidR="004322E7" w:rsidRPr="002858FB" w:rsidRDefault="000C275E">
      <w:pPr>
        <w:pStyle w:val="Heading2"/>
        <w:spacing w:line="360" w:lineRule="auto"/>
        <w:rPr>
          <w:rFonts w:ascii="Times New Roman" w:eastAsia="Times New Roman" w:hAnsi="Times New Roman" w:cs="Times New Roman"/>
          <w:b/>
          <w:bCs/>
          <w:color w:val="auto"/>
          <w:sz w:val="24"/>
          <w:szCs w:val="24"/>
        </w:rPr>
      </w:pPr>
      <w:bookmarkStart w:id="21" w:name="_Toc237010674"/>
      <w:r w:rsidRPr="002858FB">
        <w:rPr>
          <w:rFonts w:ascii="Times New Roman" w:eastAsia="Times New Roman" w:hAnsi="Times New Roman" w:cs="Times New Roman"/>
          <w:b/>
          <w:bCs/>
          <w:color w:val="auto"/>
          <w:sz w:val="24"/>
          <w:szCs w:val="24"/>
        </w:rPr>
        <w:t>3.4 Operationalisation of variables</w:t>
      </w:r>
      <w:bookmarkEnd w:id="21"/>
    </w:p>
    <w:p w14:paraId="56DAD326"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All variables are gathered from secondary disclosures in annual reports, LSEG sustainability statistics, and corporate websites, in accordance with the conceptual framework and Objectives 1 through 3. Independent variables for CG mechanisms include board independence (Kyere and Ausloos, 2021; Hosny and Elgharbawy, 2022), board size (Yusuf and Sherif, 2020), CEO duality (Cannella and Lubatkin, 1993; Yu, 2023), ownership concentration (Fama and Jensen, 2019), and audit committee effectiveness (Kyere and Ausloos, 2021). ESG performance (environmental, social, governance, and composite ESG scores) is based on LSEG pillar ratings, with the composite score defined as a weighted average, as reported by Ahmad, Mobarek, and Roni (2021) and Moussa, Elmarzouky, and Shohaieb (2024). FP is assessed by ROA and ROE (Kyere and Ausloos, 2021; Sandberg, Alnoor, and Tiberius, 2023).</w:t>
      </w:r>
    </w:p>
    <w:p w14:paraId="56DAD327" w14:textId="77777777" w:rsidR="004322E7" w:rsidRPr="002858FB" w:rsidRDefault="000C275E">
      <w:pPr>
        <w:pStyle w:val="Heading2"/>
        <w:spacing w:line="360" w:lineRule="auto"/>
        <w:rPr>
          <w:rFonts w:ascii="Times New Roman" w:eastAsia="Times New Roman" w:hAnsi="Times New Roman" w:cs="Times New Roman"/>
          <w:b/>
          <w:bCs/>
          <w:color w:val="auto"/>
          <w:sz w:val="24"/>
          <w:szCs w:val="24"/>
        </w:rPr>
      </w:pPr>
      <w:bookmarkStart w:id="22" w:name="_Toc237010675"/>
      <w:r w:rsidRPr="002858FB">
        <w:rPr>
          <w:rFonts w:ascii="Times New Roman" w:eastAsia="Times New Roman" w:hAnsi="Times New Roman" w:cs="Times New Roman"/>
          <w:b/>
          <w:bCs/>
          <w:color w:val="auto"/>
          <w:sz w:val="24"/>
          <w:szCs w:val="24"/>
        </w:rPr>
        <w:t>3.5 Data Analysis Techniques</w:t>
      </w:r>
      <w:bookmarkEnd w:id="22"/>
    </w:p>
    <w:p w14:paraId="56DAD328"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A structured hierarchical regression strategy was used to empirically test the three research questions of the study. This resulted in three sequential models that were estimated separately for ROA and ROE using SPSS outputs, specifically the model summary, ANOVA, and coefficient tables. Together, these models provide the statistical evidence needed for rigorous model evaluation under a 95% significance level (α = 0.05, two tailed).</w:t>
      </w:r>
    </w:p>
    <w:p w14:paraId="56DAD329"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 xml:space="preserve">Model 1: Corporate Governance-Financial Performance (RQ1/Objective 1) evaluates the direct impact of governance mechanisms on firm profitability by defining Financial Performance = f(Board Independence, Board Size, Ownership Concentration, Audit Meetings per Year); in line </w:t>
      </w:r>
      <w:r w:rsidRPr="002858FB">
        <w:rPr>
          <w:rFonts w:ascii="Times New Roman" w:eastAsia="Times New Roman" w:hAnsi="Times New Roman" w:cs="Times New Roman"/>
        </w:rPr>
        <w:lastRenderedPageBreak/>
        <w:t>with previous correlation results, CEO Duality and Audit Independence were excluded because they are constant throughout the sample and thus not estimable. Model 1a (ROA) and Model 1b (ROE) are two distinct estimates for this model.</w:t>
      </w:r>
    </w:p>
    <w:p w14:paraId="56DAD32A"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Model 2: ESG-Financial Performance (RQ2/Objective 2) uses individual ESG pillars instead of the composite ESG score to assess the direct impact of ESG performance on ROA and ROE. This model is estimated as Model 2a (ROA) and Model 2b (ROE). Financial Performance = f(Environmental Score, Social Score, Governance Score) is specified.</w:t>
      </w:r>
    </w:p>
    <w:p w14:paraId="56DAD32B" w14:textId="4CDCF314"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 xml:space="preserve">Model 3: Moderation Model (CG × ESG - FP) (RQ3/Objective 3) expands the specification to Financial Performance = f(Moderate Value of Audit Meetings × ESG Composite, Moderate Value of Ownership Concentration × ESG Composite, </w:t>
      </w:r>
      <w:r w:rsidR="00163A1A" w:rsidRPr="002858FB">
        <w:rPr>
          <w:rFonts w:ascii="Times New Roman" w:eastAsia="Times New Roman" w:hAnsi="Times New Roman" w:cs="Times New Roman"/>
        </w:rPr>
        <w:t xml:space="preserve">Moderate Value of Board </w:t>
      </w:r>
      <w:r w:rsidR="00163A1A">
        <w:rPr>
          <w:rFonts w:ascii="Times New Roman" w:eastAsia="Times New Roman" w:hAnsi="Times New Roman" w:cs="Times New Roman"/>
        </w:rPr>
        <w:t>Independence</w:t>
      </w:r>
      <w:r w:rsidR="00163A1A" w:rsidRPr="002858FB">
        <w:rPr>
          <w:rFonts w:ascii="Times New Roman" w:eastAsia="Times New Roman" w:hAnsi="Times New Roman" w:cs="Times New Roman"/>
        </w:rPr>
        <w:t xml:space="preserve"> × ESG Composite </w:t>
      </w:r>
      <w:r w:rsidR="00163A1A">
        <w:rPr>
          <w:rFonts w:ascii="Times New Roman" w:eastAsia="Times New Roman" w:hAnsi="Times New Roman" w:cs="Times New Roman"/>
        </w:rPr>
        <w:t>,</w:t>
      </w:r>
      <w:r w:rsidRPr="002858FB">
        <w:rPr>
          <w:rFonts w:ascii="Times New Roman" w:eastAsia="Times New Roman" w:hAnsi="Times New Roman" w:cs="Times New Roman"/>
        </w:rPr>
        <w:t>Moderate Value of Board Size × ESG Composite). This model, which is estimated as Model 3a (ROA) and Model 3b (ROE), tests whether ESG performance moderates the relationship between corporate governance and financial performance.</w:t>
      </w:r>
    </w:p>
    <w:p w14:paraId="56DAD32C"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The ANOVA table provides the F statistic and degrees of freedom, indicating whether each regression model is statistically significant overall at the 95% confidence level; the coefficient table provides the unstandardised coefficients, standard errors, t values, and p values, allowing precise interpretation of whether each predictor is statistically significant (p &lt; 0.05, two tailed) and the direction and magnitude of its effect; and the SPSS model summary reports R² and adjusted R², indicating the proportion of variance in ROA and ROE while accounting for model complexity. The shift in R² from Models 1 and 2 to Model 3 is the fundamental statistical test of moderation, demonstrating whether including CG × ESG interaction variables provides considerable explanatory power and directly addresses RQ3. This hierarchical modelling methodology allows for a cohesive and theoretically informed examination of direct and conditional impacts, assuring methodological compatibility with current empirical standards in corporate governance and ESG research.</w:t>
      </w:r>
    </w:p>
    <w:p w14:paraId="56DAD32D" w14:textId="77777777" w:rsidR="004322E7" w:rsidRPr="002858FB" w:rsidRDefault="000C275E">
      <w:pPr>
        <w:pStyle w:val="Heading2"/>
        <w:spacing w:line="360" w:lineRule="auto"/>
        <w:rPr>
          <w:rFonts w:ascii="Times New Roman" w:eastAsia="Times New Roman" w:hAnsi="Times New Roman" w:cs="Times New Roman"/>
          <w:b/>
          <w:bCs/>
          <w:color w:val="auto"/>
          <w:sz w:val="24"/>
          <w:szCs w:val="24"/>
        </w:rPr>
      </w:pPr>
      <w:bookmarkStart w:id="23" w:name="_Toc237010676"/>
      <w:r w:rsidRPr="002858FB">
        <w:rPr>
          <w:rFonts w:ascii="Times New Roman" w:eastAsia="Times New Roman" w:hAnsi="Times New Roman" w:cs="Times New Roman"/>
          <w:b/>
          <w:bCs/>
          <w:color w:val="auto"/>
          <w:sz w:val="24"/>
          <w:szCs w:val="24"/>
        </w:rPr>
        <w:t>3.6 Ethical consideration</w:t>
      </w:r>
      <w:bookmarkEnd w:id="23"/>
    </w:p>
    <w:p w14:paraId="56DAD32E"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 xml:space="preserve">To ensure openness and methodological consistency, only publicly accessible secondary data from annual reports, LSEG, and Yahoo Finance are utilized. No personal, private, or commercially sensitive information is collected, ensuring that the study meets ethical standards and data </w:t>
      </w:r>
      <w:r w:rsidRPr="002858FB">
        <w:rPr>
          <w:rFonts w:ascii="Times New Roman" w:eastAsia="Times New Roman" w:hAnsi="Times New Roman" w:cs="Times New Roman"/>
        </w:rPr>
        <w:lastRenderedPageBreak/>
        <w:t>protection obligations. All governance, ESG, and financial variables are attributed to their original public sources, and the study does not violate any data provider usage guidelines. This dependence on independently audited, publicly published material reinforces dependability, decreases researcher bias, and supports the study's positivist design.</w:t>
      </w:r>
    </w:p>
    <w:p w14:paraId="56DAD32F" w14:textId="77777777" w:rsidR="004322E7" w:rsidRPr="002858FB" w:rsidRDefault="000C275E">
      <w:pPr>
        <w:pStyle w:val="Heading1"/>
        <w:spacing w:line="360" w:lineRule="auto"/>
        <w:rPr>
          <w:rFonts w:ascii="Times New Roman" w:eastAsia="Times New Roman" w:hAnsi="Times New Roman" w:cs="Times New Roman"/>
          <w:b/>
          <w:bCs/>
          <w:color w:val="auto"/>
          <w:sz w:val="24"/>
          <w:szCs w:val="24"/>
        </w:rPr>
      </w:pPr>
      <w:bookmarkStart w:id="24" w:name="_Toc237010677"/>
      <w:r w:rsidRPr="002858FB">
        <w:rPr>
          <w:rFonts w:ascii="Times New Roman" w:eastAsia="Times New Roman" w:hAnsi="Times New Roman" w:cs="Times New Roman"/>
          <w:b/>
          <w:bCs/>
          <w:color w:val="auto"/>
          <w:sz w:val="24"/>
          <w:szCs w:val="24"/>
        </w:rPr>
        <w:t>4. Data Analysis and Findings</w:t>
      </w:r>
      <w:bookmarkEnd w:id="24"/>
      <w:r w:rsidRPr="002858FB">
        <w:rPr>
          <w:rFonts w:ascii="Times New Roman" w:eastAsia="Times New Roman" w:hAnsi="Times New Roman" w:cs="Times New Roman"/>
          <w:b/>
          <w:bCs/>
          <w:color w:val="auto"/>
          <w:sz w:val="24"/>
          <w:szCs w:val="24"/>
        </w:rPr>
        <w:t xml:space="preserve"> </w:t>
      </w:r>
    </w:p>
    <w:p w14:paraId="56DAD330" w14:textId="77777777" w:rsidR="004322E7" w:rsidRPr="002858FB" w:rsidRDefault="000C275E">
      <w:pPr>
        <w:pStyle w:val="Heading2"/>
        <w:spacing w:line="360" w:lineRule="auto"/>
        <w:rPr>
          <w:rFonts w:ascii="Times New Roman" w:eastAsia="Times New Roman" w:hAnsi="Times New Roman" w:cs="Times New Roman"/>
          <w:b/>
          <w:bCs/>
          <w:color w:val="auto"/>
          <w:sz w:val="24"/>
          <w:szCs w:val="24"/>
        </w:rPr>
      </w:pPr>
      <w:bookmarkStart w:id="25" w:name="_Toc237010678"/>
      <w:r w:rsidRPr="002858FB">
        <w:rPr>
          <w:rFonts w:ascii="Times New Roman" w:eastAsia="Times New Roman" w:hAnsi="Times New Roman" w:cs="Times New Roman"/>
          <w:b/>
          <w:bCs/>
          <w:color w:val="auto"/>
          <w:sz w:val="24"/>
          <w:szCs w:val="24"/>
        </w:rPr>
        <w:t>4.1 Descriptive Statistics Analysis</w:t>
      </w:r>
      <w:bookmarkEnd w:id="25"/>
    </w:p>
    <w:p w14:paraId="56DAD331"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t>Descriptive statistics provide an overview of the data and show patterns in FP, ESG ratings, and governance structures throughout the sample (n = 6) prior to inferential testing. Every conclusion is derived directly from the output of SPSS Descriptives (valid n = 6, missing</w:t>
      </w:r>
      <w:r w:rsidRPr="002858FB">
        <w:rPr>
          <w:rFonts w:ascii="Times New Roman" w:hAnsi="Times New Roman" w:cs="Times New Roman"/>
        </w:rPr>
        <w:t xml:space="preserve"> </w:t>
      </w:r>
      <w:r w:rsidRPr="002858FB">
        <w:rPr>
          <w:rFonts w:ascii="Times New Roman" w:eastAsia="Times New Roman" w:hAnsi="Times New Roman" w:cs="Times New Roman"/>
        </w:rPr>
        <w:t>= 0, for each variable).</w:t>
      </w:r>
    </w:p>
    <w:p w14:paraId="56DAD332" w14:textId="77777777" w:rsidR="004322E7" w:rsidRPr="002858FB" w:rsidRDefault="000C275E">
      <w:pPr>
        <w:pStyle w:val="Heading3"/>
        <w:spacing w:line="360" w:lineRule="auto"/>
        <w:rPr>
          <w:rFonts w:ascii="Times New Roman" w:eastAsia="Times New Roman" w:hAnsi="Times New Roman" w:cs="Times New Roman"/>
          <w:b/>
          <w:bCs/>
          <w:color w:val="auto"/>
          <w:sz w:val="24"/>
          <w:szCs w:val="24"/>
        </w:rPr>
      </w:pPr>
      <w:bookmarkStart w:id="26" w:name="_Toc237010679"/>
      <w:r w:rsidRPr="002858FB">
        <w:rPr>
          <w:rFonts w:ascii="Times New Roman" w:eastAsia="Times New Roman" w:hAnsi="Times New Roman" w:cs="Times New Roman"/>
          <w:b/>
          <w:bCs/>
          <w:color w:val="auto"/>
          <w:sz w:val="24"/>
          <w:szCs w:val="24"/>
        </w:rPr>
        <w:t>4.1.1 Corporate Governance Variables</w:t>
      </w:r>
      <w:bookmarkEnd w:id="26"/>
    </w:p>
    <w:p w14:paraId="091C20F2" w14:textId="77777777" w:rsidR="00427202" w:rsidRPr="002858FB" w:rsidRDefault="000C275E" w:rsidP="00427202">
      <w:pPr>
        <w:keepNext/>
        <w:spacing w:line="360" w:lineRule="auto"/>
        <w:jc w:val="both"/>
        <w:rPr>
          <w:rFonts w:ascii="Times New Roman" w:hAnsi="Times New Roman" w:cs="Times New Roman"/>
        </w:rPr>
      </w:pPr>
      <w:r w:rsidRPr="002858FB">
        <w:rPr>
          <w:rFonts w:ascii="Times New Roman" w:eastAsia="Times New Roman" w:hAnsi="Times New Roman" w:cs="Times New Roman"/>
          <w:noProof/>
        </w:rPr>
        <w:drawing>
          <wp:inline distT="0" distB="0" distL="0" distR="0" wp14:anchorId="56DAD64E" wp14:editId="0E99B766">
            <wp:extent cx="5816600" cy="4038600"/>
            <wp:effectExtent l="0" t="0" r="0" b="0"/>
            <wp:docPr id="2119887215"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5"/>
                    <a:srcRect/>
                    <a:stretch>
                      <a:fillRect/>
                    </a:stretch>
                  </pic:blipFill>
                  <pic:spPr>
                    <a:xfrm>
                      <a:off x="0" y="0"/>
                      <a:ext cx="5816600" cy="4038600"/>
                    </a:xfrm>
                    <a:prstGeom prst="rect">
                      <a:avLst/>
                    </a:prstGeom>
                    <a:ln/>
                  </pic:spPr>
                </pic:pic>
              </a:graphicData>
            </a:graphic>
          </wp:inline>
        </w:drawing>
      </w:r>
    </w:p>
    <w:p w14:paraId="56DAD333" w14:textId="2FC73665" w:rsidR="004322E7" w:rsidRPr="002858FB" w:rsidRDefault="00427202" w:rsidP="00427202">
      <w:pPr>
        <w:pStyle w:val="Caption"/>
        <w:jc w:val="both"/>
        <w:rPr>
          <w:rFonts w:ascii="Times New Roman" w:eastAsia="Times New Roman" w:hAnsi="Times New Roman" w:cs="Times New Roman"/>
          <w:color w:val="auto"/>
          <w:sz w:val="24"/>
          <w:szCs w:val="24"/>
        </w:rPr>
      </w:pPr>
      <w:bookmarkStart w:id="27" w:name="_Toc237010698"/>
      <w:r w:rsidRPr="002858FB">
        <w:rPr>
          <w:rFonts w:ascii="Times New Roman" w:hAnsi="Times New Roman" w:cs="Times New Roman"/>
          <w:color w:val="auto"/>
          <w:sz w:val="24"/>
          <w:szCs w:val="24"/>
        </w:rPr>
        <w:t xml:space="preserve">Table </w:t>
      </w:r>
      <w:r w:rsidR="005B6FA6" w:rsidRPr="002858FB">
        <w:rPr>
          <w:rFonts w:ascii="Times New Roman" w:hAnsi="Times New Roman" w:cs="Times New Roman"/>
          <w:color w:val="auto"/>
          <w:sz w:val="24"/>
          <w:szCs w:val="24"/>
        </w:rPr>
        <w:fldChar w:fldCharType="begin"/>
      </w:r>
      <w:r w:rsidR="005B6FA6" w:rsidRPr="002858FB">
        <w:rPr>
          <w:rFonts w:ascii="Times New Roman" w:hAnsi="Times New Roman" w:cs="Times New Roman"/>
          <w:color w:val="auto"/>
          <w:sz w:val="24"/>
          <w:szCs w:val="24"/>
        </w:rPr>
        <w:instrText xml:space="preserve"> SEQ Table \* ARABIC </w:instrText>
      </w:r>
      <w:r w:rsidR="005B6FA6" w:rsidRPr="002858FB">
        <w:rPr>
          <w:rFonts w:ascii="Times New Roman" w:hAnsi="Times New Roman" w:cs="Times New Roman"/>
          <w:color w:val="auto"/>
          <w:sz w:val="24"/>
          <w:szCs w:val="24"/>
        </w:rPr>
        <w:fldChar w:fldCharType="separate"/>
      </w:r>
      <w:r w:rsidR="001470FE" w:rsidRPr="002858FB">
        <w:rPr>
          <w:rFonts w:ascii="Times New Roman" w:hAnsi="Times New Roman" w:cs="Times New Roman"/>
          <w:noProof/>
          <w:color w:val="auto"/>
          <w:sz w:val="24"/>
          <w:szCs w:val="24"/>
        </w:rPr>
        <w:t>2</w:t>
      </w:r>
      <w:r w:rsidR="005B6FA6" w:rsidRPr="002858FB">
        <w:rPr>
          <w:rFonts w:ascii="Times New Roman" w:hAnsi="Times New Roman" w:cs="Times New Roman"/>
          <w:color w:val="auto"/>
          <w:sz w:val="24"/>
          <w:szCs w:val="24"/>
        </w:rPr>
        <w:fldChar w:fldCharType="end"/>
      </w:r>
      <w:r w:rsidRPr="002858FB">
        <w:rPr>
          <w:rFonts w:ascii="Times New Roman" w:hAnsi="Times New Roman" w:cs="Times New Roman"/>
          <w:color w:val="auto"/>
          <w:sz w:val="24"/>
          <w:szCs w:val="24"/>
        </w:rPr>
        <w:t>: Descriptive statistics for corporate governance variables.</w:t>
      </w:r>
      <w:bookmarkEnd w:id="27"/>
    </w:p>
    <w:p w14:paraId="56DAD335" w14:textId="77777777" w:rsidR="004322E7" w:rsidRPr="002858FB" w:rsidRDefault="000C275E">
      <w:pPr>
        <w:spacing w:line="360" w:lineRule="auto"/>
        <w:rPr>
          <w:rFonts w:ascii="Times New Roman" w:eastAsia="Times New Roman" w:hAnsi="Times New Roman" w:cs="Times New Roman"/>
        </w:rPr>
      </w:pPr>
      <w:r w:rsidRPr="002858FB">
        <w:rPr>
          <w:rFonts w:ascii="Times New Roman" w:eastAsia="Times New Roman" w:hAnsi="Times New Roman" w:cs="Times New Roman"/>
        </w:rPr>
        <w:t>Source: Authors' Work.</w:t>
      </w:r>
    </w:p>
    <w:p w14:paraId="56DAD336" w14:textId="3F84ABF0"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lastRenderedPageBreak/>
        <w:t xml:space="preserve">In </w:t>
      </w:r>
      <w:r w:rsidR="00714758">
        <w:rPr>
          <w:rFonts w:ascii="Times New Roman" w:eastAsia="Times New Roman" w:hAnsi="Times New Roman" w:cs="Times New Roman"/>
        </w:rPr>
        <w:t>accordance</w:t>
      </w:r>
      <w:r w:rsidRPr="002858FB">
        <w:rPr>
          <w:rFonts w:ascii="Times New Roman" w:eastAsia="Times New Roman" w:hAnsi="Times New Roman" w:cs="Times New Roman"/>
        </w:rPr>
        <w:t xml:space="preserve"> with UK Corporate Governance Code </w:t>
      </w:r>
      <w:r w:rsidR="00714758">
        <w:rPr>
          <w:rFonts w:ascii="Times New Roman" w:eastAsia="Times New Roman" w:hAnsi="Times New Roman" w:cs="Times New Roman"/>
        </w:rPr>
        <w:t>criteria</w:t>
      </w:r>
      <w:r w:rsidRPr="002858FB">
        <w:rPr>
          <w:rFonts w:ascii="Times New Roman" w:eastAsia="Times New Roman" w:hAnsi="Times New Roman" w:cs="Times New Roman"/>
        </w:rPr>
        <w:t xml:space="preserve"> for FTSE 350 companies (Financial Reporting Council, 2024), the sample's board structures were comparatively large and consistently independent, with boards ranging from 10–14 directors (M = 11.50, SD = 1.643) and independence between 60% and 82% (M =.7067, SD =.08477). Every company reported CEO-Chair separation and totally independent audit committees, however CEO duality and audit committee independence exhibited zero variance. This means that these variables cannot be used as predictors in subsequent regressions because constants cannot account for variation. Audit committees met four to seven times a year (M = 5.67, SD = 1.211) and ownership concentration varied significantly (17%–68%; M =.3400, SD =.20504), showing significant cross-firm variations in monitoring intensity.</w:t>
      </w:r>
    </w:p>
    <w:p w14:paraId="56DAD337" w14:textId="77777777" w:rsidR="004322E7" w:rsidRPr="002858FB" w:rsidRDefault="000C275E">
      <w:pPr>
        <w:pStyle w:val="Heading3"/>
        <w:spacing w:line="360" w:lineRule="auto"/>
        <w:rPr>
          <w:rFonts w:ascii="Times New Roman" w:eastAsia="Times New Roman" w:hAnsi="Times New Roman" w:cs="Times New Roman"/>
          <w:b/>
          <w:bCs/>
          <w:color w:val="auto"/>
          <w:sz w:val="24"/>
          <w:szCs w:val="24"/>
        </w:rPr>
      </w:pPr>
      <w:bookmarkStart w:id="28" w:name="_Toc237010680"/>
      <w:r w:rsidRPr="002858FB">
        <w:rPr>
          <w:rFonts w:ascii="Times New Roman" w:eastAsia="Times New Roman" w:hAnsi="Times New Roman" w:cs="Times New Roman"/>
          <w:b/>
          <w:bCs/>
          <w:color w:val="auto"/>
          <w:sz w:val="24"/>
          <w:szCs w:val="24"/>
        </w:rPr>
        <w:t>4.1.2 ESG Performance Variables</w:t>
      </w:r>
      <w:bookmarkEnd w:id="28"/>
    </w:p>
    <w:p w14:paraId="1DA76873" w14:textId="77777777" w:rsidR="00427202" w:rsidRPr="002858FB" w:rsidRDefault="000C275E" w:rsidP="00427202">
      <w:pPr>
        <w:keepNext/>
        <w:spacing w:line="360" w:lineRule="auto"/>
        <w:jc w:val="both"/>
        <w:rPr>
          <w:rFonts w:ascii="Times New Roman" w:hAnsi="Times New Roman" w:cs="Times New Roman"/>
        </w:rPr>
      </w:pPr>
      <w:r w:rsidRPr="002858FB">
        <w:rPr>
          <w:rFonts w:ascii="Times New Roman" w:eastAsia="Times New Roman" w:hAnsi="Times New Roman" w:cs="Times New Roman"/>
          <w:noProof/>
        </w:rPr>
        <w:drawing>
          <wp:inline distT="0" distB="0" distL="0" distR="0" wp14:anchorId="56DAD650" wp14:editId="56DAD651">
            <wp:extent cx="5845047" cy="4198984"/>
            <wp:effectExtent l="0" t="0" r="0" b="0"/>
            <wp:docPr id="211988721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6"/>
                    <a:srcRect/>
                    <a:stretch>
                      <a:fillRect/>
                    </a:stretch>
                  </pic:blipFill>
                  <pic:spPr>
                    <a:xfrm>
                      <a:off x="0" y="0"/>
                      <a:ext cx="5845047" cy="4198984"/>
                    </a:xfrm>
                    <a:prstGeom prst="rect">
                      <a:avLst/>
                    </a:prstGeom>
                    <a:ln/>
                  </pic:spPr>
                </pic:pic>
              </a:graphicData>
            </a:graphic>
          </wp:inline>
        </w:drawing>
      </w:r>
    </w:p>
    <w:p w14:paraId="56DAD338" w14:textId="57108BA6" w:rsidR="004322E7" w:rsidRPr="002858FB" w:rsidRDefault="00427202" w:rsidP="00427202">
      <w:pPr>
        <w:pStyle w:val="Caption"/>
        <w:jc w:val="both"/>
        <w:rPr>
          <w:rFonts w:ascii="Times New Roman" w:eastAsia="Times New Roman" w:hAnsi="Times New Roman" w:cs="Times New Roman"/>
          <w:color w:val="auto"/>
          <w:sz w:val="24"/>
          <w:szCs w:val="24"/>
        </w:rPr>
      </w:pPr>
      <w:bookmarkStart w:id="29" w:name="_Toc237010699"/>
      <w:r w:rsidRPr="002858FB">
        <w:rPr>
          <w:rFonts w:ascii="Times New Roman" w:hAnsi="Times New Roman" w:cs="Times New Roman"/>
          <w:color w:val="auto"/>
          <w:sz w:val="24"/>
          <w:szCs w:val="24"/>
        </w:rPr>
        <w:t xml:space="preserve">Table </w:t>
      </w:r>
      <w:r w:rsidR="005B6FA6" w:rsidRPr="002858FB">
        <w:rPr>
          <w:rFonts w:ascii="Times New Roman" w:hAnsi="Times New Roman" w:cs="Times New Roman"/>
          <w:color w:val="auto"/>
          <w:sz w:val="24"/>
          <w:szCs w:val="24"/>
        </w:rPr>
        <w:fldChar w:fldCharType="begin"/>
      </w:r>
      <w:r w:rsidR="005B6FA6" w:rsidRPr="002858FB">
        <w:rPr>
          <w:rFonts w:ascii="Times New Roman" w:hAnsi="Times New Roman" w:cs="Times New Roman"/>
          <w:color w:val="auto"/>
          <w:sz w:val="24"/>
          <w:szCs w:val="24"/>
        </w:rPr>
        <w:instrText xml:space="preserve"> SEQ Table \* ARABIC </w:instrText>
      </w:r>
      <w:r w:rsidR="005B6FA6" w:rsidRPr="002858FB">
        <w:rPr>
          <w:rFonts w:ascii="Times New Roman" w:hAnsi="Times New Roman" w:cs="Times New Roman"/>
          <w:color w:val="auto"/>
          <w:sz w:val="24"/>
          <w:szCs w:val="24"/>
        </w:rPr>
        <w:fldChar w:fldCharType="separate"/>
      </w:r>
      <w:r w:rsidR="001470FE" w:rsidRPr="002858FB">
        <w:rPr>
          <w:rFonts w:ascii="Times New Roman" w:hAnsi="Times New Roman" w:cs="Times New Roman"/>
          <w:noProof/>
          <w:color w:val="auto"/>
          <w:sz w:val="24"/>
          <w:szCs w:val="24"/>
        </w:rPr>
        <w:t>3</w:t>
      </w:r>
      <w:r w:rsidR="005B6FA6" w:rsidRPr="002858FB">
        <w:rPr>
          <w:rFonts w:ascii="Times New Roman" w:hAnsi="Times New Roman" w:cs="Times New Roman"/>
          <w:color w:val="auto"/>
          <w:sz w:val="24"/>
          <w:szCs w:val="24"/>
        </w:rPr>
        <w:fldChar w:fldCharType="end"/>
      </w:r>
      <w:r w:rsidRPr="002858FB">
        <w:rPr>
          <w:rFonts w:ascii="Times New Roman" w:hAnsi="Times New Roman" w:cs="Times New Roman"/>
          <w:color w:val="auto"/>
          <w:sz w:val="24"/>
          <w:szCs w:val="24"/>
        </w:rPr>
        <w:t>: Descriptive statistics for ESG performance variables.</w:t>
      </w:r>
      <w:bookmarkEnd w:id="29"/>
    </w:p>
    <w:p w14:paraId="56DAD33A" w14:textId="77777777" w:rsidR="004322E7" w:rsidRPr="002858FB" w:rsidRDefault="000C275E">
      <w:pPr>
        <w:spacing w:line="360" w:lineRule="auto"/>
        <w:rPr>
          <w:rFonts w:ascii="Times New Roman" w:eastAsia="Times New Roman" w:hAnsi="Times New Roman" w:cs="Times New Roman"/>
        </w:rPr>
      </w:pPr>
      <w:r w:rsidRPr="002858FB">
        <w:rPr>
          <w:rFonts w:ascii="Times New Roman" w:eastAsia="Times New Roman" w:hAnsi="Times New Roman" w:cs="Times New Roman"/>
        </w:rPr>
        <w:t>Source: Authors' Work.</w:t>
      </w:r>
    </w:p>
    <w:p w14:paraId="56DAD33B" w14:textId="77777777" w:rsidR="004322E7" w:rsidRPr="002858FB" w:rsidRDefault="000C275E">
      <w:pPr>
        <w:spacing w:line="360" w:lineRule="auto"/>
        <w:jc w:val="both"/>
        <w:rPr>
          <w:rFonts w:ascii="Times New Roman" w:eastAsia="Times New Roman" w:hAnsi="Times New Roman" w:cs="Times New Roman"/>
        </w:rPr>
      </w:pPr>
      <w:r w:rsidRPr="002858FB">
        <w:rPr>
          <w:rFonts w:ascii="Times New Roman" w:eastAsia="Times New Roman" w:hAnsi="Times New Roman" w:cs="Times New Roman"/>
        </w:rPr>
        <w:lastRenderedPageBreak/>
        <w:t>With a mean composite ESG score of 3.6067 (SD =.43066) on the employed scale and a rather small range surrounding that mean, the selected companies consistently exhibited solid ESG profiles. The environmental score showed the largest spread (SD =.59805, range 2.60-4.10), suggesting that the six selected businesses varied the most on environmental performance, whereas the governance score was both the highest (M = 4.0167) and the least scattered (SD =.31252) of the three pillars.</w:t>
      </w:r>
    </w:p>
    <w:p w14:paraId="56DAD33C" w14:textId="77777777" w:rsidR="004322E7" w:rsidRPr="002858FB" w:rsidRDefault="000C275E">
      <w:pPr>
        <w:pStyle w:val="Heading3"/>
        <w:spacing w:line="360" w:lineRule="auto"/>
        <w:rPr>
          <w:rFonts w:ascii="Times New Roman" w:eastAsia="Times New Roman" w:hAnsi="Times New Roman" w:cs="Times New Roman"/>
          <w:b/>
          <w:bCs/>
          <w:color w:val="auto"/>
          <w:sz w:val="24"/>
          <w:szCs w:val="24"/>
        </w:rPr>
      </w:pPr>
      <w:bookmarkStart w:id="30" w:name="_Toc237010681"/>
      <w:r w:rsidRPr="002858FB">
        <w:rPr>
          <w:rFonts w:ascii="Times New Roman" w:eastAsia="Times New Roman" w:hAnsi="Times New Roman" w:cs="Times New Roman"/>
          <w:b/>
          <w:bCs/>
          <w:color w:val="auto"/>
          <w:sz w:val="24"/>
          <w:szCs w:val="24"/>
        </w:rPr>
        <w:t>4.1.3 Financial Performance Variables</w:t>
      </w:r>
      <w:bookmarkEnd w:id="30"/>
    </w:p>
    <w:p w14:paraId="6B6C8CF7" w14:textId="77777777" w:rsidR="00427202" w:rsidRPr="002858FB" w:rsidRDefault="000C275E" w:rsidP="00427202">
      <w:pPr>
        <w:keepNext/>
        <w:spacing w:line="360" w:lineRule="auto"/>
        <w:jc w:val="both"/>
        <w:rPr>
          <w:rFonts w:ascii="Times New Roman" w:hAnsi="Times New Roman" w:cs="Times New Roman"/>
        </w:rPr>
      </w:pPr>
      <w:r w:rsidRPr="002858FB">
        <w:rPr>
          <w:rFonts w:ascii="Times New Roman" w:eastAsia="Times New Roman" w:hAnsi="Times New Roman" w:cs="Times New Roman"/>
          <w:noProof/>
        </w:rPr>
        <w:drawing>
          <wp:inline distT="0" distB="0" distL="0" distR="0" wp14:anchorId="56DAD652" wp14:editId="56DAD653">
            <wp:extent cx="4016088" cy="3817951"/>
            <wp:effectExtent l="0" t="0" r="0" b="0"/>
            <wp:docPr id="211988721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7"/>
                    <a:srcRect/>
                    <a:stretch>
                      <a:fillRect/>
                    </a:stretch>
                  </pic:blipFill>
                  <pic:spPr>
                    <a:xfrm>
                      <a:off x="0" y="0"/>
                      <a:ext cx="4016088" cy="3817951"/>
                    </a:xfrm>
                    <a:prstGeom prst="rect">
                      <a:avLst/>
                    </a:prstGeom>
                    <a:ln/>
                  </pic:spPr>
                </pic:pic>
              </a:graphicData>
            </a:graphic>
          </wp:inline>
        </w:drawing>
      </w:r>
    </w:p>
    <w:p w14:paraId="56DAD33D" w14:textId="4BB113FA" w:rsidR="004322E7" w:rsidRDefault="00427202" w:rsidP="00427202">
      <w:pPr>
        <w:pStyle w:val="Caption"/>
        <w:jc w:val="both"/>
        <w:rPr>
          <w:rFonts w:ascii="Times New Roman" w:eastAsia="Times New Roman" w:hAnsi="Times New Roman" w:cs="Times New Roman"/>
        </w:rPr>
      </w:pPr>
      <w:bookmarkStart w:id="31" w:name="_Toc237010700"/>
      <w:r w:rsidRPr="002858FB">
        <w:rPr>
          <w:rFonts w:ascii="Times New Roman" w:hAnsi="Times New Roman" w:cs="Times New Roman"/>
          <w:color w:val="auto"/>
          <w:sz w:val="24"/>
          <w:szCs w:val="24"/>
        </w:rPr>
        <w:t xml:space="preserve">Table </w:t>
      </w:r>
      <w:r w:rsidR="005B6FA6" w:rsidRPr="002858FB">
        <w:rPr>
          <w:rFonts w:ascii="Times New Roman" w:hAnsi="Times New Roman" w:cs="Times New Roman"/>
          <w:color w:val="auto"/>
          <w:sz w:val="24"/>
          <w:szCs w:val="24"/>
        </w:rPr>
        <w:fldChar w:fldCharType="begin"/>
      </w:r>
      <w:r w:rsidR="005B6FA6" w:rsidRPr="002858FB">
        <w:rPr>
          <w:rFonts w:ascii="Times New Roman" w:hAnsi="Times New Roman" w:cs="Times New Roman"/>
          <w:color w:val="auto"/>
          <w:sz w:val="24"/>
          <w:szCs w:val="24"/>
        </w:rPr>
        <w:instrText xml:space="preserve"> SEQ Table \* ARABIC </w:instrText>
      </w:r>
      <w:r w:rsidR="005B6FA6" w:rsidRPr="002858FB">
        <w:rPr>
          <w:rFonts w:ascii="Times New Roman" w:hAnsi="Times New Roman" w:cs="Times New Roman"/>
          <w:color w:val="auto"/>
          <w:sz w:val="24"/>
          <w:szCs w:val="24"/>
        </w:rPr>
        <w:fldChar w:fldCharType="separate"/>
      </w:r>
      <w:r w:rsidR="001470FE" w:rsidRPr="002858FB">
        <w:rPr>
          <w:rFonts w:ascii="Times New Roman" w:hAnsi="Times New Roman" w:cs="Times New Roman"/>
          <w:noProof/>
          <w:color w:val="auto"/>
          <w:sz w:val="24"/>
          <w:szCs w:val="24"/>
        </w:rPr>
        <w:t>4</w:t>
      </w:r>
      <w:r w:rsidR="005B6FA6" w:rsidRPr="002858FB">
        <w:rPr>
          <w:rFonts w:ascii="Times New Roman" w:hAnsi="Times New Roman" w:cs="Times New Roman"/>
          <w:color w:val="auto"/>
          <w:sz w:val="24"/>
          <w:szCs w:val="24"/>
        </w:rPr>
        <w:fldChar w:fldCharType="end"/>
      </w:r>
      <w:r w:rsidRPr="002858FB">
        <w:rPr>
          <w:rFonts w:ascii="Times New Roman" w:hAnsi="Times New Roman" w:cs="Times New Roman"/>
          <w:color w:val="auto"/>
          <w:sz w:val="24"/>
          <w:szCs w:val="24"/>
        </w:rPr>
        <w:t>: Descriptive statistics for financial performance variables</w:t>
      </w:r>
      <w:bookmarkEnd w:id="31"/>
    </w:p>
    <w:p w14:paraId="56DAD33F" w14:textId="77777777" w:rsidR="004322E7" w:rsidRDefault="000C275E">
      <w:pPr>
        <w:spacing w:line="360" w:lineRule="auto"/>
        <w:rPr>
          <w:rFonts w:ascii="Times New Roman" w:eastAsia="Times New Roman" w:hAnsi="Times New Roman" w:cs="Times New Roman"/>
        </w:rPr>
      </w:pPr>
      <w:r>
        <w:rPr>
          <w:rFonts w:ascii="Times New Roman" w:eastAsia="Times New Roman" w:hAnsi="Times New Roman" w:cs="Times New Roman"/>
        </w:rPr>
        <w:t>Source: Authors' Work.</w:t>
      </w:r>
    </w:p>
    <w:p w14:paraId="56DAD340"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sample demonstrates minor profitability on an asset basis. ROA averaged 0.0617 (SD =.05154), with values ranging from 0% to 14%. ROE was higher and more scattered (M =.2233, SD =.21667, range.02-.64), and the difference between its mean (.2233) and median (.1600) shows positive skew, most likely due to highly leveraged or capital light firms such as banks or consumer goods companies. This discrepancy between ROA and ROE is consistent with FTSE 350 findings </w:t>
      </w:r>
      <w:r>
        <w:rPr>
          <w:rFonts w:ascii="Times New Roman" w:eastAsia="Times New Roman" w:hAnsi="Times New Roman" w:cs="Times New Roman"/>
        </w:rPr>
        <w:lastRenderedPageBreak/>
        <w:t>showing governance and ESG factors connect differently to each metric (Ahmad, Mobarek, and Roni, 2021), a pattern addressed further in the regression study.</w:t>
      </w:r>
    </w:p>
    <w:p w14:paraId="56DAD341" w14:textId="77777777" w:rsidR="004322E7" w:rsidRPr="00785CBA" w:rsidRDefault="000C275E">
      <w:pPr>
        <w:pStyle w:val="Heading2"/>
        <w:spacing w:line="360" w:lineRule="auto"/>
        <w:rPr>
          <w:rFonts w:ascii="Times New Roman" w:eastAsia="Times New Roman" w:hAnsi="Times New Roman" w:cs="Times New Roman"/>
          <w:b/>
          <w:bCs/>
          <w:color w:val="000000"/>
          <w:sz w:val="24"/>
          <w:szCs w:val="24"/>
        </w:rPr>
      </w:pPr>
      <w:bookmarkStart w:id="32" w:name="_Toc237010682"/>
      <w:r w:rsidRPr="00785CBA">
        <w:rPr>
          <w:rFonts w:ascii="Times New Roman" w:eastAsia="Times New Roman" w:hAnsi="Times New Roman" w:cs="Times New Roman"/>
          <w:b/>
          <w:bCs/>
          <w:color w:val="000000"/>
          <w:sz w:val="24"/>
          <w:szCs w:val="24"/>
        </w:rPr>
        <w:t>4.2 Correlation Analysis</w:t>
      </w:r>
      <w:bookmarkEnd w:id="32"/>
    </w:p>
    <w:p w14:paraId="56DAD342"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Prior to the regression analysis in Section 4.3, a Pearson correlation matrix was generated for all CG, ESG, and FP variables to identify preliminary bivariate relationships and screen for multicollinearity. Table 5 includes the following variable labels: board size, board independence, CEO duality, ownership concentration, annual audit meetings, audit independence, ESG composite, ESG-environmental, ESG-social, ESG-government, ROA, and ROE. Each cell shows the Pearson correlation coefficient (r) over the two-tailed significance level (p); bold values imply statistical significance.</w:t>
      </w:r>
    </w:p>
    <w:p w14:paraId="7ADFAE6B" w14:textId="77777777" w:rsidR="00024A12" w:rsidRDefault="00024A12">
      <w:pPr>
        <w:spacing w:line="360" w:lineRule="auto"/>
        <w:jc w:val="both"/>
        <w:rPr>
          <w:rFonts w:ascii="Times New Roman" w:eastAsia="Times New Roman" w:hAnsi="Times New Roman" w:cs="Times New Roman"/>
        </w:rPr>
      </w:pPr>
    </w:p>
    <w:tbl>
      <w:tblPr>
        <w:tblStyle w:val="a"/>
        <w:tblW w:w="10350" w:type="dxa"/>
        <w:tblLayout w:type="fixed"/>
        <w:tblLook w:val="0000" w:firstRow="0" w:lastRow="0" w:firstColumn="0" w:lastColumn="0" w:noHBand="0" w:noVBand="0"/>
      </w:tblPr>
      <w:tblGrid>
        <w:gridCol w:w="900"/>
        <w:gridCol w:w="1350"/>
        <w:gridCol w:w="630"/>
        <w:gridCol w:w="810"/>
        <w:gridCol w:w="540"/>
        <w:gridCol w:w="1170"/>
        <w:gridCol w:w="540"/>
        <w:gridCol w:w="810"/>
        <w:gridCol w:w="630"/>
        <w:gridCol w:w="630"/>
        <w:gridCol w:w="630"/>
        <w:gridCol w:w="630"/>
        <w:gridCol w:w="540"/>
        <w:gridCol w:w="540"/>
      </w:tblGrid>
      <w:tr w:rsidR="004322E7" w14:paraId="56DAD345" w14:textId="77777777">
        <w:trPr>
          <w:cantSplit/>
        </w:trPr>
        <w:tc>
          <w:tcPr>
            <w:tcW w:w="10350" w:type="dxa"/>
            <w:gridSpan w:val="14"/>
            <w:tcBorders>
              <w:top w:val="nil"/>
              <w:left w:val="nil"/>
              <w:bottom w:val="nil"/>
              <w:right w:val="nil"/>
            </w:tcBorders>
            <w:shd w:val="clear" w:color="auto" w:fill="FFFFFF"/>
            <w:vAlign w:val="center"/>
          </w:tcPr>
          <w:p w14:paraId="56DAD34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Correlations</w:t>
            </w:r>
          </w:p>
        </w:tc>
      </w:tr>
      <w:tr w:rsidR="004322E7" w14:paraId="56DAD353" w14:textId="77777777">
        <w:trPr>
          <w:cantSplit/>
        </w:trPr>
        <w:tc>
          <w:tcPr>
            <w:tcW w:w="2250" w:type="dxa"/>
            <w:gridSpan w:val="2"/>
            <w:tcBorders>
              <w:top w:val="nil"/>
              <w:left w:val="nil"/>
              <w:bottom w:val="single" w:sz="8" w:space="0" w:color="152935"/>
              <w:right w:val="nil"/>
            </w:tcBorders>
            <w:shd w:val="clear" w:color="auto" w:fill="FFFFFF"/>
            <w:vAlign w:val="bottom"/>
          </w:tcPr>
          <w:p w14:paraId="56DAD346"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nil"/>
              <w:left w:val="nil"/>
              <w:bottom w:val="single" w:sz="8" w:space="0" w:color="152935"/>
              <w:right w:val="single" w:sz="8" w:space="0" w:color="E0E0E0"/>
            </w:tcBorders>
            <w:shd w:val="clear" w:color="auto" w:fill="FFFFFF"/>
            <w:vAlign w:val="bottom"/>
          </w:tcPr>
          <w:p w14:paraId="56DAD34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Board of Director Size</w:t>
            </w:r>
          </w:p>
        </w:tc>
        <w:tc>
          <w:tcPr>
            <w:tcW w:w="810" w:type="dxa"/>
            <w:tcBorders>
              <w:top w:val="nil"/>
              <w:left w:val="single" w:sz="8" w:space="0" w:color="E0E0E0"/>
              <w:bottom w:val="single" w:sz="8" w:space="0" w:color="152935"/>
              <w:right w:val="single" w:sz="8" w:space="0" w:color="E0E0E0"/>
            </w:tcBorders>
            <w:shd w:val="clear" w:color="auto" w:fill="FFFFFF"/>
            <w:vAlign w:val="bottom"/>
          </w:tcPr>
          <w:p w14:paraId="56DAD34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Board Independence</w:t>
            </w:r>
          </w:p>
        </w:tc>
        <w:tc>
          <w:tcPr>
            <w:tcW w:w="540" w:type="dxa"/>
            <w:tcBorders>
              <w:top w:val="nil"/>
              <w:left w:val="single" w:sz="8" w:space="0" w:color="E0E0E0"/>
              <w:bottom w:val="single" w:sz="8" w:space="0" w:color="152935"/>
              <w:right w:val="single" w:sz="8" w:space="0" w:color="E0E0E0"/>
            </w:tcBorders>
            <w:shd w:val="clear" w:color="auto" w:fill="FFFFFF"/>
            <w:vAlign w:val="bottom"/>
          </w:tcPr>
          <w:p w14:paraId="56DAD34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CEO Dulaity</w:t>
            </w:r>
          </w:p>
        </w:tc>
        <w:tc>
          <w:tcPr>
            <w:tcW w:w="1170" w:type="dxa"/>
            <w:tcBorders>
              <w:top w:val="nil"/>
              <w:left w:val="single" w:sz="8" w:space="0" w:color="E0E0E0"/>
              <w:bottom w:val="single" w:sz="8" w:space="0" w:color="152935"/>
              <w:right w:val="single" w:sz="8" w:space="0" w:color="E0E0E0"/>
            </w:tcBorders>
            <w:shd w:val="clear" w:color="auto" w:fill="FFFFFF"/>
            <w:vAlign w:val="bottom"/>
          </w:tcPr>
          <w:p w14:paraId="56DAD34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Ownership Concerntration hold by top 5 shreholders</w:t>
            </w:r>
          </w:p>
        </w:tc>
        <w:tc>
          <w:tcPr>
            <w:tcW w:w="540" w:type="dxa"/>
            <w:tcBorders>
              <w:top w:val="nil"/>
              <w:left w:val="single" w:sz="8" w:space="0" w:color="E0E0E0"/>
              <w:bottom w:val="single" w:sz="8" w:space="0" w:color="152935"/>
              <w:right w:val="single" w:sz="8" w:space="0" w:color="E0E0E0"/>
            </w:tcBorders>
            <w:shd w:val="clear" w:color="auto" w:fill="FFFFFF"/>
            <w:vAlign w:val="bottom"/>
          </w:tcPr>
          <w:p w14:paraId="56DAD34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Audit Meeting per Year</w:t>
            </w:r>
          </w:p>
        </w:tc>
        <w:tc>
          <w:tcPr>
            <w:tcW w:w="810" w:type="dxa"/>
            <w:tcBorders>
              <w:top w:val="nil"/>
              <w:left w:val="single" w:sz="8" w:space="0" w:color="E0E0E0"/>
              <w:bottom w:val="single" w:sz="8" w:space="0" w:color="152935"/>
              <w:right w:val="single" w:sz="8" w:space="0" w:color="E0E0E0"/>
            </w:tcBorders>
            <w:shd w:val="clear" w:color="auto" w:fill="FFFFFF"/>
            <w:vAlign w:val="bottom"/>
          </w:tcPr>
          <w:p w14:paraId="56DAD34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Audit Independence</w:t>
            </w:r>
          </w:p>
        </w:tc>
        <w:tc>
          <w:tcPr>
            <w:tcW w:w="630" w:type="dxa"/>
            <w:tcBorders>
              <w:top w:val="nil"/>
              <w:left w:val="single" w:sz="8" w:space="0" w:color="E0E0E0"/>
              <w:bottom w:val="single" w:sz="8" w:space="0" w:color="152935"/>
              <w:right w:val="single" w:sz="8" w:space="0" w:color="E0E0E0"/>
            </w:tcBorders>
            <w:shd w:val="clear" w:color="auto" w:fill="FFFFFF"/>
            <w:vAlign w:val="bottom"/>
          </w:tcPr>
          <w:p w14:paraId="56DAD34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Composite (Average of ESG)</w:t>
            </w:r>
          </w:p>
        </w:tc>
        <w:tc>
          <w:tcPr>
            <w:tcW w:w="630" w:type="dxa"/>
            <w:tcBorders>
              <w:top w:val="nil"/>
              <w:left w:val="single" w:sz="8" w:space="0" w:color="E0E0E0"/>
              <w:bottom w:val="single" w:sz="8" w:space="0" w:color="152935"/>
              <w:right w:val="single" w:sz="8" w:space="0" w:color="E0E0E0"/>
            </w:tcBorders>
            <w:shd w:val="clear" w:color="auto" w:fill="FFFFFF"/>
            <w:vAlign w:val="bottom"/>
          </w:tcPr>
          <w:p w14:paraId="56DAD34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Environmental Score</w:t>
            </w:r>
          </w:p>
        </w:tc>
        <w:tc>
          <w:tcPr>
            <w:tcW w:w="630" w:type="dxa"/>
            <w:tcBorders>
              <w:top w:val="nil"/>
              <w:left w:val="single" w:sz="8" w:space="0" w:color="E0E0E0"/>
              <w:bottom w:val="single" w:sz="8" w:space="0" w:color="152935"/>
              <w:right w:val="single" w:sz="8" w:space="0" w:color="E0E0E0"/>
            </w:tcBorders>
            <w:shd w:val="clear" w:color="auto" w:fill="FFFFFF"/>
            <w:vAlign w:val="bottom"/>
          </w:tcPr>
          <w:p w14:paraId="56DAD34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Social Score</w:t>
            </w:r>
          </w:p>
        </w:tc>
        <w:tc>
          <w:tcPr>
            <w:tcW w:w="630" w:type="dxa"/>
            <w:tcBorders>
              <w:top w:val="nil"/>
              <w:left w:val="single" w:sz="8" w:space="0" w:color="E0E0E0"/>
              <w:bottom w:val="single" w:sz="8" w:space="0" w:color="152935"/>
              <w:right w:val="single" w:sz="8" w:space="0" w:color="E0E0E0"/>
            </w:tcBorders>
            <w:shd w:val="clear" w:color="auto" w:fill="FFFFFF"/>
            <w:vAlign w:val="bottom"/>
          </w:tcPr>
          <w:p w14:paraId="56DAD35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Governmental Score</w:t>
            </w:r>
          </w:p>
        </w:tc>
        <w:tc>
          <w:tcPr>
            <w:tcW w:w="540" w:type="dxa"/>
            <w:tcBorders>
              <w:top w:val="nil"/>
              <w:left w:val="single" w:sz="8" w:space="0" w:color="E0E0E0"/>
              <w:bottom w:val="single" w:sz="8" w:space="0" w:color="152935"/>
              <w:right w:val="single" w:sz="8" w:space="0" w:color="E0E0E0"/>
            </w:tcBorders>
            <w:shd w:val="clear" w:color="auto" w:fill="FFFFFF"/>
            <w:vAlign w:val="bottom"/>
          </w:tcPr>
          <w:p w14:paraId="56DAD35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Return on Assests</w:t>
            </w:r>
          </w:p>
        </w:tc>
        <w:tc>
          <w:tcPr>
            <w:tcW w:w="540" w:type="dxa"/>
            <w:tcBorders>
              <w:top w:val="nil"/>
              <w:left w:val="single" w:sz="8" w:space="0" w:color="E0E0E0"/>
              <w:bottom w:val="single" w:sz="8" w:space="0" w:color="152935"/>
              <w:right w:val="nil"/>
            </w:tcBorders>
            <w:shd w:val="clear" w:color="auto" w:fill="FFFFFF"/>
            <w:vAlign w:val="bottom"/>
          </w:tcPr>
          <w:p w14:paraId="56DAD35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Return on Equity</w:t>
            </w:r>
          </w:p>
        </w:tc>
      </w:tr>
      <w:tr w:rsidR="004322E7" w14:paraId="56DAD362" w14:textId="77777777">
        <w:trPr>
          <w:cantSplit/>
          <w:trHeight w:val="87"/>
        </w:trPr>
        <w:tc>
          <w:tcPr>
            <w:tcW w:w="900" w:type="dxa"/>
            <w:vMerge w:val="restart"/>
            <w:tcBorders>
              <w:top w:val="single" w:sz="8" w:space="0" w:color="152935"/>
              <w:left w:val="nil"/>
              <w:bottom w:val="nil"/>
              <w:right w:val="nil"/>
            </w:tcBorders>
            <w:shd w:val="clear" w:color="auto" w:fill="E0E0E0"/>
          </w:tcPr>
          <w:p w14:paraId="56DAD35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Board of Director Size</w:t>
            </w:r>
          </w:p>
        </w:tc>
        <w:tc>
          <w:tcPr>
            <w:tcW w:w="1350" w:type="dxa"/>
            <w:tcBorders>
              <w:top w:val="single" w:sz="8" w:space="0" w:color="152935"/>
              <w:left w:val="nil"/>
              <w:bottom w:val="single" w:sz="8" w:space="0" w:color="AEAEAE"/>
              <w:right w:val="nil"/>
            </w:tcBorders>
            <w:shd w:val="clear" w:color="auto" w:fill="E0E0E0"/>
          </w:tcPr>
          <w:p w14:paraId="56DAD35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152935"/>
              <w:left w:val="nil"/>
              <w:bottom w:val="single" w:sz="8" w:space="0" w:color="AEAEAE"/>
              <w:right w:val="single" w:sz="8" w:space="0" w:color="E0E0E0"/>
            </w:tcBorders>
            <w:shd w:val="clear" w:color="auto" w:fill="F9F9FB"/>
          </w:tcPr>
          <w:p w14:paraId="56DAD35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810" w:type="dxa"/>
            <w:tcBorders>
              <w:top w:val="single" w:sz="8" w:space="0" w:color="152935"/>
              <w:left w:val="single" w:sz="8" w:space="0" w:color="E0E0E0"/>
              <w:bottom w:val="single" w:sz="8" w:space="0" w:color="AEAEAE"/>
              <w:right w:val="single" w:sz="8" w:space="0" w:color="E0E0E0"/>
            </w:tcBorders>
            <w:shd w:val="clear" w:color="auto" w:fill="F9F9FB"/>
          </w:tcPr>
          <w:p w14:paraId="56DAD357"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152935"/>
              <w:left w:val="single" w:sz="8" w:space="0" w:color="E0E0E0"/>
              <w:bottom w:val="single" w:sz="8" w:space="0" w:color="AEAEAE"/>
              <w:right w:val="single" w:sz="8" w:space="0" w:color="E0E0E0"/>
            </w:tcBorders>
            <w:shd w:val="clear" w:color="auto" w:fill="F9F9FB"/>
          </w:tcPr>
          <w:p w14:paraId="56DAD358"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152935"/>
              <w:left w:val="single" w:sz="8" w:space="0" w:color="E0E0E0"/>
              <w:bottom w:val="single" w:sz="8" w:space="0" w:color="AEAEAE"/>
              <w:right w:val="single" w:sz="8" w:space="0" w:color="E0E0E0"/>
            </w:tcBorders>
            <w:shd w:val="clear" w:color="auto" w:fill="F9F9FB"/>
          </w:tcPr>
          <w:p w14:paraId="56DAD359"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152935"/>
              <w:left w:val="single" w:sz="8" w:space="0" w:color="E0E0E0"/>
              <w:bottom w:val="single" w:sz="8" w:space="0" w:color="AEAEAE"/>
              <w:right w:val="single" w:sz="8" w:space="0" w:color="E0E0E0"/>
            </w:tcBorders>
            <w:shd w:val="clear" w:color="auto" w:fill="F9F9FB"/>
          </w:tcPr>
          <w:p w14:paraId="56DAD35A"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152935"/>
              <w:left w:val="single" w:sz="8" w:space="0" w:color="E0E0E0"/>
              <w:bottom w:val="single" w:sz="8" w:space="0" w:color="AEAEAE"/>
              <w:right w:val="single" w:sz="8" w:space="0" w:color="E0E0E0"/>
            </w:tcBorders>
            <w:shd w:val="clear" w:color="auto" w:fill="F9F9FB"/>
          </w:tcPr>
          <w:p w14:paraId="56DAD35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152935"/>
              <w:left w:val="single" w:sz="8" w:space="0" w:color="E0E0E0"/>
              <w:bottom w:val="single" w:sz="8" w:space="0" w:color="AEAEAE"/>
              <w:right w:val="single" w:sz="8" w:space="0" w:color="E0E0E0"/>
            </w:tcBorders>
            <w:shd w:val="clear" w:color="auto" w:fill="F9F9FB"/>
          </w:tcPr>
          <w:p w14:paraId="56DAD35C"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152935"/>
              <w:left w:val="single" w:sz="8" w:space="0" w:color="E0E0E0"/>
              <w:bottom w:val="single" w:sz="8" w:space="0" w:color="AEAEAE"/>
              <w:right w:val="single" w:sz="8" w:space="0" w:color="E0E0E0"/>
            </w:tcBorders>
            <w:shd w:val="clear" w:color="auto" w:fill="F9F9FB"/>
          </w:tcPr>
          <w:p w14:paraId="56DAD35D"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152935"/>
              <w:left w:val="single" w:sz="8" w:space="0" w:color="E0E0E0"/>
              <w:bottom w:val="single" w:sz="8" w:space="0" w:color="AEAEAE"/>
              <w:right w:val="single" w:sz="8" w:space="0" w:color="E0E0E0"/>
            </w:tcBorders>
            <w:shd w:val="clear" w:color="auto" w:fill="F9F9FB"/>
          </w:tcPr>
          <w:p w14:paraId="56DAD35E"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152935"/>
              <w:left w:val="single" w:sz="8" w:space="0" w:color="E0E0E0"/>
              <w:bottom w:val="single" w:sz="8" w:space="0" w:color="AEAEAE"/>
              <w:right w:val="single" w:sz="8" w:space="0" w:color="E0E0E0"/>
            </w:tcBorders>
            <w:shd w:val="clear" w:color="auto" w:fill="F9F9FB"/>
          </w:tcPr>
          <w:p w14:paraId="56DAD35F"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152935"/>
              <w:left w:val="single" w:sz="8" w:space="0" w:color="E0E0E0"/>
              <w:bottom w:val="single" w:sz="8" w:space="0" w:color="AEAEAE"/>
              <w:right w:val="single" w:sz="8" w:space="0" w:color="E0E0E0"/>
            </w:tcBorders>
            <w:shd w:val="clear" w:color="auto" w:fill="F9F9FB"/>
          </w:tcPr>
          <w:p w14:paraId="56DAD360"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152935"/>
              <w:left w:val="single" w:sz="8" w:space="0" w:color="E0E0E0"/>
              <w:bottom w:val="single" w:sz="8" w:space="0" w:color="AEAEAE"/>
              <w:right w:val="nil"/>
            </w:tcBorders>
            <w:shd w:val="clear" w:color="auto" w:fill="F9F9FB"/>
          </w:tcPr>
          <w:p w14:paraId="56DAD361"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71" w14:textId="77777777">
        <w:trPr>
          <w:cantSplit/>
        </w:trPr>
        <w:tc>
          <w:tcPr>
            <w:tcW w:w="900" w:type="dxa"/>
            <w:vMerge/>
            <w:tcBorders>
              <w:top w:val="single" w:sz="8" w:space="0" w:color="152935"/>
              <w:left w:val="nil"/>
              <w:bottom w:val="nil"/>
              <w:right w:val="nil"/>
            </w:tcBorders>
            <w:shd w:val="clear" w:color="auto" w:fill="E0E0E0"/>
          </w:tcPr>
          <w:p w14:paraId="56DAD363"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36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vAlign w:val="center"/>
          </w:tcPr>
          <w:p w14:paraId="56DAD365"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66"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67"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368"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69"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6A"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6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6C"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6D"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6E"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6F"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70"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80" w14:textId="77777777">
        <w:trPr>
          <w:cantSplit/>
          <w:trHeight w:val="385"/>
        </w:trPr>
        <w:tc>
          <w:tcPr>
            <w:tcW w:w="900" w:type="dxa"/>
            <w:vMerge/>
            <w:tcBorders>
              <w:top w:val="single" w:sz="8" w:space="0" w:color="152935"/>
              <w:left w:val="nil"/>
              <w:bottom w:val="nil"/>
              <w:right w:val="nil"/>
            </w:tcBorders>
            <w:shd w:val="clear" w:color="auto" w:fill="E0E0E0"/>
          </w:tcPr>
          <w:p w14:paraId="56DAD372"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37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37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375"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76"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AEAEAE"/>
              <w:left w:val="single" w:sz="8" w:space="0" w:color="E0E0E0"/>
              <w:bottom w:val="nil"/>
              <w:right w:val="single" w:sz="8" w:space="0" w:color="E0E0E0"/>
            </w:tcBorders>
            <w:shd w:val="clear" w:color="auto" w:fill="F9F9FB"/>
          </w:tcPr>
          <w:p w14:paraId="56DAD377"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78"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nil"/>
              <w:right w:val="single" w:sz="8" w:space="0" w:color="E0E0E0"/>
            </w:tcBorders>
            <w:shd w:val="clear" w:color="auto" w:fill="F9F9FB"/>
          </w:tcPr>
          <w:p w14:paraId="56DAD37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7A"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7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7C"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7D"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7E"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37F"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8F" w14:textId="77777777">
        <w:trPr>
          <w:cantSplit/>
        </w:trPr>
        <w:tc>
          <w:tcPr>
            <w:tcW w:w="900" w:type="dxa"/>
            <w:vMerge w:val="restart"/>
            <w:tcBorders>
              <w:top w:val="single" w:sz="8" w:space="0" w:color="AEAEAE"/>
              <w:left w:val="nil"/>
              <w:bottom w:val="nil"/>
              <w:right w:val="nil"/>
            </w:tcBorders>
            <w:shd w:val="clear" w:color="auto" w:fill="E0E0E0"/>
          </w:tcPr>
          <w:p w14:paraId="56DAD38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Board Independence</w:t>
            </w:r>
          </w:p>
        </w:tc>
        <w:tc>
          <w:tcPr>
            <w:tcW w:w="1350" w:type="dxa"/>
            <w:tcBorders>
              <w:top w:val="single" w:sz="8" w:space="0" w:color="AEAEAE"/>
              <w:left w:val="nil"/>
              <w:bottom w:val="single" w:sz="8" w:space="0" w:color="AEAEAE"/>
              <w:right w:val="nil"/>
            </w:tcBorders>
            <w:shd w:val="clear" w:color="auto" w:fill="E0E0E0"/>
          </w:tcPr>
          <w:p w14:paraId="56DAD38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38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.474</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8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85"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386"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87"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88"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8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8A"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8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8C"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8D"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8E"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9E" w14:textId="77777777">
        <w:trPr>
          <w:cantSplit/>
        </w:trPr>
        <w:tc>
          <w:tcPr>
            <w:tcW w:w="900" w:type="dxa"/>
            <w:vMerge/>
            <w:tcBorders>
              <w:top w:val="single" w:sz="8" w:space="0" w:color="AEAEAE"/>
              <w:left w:val="nil"/>
              <w:bottom w:val="nil"/>
              <w:right w:val="nil"/>
            </w:tcBorders>
            <w:shd w:val="clear" w:color="auto" w:fill="E0E0E0"/>
          </w:tcPr>
          <w:p w14:paraId="56DAD390"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39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39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.342</w:t>
            </w:r>
          </w:p>
        </w:tc>
        <w:tc>
          <w:tcPr>
            <w:tcW w:w="81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393"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94"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395"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96"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97"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98"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9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9A"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9B"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9C"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9D"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AD" w14:textId="77777777">
        <w:trPr>
          <w:cantSplit/>
        </w:trPr>
        <w:tc>
          <w:tcPr>
            <w:tcW w:w="900" w:type="dxa"/>
            <w:vMerge/>
            <w:tcBorders>
              <w:top w:val="single" w:sz="8" w:space="0" w:color="AEAEAE"/>
              <w:left w:val="nil"/>
              <w:bottom w:val="nil"/>
              <w:right w:val="nil"/>
            </w:tcBorders>
            <w:shd w:val="clear" w:color="auto" w:fill="E0E0E0"/>
          </w:tcPr>
          <w:p w14:paraId="56DAD39F"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3A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3A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3A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3A3"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AEAEAE"/>
              <w:left w:val="single" w:sz="8" w:space="0" w:color="E0E0E0"/>
              <w:bottom w:val="nil"/>
              <w:right w:val="single" w:sz="8" w:space="0" w:color="E0E0E0"/>
            </w:tcBorders>
            <w:shd w:val="clear" w:color="auto" w:fill="F9F9FB"/>
          </w:tcPr>
          <w:p w14:paraId="56DAD3A4"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A5"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nil"/>
              <w:right w:val="single" w:sz="8" w:space="0" w:color="E0E0E0"/>
            </w:tcBorders>
            <w:shd w:val="clear" w:color="auto" w:fill="F9F9FB"/>
          </w:tcPr>
          <w:p w14:paraId="56DAD3A6"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A7"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A8"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A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AA"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AB"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3AC"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BC" w14:textId="77777777">
        <w:trPr>
          <w:cantSplit/>
        </w:trPr>
        <w:tc>
          <w:tcPr>
            <w:tcW w:w="900" w:type="dxa"/>
            <w:vMerge w:val="restart"/>
            <w:tcBorders>
              <w:top w:val="single" w:sz="8" w:space="0" w:color="AEAEAE"/>
              <w:left w:val="nil"/>
              <w:bottom w:val="nil"/>
              <w:right w:val="nil"/>
            </w:tcBorders>
            <w:shd w:val="clear" w:color="auto" w:fill="E0E0E0"/>
          </w:tcPr>
          <w:p w14:paraId="56DAD3A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CEO Dulaity</w:t>
            </w:r>
          </w:p>
        </w:tc>
        <w:tc>
          <w:tcPr>
            <w:tcW w:w="1350" w:type="dxa"/>
            <w:tcBorders>
              <w:top w:val="single" w:sz="8" w:space="0" w:color="AEAEAE"/>
              <w:left w:val="nil"/>
              <w:bottom w:val="single" w:sz="8" w:space="0" w:color="AEAEAE"/>
              <w:right w:val="nil"/>
            </w:tcBorders>
            <w:shd w:val="clear" w:color="auto" w:fill="E0E0E0"/>
          </w:tcPr>
          <w:p w14:paraId="56DAD3A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3B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B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B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3B3"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B4"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B5"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B6"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B7"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B8"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B9"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BA"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BB"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CB" w14:textId="77777777">
        <w:trPr>
          <w:cantSplit/>
        </w:trPr>
        <w:tc>
          <w:tcPr>
            <w:tcW w:w="900" w:type="dxa"/>
            <w:vMerge/>
            <w:tcBorders>
              <w:top w:val="single" w:sz="8" w:space="0" w:color="AEAEAE"/>
              <w:left w:val="nil"/>
              <w:bottom w:val="nil"/>
              <w:right w:val="nil"/>
            </w:tcBorders>
            <w:shd w:val="clear" w:color="auto" w:fill="E0E0E0"/>
          </w:tcPr>
          <w:p w14:paraId="56DAD3BD"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3B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3B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C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54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3C1" w14:textId="77777777" w:rsidR="004322E7" w:rsidRDefault="004322E7">
            <w:pPr>
              <w:spacing w:line="360" w:lineRule="auto"/>
              <w:jc w:val="both"/>
              <w:rPr>
                <w:rFonts w:ascii="Times New Roman" w:eastAsia="Times New Roman" w:hAnsi="Times New Roman" w:cs="Times New Roman"/>
                <w:sz w:val="14"/>
                <w:szCs w:val="14"/>
              </w:rPr>
            </w:pP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3C2"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C3"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C4"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C5"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C6"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C7"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C8"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C9"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CA"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DA" w14:textId="77777777">
        <w:trPr>
          <w:cantSplit/>
        </w:trPr>
        <w:tc>
          <w:tcPr>
            <w:tcW w:w="900" w:type="dxa"/>
            <w:vMerge/>
            <w:tcBorders>
              <w:top w:val="single" w:sz="8" w:space="0" w:color="AEAEAE"/>
              <w:left w:val="nil"/>
              <w:bottom w:val="nil"/>
              <w:right w:val="nil"/>
            </w:tcBorders>
            <w:shd w:val="clear" w:color="auto" w:fill="E0E0E0"/>
          </w:tcPr>
          <w:p w14:paraId="56DAD3CC"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3C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3C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3C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3D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3D1"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D2"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nil"/>
              <w:right w:val="single" w:sz="8" w:space="0" w:color="E0E0E0"/>
            </w:tcBorders>
            <w:shd w:val="clear" w:color="auto" w:fill="F9F9FB"/>
          </w:tcPr>
          <w:p w14:paraId="56DAD3D3"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D4"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D5"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D6"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3D7"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3D8"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3D9"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E9" w14:textId="77777777">
        <w:trPr>
          <w:cantSplit/>
        </w:trPr>
        <w:tc>
          <w:tcPr>
            <w:tcW w:w="900" w:type="dxa"/>
            <w:vMerge w:val="restart"/>
            <w:tcBorders>
              <w:top w:val="single" w:sz="8" w:space="0" w:color="AEAEAE"/>
              <w:left w:val="nil"/>
              <w:bottom w:val="nil"/>
              <w:right w:val="nil"/>
            </w:tcBorders>
            <w:shd w:val="clear" w:color="auto" w:fill="E0E0E0"/>
          </w:tcPr>
          <w:p w14:paraId="56DAD3D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Ownership Concerntration hold by top 5 shreholders</w:t>
            </w:r>
          </w:p>
        </w:tc>
        <w:tc>
          <w:tcPr>
            <w:tcW w:w="1350" w:type="dxa"/>
            <w:tcBorders>
              <w:top w:val="single" w:sz="8" w:space="0" w:color="AEAEAE"/>
              <w:left w:val="nil"/>
              <w:bottom w:val="single" w:sz="8" w:space="0" w:color="AEAEAE"/>
              <w:right w:val="nil"/>
            </w:tcBorders>
            <w:shd w:val="clear" w:color="auto" w:fill="E0E0E0"/>
          </w:tcPr>
          <w:p w14:paraId="56DAD3D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3D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-.160</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D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-.548</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D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3E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E1"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E2"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E3"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E4"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E5"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E6"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E7"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E8"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3F8" w14:textId="77777777">
        <w:trPr>
          <w:cantSplit/>
        </w:trPr>
        <w:tc>
          <w:tcPr>
            <w:tcW w:w="900" w:type="dxa"/>
            <w:vMerge/>
            <w:tcBorders>
              <w:top w:val="single" w:sz="8" w:space="0" w:color="AEAEAE"/>
              <w:left w:val="nil"/>
              <w:bottom w:val="nil"/>
              <w:right w:val="nil"/>
            </w:tcBorders>
            <w:shd w:val="clear" w:color="auto" w:fill="E0E0E0"/>
          </w:tcPr>
          <w:p w14:paraId="56DAD3EA"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3E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3E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.762</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E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.261</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E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3EF"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F0"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3F1"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F2"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F3"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F4"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3F5"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3F6"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3F7"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07" w14:textId="77777777">
        <w:trPr>
          <w:cantSplit/>
        </w:trPr>
        <w:tc>
          <w:tcPr>
            <w:tcW w:w="900" w:type="dxa"/>
            <w:vMerge/>
            <w:tcBorders>
              <w:top w:val="single" w:sz="8" w:space="0" w:color="AEAEAE"/>
              <w:left w:val="nil"/>
              <w:bottom w:val="nil"/>
              <w:right w:val="nil"/>
            </w:tcBorders>
            <w:shd w:val="clear" w:color="auto" w:fill="E0E0E0"/>
          </w:tcPr>
          <w:p w14:paraId="56DAD3F9"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3F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3F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3F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3F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3F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3FF"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nil"/>
              <w:right w:val="single" w:sz="8" w:space="0" w:color="E0E0E0"/>
            </w:tcBorders>
            <w:shd w:val="clear" w:color="auto" w:fill="F9F9FB"/>
          </w:tcPr>
          <w:p w14:paraId="56DAD400"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01"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02"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03"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04"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405"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406"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16" w14:textId="77777777">
        <w:trPr>
          <w:cantSplit/>
        </w:trPr>
        <w:tc>
          <w:tcPr>
            <w:tcW w:w="900" w:type="dxa"/>
            <w:vMerge w:val="restart"/>
            <w:tcBorders>
              <w:top w:val="single" w:sz="8" w:space="0" w:color="AEAEAE"/>
              <w:left w:val="nil"/>
              <w:bottom w:val="nil"/>
              <w:right w:val="nil"/>
            </w:tcBorders>
            <w:shd w:val="clear" w:color="auto" w:fill="E0E0E0"/>
          </w:tcPr>
          <w:p w14:paraId="56DAD40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Audit Meeting per Year</w:t>
            </w:r>
          </w:p>
        </w:tc>
        <w:tc>
          <w:tcPr>
            <w:tcW w:w="1350" w:type="dxa"/>
            <w:tcBorders>
              <w:top w:val="single" w:sz="8" w:space="0" w:color="AEAEAE"/>
              <w:left w:val="nil"/>
              <w:bottom w:val="single" w:sz="8" w:space="0" w:color="AEAEAE"/>
              <w:right w:val="nil"/>
            </w:tcBorders>
            <w:shd w:val="clear" w:color="auto" w:fill="E0E0E0"/>
          </w:tcPr>
          <w:p w14:paraId="56DAD40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40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.503</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0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.844</w:t>
            </w:r>
            <w:r>
              <w:rPr>
                <w:rFonts w:ascii="Times New Roman" w:eastAsia="Times New Roman" w:hAnsi="Times New Roman" w:cs="Times New Roman"/>
                <w:sz w:val="14"/>
                <w:szCs w:val="14"/>
                <w:vertAlign w:val="superscript"/>
              </w:rPr>
              <w:t>*</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0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0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-.701</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0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0F"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10"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11"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12"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13"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14"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15"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25" w14:textId="77777777">
        <w:trPr>
          <w:cantSplit/>
        </w:trPr>
        <w:tc>
          <w:tcPr>
            <w:tcW w:w="900" w:type="dxa"/>
            <w:vMerge/>
            <w:tcBorders>
              <w:top w:val="single" w:sz="8" w:space="0" w:color="AEAEAE"/>
              <w:left w:val="nil"/>
              <w:bottom w:val="nil"/>
              <w:right w:val="nil"/>
            </w:tcBorders>
            <w:shd w:val="clear" w:color="auto" w:fill="E0E0E0"/>
          </w:tcPr>
          <w:p w14:paraId="56DAD417"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41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41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.310</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1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.035</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1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1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.121</w:t>
            </w:r>
          </w:p>
        </w:tc>
        <w:tc>
          <w:tcPr>
            <w:tcW w:w="54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41D" w14:textId="77777777" w:rsidR="004322E7" w:rsidRDefault="004322E7">
            <w:pPr>
              <w:spacing w:line="360" w:lineRule="auto"/>
              <w:jc w:val="both"/>
              <w:rPr>
                <w:rFonts w:ascii="Times New Roman" w:eastAsia="Times New Roman" w:hAnsi="Times New Roman" w:cs="Times New Roman"/>
                <w:sz w:val="14"/>
                <w:szCs w:val="14"/>
              </w:rPr>
            </w:pP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1E"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1F"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20"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21"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22"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23"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24"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34" w14:textId="77777777">
        <w:trPr>
          <w:cantSplit/>
        </w:trPr>
        <w:tc>
          <w:tcPr>
            <w:tcW w:w="900" w:type="dxa"/>
            <w:vMerge/>
            <w:tcBorders>
              <w:top w:val="single" w:sz="8" w:space="0" w:color="AEAEAE"/>
              <w:left w:val="nil"/>
              <w:bottom w:val="nil"/>
              <w:right w:val="nil"/>
            </w:tcBorders>
            <w:shd w:val="clear" w:color="auto" w:fill="E0E0E0"/>
          </w:tcPr>
          <w:p w14:paraId="56DAD426"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42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42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2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2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42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2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2D"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2E"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2F"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30"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31"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432"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433"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43" w14:textId="77777777">
        <w:trPr>
          <w:cantSplit/>
        </w:trPr>
        <w:tc>
          <w:tcPr>
            <w:tcW w:w="900" w:type="dxa"/>
            <w:vMerge w:val="restart"/>
            <w:tcBorders>
              <w:top w:val="single" w:sz="8" w:space="0" w:color="AEAEAE"/>
              <w:left w:val="nil"/>
              <w:bottom w:val="nil"/>
              <w:right w:val="nil"/>
            </w:tcBorders>
            <w:shd w:val="clear" w:color="auto" w:fill="E0E0E0"/>
          </w:tcPr>
          <w:p w14:paraId="56DAD43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Audit Independence</w:t>
            </w:r>
          </w:p>
        </w:tc>
        <w:tc>
          <w:tcPr>
            <w:tcW w:w="1350" w:type="dxa"/>
            <w:tcBorders>
              <w:top w:val="single" w:sz="8" w:space="0" w:color="AEAEAE"/>
              <w:left w:val="nil"/>
              <w:bottom w:val="single" w:sz="8" w:space="0" w:color="AEAEAE"/>
              <w:right w:val="nil"/>
            </w:tcBorders>
            <w:shd w:val="clear" w:color="auto" w:fill="E0E0E0"/>
          </w:tcPr>
          <w:p w14:paraId="56DAD43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43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3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3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3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3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3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3D"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3E"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3F"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40"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41"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42"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52" w14:textId="77777777">
        <w:trPr>
          <w:cantSplit/>
        </w:trPr>
        <w:tc>
          <w:tcPr>
            <w:tcW w:w="900" w:type="dxa"/>
            <w:vMerge/>
            <w:tcBorders>
              <w:top w:val="single" w:sz="8" w:space="0" w:color="AEAEAE"/>
              <w:left w:val="nil"/>
              <w:bottom w:val="nil"/>
              <w:right w:val="nil"/>
            </w:tcBorders>
            <w:shd w:val="clear" w:color="auto" w:fill="E0E0E0"/>
          </w:tcPr>
          <w:p w14:paraId="56DAD444"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44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44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4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4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4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4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81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44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4C"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4D"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4E"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4F"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50"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51"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61" w14:textId="77777777">
        <w:trPr>
          <w:cantSplit/>
        </w:trPr>
        <w:tc>
          <w:tcPr>
            <w:tcW w:w="900" w:type="dxa"/>
            <w:vMerge/>
            <w:tcBorders>
              <w:top w:val="single" w:sz="8" w:space="0" w:color="AEAEAE"/>
              <w:left w:val="nil"/>
              <w:bottom w:val="nil"/>
              <w:right w:val="nil"/>
            </w:tcBorders>
            <w:shd w:val="clear" w:color="auto" w:fill="E0E0E0"/>
          </w:tcPr>
          <w:p w14:paraId="56DAD453"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45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45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5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5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45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5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5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5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5C"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5D"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5E"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45F"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460"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70" w14:textId="77777777">
        <w:trPr>
          <w:cantSplit/>
        </w:trPr>
        <w:tc>
          <w:tcPr>
            <w:tcW w:w="900" w:type="dxa"/>
            <w:vMerge w:val="restart"/>
            <w:tcBorders>
              <w:top w:val="single" w:sz="8" w:space="0" w:color="AEAEAE"/>
              <w:left w:val="nil"/>
              <w:bottom w:val="nil"/>
              <w:right w:val="nil"/>
            </w:tcBorders>
            <w:shd w:val="clear" w:color="auto" w:fill="E0E0E0"/>
          </w:tcPr>
          <w:p w14:paraId="56DAD46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Composite (Average of ESG)</w:t>
            </w:r>
          </w:p>
        </w:tc>
        <w:tc>
          <w:tcPr>
            <w:tcW w:w="1350" w:type="dxa"/>
            <w:tcBorders>
              <w:top w:val="single" w:sz="8" w:space="0" w:color="AEAEAE"/>
              <w:left w:val="nil"/>
              <w:bottom w:val="single" w:sz="8" w:space="0" w:color="AEAEAE"/>
              <w:right w:val="nil"/>
            </w:tcBorders>
            <w:shd w:val="clear" w:color="auto" w:fill="E0E0E0"/>
          </w:tcPr>
          <w:p w14:paraId="56DAD46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46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.000</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6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.505</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6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6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-.130</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6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.059</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6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6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6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6C"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6D"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6E"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6F"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7F" w14:textId="77777777">
        <w:trPr>
          <w:cantSplit/>
        </w:trPr>
        <w:tc>
          <w:tcPr>
            <w:tcW w:w="900" w:type="dxa"/>
            <w:vMerge/>
            <w:tcBorders>
              <w:top w:val="single" w:sz="8" w:space="0" w:color="AEAEAE"/>
              <w:left w:val="nil"/>
              <w:bottom w:val="nil"/>
              <w:right w:val="nil"/>
            </w:tcBorders>
            <w:shd w:val="clear" w:color="auto" w:fill="E0E0E0"/>
          </w:tcPr>
          <w:p w14:paraId="56DAD471"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47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47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1.000</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7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.307</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7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7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.806</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7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.912</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7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47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7A"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7B"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7C"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7D"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7E"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8E" w14:textId="77777777">
        <w:trPr>
          <w:cantSplit/>
        </w:trPr>
        <w:tc>
          <w:tcPr>
            <w:tcW w:w="900" w:type="dxa"/>
            <w:vMerge/>
            <w:tcBorders>
              <w:top w:val="single" w:sz="8" w:space="0" w:color="AEAEAE"/>
              <w:left w:val="nil"/>
              <w:bottom w:val="nil"/>
              <w:right w:val="nil"/>
            </w:tcBorders>
            <w:shd w:val="clear" w:color="auto" w:fill="E0E0E0"/>
          </w:tcPr>
          <w:p w14:paraId="56DAD480"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48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48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8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8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48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8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8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8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8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8A"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8B"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48C"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48D"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9D" w14:textId="77777777">
        <w:trPr>
          <w:cantSplit/>
        </w:trPr>
        <w:tc>
          <w:tcPr>
            <w:tcW w:w="900" w:type="dxa"/>
            <w:vMerge w:val="restart"/>
            <w:tcBorders>
              <w:top w:val="single" w:sz="8" w:space="0" w:color="AEAEAE"/>
              <w:left w:val="nil"/>
              <w:bottom w:val="nil"/>
              <w:right w:val="nil"/>
            </w:tcBorders>
            <w:shd w:val="clear" w:color="auto" w:fill="E0E0E0"/>
          </w:tcPr>
          <w:p w14:paraId="56DAD48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Environmental Score</w:t>
            </w:r>
          </w:p>
        </w:tc>
        <w:tc>
          <w:tcPr>
            <w:tcW w:w="1350" w:type="dxa"/>
            <w:tcBorders>
              <w:top w:val="single" w:sz="8" w:space="0" w:color="AEAEAE"/>
              <w:left w:val="nil"/>
              <w:bottom w:val="single" w:sz="8" w:space="0" w:color="AEAEAE"/>
              <w:right w:val="nil"/>
            </w:tcBorders>
            <w:shd w:val="clear" w:color="auto" w:fill="E0E0E0"/>
          </w:tcPr>
          <w:p w14:paraId="56DAD49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49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.071</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9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.417</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9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9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.090</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9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-.037</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9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9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.966</w:t>
            </w:r>
            <w:r>
              <w:rPr>
                <w:rFonts w:ascii="Times New Roman" w:eastAsia="Times New Roman" w:hAnsi="Times New Roman" w:cs="Times New Roman"/>
                <w:sz w:val="14"/>
                <w:szCs w:val="14"/>
                <w:vertAlign w:val="superscript"/>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9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99"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9A"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9B"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9C"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AC" w14:textId="77777777">
        <w:trPr>
          <w:cantSplit/>
        </w:trPr>
        <w:tc>
          <w:tcPr>
            <w:tcW w:w="900" w:type="dxa"/>
            <w:vMerge/>
            <w:tcBorders>
              <w:top w:val="single" w:sz="8" w:space="0" w:color="AEAEAE"/>
              <w:left w:val="nil"/>
              <w:bottom w:val="nil"/>
              <w:right w:val="nil"/>
            </w:tcBorders>
            <w:shd w:val="clear" w:color="auto" w:fill="E0E0E0"/>
          </w:tcPr>
          <w:p w14:paraId="56DAD49E"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49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4A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.893</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A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.411</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A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A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.866</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A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.945</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A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A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.002</w:t>
            </w:r>
          </w:p>
        </w:tc>
        <w:tc>
          <w:tcPr>
            <w:tcW w:w="63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4A7"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A8"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A9"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AA"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AB"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BB" w14:textId="77777777">
        <w:trPr>
          <w:cantSplit/>
        </w:trPr>
        <w:tc>
          <w:tcPr>
            <w:tcW w:w="900" w:type="dxa"/>
            <w:vMerge/>
            <w:tcBorders>
              <w:top w:val="single" w:sz="8" w:space="0" w:color="AEAEAE"/>
              <w:left w:val="nil"/>
              <w:bottom w:val="nil"/>
              <w:right w:val="nil"/>
            </w:tcBorders>
            <w:shd w:val="clear" w:color="auto" w:fill="E0E0E0"/>
          </w:tcPr>
          <w:p w14:paraId="56DAD4AD"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4A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4A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B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B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4B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B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B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B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B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B7"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nil"/>
              <w:right w:val="single" w:sz="8" w:space="0" w:color="E0E0E0"/>
            </w:tcBorders>
            <w:shd w:val="clear" w:color="auto" w:fill="F9F9FB"/>
          </w:tcPr>
          <w:p w14:paraId="56DAD4B8"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4B9"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4BA"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CA" w14:textId="77777777">
        <w:trPr>
          <w:cantSplit/>
        </w:trPr>
        <w:tc>
          <w:tcPr>
            <w:tcW w:w="900" w:type="dxa"/>
            <w:vMerge w:val="restart"/>
            <w:tcBorders>
              <w:top w:val="single" w:sz="8" w:space="0" w:color="AEAEAE"/>
              <w:left w:val="nil"/>
              <w:bottom w:val="nil"/>
              <w:right w:val="nil"/>
            </w:tcBorders>
            <w:shd w:val="clear" w:color="auto" w:fill="E0E0E0"/>
          </w:tcPr>
          <w:p w14:paraId="56DAD4B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Social Score</w:t>
            </w:r>
          </w:p>
        </w:tc>
        <w:tc>
          <w:tcPr>
            <w:tcW w:w="1350" w:type="dxa"/>
            <w:tcBorders>
              <w:top w:val="single" w:sz="8" w:space="0" w:color="AEAEAE"/>
              <w:left w:val="nil"/>
              <w:bottom w:val="single" w:sz="8" w:space="0" w:color="AEAEAE"/>
              <w:right w:val="nil"/>
            </w:tcBorders>
            <w:shd w:val="clear" w:color="auto" w:fill="E0E0E0"/>
          </w:tcPr>
          <w:p w14:paraId="56DAD4B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4B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-.061</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B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.420</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C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C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-.065</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C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.011</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C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C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.983</w:t>
            </w:r>
            <w:r>
              <w:rPr>
                <w:rFonts w:ascii="Times New Roman" w:eastAsia="Times New Roman" w:hAnsi="Times New Roman" w:cs="Times New Roman"/>
                <w:sz w:val="14"/>
                <w:szCs w:val="14"/>
                <w:vertAlign w:val="superscript"/>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C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.973</w:t>
            </w:r>
            <w:r>
              <w:rPr>
                <w:rFonts w:ascii="Times New Roman" w:eastAsia="Times New Roman" w:hAnsi="Times New Roman" w:cs="Times New Roman"/>
                <w:sz w:val="14"/>
                <w:szCs w:val="14"/>
                <w:vertAlign w:val="superscript"/>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C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C7"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C8"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C9"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D9" w14:textId="77777777">
        <w:trPr>
          <w:cantSplit/>
        </w:trPr>
        <w:tc>
          <w:tcPr>
            <w:tcW w:w="900" w:type="dxa"/>
            <w:vMerge/>
            <w:tcBorders>
              <w:top w:val="single" w:sz="8" w:space="0" w:color="AEAEAE"/>
              <w:left w:val="nil"/>
              <w:bottom w:val="nil"/>
              <w:right w:val="nil"/>
            </w:tcBorders>
            <w:shd w:val="clear" w:color="auto" w:fill="E0E0E0"/>
          </w:tcPr>
          <w:p w14:paraId="56DAD4CB"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4C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4C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.908</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C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.406</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C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D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.903</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D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.983</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D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D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&lt;.001</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D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.001</w:t>
            </w:r>
          </w:p>
        </w:tc>
        <w:tc>
          <w:tcPr>
            <w:tcW w:w="63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4D5" w14:textId="77777777" w:rsidR="004322E7" w:rsidRDefault="004322E7">
            <w:pPr>
              <w:spacing w:line="360" w:lineRule="auto"/>
              <w:jc w:val="both"/>
              <w:rPr>
                <w:rFonts w:ascii="Times New Roman" w:eastAsia="Times New Roman" w:hAnsi="Times New Roman" w:cs="Times New Roman"/>
                <w:sz w:val="14"/>
                <w:szCs w:val="14"/>
              </w:rPr>
            </w:pP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D6"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D7"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D8"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E8" w14:textId="77777777">
        <w:trPr>
          <w:cantSplit/>
        </w:trPr>
        <w:tc>
          <w:tcPr>
            <w:tcW w:w="900" w:type="dxa"/>
            <w:vMerge/>
            <w:tcBorders>
              <w:top w:val="single" w:sz="8" w:space="0" w:color="AEAEAE"/>
              <w:left w:val="nil"/>
              <w:bottom w:val="nil"/>
              <w:right w:val="nil"/>
            </w:tcBorders>
            <w:shd w:val="clear" w:color="auto" w:fill="E0E0E0"/>
          </w:tcPr>
          <w:p w14:paraId="56DAD4DA"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4D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4D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D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D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4D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4E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4E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E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E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E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4E5"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single" w:sz="8" w:space="0" w:color="E0E0E0"/>
            </w:tcBorders>
            <w:shd w:val="clear" w:color="auto" w:fill="F9F9FB"/>
          </w:tcPr>
          <w:p w14:paraId="56DAD4E6"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4E7"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4F7" w14:textId="77777777">
        <w:trPr>
          <w:cantSplit/>
        </w:trPr>
        <w:tc>
          <w:tcPr>
            <w:tcW w:w="900" w:type="dxa"/>
            <w:vMerge w:val="restart"/>
            <w:tcBorders>
              <w:top w:val="single" w:sz="8" w:space="0" w:color="AEAEAE"/>
              <w:left w:val="nil"/>
              <w:bottom w:val="nil"/>
              <w:right w:val="nil"/>
            </w:tcBorders>
            <w:shd w:val="clear" w:color="auto" w:fill="E0E0E0"/>
          </w:tcPr>
          <w:p w14:paraId="56DAD4E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ESG- Governmental Score</w:t>
            </w:r>
          </w:p>
        </w:tc>
        <w:tc>
          <w:tcPr>
            <w:tcW w:w="1350" w:type="dxa"/>
            <w:tcBorders>
              <w:top w:val="single" w:sz="8" w:space="0" w:color="AEAEAE"/>
              <w:left w:val="nil"/>
              <w:bottom w:val="single" w:sz="8" w:space="0" w:color="AEAEAE"/>
              <w:right w:val="nil"/>
            </w:tcBorders>
            <w:shd w:val="clear" w:color="auto" w:fill="E0E0E0"/>
          </w:tcPr>
          <w:p w14:paraId="56DAD4E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4E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-.058</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E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.614</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E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E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-.593</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E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.282</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F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F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.727</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F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.537</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F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.618</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4F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F5"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4F6"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06" w14:textId="77777777">
        <w:trPr>
          <w:cantSplit/>
        </w:trPr>
        <w:tc>
          <w:tcPr>
            <w:tcW w:w="900" w:type="dxa"/>
            <w:vMerge/>
            <w:tcBorders>
              <w:top w:val="single" w:sz="8" w:space="0" w:color="AEAEAE"/>
              <w:left w:val="nil"/>
              <w:bottom w:val="nil"/>
              <w:right w:val="nil"/>
            </w:tcBorders>
            <w:shd w:val="clear" w:color="auto" w:fill="E0E0E0"/>
          </w:tcPr>
          <w:p w14:paraId="56DAD4F8"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4F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4F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.912</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F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.195</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F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4F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.215</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4F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.588</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4F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0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.102</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0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.272</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0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.191</w:t>
            </w:r>
          </w:p>
        </w:tc>
        <w:tc>
          <w:tcPr>
            <w:tcW w:w="63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503"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04"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505"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15" w14:textId="77777777">
        <w:trPr>
          <w:cantSplit/>
        </w:trPr>
        <w:tc>
          <w:tcPr>
            <w:tcW w:w="900" w:type="dxa"/>
            <w:vMerge/>
            <w:tcBorders>
              <w:top w:val="single" w:sz="8" w:space="0" w:color="AEAEAE"/>
              <w:left w:val="nil"/>
              <w:bottom w:val="nil"/>
              <w:right w:val="nil"/>
            </w:tcBorders>
            <w:shd w:val="clear" w:color="auto" w:fill="E0E0E0"/>
          </w:tcPr>
          <w:p w14:paraId="56DAD507"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50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50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50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50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50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50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50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0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1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1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1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513"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nil"/>
              <w:right w:val="nil"/>
            </w:tcBorders>
            <w:shd w:val="clear" w:color="auto" w:fill="F9F9FB"/>
          </w:tcPr>
          <w:p w14:paraId="56DAD514"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24" w14:textId="77777777">
        <w:trPr>
          <w:cantSplit/>
        </w:trPr>
        <w:tc>
          <w:tcPr>
            <w:tcW w:w="900" w:type="dxa"/>
            <w:vMerge w:val="restart"/>
            <w:tcBorders>
              <w:top w:val="single" w:sz="8" w:space="0" w:color="AEAEAE"/>
              <w:left w:val="nil"/>
              <w:bottom w:val="nil"/>
              <w:right w:val="nil"/>
            </w:tcBorders>
            <w:shd w:val="clear" w:color="auto" w:fill="E0E0E0"/>
          </w:tcPr>
          <w:p w14:paraId="56DAD51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Return on Assests</w:t>
            </w:r>
          </w:p>
        </w:tc>
        <w:tc>
          <w:tcPr>
            <w:tcW w:w="1350" w:type="dxa"/>
            <w:tcBorders>
              <w:top w:val="single" w:sz="8" w:space="0" w:color="AEAEAE"/>
              <w:left w:val="nil"/>
              <w:bottom w:val="single" w:sz="8" w:space="0" w:color="AEAEAE"/>
              <w:right w:val="nil"/>
            </w:tcBorders>
            <w:shd w:val="clear" w:color="auto" w:fill="E0E0E0"/>
          </w:tcPr>
          <w:p w14:paraId="56DAD51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51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-.508</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1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-.639</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1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51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.132</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1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-.790</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1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1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.175</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1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.131</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2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.187</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21"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.184</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2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c>
          <w:tcPr>
            <w:tcW w:w="540" w:type="dxa"/>
            <w:tcBorders>
              <w:top w:val="single" w:sz="8" w:space="0" w:color="AEAEAE"/>
              <w:left w:val="single" w:sz="8" w:space="0" w:color="E0E0E0"/>
              <w:bottom w:val="single" w:sz="8" w:space="0" w:color="AEAEAE"/>
              <w:right w:val="nil"/>
            </w:tcBorders>
            <w:shd w:val="clear" w:color="auto" w:fill="F9F9FB"/>
          </w:tcPr>
          <w:p w14:paraId="56DAD523"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33" w14:textId="77777777">
        <w:trPr>
          <w:cantSplit/>
        </w:trPr>
        <w:tc>
          <w:tcPr>
            <w:tcW w:w="900" w:type="dxa"/>
            <w:vMerge/>
            <w:tcBorders>
              <w:top w:val="single" w:sz="8" w:space="0" w:color="AEAEAE"/>
              <w:left w:val="nil"/>
              <w:bottom w:val="nil"/>
              <w:right w:val="nil"/>
            </w:tcBorders>
            <w:shd w:val="clear" w:color="auto" w:fill="E0E0E0"/>
          </w:tcPr>
          <w:p w14:paraId="56DAD525"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52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52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.304</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2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.172</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2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52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.802</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2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.061</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2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2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.740</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2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.805</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2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.723</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3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.727</w:t>
            </w:r>
          </w:p>
        </w:tc>
        <w:tc>
          <w:tcPr>
            <w:tcW w:w="540"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6DAD531" w14:textId="77777777" w:rsidR="004322E7" w:rsidRDefault="004322E7">
            <w:pPr>
              <w:spacing w:line="360" w:lineRule="auto"/>
              <w:jc w:val="both"/>
              <w:rPr>
                <w:rFonts w:ascii="Times New Roman" w:eastAsia="Times New Roman" w:hAnsi="Times New Roman" w:cs="Times New Roman"/>
                <w:sz w:val="14"/>
                <w:szCs w:val="14"/>
              </w:rPr>
            </w:pPr>
          </w:p>
        </w:tc>
        <w:tc>
          <w:tcPr>
            <w:tcW w:w="540" w:type="dxa"/>
            <w:tcBorders>
              <w:top w:val="single" w:sz="8" w:space="0" w:color="AEAEAE"/>
              <w:left w:val="single" w:sz="8" w:space="0" w:color="E0E0E0"/>
              <w:bottom w:val="single" w:sz="8" w:space="0" w:color="AEAEAE"/>
              <w:right w:val="nil"/>
            </w:tcBorders>
            <w:shd w:val="clear" w:color="auto" w:fill="F9F9FB"/>
          </w:tcPr>
          <w:p w14:paraId="56DAD532"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42" w14:textId="77777777">
        <w:trPr>
          <w:cantSplit/>
        </w:trPr>
        <w:tc>
          <w:tcPr>
            <w:tcW w:w="900" w:type="dxa"/>
            <w:vMerge/>
            <w:tcBorders>
              <w:top w:val="single" w:sz="8" w:space="0" w:color="AEAEAE"/>
              <w:left w:val="nil"/>
              <w:bottom w:val="nil"/>
              <w:right w:val="nil"/>
            </w:tcBorders>
            <w:shd w:val="clear" w:color="auto" w:fill="E0E0E0"/>
          </w:tcPr>
          <w:p w14:paraId="56DAD534"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nil"/>
              <w:right w:val="nil"/>
            </w:tcBorders>
            <w:shd w:val="clear" w:color="auto" w:fill="E0E0E0"/>
          </w:tcPr>
          <w:p w14:paraId="56DAD53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nil"/>
              <w:right w:val="single" w:sz="8" w:space="0" w:color="E0E0E0"/>
            </w:tcBorders>
            <w:shd w:val="clear" w:color="auto" w:fill="F9F9FB"/>
          </w:tcPr>
          <w:p w14:paraId="56DAD53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53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53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nil"/>
              <w:right w:val="single" w:sz="8" w:space="0" w:color="E0E0E0"/>
            </w:tcBorders>
            <w:shd w:val="clear" w:color="auto" w:fill="F9F9FB"/>
          </w:tcPr>
          <w:p w14:paraId="56DAD53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53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nil"/>
              <w:right w:val="single" w:sz="8" w:space="0" w:color="E0E0E0"/>
            </w:tcBorders>
            <w:shd w:val="clear" w:color="auto" w:fill="F9F9FB"/>
          </w:tcPr>
          <w:p w14:paraId="56DAD53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3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3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3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nil"/>
              <w:right w:val="single" w:sz="8" w:space="0" w:color="E0E0E0"/>
            </w:tcBorders>
            <w:shd w:val="clear" w:color="auto" w:fill="F9F9FB"/>
          </w:tcPr>
          <w:p w14:paraId="56DAD53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single" w:sz="8" w:space="0" w:color="E0E0E0"/>
            </w:tcBorders>
            <w:shd w:val="clear" w:color="auto" w:fill="F9F9FB"/>
          </w:tcPr>
          <w:p w14:paraId="56DAD54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nil"/>
              <w:right w:val="nil"/>
            </w:tcBorders>
            <w:shd w:val="clear" w:color="auto" w:fill="F9F9FB"/>
          </w:tcPr>
          <w:p w14:paraId="56DAD541"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51" w14:textId="77777777">
        <w:trPr>
          <w:cantSplit/>
        </w:trPr>
        <w:tc>
          <w:tcPr>
            <w:tcW w:w="900" w:type="dxa"/>
            <w:vMerge w:val="restart"/>
            <w:tcBorders>
              <w:top w:val="single" w:sz="8" w:space="0" w:color="AEAEAE"/>
              <w:left w:val="nil"/>
              <w:bottom w:val="single" w:sz="8" w:space="0" w:color="152935"/>
              <w:right w:val="nil"/>
            </w:tcBorders>
            <w:shd w:val="clear" w:color="auto" w:fill="E0E0E0"/>
          </w:tcPr>
          <w:p w14:paraId="56DAD54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Return on Equity</w:t>
            </w:r>
          </w:p>
        </w:tc>
        <w:tc>
          <w:tcPr>
            <w:tcW w:w="1350" w:type="dxa"/>
            <w:tcBorders>
              <w:top w:val="single" w:sz="8" w:space="0" w:color="AEAEAE"/>
              <w:left w:val="nil"/>
              <w:bottom w:val="single" w:sz="8" w:space="0" w:color="AEAEAE"/>
              <w:right w:val="nil"/>
            </w:tcBorders>
            <w:shd w:val="clear" w:color="auto" w:fill="E0E0E0"/>
          </w:tcPr>
          <w:p w14:paraId="56DAD54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Pearson Correlation</w:t>
            </w:r>
          </w:p>
        </w:tc>
        <w:tc>
          <w:tcPr>
            <w:tcW w:w="630" w:type="dxa"/>
            <w:tcBorders>
              <w:top w:val="single" w:sz="8" w:space="0" w:color="AEAEAE"/>
              <w:left w:val="nil"/>
              <w:bottom w:val="single" w:sz="8" w:space="0" w:color="AEAEAE"/>
              <w:right w:val="single" w:sz="8" w:space="0" w:color="E0E0E0"/>
            </w:tcBorders>
            <w:shd w:val="clear" w:color="auto" w:fill="F9F9FB"/>
          </w:tcPr>
          <w:p w14:paraId="56DAD54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-.343</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4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-.250</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4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54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-.289</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4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-.437</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4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r>
              <w:rPr>
                <w:rFonts w:ascii="Times New Roman" w:eastAsia="Times New Roman" w:hAnsi="Times New Roman" w:cs="Times New Roman"/>
                <w:sz w:val="14"/>
                <w:szCs w:val="14"/>
                <w:vertAlign w:val="superscript"/>
              </w:rPr>
              <w:t>a</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4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.362</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4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.223</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4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.316</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4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.572</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4F"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.884</w:t>
            </w:r>
            <w:r>
              <w:rPr>
                <w:rFonts w:ascii="Times New Roman" w:eastAsia="Times New Roman" w:hAnsi="Times New Roman" w:cs="Times New Roman"/>
                <w:sz w:val="14"/>
                <w:szCs w:val="14"/>
                <w:vertAlign w:val="superscript"/>
              </w:rPr>
              <w:t>*</w:t>
            </w:r>
          </w:p>
        </w:tc>
        <w:tc>
          <w:tcPr>
            <w:tcW w:w="540" w:type="dxa"/>
            <w:tcBorders>
              <w:top w:val="single" w:sz="8" w:space="0" w:color="AEAEAE"/>
              <w:left w:val="single" w:sz="8" w:space="0" w:color="E0E0E0"/>
              <w:bottom w:val="single" w:sz="8" w:space="0" w:color="AEAEAE"/>
              <w:right w:val="nil"/>
            </w:tcBorders>
            <w:shd w:val="clear" w:color="auto" w:fill="F9F9FB"/>
          </w:tcPr>
          <w:p w14:paraId="56DAD55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1</w:t>
            </w:r>
          </w:p>
        </w:tc>
      </w:tr>
      <w:tr w:rsidR="004322E7" w14:paraId="56DAD560" w14:textId="77777777">
        <w:trPr>
          <w:cantSplit/>
        </w:trPr>
        <w:tc>
          <w:tcPr>
            <w:tcW w:w="900" w:type="dxa"/>
            <w:vMerge/>
            <w:tcBorders>
              <w:top w:val="single" w:sz="8" w:space="0" w:color="AEAEAE"/>
              <w:left w:val="nil"/>
              <w:bottom w:val="single" w:sz="8" w:space="0" w:color="152935"/>
              <w:right w:val="nil"/>
            </w:tcBorders>
            <w:shd w:val="clear" w:color="auto" w:fill="E0E0E0"/>
          </w:tcPr>
          <w:p w14:paraId="56DAD552"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AEAEAE"/>
              <w:right w:val="nil"/>
            </w:tcBorders>
            <w:shd w:val="clear" w:color="auto" w:fill="E0E0E0"/>
          </w:tcPr>
          <w:p w14:paraId="56DAD55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Sig. (2-tailed)</w:t>
            </w:r>
          </w:p>
        </w:tc>
        <w:tc>
          <w:tcPr>
            <w:tcW w:w="630" w:type="dxa"/>
            <w:tcBorders>
              <w:top w:val="single" w:sz="8" w:space="0" w:color="AEAEAE"/>
              <w:left w:val="nil"/>
              <w:bottom w:val="single" w:sz="8" w:space="0" w:color="AEAEAE"/>
              <w:right w:val="single" w:sz="8" w:space="0" w:color="E0E0E0"/>
            </w:tcBorders>
            <w:shd w:val="clear" w:color="auto" w:fill="F9F9FB"/>
          </w:tcPr>
          <w:p w14:paraId="56DAD55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.506</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5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.633</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5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1170" w:type="dxa"/>
            <w:tcBorders>
              <w:top w:val="single" w:sz="8" w:space="0" w:color="AEAEAE"/>
              <w:left w:val="single" w:sz="8" w:space="0" w:color="E0E0E0"/>
              <w:bottom w:val="single" w:sz="8" w:space="0" w:color="AEAEAE"/>
              <w:right w:val="single" w:sz="8" w:space="0" w:color="E0E0E0"/>
            </w:tcBorders>
            <w:shd w:val="clear" w:color="auto" w:fill="F9F9FB"/>
          </w:tcPr>
          <w:p w14:paraId="56DAD55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.579</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5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.386</w:t>
            </w:r>
          </w:p>
        </w:tc>
        <w:tc>
          <w:tcPr>
            <w:tcW w:w="810" w:type="dxa"/>
            <w:tcBorders>
              <w:top w:val="single" w:sz="8" w:space="0" w:color="AEAEAE"/>
              <w:left w:val="single" w:sz="8" w:space="0" w:color="E0E0E0"/>
              <w:bottom w:val="single" w:sz="8" w:space="0" w:color="AEAEAE"/>
              <w:right w:val="single" w:sz="8" w:space="0" w:color="E0E0E0"/>
            </w:tcBorders>
            <w:shd w:val="clear" w:color="auto" w:fill="F9F9FB"/>
          </w:tcPr>
          <w:p w14:paraId="56DAD55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5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.480</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5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.671</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5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.542</w:t>
            </w:r>
          </w:p>
        </w:tc>
        <w:tc>
          <w:tcPr>
            <w:tcW w:w="630" w:type="dxa"/>
            <w:tcBorders>
              <w:top w:val="single" w:sz="8" w:space="0" w:color="AEAEAE"/>
              <w:left w:val="single" w:sz="8" w:space="0" w:color="E0E0E0"/>
              <w:bottom w:val="single" w:sz="8" w:space="0" w:color="AEAEAE"/>
              <w:right w:val="single" w:sz="8" w:space="0" w:color="E0E0E0"/>
            </w:tcBorders>
            <w:shd w:val="clear" w:color="auto" w:fill="F9F9FB"/>
          </w:tcPr>
          <w:p w14:paraId="56DAD55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.236</w:t>
            </w:r>
          </w:p>
        </w:tc>
        <w:tc>
          <w:tcPr>
            <w:tcW w:w="540" w:type="dxa"/>
            <w:tcBorders>
              <w:top w:val="single" w:sz="8" w:space="0" w:color="AEAEAE"/>
              <w:left w:val="single" w:sz="8" w:space="0" w:color="E0E0E0"/>
              <w:bottom w:val="single" w:sz="8" w:space="0" w:color="AEAEAE"/>
              <w:right w:val="single" w:sz="8" w:space="0" w:color="E0E0E0"/>
            </w:tcBorders>
            <w:shd w:val="clear" w:color="auto" w:fill="F9F9FB"/>
          </w:tcPr>
          <w:p w14:paraId="56DAD55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.019</w:t>
            </w:r>
          </w:p>
        </w:tc>
        <w:tc>
          <w:tcPr>
            <w:tcW w:w="540" w:type="dxa"/>
            <w:tcBorders>
              <w:top w:val="single" w:sz="8" w:space="0" w:color="AEAEAE"/>
              <w:left w:val="single" w:sz="8" w:space="0" w:color="E0E0E0"/>
              <w:bottom w:val="single" w:sz="8" w:space="0" w:color="AEAEAE"/>
              <w:right w:val="nil"/>
            </w:tcBorders>
            <w:shd w:val="clear" w:color="auto" w:fill="F9F9FB"/>
            <w:vAlign w:val="center"/>
          </w:tcPr>
          <w:p w14:paraId="56DAD55F" w14:textId="77777777" w:rsidR="004322E7" w:rsidRDefault="004322E7">
            <w:pPr>
              <w:spacing w:line="360" w:lineRule="auto"/>
              <w:jc w:val="both"/>
              <w:rPr>
                <w:rFonts w:ascii="Times New Roman" w:eastAsia="Times New Roman" w:hAnsi="Times New Roman" w:cs="Times New Roman"/>
                <w:sz w:val="14"/>
                <w:szCs w:val="14"/>
              </w:rPr>
            </w:pPr>
          </w:p>
        </w:tc>
      </w:tr>
      <w:tr w:rsidR="004322E7" w14:paraId="56DAD56F" w14:textId="77777777">
        <w:trPr>
          <w:cantSplit/>
        </w:trPr>
        <w:tc>
          <w:tcPr>
            <w:tcW w:w="900" w:type="dxa"/>
            <w:vMerge/>
            <w:tcBorders>
              <w:top w:val="single" w:sz="8" w:space="0" w:color="AEAEAE"/>
              <w:left w:val="nil"/>
              <w:bottom w:val="single" w:sz="8" w:space="0" w:color="152935"/>
              <w:right w:val="nil"/>
            </w:tcBorders>
            <w:shd w:val="clear" w:color="auto" w:fill="E0E0E0"/>
          </w:tcPr>
          <w:p w14:paraId="56DAD561" w14:textId="77777777" w:rsidR="004322E7" w:rsidRDefault="004322E7">
            <w:pPr>
              <w:widowControl w:val="0"/>
              <w:pBdr>
                <w:top w:val="nil"/>
                <w:left w:val="nil"/>
                <w:bottom w:val="nil"/>
                <w:right w:val="nil"/>
                <w:between w:val="nil"/>
              </w:pBdr>
              <w:spacing w:after="0" w:line="276" w:lineRule="auto"/>
              <w:rPr>
                <w:rFonts w:ascii="Times New Roman" w:eastAsia="Times New Roman" w:hAnsi="Times New Roman" w:cs="Times New Roman"/>
                <w:sz w:val="14"/>
                <w:szCs w:val="14"/>
              </w:rPr>
            </w:pPr>
          </w:p>
        </w:tc>
        <w:tc>
          <w:tcPr>
            <w:tcW w:w="1350" w:type="dxa"/>
            <w:tcBorders>
              <w:top w:val="single" w:sz="8" w:space="0" w:color="AEAEAE"/>
              <w:left w:val="nil"/>
              <w:bottom w:val="single" w:sz="8" w:space="0" w:color="152935"/>
              <w:right w:val="nil"/>
            </w:tcBorders>
            <w:shd w:val="clear" w:color="auto" w:fill="E0E0E0"/>
          </w:tcPr>
          <w:p w14:paraId="56DAD56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N</w:t>
            </w:r>
          </w:p>
        </w:tc>
        <w:tc>
          <w:tcPr>
            <w:tcW w:w="630" w:type="dxa"/>
            <w:tcBorders>
              <w:top w:val="single" w:sz="8" w:space="0" w:color="AEAEAE"/>
              <w:left w:val="nil"/>
              <w:bottom w:val="single" w:sz="8" w:space="0" w:color="152935"/>
              <w:right w:val="single" w:sz="8" w:space="0" w:color="E0E0E0"/>
            </w:tcBorders>
            <w:shd w:val="clear" w:color="auto" w:fill="F9F9FB"/>
          </w:tcPr>
          <w:p w14:paraId="56DAD563"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single" w:sz="8" w:space="0" w:color="152935"/>
              <w:right w:val="single" w:sz="8" w:space="0" w:color="E0E0E0"/>
            </w:tcBorders>
            <w:shd w:val="clear" w:color="auto" w:fill="F9F9FB"/>
          </w:tcPr>
          <w:p w14:paraId="56DAD564"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single" w:sz="8" w:space="0" w:color="152935"/>
              <w:right w:val="single" w:sz="8" w:space="0" w:color="E0E0E0"/>
            </w:tcBorders>
            <w:shd w:val="clear" w:color="auto" w:fill="F9F9FB"/>
          </w:tcPr>
          <w:p w14:paraId="56DAD565"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1170" w:type="dxa"/>
            <w:tcBorders>
              <w:top w:val="single" w:sz="8" w:space="0" w:color="AEAEAE"/>
              <w:left w:val="single" w:sz="8" w:space="0" w:color="E0E0E0"/>
              <w:bottom w:val="single" w:sz="8" w:space="0" w:color="152935"/>
              <w:right w:val="single" w:sz="8" w:space="0" w:color="E0E0E0"/>
            </w:tcBorders>
            <w:shd w:val="clear" w:color="auto" w:fill="F9F9FB"/>
          </w:tcPr>
          <w:p w14:paraId="56DAD566"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single" w:sz="8" w:space="0" w:color="152935"/>
              <w:right w:val="single" w:sz="8" w:space="0" w:color="E0E0E0"/>
            </w:tcBorders>
            <w:shd w:val="clear" w:color="auto" w:fill="F9F9FB"/>
          </w:tcPr>
          <w:p w14:paraId="56DAD567"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810" w:type="dxa"/>
            <w:tcBorders>
              <w:top w:val="single" w:sz="8" w:space="0" w:color="AEAEAE"/>
              <w:left w:val="single" w:sz="8" w:space="0" w:color="E0E0E0"/>
              <w:bottom w:val="single" w:sz="8" w:space="0" w:color="152935"/>
              <w:right w:val="single" w:sz="8" w:space="0" w:color="E0E0E0"/>
            </w:tcBorders>
            <w:shd w:val="clear" w:color="auto" w:fill="F9F9FB"/>
          </w:tcPr>
          <w:p w14:paraId="56DAD568"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single" w:sz="8" w:space="0" w:color="152935"/>
              <w:right w:val="single" w:sz="8" w:space="0" w:color="E0E0E0"/>
            </w:tcBorders>
            <w:shd w:val="clear" w:color="auto" w:fill="F9F9FB"/>
          </w:tcPr>
          <w:p w14:paraId="56DAD569"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single" w:sz="8" w:space="0" w:color="152935"/>
              <w:right w:val="single" w:sz="8" w:space="0" w:color="E0E0E0"/>
            </w:tcBorders>
            <w:shd w:val="clear" w:color="auto" w:fill="F9F9FB"/>
          </w:tcPr>
          <w:p w14:paraId="56DAD56A"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single" w:sz="8" w:space="0" w:color="152935"/>
              <w:right w:val="single" w:sz="8" w:space="0" w:color="E0E0E0"/>
            </w:tcBorders>
            <w:shd w:val="clear" w:color="auto" w:fill="F9F9FB"/>
          </w:tcPr>
          <w:p w14:paraId="56DAD56B"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630" w:type="dxa"/>
            <w:tcBorders>
              <w:top w:val="single" w:sz="8" w:space="0" w:color="AEAEAE"/>
              <w:left w:val="single" w:sz="8" w:space="0" w:color="E0E0E0"/>
              <w:bottom w:val="single" w:sz="8" w:space="0" w:color="152935"/>
              <w:right w:val="single" w:sz="8" w:space="0" w:color="E0E0E0"/>
            </w:tcBorders>
            <w:shd w:val="clear" w:color="auto" w:fill="F9F9FB"/>
          </w:tcPr>
          <w:p w14:paraId="56DAD56C"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single" w:sz="8" w:space="0" w:color="152935"/>
              <w:right w:val="single" w:sz="8" w:space="0" w:color="E0E0E0"/>
            </w:tcBorders>
            <w:shd w:val="clear" w:color="auto" w:fill="F9F9FB"/>
          </w:tcPr>
          <w:p w14:paraId="56DAD56D"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c>
          <w:tcPr>
            <w:tcW w:w="540" w:type="dxa"/>
            <w:tcBorders>
              <w:top w:val="single" w:sz="8" w:space="0" w:color="AEAEAE"/>
              <w:left w:val="single" w:sz="8" w:space="0" w:color="E0E0E0"/>
              <w:bottom w:val="single" w:sz="8" w:space="0" w:color="152935"/>
              <w:right w:val="nil"/>
            </w:tcBorders>
            <w:shd w:val="clear" w:color="auto" w:fill="F9F9FB"/>
          </w:tcPr>
          <w:p w14:paraId="56DAD56E"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6</w:t>
            </w:r>
          </w:p>
        </w:tc>
      </w:tr>
      <w:tr w:rsidR="004322E7" w14:paraId="56DAD571" w14:textId="77777777">
        <w:trPr>
          <w:cantSplit/>
        </w:trPr>
        <w:tc>
          <w:tcPr>
            <w:tcW w:w="10350" w:type="dxa"/>
            <w:gridSpan w:val="14"/>
            <w:tcBorders>
              <w:top w:val="nil"/>
              <w:left w:val="nil"/>
              <w:bottom w:val="nil"/>
              <w:right w:val="nil"/>
            </w:tcBorders>
            <w:shd w:val="clear" w:color="auto" w:fill="FFFFFF"/>
          </w:tcPr>
          <w:p w14:paraId="56DAD570"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 Correlation is significant at the 0.05 level (2-tailed).</w:t>
            </w:r>
          </w:p>
        </w:tc>
      </w:tr>
      <w:tr w:rsidR="004322E7" w14:paraId="56DAD573" w14:textId="77777777">
        <w:trPr>
          <w:cantSplit/>
        </w:trPr>
        <w:tc>
          <w:tcPr>
            <w:tcW w:w="10350" w:type="dxa"/>
            <w:gridSpan w:val="14"/>
            <w:tcBorders>
              <w:top w:val="nil"/>
              <w:left w:val="nil"/>
              <w:bottom w:val="nil"/>
              <w:right w:val="nil"/>
            </w:tcBorders>
            <w:shd w:val="clear" w:color="auto" w:fill="FFFFFF"/>
          </w:tcPr>
          <w:p w14:paraId="56DAD572" w14:textId="77777777" w:rsidR="004322E7" w:rsidRDefault="000C275E">
            <w:pPr>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 Correlation is significant at the 0.01 level (2-tailed).</w:t>
            </w:r>
          </w:p>
        </w:tc>
      </w:tr>
      <w:tr w:rsidR="004322E7" w14:paraId="56DAD575" w14:textId="77777777">
        <w:trPr>
          <w:cantSplit/>
        </w:trPr>
        <w:tc>
          <w:tcPr>
            <w:tcW w:w="10350" w:type="dxa"/>
            <w:gridSpan w:val="14"/>
            <w:tcBorders>
              <w:top w:val="nil"/>
              <w:left w:val="nil"/>
              <w:bottom w:val="nil"/>
              <w:right w:val="nil"/>
            </w:tcBorders>
            <w:shd w:val="clear" w:color="auto" w:fill="FFFFFF"/>
          </w:tcPr>
          <w:p w14:paraId="4C48F617" w14:textId="77777777" w:rsidR="004322E7" w:rsidRDefault="000C275E" w:rsidP="00427202">
            <w:pPr>
              <w:keepNext/>
              <w:spacing w:line="360" w:lineRule="auto"/>
              <w:jc w:val="both"/>
              <w:rPr>
                <w:rFonts w:ascii="Times New Roman" w:eastAsia="Times New Roman" w:hAnsi="Times New Roman" w:cs="Times New Roman"/>
                <w:sz w:val="14"/>
                <w:szCs w:val="14"/>
              </w:rPr>
            </w:pPr>
            <w:r>
              <w:rPr>
                <w:rFonts w:ascii="Times New Roman" w:eastAsia="Times New Roman" w:hAnsi="Times New Roman" w:cs="Times New Roman"/>
                <w:sz w:val="14"/>
                <w:szCs w:val="14"/>
              </w:rPr>
              <w:t>a. Cannot be computed because at least one of the variables is constant.</w:t>
            </w:r>
          </w:p>
          <w:p w14:paraId="56DAD574" w14:textId="5CEB9667" w:rsidR="001430E9" w:rsidRDefault="001430E9" w:rsidP="00427202">
            <w:pPr>
              <w:keepNext/>
              <w:spacing w:line="360" w:lineRule="auto"/>
              <w:jc w:val="both"/>
              <w:rPr>
                <w:rFonts w:ascii="Times New Roman" w:eastAsia="Times New Roman" w:hAnsi="Times New Roman" w:cs="Times New Roman"/>
                <w:sz w:val="14"/>
                <w:szCs w:val="14"/>
              </w:rPr>
            </w:pPr>
          </w:p>
        </w:tc>
      </w:tr>
    </w:tbl>
    <w:p w14:paraId="66D584BF" w14:textId="3B4B6D5E" w:rsidR="00427202" w:rsidRPr="001470FE" w:rsidRDefault="00427202">
      <w:pPr>
        <w:pStyle w:val="Caption"/>
        <w:rPr>
          <w:rFonts w:ascii="Times New Roman" w:hAnsi="Times New Roman" w:cs="Times New Roman"/>
          <w:color w:val="auto"/>
          <w:sz w:val="24"/>
          <w:szCs w:val="24"/>
        </w:rPr>
      </w:pPr>
      <w:bookmarkStart w:id="33" w:name="_Toc237010701"/>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5</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Pearson correlation matrix for all study variables.</w:t>
      </w:r>
      <w:bookmarkEnd w:id="33"/>
    </w:p>
    <w:p w14:paraId="56DAD577"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78"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 xml:space="preserve">Two governance factors. CEO Duality and Audit Independence had no relationships since they were consistent across all six businesses, indicating that they should be eliminated from regression </w:t>
      </w:r>
      <w:r w:rsidRPr="001470FE">
        <w:rPr>
          <w:rFonts w:ascii="Times New Roman" w:eastAsia="Times New Roman" w:hAnsi="Times New Roman" w:cs="Times New Roman"/>
        </w:rPr>
        <w:lastRenderedPageBreak/>
        <w:t>analysis because zero variance predictors cannot explain variation in ROA or ROE. Several connections were statistically significant at the p &lt;.05 level. Board independence was substantially positively connected with Audit Committee Meetings (r =.844, p =.035), indicating complementary monitoring systems, which is consistent with Kyere and Ausloos' findings (2021). The Composite ESG Score was substantially linked with its pillars: Environmental (r =.973, p =.001), Social (r =.966, p =.002), and Governance (r =.983, p &lt;.001), indicating potential multicollinearity issues. ROA and ROE were similarly substantially related (r =.884, p =.019), demonstrating their common trend despite different distributions.</w:t>
      </w:r>
    </w:p>
    <w:p w14:paraId="56DAD579"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No governance or ESG variables had significant bivariate relationships with ROA or ROE. Board Independence, on the other hand, exhibited moderate negative associations with ROA (r = -.639, p =.172) and ROE (r = -.250, p =.633), while Audit Meetings showed a near-significant negative connection with ROA (r = -.790, p =.061). Given the limited sample size (n = 6), these patterns are preliminary; multivariate regression models offer a more solid assessment of RQ1 and RQ2.</w:t>
      </w:r>
    </w:p>
    <w:p w14:paraId="56DAD57A" w14:textId="77777777" w:rsidR="004322E7" w:rsidRPr="001470FE" w:rsidRDefault="000C275E">
      <w:pPr>
        <w:pStyle w:val="Heading2"/>
        <w:spacing w:line="360" w:lineRule="auto"/>
        <w:rPr>
          <w:rFonts w:ascii="Times New Roman" w:eastAsia="Times New Roman" w:hAnsi="Times New Roman" w:cs="Times New Roman"/>
          <w:b/>
          <w:bCs/>
          <w:color w:val="auto"/>
          <w:sz w:val="24"/>
          <w:szCs w:val="24"/>
        </w:rPr>
      </w:pPr>
      <w:bookmarkStart w:id="34" w:name="_Toc237010683"/>
      <w:r w:rsidRPr="001470FE">
        <w:rPr>
          <w:rFonts w:ascii="Times New Roman" w:eastAsia="Times New Roman" w:hAnsi="Times New Roman" w:cs="Times New Roman"/>
          <w:b/>
          <w:bCs/>
          <w:color w:val="auto"/>
          <w:sz w:val="24"/>
          <w:szCs w:val="24"/>
        </w:rPr>
        <w:t>4.3 Regression Analysis</w:t>
      </w:r>
      <w:bookmarkEnd w:id="34"/>
    </w:p>
    <w:p w14:paraId="56DAD57B"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Three regression models were estimated to address RQ1–RQ3. CEO Duality and Audit Independence were excluded from Model 1 because both were constant across firms, leaving Board Size, Board Independence, Ownership Concentration, and Audit Meetings as predictors. Model 2 used individual ESG pillars rather than the composite score to avoid severe multicollinearity (r = .966–.983).</w:t>
      </w:r>
    </w:p>
    <w:p w14:paraId="56DAD57C" w14:textId="77777777" w:rsidR="004322E7" w:rsidRPr="001470FE" w:rsidRDefault="000C275E">
      <w:pPr>
        <w:pStyle w:val="Heading3"/>
        <w:spacing w:line="360" w:lineRule="auto"/>
        <w:rPr>
          <w:rFonts w:ascii="Times New Roman" w:eastAsia="Times New Roman" w:hAnsi="Times New Roman" w:cs="Times New Roman"/>
          <w:b/>
          <w:bCs/>
          <w:color w:val="auto"/>
          <w:sz w:val="24"/>
          <w:szCs w:val="24"/>
        </w:rPr>
      </w:pPr>
      <w:bookmarkStart w:id="35" w:name="_Toc237010684"/>
      <w:r w:rsidRPr="001470FE">
        <w:rPr>
          <w:rFonts w:ascii="Times New Roman" w:eastAsia="Times New Roman" w:hAnsi="Times New Roman" w:cs="Times New Roman"/>
          <w:b/>
          <w:bCs/>
          <w:color w:val="auto"/>
          <w:sz w:val="24"/>
          <w:szCs w:val="24"/>
        </w:rPr>
        <w:lastRenderedPageBreak/>
        <w:t>4.3.1 Model 1: Corporate Governance- Financial Performance</w:t>
      </w:r>
      <w:bookmarkEnd w:id="35"/>
    </w:p>
    <w:p w14:paraId="56DAD57D" w14:textId="77777777" w:rsidR="004322E7" w:rsidRPr="001470FE" w:rsidRDefault="000C275E">
      <w:pPr>
        <w:pStyle w:val="Heading4"/>
        <w:spacing w:line="360" w:lineRule="auto"/>
        <w:rPr>
          <w:rFonts w:ascii="Times New Roman" w:eastAsia="Times New Roman" w:hAnsi="Times New Roman" w:cs="Times New Roman"/>
          <w:b/>
          <w:bCs/>
          <w:color w:val="auto"/>
        </w:rPr>
      </w:pPr>
      <w:r w:rsidRPr="001470FE">
        <w:rPr>
          <w:rFonts w:ascii="Times New Roman" w:eastAsia="Times New Roman" w:hAnsi="Times New Roman" w:cs="Times New Roman"/>
          <w:b/>
          <w:bCs/>
          <w:color w:val="auto"/>
        </w:rPr>
        <w:t>Model 1a - Dependent Variable: Return on Assets (ROA)</w:t>
      </w:r>
    </w:p>
    <w:p w14:paraId="0BC35B62" w14:textId="77777777" w:rsidR="00427202" w:rsidRPr="001470FE" w:rsidRDefault="000C275E" w:rsidP="00427202">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54" wp14:editId="0710EBE9">
            <wp:extent cx="4505696" cy="2379008"/>
            <wp:effectExtent l="0" t="0" r="0" b="0"/>
            <wp:docPr id="211988722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8"/>
                    <a:srcRect/>
                    <a:stretch>
                      <a:fillRect/>
                    </a:stretch>
                  </pic:blipFill>
                  <pic:spPr>
                    <a:xfrm>
                      <a:off x="0" y="0"/>
                      <a:ext cx="4505696" cy="2379008"/>
                    </a:xfrm>
                    <a:prstGeom prst="rect">
                      <a:avLst/>
                    </a:prstGeom>
                    <a:ln/>
                  </pic:spPr>
                </pic:pic>
              </a:graphicData>
            </a:graphic>
          </wp:inline>
        </w:drawing>
      </w:r>
    </w:p>
    <w:p w14:paraId="56DAD57E" w14:textId="44BABDE4" w:rsidR="004322E7" w:rsidRPr="001470FE" w:rsidRDefault="00427202" w:rsidP="00427202">
      <w:pPr>
        <w:pStyle w:val="Caption"/>
        <w:jc w:val="both"/>
        <w:rPr>
          <w:rFonts w:ascii="Times New Roman" w:eastAsia="Times New Roman" w:hAnsi="Times New Roman" w:cs="Times New Roman"/>
          <w:color w:val="auto"/>
          <w:sz w:val="24"/>
          <w:szCs w:val="24"/>
        </w:rPr>
      </w:pPr>
      <w:bookmarkStart w:id="36" w:name="_Toc237010702"/>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6</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1a (ROA) model summary</w:t>
      </w:r>
      <w:bookmarkEnd w:id="36"/>
    </w:p>
    <w:p w14:paraId="56DAD580"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6D2BCDD3" w14:textId="77777777" w:rsidR="00EB27D0" w:rsidRDefault="00EB27D0" w:rsidP="00427202">
      <w:pPr>
        <w:keepNext/>
        <w:spacing w:line="360" w:lineRule="auto"/>
        <w:jc w:val="both"/>
        <w:rPr>
          <w:rFonts w:ascii="Times New Roman" w:hAnsi="Times New Roman" w:cs="Times New Roman"/>
        </w:rPr>
      </w:pPr>
    </w:p>
    <w:p w14:paraId="6FC3C1D4" w14:textId="2F37079D" w:rsidR="00427202" w:rsidRPr="001470FE" w:rsidRDefault="000C275E" w:rsidP="00427202">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56" wp14:editId="56DAD657">
            <wp:extent cx="4849045" cy="2699612"/>
            <wp:effectExtent l="0" t="0" r="0" b="0"/>
            <wp:docPr id="211988721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4849045" cy="2699612"/>
                    </a:xfrm>
                    <a:prstGeom prst="rect">
                      <a:avLst/>
                    </a:prstGeom>
                    <a:ln/>
                  </pic:spPr>
                </pic:pic>
              </a:graphicData>
            </a:graphic>
          </wp:inline>
        </w:drawing>
      </w:r>
    </w:p>
    <w:p w14:paraId="56DAD581" w14:textId="34FE867C" w:rsidR="004322E7" w:rsidRPr="001470FE" w:rsidRDefault="00427202" w:rsidP="00427202">
      <w:pPr>
        <w:pStyle w:val="Caption"/>
        <w:jc w:val="both"/>
        <w:rPr>
          <w:rFonts w:ascii="Times New Roman" w:eastAsia="Times New Roman" w:hAnsi="Times New Roman" w:cs="Times New Roman"/>
          <w:color w:val="auto"/>
          <w:sz w:val="24"/>
          <w:szCs w:val="24"/>
        </w:rPr>
      </w:pPr>
      <w:bookmarkStart w:id="37" w:name="_Toc237010703"/>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7</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1a (ROA) ANOVA.</w:t>
      </w:r>
      <w:bookmarkEnd w:id="37"/>
    </w:p>
    <w:p w14:paraId="56DAD583"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7F4ABBAB" w14:textId="77777777" w:rsidR="00427202" w:rsidRPr="001470FE" w:rsidRDefault="000C275E" w:rsidP="00427202">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lastRenderedPageBreak/>
        <w:drawing>
          <wp:inline distT="0" distB="0" distL="0" distR="0" wp14:anchorId="56DAD658" wp14:editId="56DAD659">
            <wp:extent cx="4840027" cy="3613990"/>
            <wp:effectExtent l="0" t="0" r="0" b="0"/>
            <wp:docPr id="211988722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0"/>
                    <a:srcRect/>
                    <a:stretch>
                      <a:fillRect/>
                    </a:stretch>
                  </pic:blipFill>
                  <pic:spPr>
                    <a:xfrm>
                      <a:off x="0" y="0"/>
                      <a:ext cx="4840027" cy="3613990"/>
                    </a:xfrm>
                    <a:prstGeom prst="rect">
                      <a:avLst/>
                    </a:prstGeom>
                    <a:ln/>
                  </pic:spPr>
                </pic:pic>
              </a:graphicData>
            </a:graphic>
          </wp:inline>
        </w:drawing>
      </w:r>
    </w:p>
    <w:p w14:paraId="56DAD584" w14:textId="6C8ABD1E" w:rsidR="004322E7" w:rsidRPr="001470FE" w:rsidRDefault="00427202" w:rsidP="00427202">
      <w:pPr>
        <w:pStyle w:val="Caption"/>
        <w:jc w:val="both"/>
        <w:rPr>
          <w:rFonts w:ascii="Times New Roman" w:eastAsia="Times New Roman" w:hAnsi="Times New Roman" w:cs="Times New Roman"/>
          <w:color w:val="auto"/>
          <w:sz w:val="24"/>
          <w:szCs w:val="24"/>
        </w:rPr>
      </w:pPr>
      <w:bookmarkStart w:id="38" w:name="_Toc237010704"/>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8</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1a (ROA) coefficients</w:t>
      </w:r>
      <w:bookmarkEnd w:id="38"/>
    </w:p>
    <w:p w14:paraId="56DAD586"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87"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Model 1 clearly differentiates between the ROA and ROE requirements. The four governance factors explain considerable variance in ROA (R² =.990; Adjusted R² =.952), but the model is not statistically significant (F(4, 1) = 25.764, p =.147). The ROE model has a near-perfect fit (R² =.999; Adjusted R² =.997) and approaches significance (F(4, 1) = 390.370, p =.038). This provides partial support for RQ1 by demonstrating a governance-ROE link but no confirmable governance-ROA association at p &lt;.05.</w:t>
      </w:r>
    </w:p>
    <w:p w14:paraId="56DAD588"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However, these data must be viewed with caution. Model 1 with n = 6 and four predictors has only one residual degree of freedom, which inflates R² and causes instability in significance tests. The ROA model's non-significant F test and the ROE model's marginal significance are likely due to sample size limits rather than true differences in governance impacts. This is consistent with the finding that no bivariate associations between governance and performance were significant. Hu, Lin, and Tosun (2023) emphasize that assessments of governance performance are very susceptible to sample design.</w:t>
      </w:r>
    </w:p>
    <w:p w14:paraId="56DAD589"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lastRenderedPageBreak/>
        <w:t>The ROA coefficient table supports this conclusion, as none of the governance predictors are significant (p values.090-.701), and all confidence ranges encompass zero. Although Board Size (B =.002) and Board Independence (B =.133) have positive relationships, Ownership Concentration (B = -.219) and Audit Meetings (B = -.069) have negative associations, none of them can be considered verified impacts.</w:t>
      </w:r>
    </w:p>
    <w:p w14:paraId="56DAD58A" w14:textId="77777777" w:rsidR="004322E7" w:rsidRPr="001470FE" w:rsidRDefault="000C275E">
      <w:pPr>
        <w:pStyle w:val="Heading4"/>
        <w:spacing w:line="360" w:lineRule="auto"/>
        <w:rPr>
          <w:rFonts w:ascii="Times New Roman" w:eastAsia="Times New Roman" w:hAnsi="Times New Roman" w:cs="Times New Roman"/>
          <w:b/>
          <w:bCs/>
          <w:color w:val="auto"/>
        </w:rPr>
      </w:pPr>
      <w:r w:rsidRPr="001470FE">
        <w:rPr>
          <w:rFonts w:ascii="Times New Roman" w:eastAsia="Times New Roman" w:hAnsi="Times New Roman" w:cs="Times New Roman"/>
          <w:b/>
          <w:bCs/>
          <w:color w:val="auto"/>
        </w:rPr>
        <w:t>Model 1b - Dependent Variable: Return on Equity (ROE)</w:t>
      </w:r>
    </w:p>
    <w:p w14:paraId="0E255F2C" w14:textId="77777777" w:rsidR="00427202" w:rsidRPr="001470FE" w:rsidRDefault="000C275E" w:rsidP="00427202">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5A" wp14:editId="56DAD65B">
            <wp:extent cx="4625741" cy="2293819"/>
            <wp:effectExtent l="0" t="0" r="0" b="0"/>
            <wp:docPr id="211988722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4625741" cy="2293819"/>
                    </a:xfrm>
                    <a:prstGeom prst="rect">
                      <a:avLst/>
                    </a:prstGeom>
                    <a:ln/>
                  </pic:spPr>
                </pic:pic>
              </a:graphicData>
            </a:graphic>
          </wp:inline>
        </w:drawing>
      </w:r>
    </w:p>
    <w:p w14:paraId="56DAD58B" w14:textId="7900187F" w:rsidR="004322E7" w:rsidRPr="001470FE" w:rsidRDefault="00427202" w:rsidP="00427202">
      <w:pPr>
        <w:pStyle w:val="Caption"/>
        <w:jc w:val="both"/>
        <w:rPr>
          <w:rFonts w:ascii="Times New Roman" w:eastAsia="Times New Roman" w:hAnsi="Times New Roman" w:cs="Times New Roman"/>
          <w:color w:val="auto"/>
          <w:sz w:val="24"/>
          <w:szCs w:val="24"/>
        </w:rPr>
      </w:pPr>
      <w:bookmarkStart w:id="39" w:name="_Toc237010705"/>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9</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1b (ROE) model summary</w:t>
      </w:r>
      <w:bookmarkEnd w:id="39"/>
    </w:p>
    <w:p w14:paraId="56DAD58D"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7B5AAD1" w14:textId="77777777" w:rsidR="0091769E" w:rsidRPr="001470FE" w:rsidRDefault="000C275E" w:rsidP="0091769E">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5C" wp14:editId="4936F911">
            <wp:extent cx="4587240" cy="2346960"/>
            <wp:effectExtent l="0" t="0" r="3810" b="0"/>
            <wp:docPr id="211988722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2"/>
                    <a:srcRect/>
                    <a:stretch>
                      <a:fillRect/>
                    </a:stretch>
                  </pic:blipFill>
                  <pic:spPr>
                    <a:xfrm>
                      <a:off x="0" y="0"/>
                      <a:ext cx="4587457" cy="2347071"/>
                    </a:xfrm>
                    <a:prstGeom prst="rect">
                      <a:avLst/>
                    </a:prstGeom>
                    <a:ln/>
                  </pic:spPr>
                </pic:pic>
              </a:graphicData>
            </a:graphic>
          </wp:inline>
        </w:drawing>
      </w:r>
    </w:p>
    <w:p w14:paraId="56DAD58E" w14:textId="003CBEB7" w:rsidR="004322E7" w:rsidRPr="001470FE" w:rsidRDefault="0091769E" w:rsidP="0091769E">
      <w:pPr>
        <w:pStyle w:val="Caption"/>
        <w:jc w:val="both"/>
        <w:rPr>
          <w:rFonts w:ascii="Times New Roman" w:eastAsia="Times New Roman" w:hAnsi="Times New Roman" w:cs="Times New Roman"/>
          <w:color w:val="auto"/>
          <w:sz w:val="24"/>
          <w:szCs w:val="24"/>
        </w:rPr>
      </w:pPr>
      <w:bookmarkStart w:id="40" w:name="_Toc237010706"/>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10</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1b (ROE) ANOVA</w:t>
      </w:r>
      <w:bookmarkEnd w:id="40"/>
    </w:p>
    <w:p w14:paraId="56DAD590"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387D3DC0" w14:textId="77777777" w:rsidR="0091769E" w:rsidRPr="001470FE" w:rsidRDefault="000C275E" w:rsidP="0091769E">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lastRenderedPageBreak/>
        <w:drawing>
          <wp:inline distT="0" distB="0" distL="0" distR="0" wp14:anchorId="56DAD65E" wp14:editId="56DAD65F">
            <wp:extent cx="5340472" cy="3388575"/>
            <wp:effectExtent l="0" t="0" r="0" b="0"/>
            <wp:docPr id="2119887224"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3"/>
                    <a:srcRect/>
                    <a:stretch>
                      <a:fillRect/>
                    </a:stretch>
                  </pic:blipFill>
                  <pic:spPr>
                    <a:xfrm>
                      <a:off x="0" y="0"/>
                      <a:ext cx="5340472" cy="3388575"/>
                    </a:xfrm>
                    <a:prstGeom prst="rect">
                      <a:avLst/>
                    </a:prstGeom>
                    <a:ln/>
                  </pic:spPr>
                </pic:pic>
              </a:graphicData>
            </a:graphic>
          </wp:inline>
        </w:drawing>
      </w:r>
    </w:p>
    <w:p w14:paraId="56DAD591" w14:textId="5902F785" w:rsidR="004322E7" w:rsidRPr="001470FE" w:rsidRDefault="0091769E" w:rsidP="0091769E">
      <w:pPr>
        <w:pStyle w:val="Caption"/>
        <w:jc w:val="both"/>
        <w:rPr>
          <w:rFonts w:ascii="Times New Roman" w:eastAsia="Times New Roman" w:hAnsi="Times New Roman" w:cs="Times New Roman"/>
          <w:color w:val="auto"/>
          <w:sz w:val="24"/>
          <w:szCs w:val="24"/>
        </w:rPr>
      </w:pPr>
      <w:bookmarkStart w:id="41" w:name="_Toc237010707"/>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11</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:Model 1b (ROE) coefficients</w:t>
      </w:r>
      <w:bookmarkEnd w:id="41"/>
    </w:p>
    <w:p w14:paraId="56DAD593"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94"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Model 1b explains which governance processes cause the substantial ROE outcome. The only variables approaching conventional significance are ownership concentration (B = -1.338, t = -33.797, p =.019; CI -1.840 to -.835) and audit meetings per year (B = -.336, t = -31.689, p =.020; CI -.471 to -.202), both of which have substantial negative relationships with ROE. Board independence is only slightly significant (B = 1.500, p =.052; CI -.047 to 3.047), while board size is inconsequential (p =.159). These findings show that the model-level ROE significance in Table 4.6b is predominantly driven by ownership concentration and audit meeting frequency, with board independence having a marginally favorable influence.</w:t>
      </w:r>
    </w:p>
    <w:p w14:paraId="56DAD595"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 xml:space="preserve">The standardised Betas for ownership concentration (-1.266) and audit meetings (-1.880) are more than ±1, indicating multicollinearity. This aligns with the substantial connection between Board Independence and Audit Meetings reported in Section 4.3 (r =.844, p =.035). Multicollinearity increases coefficient variance, implying that the direction and significance of these effects are reliable, but the magnitudes should be taken with caution. When combined with Model 1a, evidence for RQ1 demonstrates no substantial governance-ROA link, but a notable adverse </w:t>
      </w:r>
      <w:r w:rsidRPr="001470FE">
        <w:rPr>
          <w:rFonts w:ascii="Times New Roman" w:eastAsia="Times New Roman" w:hAnsi="Times New Roman" w:cs="Times New Roman"/>
        </w:rPr>
        <w:lastRenderedPageBreak/>
        <w:t>relationship exists between ownership concentration and, to a lesser extent, audit meetings and ROE, an imbalance investigated further in Section 5.1.</w:t>
      </w:r>
    </w:p>
    <w:p w14:paraId="56DAD596" w14:textId="77777777" w:rsidR="004322E7" w:rsidRPr="001470FE" w:rsidRDefault="000C275E">
      <w:pPr>
        <w:pStyle w:val="Heading3"/>
        <w:spacing w:line="360" w:lineRule="auto"/>
        <w:rPr>
          <w:rFonts w:ascii="Times New Roman" w:eastAsia="Times New Roman" w:hAnsi="Times New Roman" w:cs="Times New Roman"/>
          <w:b/>
          <w:bCs/>
          <w:color w:val="auto"/>
          <w:sz w:val="24"/>
          <w:szCs w:val="24"/>
        </w:rPr>
      </w:pPr>
      <w:bookmarkStart w:id="42" w:name="_Toc237010685"/>
      <w:r w:rsidRPr="001470FE">
        <w:rPr>
          <w:rFonts w:ascii="Times New Roman" w:eastAsia="Times New Roman" w:hAnsi="Times New Roman" w:cs="Times New Roman"/>
          <w:b/>
          <w:bCs/>
          <w:color w:val="auto"/>
          <w:sz w:val="24"/>
          <w:szCs w:val="24"/>
        </w:rPr>
        <w:t>4.3.2 Model 2: ESG Performance - Financial Performance</w:t>
      </w:r>
      <w:bookmarkEnd w:id="42"/>
    </w:p>
    <w:p w14:paraId="56DAD597" w14:textId="77777777" w:rsidR="004322E7" w:rsidRPr="001470FE" w:rsidRDefault="000C275E">
      <w:pPr>
        <w:pStyle w:val="Heading4"/>
        <w:spacing w:line="360" w:lineRule="auto"/>
        <w:rPr>
          <w:rFonts w:ascii="Times New Roman" w:eastAsia="Times New Roman" w:hAnsi="Times New Roman" w:cs="Times New Roman"/>
          <w:b/>
          <w:bCs/>
          <w:color w:val="auto"/>
        </w:rPr>
      </w:pPr>
      <w:r w:rsidRPr="001470FE">
        <w:rPr>
          <w:rFonts w:ascii="Times New Roman" w:eastAsia="Times New Roman" w:hAnsi="Times New Roman" w:cs="Times New Roman"/>
          <w:b/>
          <w:bCs/>
          <w:color w:val="auto"/>
        </w:rPr>
        <w:t>Model 2a - Dependent Variable: Return on Assets (ROA)</w:t>
      </w:r>
    </w:p>
    <w:p w14:paraId="3D18D152" w14:textId="77777777" w:rsidR="0091769E" w:rsidRPr="001470FE" w:rsidRDefault="000C275E" w:rsidP="0091769E">
      <w:pPr>
        <w:keepNext/>
        <w:spacing w:before="150" w:after="100"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60" wp14:editId="56DAD661">
            <wp:extent cx="4884843" cy="2095682"/>
            <wp:effectExtent l="0" t="0" r="0" b="0"/>
            <wp:docPr id="211988722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4"/>
                    <a:srcRect/>
                    <a:stretch>
                      <a:fillRect/>
                    </a:stretch>
                  </pic:blipFill>
                  <pic:spPr>
                    <a:xfrm>
                      <a:off x="0" y="0"/>
                      <a:ext cx="4884843" cy="2095682"/>
                    </a:xfrm>
                    <a:prstGeom prst="rect">
                      <a:avLst/>
                    </a:prstGeom>
                    <a:ln/>
                  </pic:spPr>
                </pic:pic>
              </a:graphicData>
            </a:graphic>
          </wp:inline>
        </w:drawing>
      </w:r>
    </w:p>
    <w:p w14:paraId="56DAD598" w14:textId="4DA85600" w:rsidR="004322E7" w:rsidRPr="001470FE" w:rsidRDefault="0091769E" w:rsidP="0091769E">
      <w:pPr>
        <w:pStyle w:val="Caption"/>
        <w:jc w:val="both"/>
        <w:rPr>
          <w:rFonts w:ascii="Times New Roman" w:eastAsia="Times New Roman" w:hAnsi="Times New Roman" w:cs="Times New Roman"/>
          <w:color w:val="auto"/>
          <w:sz w:val="24"/>
          <w:szCs w:val="24"/>
        </w:rPr>
      </w:pPr>
      <w:bookmarkStart w:id="43" w:name="_Toc237010708"/>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12</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2a (ROA) model summary</w:t>
      </w:r>
      <w:r w:rsidRPr="001470FE">
        <w:rPr>
          <w:rFonts w:ascii="Times New Roman" w:hAnsi="Times New Roman" w:cs="Times New Roman"/>
          <w:noProof/>
          <w:color w:val="auto"/>
          <w:sz w:val="24"/>
          <w:szCs w:val="24"/>
        </w:rPr>
        <w:t>.</w:t>
      </w:r>
      <w:bookmarkEnd w:id="43"/>
    </w:p>
    <w:p w14:paraId="56DAD59A"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66C72F3D" w14:textId="77777777" w:rsidR="0091769E" w:rsidRPr="001470FE" w:rsidRDefault="000C275E" w:rsidP="0091769E">
      <w:pPr>
        <w:keepNext/>
        <w:spacing w:before="150" w:after="100"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62" wp14:editId="56DAD663">
            <wp:extent cx="5943600" cy="2923540"/>
            <wp:effectExtent l="0" t="0" r="0" b="0"/>
            <wp:docPr id="2119887226"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5"/>
                    <a:srcRect/>
                    <a:stretch>
                      <a:fillRect/>
                    </a:stretch>
                  </pic:blipFill>
                  <pic:spPr>
                    <a:xfrm>
                      <a:off x="0" y="0"/>
                      <a:ext cx="5943600" cy="2923540"/>
                    </a:xfrm>
                    <a:prstGeom prst="rect">
                      <a:avLst/>
                    </a:prstGeom>
                    <a:ln/>
                  </pic:spPr>
                </pic:pic>
              </a:graphicData>
            </a:graphic>
          </wp:inline>
        </w:drawing>
      </w:r>
    </w:p>
    <w:p w14:paraId="56DAD59B" w14:textId="6E32DB63" w:rsidR="004322E7" w:rsidRPr="001470FE" w:rsidRDefault="0091769E" w:rsidP="0091769E">
      <w:pPr>
        <w:pStyle w:val="Caption"/>
        <w:jc w:val="both"/>
        <w:rPr>
          <w:rFonts w:ascii="Times New Roman" w:eastAsia="Times New Roman" w:hAnsi="Times New Roman" w:cs="Times New Roman"/>
          <w:color w:val="auto"/>
          <w:sz w:val="24"/>
          <w:szCs w:val="24"/>
        </w:rPr>
      </w:pPr>
      <w:bookmarkStart w:id="44" w:name="_Toc237010709"/>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13</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2a (ROA) ANOVA</w:t>
      </w:r>
      <w:bookmarkEnd w:id="44"/>
    </w:p>
    <w:p w14:paraId="56DAD59D"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419AF71D" w14:textId="77777777" w:rsidR="0091769E" w:rsidRPr="001470FE" w:rsidRDefault="000C275E" w:rsidP="0091769E">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lastRenderedPageBreak/>
        <w:drawing>
          <wp:inline distT="0" distB="0" distL="0" distR="0" wp14:anchorId="56DAD664" wp14:editId="7B7E8FF6">
            <wp:extent cx="5283200" cy="3183467"/>
            <wp:effectExtent l="0" t="0" r="0" b="0"/>
            <wp:docPr id="2119887227"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6"/>
                    <a:srcRect/>
                    <a:stretch>
                      <a:fillRect/>
                    </a:stretch>
                  </pic:blipFill>
                  <pic:spPr>
                    <a:xfrm>
                      <a:off x="0" y="0"/>
                      <a:ext cx="5288811" cy="3186848"/>
                    </a:xfrm>
                    <a:prstGeom prst="rect">
                      <a:avLst/>
                    </a:prstGeom>
                    <a:ln/>
                  </pic:spPr>
                </pic:pic>
              </a:graphicData>
            </a:graphic>
          </wp:inline>
        </w:drawing>
      </w:r>
    </w:p>
    <w:p w14:paraId="56DAD59E" w14:textId="4EC48EC7" w:rsidR="004322E7" w:rsidRPr="001470FE" w:rsidRDefault="0091769E" w:rsidP="0091769E">
      <w:pPr>
        <w:pStyle w:val="Caption"/>
        <w:jc w:val="both"/>
        <w:rPr>
          <w:rFonts w:ascii="Times New Roman" w:eastAsia="Times New Roman" w:hAnsi="Times New Roman" w:cs="Times New Roman"/>
          <w:color w:val="auto"/>
          <w:sz w:val="24"/>
          <w:szCs w:val="24"/>
        </w:rPr>
      </w:pPr>
      <w:bookmarkStart w:id="45" w:name="_Toc237010710"/>
      <w:r w:rsidRPr="001470FE">
        <w:rPr>
          <w:rFonts w:ascii="Times New Roman" w:hAnsi="Times New Roman" w:cs="Times New Roman"/>
          <w:color w:val="auto"/>
          <w:sz w:val="24"/>
          <w:szCs w:val="24"/>
        </w:rPr>
        <w:t xml:space="preserve">Table </w:t>
      </w:r>
      <w:r w:rsidR="005B6FA6" w:rsidRPr="001470FE">
        <w:rPr>
          <w:rFonts w:ascii="Times New Roman" w:hAnsi="Times New Roman" w:cs="Times New Roman"/>
          <w:color w:val="auto"/>
          <w:sz w:val="24"/>
          <w:szCs w:val="24"/>
        </w:rPr>
        <w:fldChar w:fldCharType="begin"/>
      </w:r>
      <w:r w:rsidR="005B6FA6" w:rsidRPr="001470FE">
        <w:rPr>
          <w:rFonts w:ascii="Times New Roman" w:hAnsi="Times New Roman" w:cs="Times New Roman"/>
          <w:color w:val="auto"/>
          <w:sz w:val="24"/>
          <w:szCs w:val="24"/>
        </w:rPr>
        <w:instrText xml:space="preserve"> SEQ Table \* ARABIC </w:instrText>
      </w:r>
      <w:r w:rsidR="005B6FA6"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14</w:t>
      </w:r>
      <w:r w:rsidR="005B6FA6"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2b (ROA) coefficients</w:t>
      </w:r>
      <w:r w:rsidRPr="001470FE">
        <w:rPr>
          <w:rFonts w:ascii="Times New Roman" w:hAnsi="Times New Roman" w:cs="Times New Roman"/>
          <w:noProof/>
          <w:color w:val="auto"/>
          <w:sz w:val="24"/>
          <w:szCs w:val="24"/>
        </w:rPr>
        <w:t>.</w:t>
      </w:r>
      <w:bookmarkEnd w:id="45"/>
    </w:p>
    <w:p w14:paraId="56DAD5A0"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A1" w14:textId="77777777" w:rsidR="004322E7" w:rsidRPr="001470FE" w:rsidRDefault="004322E7">
      <w:pPr>
        <w:spacing w:line="360" w:lineRule="auto"/>
        <w:rPr>
          <w:rFonts w:ascii="Times New Roman" w:eastAsia="Times New Roman" w:hAnsi="Times New Roman" w:cs="Times New Roman"/>
        </w:rPr>
      </w:pPr>
    </w:p>
    <w:p w14:paraId="56DAD5A2" w14:textId="77777777" w:rsidR="004322E7" w:rsidRPr="001470FE" w:rsidRDefault="000C275E">
      <w:pPr>
        <w:spacing w:before="150" w:after="100" w:line="360" w:lineRule="auto"/>
        <w:rPr>
          <w:rFonts w:ascii="Times New Roman" w:eastAsia="Times New Roman" w:hAnsi="Times New Roman" w:cs="Times New Roman"/>
          <w:b/>
          <w:bCs/>
          <w:i/>
          <w:iCs/>
        </w:rPr>
      </w:pPr>
      <w:r w:rsidRPr="001470FE">
        <w:rPr>
          <w:rFonts w:ascii="Times New Roman" w:eastAsia="Times New Roman" w:hAnsi="Times New Roman" w:cs="Times New Roman"/>
          <w:b/>
          <w:bCs/>
          <w:i/>
          <w:iCs/>
        </w:rPr>
        <w:t>Model 2b - Dependent Variable: Return on Equity (ROE)</w:t>
      </w:r>
    </w:p>
    <w:p w14:paraId="20055C90" w14:textId="77777777" w:rsidR="005B6FA6" w:rsidRPr="001470FE" w:rsidRDefault="000C275E" w:rsidP="005B6FA6">
      <w:pPr>
        <w:keepNext/>
        <w:spacing w:before="150" w:after="100" w:line="360" w:lineRule="auto"/>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66" wp14:editId="2931057E">
            <wp:extent cx="4961467" cy="2675466"/>
            <wp:effectExtent l="0" t="0" r="0" b="0"/>
            <wp:docPr id="2119887228"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7"/>
                    <a:srcRect/>
                    <a:stretch>
                      <a:fillRect/>
                    </a:stretch>
                  </pic:blipFill>
                  <pic:spPr>
                    <a:xfrm>
                      <a:off x="0" y="0"/>
                      <a:ext cx="4963297" cy="2676453"/>
                    </a:xfrm>
                    <a:prstGeom prst="rect">
                      <a:avLst/>
                    </a:prstGeom>
                    <a:ln/>
                  </pic:spPr>
                </pic:pic>
              </a:graphicData>
            </a:graphic>
          </wp:inline>
        </w:drawing>
      </w:r>
    </w:p>
    <w:p w14:paraId="56DAD5A3" w14:textId="53696677" w:rsidR="004322E7" w:rsidRPr="001470FE" w:rsidRDefault="005B6FA6" w:rsidP="005B6FA6">
      <w:pPr>
        <w:pStyle w:val="Caption"/>
        <w:rPr>
          <w:rFonts w:ascii="Times New Roman" w:eastAsia="Times New Roman" w:hAnsi="Times New Roman" w:cs="Times New Roman"/>
          <w:color w:val="auto"/>
          <w:sz w:val="24"/>
          <w:szCs w:val="24"/>
        </w:rPr>
      </w:pPr>
      <w:bookmarkStart w:id="46" w:name="_Toc237010711"/>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15</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2b (ROE) model summary</w:t>
      </w:r>
      <w:bookmarkEnd w:id="46"/>
    </w:p>
    <w:p w14:paraId="56DAD5A5"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7B9A1D09" w14:textId="77777777" w:rsidR="005B6FA6" w:rsidRPr="001470FE" w:rsidRDefault="000C275E" w:rsidP="005B6FA6">
      <w:pPr>
        <w:keepNext/>
        <w:spacing w:line="360" w:lineRule="auto"/>
        <w:rPr>
          <w:rFonts w:ascii="Times New Roman" w:hAnsi="Times New Roman" w:cs="Times New Roman"/>
        </w:rPr>
      </w:pPr>
      <w:r w:rsidRPr="001470FE">
        <w:rPr>
          <w:rFonts w:ascii="Times New Roman" w:eastAsia="Times New Roman" w:hAnsi="Times New Roman" w:cs="Times New Roman"/>
          <w:noProof/>
        </w:rPr>
        <w:lastRenderedPageBreak/>
        <w:drawing>
          <wp:inline distT="0" distB="0" distL="0" distR="0" wp14:anchorId="56DAD668" wp14:editId="40071769">
            <wp:extent cx="4954772" cy="2296632"/>
            <wp:effectExtent l="0" t="0" r="0" b="8890"/>
            <wp:docPr id="2119887229"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8"/>
                    <a:srcRect/>
                    <a:stretch>
                      <a:fillRect/>
                    </a:stretch>
                  </pic:blipFill>
                  <pic:spPr>
                    <a:xfrm>
                      <a:off x="0" y="0"/>
                      <a:ext cx="4965294" cy="2301509"/>
                    </a:xfrm>
                    <a:prstGeom prst="rect">
                      <a:avLst/>
                    </a:prstGeom>
                    <a:ln/>
                  </pic:spPr>
                </pic:pic>
              </a:graphicData>
            </a:graphic>
          </wp:inline>
        </w:drawing>
      </w:r>
    </w:p>
    <w:p w14:paraId="56DAD5A6" w14:textId="4D0BC544" w:rsidR="004322E7" w:rsidRPr="001470FE" w:rsidRDefault="005B6FA6" w:rsidP="005B6FA6">
      <w:pPr>
        <w:pStyle w:val="Caption"/>
        <w:rPr>
          <w:rFonts w:ascii="Times New Roman" w:eastAsia="Times New Roman" w:hAnsi="Times New Roman" w:cs="Times New Roman"/>
          <w:color w:val="auto"/>
          <w:sz w:val="24"/>
          <w:szCs w:val="24"/>
        </w:rPr>
      </w:pPr>
      <w:bookmarkStart w:id="47" w:name="_Toc237010712"/>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16</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 Model 2b (ROE) ANOVA.</w:t>
      </w:r>
      <w:bookmarkEnd w:id="47"/>
    </w:p>
    <w:p w14:paraId="56DAD5A8"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A9" w14:textId="77777777" w:rsidR="004322E7" w:rsidRPr="001470FE" w:rsidRDefault="004322E7">
      <w:pPr>
        <w:rPr>
          <w:rFonts w:ascii="Times New Roman" w:eastAsia="Times New Roman" w:hAnsi="Times New Roman" w:cs="Times New Roman"/>
        </w:rPr>
      </w:pPr>
    </w:p>
    <w:p w14:paraId="0937BE73" w14:textId="77777777" w:rsidR="005B6FA6" w:rsidRPr="001470FE" w:rsidRDefault="000C275E" w:rsidP="005B6FA6">
      <w:pPr>
        <w:keepNext/>
        <w:spacing w:line="360" w:lineRule="auto"/>
        <w:jc w:val="both"/>
        <w:rPr>
          <w:rFonts w:ascii="Times New Roman" w:hAnsi="Times New Roman" w:cs="Times New Roman"/>
        </w:rPr>
      </w:pPr>
      <w:r w:rsidRPr="001470FE">
        <w:rPr>
          <w:rFonts w:ascii="Times New Roman" w:eastAsia="Times New Roman" w:hAnsi="Times New Roman" w:cs="Times New Roman"/>
          <w:noProof/>
        </w:rPr>
        <w:drawing>
          <wp:inline distT="0" distB="0" distL="0" distR="0" wp14:anchorId="56DAD66A" wp14:editId="16F00C3E">
            <wp:extent cx="5380074" cy="3253562"/>
            <wp:effectExtent l="0" t="0" r="0" b="4445"/>
            <wp:docPr id="2119887230"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9"/>
                    <a:srcRect/>
                    <a:stretch>
                      <a:fillRect/>
                    </a:stretch>
                  </pic:blipFill>
                  <pic:spPr>
                    <a:xfrm>
                      <a:off x="0" y="0"/>
                      <a:ext cx="5389792" cy="3259439"/>
                    </a:xfrm>
                    <a:prstGeom prst="rect">
                      <a:avLst/>
                    </a:prstGeom>
                    <a:ln/>
                  </pic:spPr>
                </pic:pic>
              </a:graphicData>
            </a:graphic>
          </wp:inline>
        </w:drawing>
      </w:r>
    </w:p>
    <w:p w14:paraId="56DAD5AA" w14:textId="150C0853" w:rsidR="004322E7" w:rsidRPr="001470FE" w:rsidRDefault="005B6FA6" w:rsidP="005B6FA6">
      <w:pPr>
        <w:pStyle w:val="Caption"/>
        <w:jc w:val="both"/>
        <w:rPr>
          <w:rFonts w:ascii="Times New Roman" w:eastAsia="Times New Roman" w:hAnsi="Times New Roman" w:cs="Times New Roman"/>
          <w:color w:val="auto"/>
          <w:sz w:val="24"/>
          <w:szCs w:val="24"/>
        </w:rPr>
      </w:pPr>
      <w:bookmarkStart w:id="48" w:name="_Toc237010713"/>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17</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2b (ROE) coefficients</w:t>
      </w:r>
      <w:bookmarkEnd w:id="48"/>
    </w:p>
    <w:p w14:paraId="56DAD5AC"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AD"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 xml:space="preserve">Model 2 finds no statistical evidence indicating that ESG performance affects FP in this six-firm FTSE 350 sample. The three ESG pillars explain just 8.3% of the variance in ROA (R² =.083), and </w:t>
      </w:r>
      <w:r w:rsidRPr="001470FE">
        <w:rPr>
          <w:rFonts w:ascii="Times New Roman" w:eastAsia="Times New Roman" w:hAnsi="Times New Roman" w:cs="Times New Roman"/>
        </w:rPr>
        <w:lastRenderedPageBreak/>
        <w:t>the model's negative Adjusted R² (-1.294) suggests it performs worse than a mean only benchmark. The model is completely non-significant, F(3, 2) =.060, p =.976. ROE has a greater raw R² (.374) but is not statistically significant (F(3, 2) =.398, p =.772). The Adjusted R² is still negative (-.566). Thus, neither ESG pillars nor composite ESG performance significantly improves the forecast of ROA or ROE.</w:t>
      </w:r>
    </w:p>
    <w:p w14:paraId="1D2B4764" w14:textId="77777777" w:rsidR="00162C02" w:rsidRPr="001470FE" w:rsidRDefault="00162C02" w:rsidP="00162C02">
      <w:pPr>
        <w:spacing w:line="360" w:lineRule="auto"/>
        <w:jc w:val="both"/>
        <w:rPr>
          <w:rFonts w:ascii="Times New Roman" w:hAnsi="Times New Roman" w:cs="Times New Roman"/>
        </w:rPr>
      </w:pPr>
      <w:r w:rsidRPr="001470FE">
        <w:rPr>
          <w:rFonts w:ascii="Times New Roman" w:hAnsi="Times New Roman" w:cs="Times New Roman"/>
        </w:rPr>
        <w:t>Coefficient-level data support this notion. None of the ESG predictors are significant (p ≥.572), and all 95% confidence intervals are 0. Environmental ratings have negative correlations for both ROA (B = -.079) and ROE (B = -.350), but social scores are favorable (B =.112; B =.411). Governance ratings for ROA (B =.003) are close to zero, but ROE (B =.353) is greater, albeit still non-significant. These conflicting indications among models highlight the lack of reliable ESG-FP correlations.</w:t>
      </w:r>
    </w:p>
    <w:p w14:paraId="56DAD5AF"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The standardised Betas for Environmental and Social pillars (ROA: -.921, 1.073; ROE: -.966,.941) surpass ±1, indicating significant multicollinearity. This is consistent with the extraordinarily high ESG pillar correlations reported in Section 4.3 (r =.966-.983). Because the pillars move virtually equally among enterprises, the model cannot separate their unique impacts, rendering coefficient magnitudes inaccurate, even when directions look interpretable.</w:t>
      </w:r>
    </w:p>
    <w:p w14:paraId="56DAD5B0" w14:textId="77777777"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 xml:space="preserve">Overall, Model 2 does not support RQ2: In this dataset, ESG performance does not significantly predict ROA or ROE. This is in contrast to bigger sample FTSE 350 evidence (Ahmad, Mobarek and Roni, 2021) and worldwide results (Aydoğmuş, Gülay, and Ergun, 2022; Din </w:t>
      </w:r>
      <w:r w:rsidRPr="001470FE">
        <w:rPr>
          <w:rFonts w:ascii="Times New Roman" w:eastAsia="Times New Roman" w:hAnsi="Times New Roman" w:cs="Times New Roman"/>
          <w:i/>
          <w:iCs/>
        </w:rPr>
        <w:t>et al.,</w:t>
      </w:r>
      <w:r w:rsidRPr="001470FE">
        <w:rPr>
          <w:rFonts w:ascii="Times New Roman" w:eastAsia="Times New Roman" w:hAnsi="Times New Roman" w:cs="Times New Roman"/>
        </w:rPr>
        <w:t xml:space="preserve"> 2022). The most obvious explanation is inadequate statistical power (just six businesses) and extreme multicollinearity, which means the data show "no effect detected" not "no effect exists".</w:t>
      </w:r>
    </w:p>
    <w:p w14:paraId="56DAD5B1" w14:textId="77777777" w:rsidR="004322E7" w:rsidRPr="001470FE" w:rsidRDefault="000C275E">
      <w:pPr>
        <w:pStyle w:val="Heading3"/>
        <w:spacing w:line="360" w:lineRule="auto"/>
        <w:rPr>
          <w:rFonts w:ascii="Times New Roman" w:eastAsia="Times New Roman" w:hAnsi="Times New Roman" w:cs="Times New Roman"/>
          <w:b/>
          <w:bCs/>
          <w:color w:val="auto"/>
          <w:sz w:val="24"/>
          <w:szCs w:val="24"/>
        </w:rPr>
      </w:pPr>
      <w:bookmarkStart w:id="49" w:name="_Toc237010686"/>
      <w:r w:rsidRPr="001470FE">
        <w:rPr>
          <w:rFonts w:ascii="Times New Roman" w:eastAsia="Times New Roman" w:hAnsi="Times New Roman" w:cs="Times New Roman"/>
          <w:b/>
          <w:bCs/>
          <w:color w:val="auto"/>
          <w:sz w:val="24"/>
          <w:szCs w:val="24"/>
        </w:rPr>
        <w:t>4.3.3 Model 3: Moderation Analysis (CG × ESG = FP)</w:t>
      </w:r>
      <w:bookmarkEnd w:id="49"/>
    </w:p>
    <w:p w14:paraId="56DAD5B2" w14:textId="5670D30F" w:rsidR="004322E7" w:rsidRPr="001470FE" w:rsidRDefault="000C275E">
      <w:pPr>
        <w:spacing w:line="360" w:lineRule="auto"/>
        <w:jc w:val="both"/>
        <w:rPr>
          <w:rFonts w:ascii="Times New Roman" w:eastAsia="Times New Roman" w:hAnsi="Times New Roman" w:cs="Times New Roman"/>
        </w:rPr>
      </w:pPr>
      <w:r w:rsidRPr="001470FE">
        <w:rPr>
          <w:rFonts w:ascii="Times New Roman" w:eastAsia="Times New Roman" w:hAnsi="Times New Roman" w:cs="Times New Roman"/>
        </w:rPr>
        <w:t>Moderation was assessed using an interaction (Model 3) formulation. Five CG × ESG composite interaction variables, namely Board Size×ESG</w:t>
      </w:r>
      <w:r w:rsidR="00EF1262">
        <w:rPr>
          <w:rFonts w:ascii="Times New Roman" w:eastAsia="Times New Roman" w:hAnsi="Times New Roman" w:cs="Times New Roman"/>
        </w:rPr>
        <w:t xml:space="preserve"> </w:t>
      </w:r>
      <w:r w:rsidR="00EF1262" w:rsidRPr="001470FE">
        <w:rPr>
          <w:rFonts w:ascii="Times New Roman" w:eastAsia="Times New Roman" w:hAnsi="Times New Roman" w:cs="Times New Roman"/>
        </w:rPr>
        <w:t>composite</w:t>
      </w:r>
      <w:r w:rsidRPr="001470FE">
        <w:rPr>
          <w:rFonts w:ascii="Times New Roman" w:eastAsia="Times New Roman" w:hAnsi="Times New Roman" w:cs="Times New Roman"/>
        </w:rPr>
        <w:t>, Board Independence×ESG</w:t>
      </w:r>
      <w:r w:rsidR="00EF1262">
        <w:rPr>
          <w:rFonts w:ascii="Times New Roman" w:eastAsia="Times New Roman" w:hAnsi="Times New Roman" w:cs="Times New Roman"/>
        </w:rPr>
        <w:t xml:space="preserve"> </w:t>
      </w:r>
      <w:r w:rsidR="00EF1262" w:rsidRPr="001470FE">
        <w:rPr>
          <w:rFonts w:ascii="Times New Roman" w:eastAsia="Times New Roman" w:hAnsi="Times New Roman" w:cs="Times New Roman"/>
        </w:rPr>
        <w:t>composite</w:t>
      </w:r>
      <w:r w:rsidRPr="001470FE">
        <w:rPr>
          <w:rFonts w:ascii="Times New Roman" w:eastAsia="Times New Roman" w:hAnsi="Times New Roman" w:cs="Times New Roman"/>
        </w:rPr>
        <w:t>, Ownership Concentration×ESG</w:t>
      </w:r>
      <w:r w:rsidR="00EF1262">
        <w:rPr>
          <w:rFonts w:ascii="Times New Roman" w:eastAsia="Times New Roman" w:hAnsi="Times New Roman" w:cs="Times New Roman"/>
        </w:rPr>
        <w:t xml:space="preserve"> </w:t>
      </w:r>
      <w:r w:rsidR="00EF1262" w:rsidRPr="001470FE">
        <w:rPr>
          <w:rFonts w:ascii="Times New Roman" w:eastAsia="Times New Roman" w:hAnsi="Times New Roman" w:cs="Times New Roman"/>
        </w:rPr>
        <w:t>composite</w:t>
      </w:r>
      <w:r w:rsidRPr="001470FE">
        <w:rPr>
          <w:rFonts w:ascii="Times New Roman" w:eastAsia="Times New Roman" w:hAnsi="Times New Roman" w:cs="Times New Roman"/>
        </w:rPr>
        <w:t>, Audit Meetings×ESG</w:t>
      </w:r>
      <w:r w:rsidR="00EF1262">
        <w:rPr>
          <w:rFonts w:ascii="Times New Roman" w:eastAsia="Times New Roman" w:hAnsi="Times New Roman" w:cs="Times New Roman"/>
        </w:rPr>
        <w:t xml:space="preserve"> </w:t>
      </w:r>
      <w:r w:rsidR="00EF1262" w:rsidRPr="001470FE">
        <w:rPr>
          <w:rFonts w:ascii="Times New Roman" w:eastAsia="Times New Roman" w:hAnsi="Times New Roman" w:cs="Times New Roman"/>
        </w:rPr>
        <w:t>composite</w:t>
      </w:r>
      <w:r w:rsidRPr="001470FE">
        <w:rPr>
          <w:rFonts w:ascii="Times New Roman" w:eastAsia="Times New Roman" w:hAnsi="Times New Roman" w:cs="Times New Roman"/>
        </w:rPr>
        <w:t>, and Audit Independence×ESG</w:t>
      </w:r>
      <w:r w:rsidR="00EF1262">
        <w:rPr>
          <w:rFonts w:ascii="Times New Roman" w:eastAsia="Times New Roman" w:hAnsi="Times New Roman" w:cs="Times New Roman"/>
        </w:rPr>
        <w:t xml:space="preserve"> </w:t>
      </w:r>
      <w:r w:rsidR="00EF1262" w:rsidRPr="001470FE">
        <w:rPr>
          <w:rFonts w:ascii="Times New Roman" w:eastAsia="Times New Roman" w:hAnsi="Times New Roman" w:cs="Times New Roman"/>
        </w:rPr>
        <w:t>composite</w:t>
      </w:r>
      <w:r w:rsidRPr="001470FE">
        <w:rPr>
          <w:rFonts w:ascii="Times New Roman" w:eastAsia="Times New Roman" w:hAnsi="Times New Roman" w:cs="Times New Roman"/>
        </w:rPr>
        <w:t>, were used to predict RQ3 and Objective 3. Two versions of Model 3 were estimated, using ROA and ROE as the dependent variables.</w:t>
      </w:r>
    </w:p>
    <w:p w14:paraId="5A94C749" w14:textId="37762CD7" w:rsidR="005B6FA6" w:rsidRDefault="000C275E" w:rsidP="00ED4EF5">
      <w:pPr>
        <w:pStyle w:val="Heading4"/>
        <w:spacing w:line="360" w:lineRule="auto"/>
        <w:rPr>
          <w:rFonts w:ascii="Times New Roman" w:eastAsia="Times New Roman" w:hAnsi="Times New Roman" w:cs="Times New Roman"/>
          <w:b/>
          <w:bCs/>
          <w:color w:val="auto"/>
        </w:rPr>
      </w:pPr>
      <w:r w:rsidRPr="001470FE">
        <w:rPr>
          <w:rFonts w:ascii="Times New Roman" w:eastAsia="Times New Roman" w:hAnsi="Times New Roman" w:cs="Times New Roman"/>
          <w:b/>
          <w:bCs/>
          <w:color w:val="auto"/>
        </w:rPr>
        <w:lastRenderedPageBreak/>
        <w:t>Model 3a - Dependent Variable: Return on Assets (ROA)</w:t>
      </w:r>
    </w:p>
    <w:p w14:paraId="7F715B56" w14:textId="2C6EDD44" w:rsidR="00CA62CF" w:rsidRPr="00CA62CF" w:rsidRDefault="00CA62CF" w:rsidP="00CA62CF">
      <w:r w:rsidRPr="00CA62CF">
        <w:rPr>
          <w:noProof/>
        </w:rPr>
        <w:drawing>
          <wp:inline distT="0" distB="0" distL="0" distR="0" wp14:anchorId="342B34D3" wp14:editId="78964230">
            <wp:extent cx="4549534" cy="2118544"/>
            <wp:effectExtent l="0" t="0" r="3810" b="0"/>
            <wp:docPr id="1906067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067757" name=""/>
                    <pic:cNvPicPr/>
                  </pic:nvPicPr>
                  <pic:blipFill>
                    <a:blip r:embed="rId30"/>
                    <a:stretch>
                      <a:fillRect/>
                    </a:stretch>
                  </pic:blipFill>
                  <pic:spPr>
                    <a:xfrm>
                      <a:off x="0" y="0"/>
                      <a:ext cx="4549534" cy="2118544"/>
                    </a:xfrm>
                    <a:prstGeom prst="rect">
                      <a:avLst/>
                    </a:prstGeom>
                  </pic:spPr>
                </pic:pic>
              </a:graphicData>
            </a:graphic>
          </wp:inline>
        </w:drawing>
      </w:r>
    </w:p>
    <w:p w14:paraId="56DAD5B4" w14:textId="6A05656E" w:rsidR="004322E7" w:rsidRPr="001470FE" w:rsidRDefault="005B6FA6" w:rsidP="005B6FA6">
      <w:pPr>
        <w:pStyle w:val="Caption"/>
        <w:rPr>
          <w:rFonts w:ascii="Times New Roman" w:eastAsia="Times New Roman" w:hAnsi="Times New Roman" w:cs="Times New Roman"/>
          <w:color w:val="auto"/>
          <w:sz w:val="24"/>
          <w:szCs w:val="24"/>
        </w:rPr>
      </w:pPr>
      <w:bookmarkStart w:id="50" w:name="_Toc237010714"/>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18</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3a (ROA) model summary</w:t>
      </w:r>
      <w:bookmarkEnd w:id="50"/>
    </w:p>
    <w:p w14:paraId="56DAD5B6" w14:textId="77777777" w:rsidR="004322E7"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AF5F9D1" w14:textId="77777777" w:rsidR="00A530C7" w:rsidRPr="001470FE" w:rsidRDefault="00A530C7">
      <w:pPr>
        <w:spacing w:line="360" w:lineRule="auto"/>
        <w:rPr>
          <w:rFonts w:ascii="Times New Roman" w:eastAsia="Times New Roman" w:hAnsi="Times New Roman" w:cs="Times New Roman"/>
        </w:rPr>
      </w:pPr>
    </w:p>
    <w:p w14:paraId="2E80675A" w14:textId="612EC3BD" w:rsidR="00543E14" w:rsidRPr="001470FE" w:rsidRDefault="00A530C7" w:rsidP="005B6FA6">
      <w:pPr>
        <w:keepNext/>
        <w:spacing w:line="360" w:lineRule="auto"/>
        <w:jc w:val="both"/>
        <w:rPr>
          <w:rFonts w:ascii="Times New Roman" w:hAnsi="Times New Roman" w:cs="Times New Roman"/>
        </w:rPr>
      </w:pPr>
      <w:r w:rsidRPr="00A530C7">
        <w:rPr>
          <w:rFonts w:ascii="Times New Roman" w:hAnsi="Times New Roman" w:cs="Times New Roman"/>
          <w:noProof/>
        </w:rPr>
        <w:drawing>
          <wp:inline distT="0" distB="0" distL="0" distR="0" wp14:anchorId="5A180F56" wp14:editId="784C3D76">
            <wp:extent cx="5943600" cy="2861945"/>
            <wp:effectExtent l="0" t="0" r="0" b="0"/>
            <wp:docPr id="887995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995295" name=""/>
                    <pic:cNvPicPr/>
                  </pic:nvPicPr>
                  <pic:blipFill>
                    <a:blip r:embed="rId31"/>
                    <a:stretch>
                      <a:fillRect/>
                    </a:stretch>
                  </pic:blipFill>
                  <pic:spPr>
                    <a:xfrm>
                      <a:off x="0" y="0"/>
                      <a:ext cx="5943600" cy="2861945"/>
                    </a:xfrm>
                    <a:prstGeom prst="rect">
                      <a:avLst/>
                    </a:prstGeom>
                  </pic:spPr>
                </pic:pic>
              </a:graphicData>
            </a:graphic>
          </wp:inline>
        </w:drawing>
      </w:r>
    </w:p>
    <w:p w14:paraId="56DAD5B7" w14:textId="144FFEA4" w:rsidR="004322E7" w:rsidRPr="001470FE" w:rsidRDefault="005B6FA6" w:rsidP="005B6FA6">
      <w:pPr>
        <w:pStyle w:val="Caption"/>
        <w:jc w:val="both"/>
        <w:rPr>
          <w:rFonts w:ascii="Times New Roman" w:eastAsia="Times New Roman" w:hAnsi="Times New Roman" w:cs="Times New Roman"/>
          <w:color w:val="auto"/>
          <w:sz w:val="24"/>
          <w:szCs w:val="24"/>
        </w:rPr>
      </w:pPr>
      <w:bookmarkStart w:id="51" w:name="_Toc237010715"/>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19</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3a (ROA) ANOVA.</w:t>
      </w:r>
      <w:bookmarkEnd w:id="51"/>
    </w:p>
    <w:p w14:paraId="56DAD5B9"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BA" w14:textId="77777777" w:rsidR="004322E7" w:rsidRPr="001470FE" w:rsidRDefault="004322E7">
      <w:pPr>
        <w:rPr>
          <w:rFonts w:ascii="Times New Roman" w:eastAsia="Times New Roman" w:hAnsi="Times New Roman" w:cs="Times New Roman"/>
        </w:rPr>
      </w:pPr>
    </w:p>
    <w:p w14:paraId="1854ED5F" w14:textId="16509ED2" w:rsidR="005B6FA6" w:rsidRDefault="005B6FA6" w:rsidP="005B6FA6">
      <w:pPr>
        <w:keepNext/>
        <w:spacing w:line="360" w:lineRule="auto"/>
        <w:jc w:val="both"/>
        <w:rPr>
          <w:rFonts w:ascii="Times New Roman" w:hAnsi="Times New Roman" w:cs="Times New Roman"/>
        </w:rPr>
      </w:pPr>
    </w:p>
    <w:p w14:paraId="6721D629" w14:textId="35B3E04A" w:rsidR="00107C55" w:rsidRPr="001470FE" w:rsidRDefault="00107C55" w:rsidP="005B6FA6">
      <w:pPr>
        <w:keepNext/>
        <w:spacing w:line="360" w:lineRule="auto"/>
        <w:jc w:val="both"/>
        <w:rPr>
          <w:rFonts w:ascii="Times New Roman" w:hAnsi="Times New Roman" w:cs="Times New Roman"/>
        </w:rPr>
      </w:pPr>
      <w:r w:rsidRPr="00107C55">
        <w:rPr>
          <w:rFonts w:ascii="Times New Roman" w:hAnsi="Times New Roman" w:cs="Times New Roman"/>
          <w:noProof/>
        </w:rPr>
        <w:drawing>
          <wp:inline distT="0" distB="0" distL="0" distR="0" wp14:anchorId="50B04362" wp14:editId="772FCEE3">
            <wp:extent cx="4957590" cy="3520631"/>
            <wp:effectExtent l="0" t="0" r="0" b="3810"/>
            <wp:docPr id="1450881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881342" name=""/>
                    <pic:cNvPicPr/>
                  </pic:nvPicPr>
                  <pic:blipFill>
                    <a:blip r:embed="rId32"/>
                    <a:stretch>
                      <a:fillRect/>
                    </a:stretch>
                  </pic:blipFill>
                  <pic:spPr>
                    <a:xfrm>
                      <a:off x="0" y="0"/>
                      <a:ext cx="4974941" cy="3532953"/>
                    </a:xfrm>
                    <a:prstGeom prst="rect">
                      <a:avLst/>
                    </a:prstGeom>
                  </pic:spPr>
                </pic:pic>
              </a:graphicData>
            </a:graphic>
          </wp:inline>
        </w:drawing>
      </w:r>
    </w:p>
    <w:p w14:paraId="56DAD5BB" w14:textId="01C36186" w:rsidR="004322E7" w:rsidRPr="001470FE" w:rsidRDefault="005B6FA6" w:rsidP="005B6FA6">
      <w:pPr>
        <w:pStyle w:val="Caption"/>
        <w:jc w:val="both"/>
        <w:rPr>
          <w:rFonts w:ascii="Times New Roman" w:eastAsia="Times New Roman" w:hAnsi="Times New Roman" w:cs="Times New Roman"/>
          <w:color w:val="auto"/>
          <w:sz w:val="24"/>
          <w:szCs w:val="24"/>
        </w:rPr>
      </w:pPr>
      <w:bookmarkStart w:id="52" w:name="_Toc237010716"/>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20</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3a (ROA) coefficients</w:t>
      </w:r>
      <w:bookmarkEnd w:id="52"/>
    </w:p>
    <w:p w14:paraId="56DAD5BD"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BE" w14:textId="77777777" w:rsidR="004322E7" w:rsidRPr="001470FE" w:rsidRDefault="004322E7">
      <w:pPr>
        <w:rPr>
          <w:rFonts w:ascii="Times New Roman" w:eastAsia="Times New Roman" w:hAnsi="Times New Roman" w:cs="Times New Roman"/>
        </w:rPr>
      </w:pPr>
    </w:p>
    <w:p w14:paraId="56DAD5BF" w14:textId="77777777" w:rsidR="004322E7" w:rsidRPr="001470FE" w:rsidRDefault="000C275E">
      <w:pPr>
        <w:pStyle w:val="Heading4"/>
        <w:spacing w:line="360" w:lineRule="auto"/>
        <w:rPr>
          <w:rFonts w:ascii="Times New Roman" w:eastAsia="Times New Roman" w:hAnsi="Times New Roman" w:cs="Times New Roman"/>
          <w:b/>
          <w:bCs/>
          <w:color w:val="auto"/>
        </w:rPr>
      </w:pPr>
      <w:r w:rsidRPr="001470FE">
        <w:rPr>
          <w:rFonts w:ascii="Times New Roman" w:eastAsia="Times New Roman" w:hAnsi="Times New Roman" w:cs="Times New Roman"/>
          <w:b/>
          <w:bCs/>
          <w:color w:val="auto"/>
        </w:rPr>
        <w:t>Model 3b - Dependent Variable: Return on Equity (ROE)</w:t>
      </w:r>
    </w:p>
    <w:p w14:paraId="04FC201F" w14:textId="37987C72" w:rsidR="00107C55" w:rsidRPr="001470FE" w:rsidRDefault="00BC2D20" w:rsidP="005B6FA6">
      <w:pPr>
        <w:keepNext/>
        <w:spacing w:line="360" w:lineRule="auto"/>
        <w:jc w:val="both"/>
        <w:rPr>
          <w:rFonts w:ascii="Times New Roman" w:hAnsi="Times New Roman" w:cs="Times New Roman"/>
        </w:rPr>
      </w:pPr>
      <w:r w:rsidRPr="00BC2D20">
        <w:rPr>
          <w:rFonts w:ascii="Times New Roman" w:hAnsi="Times New Roman" w:cs="Times New Roman"/>
          <w:noProof/>
        </w:rPr>
        <w:drawing>
          <wp:inline distT="0" distB="0" distL="0" distR="0" wp14:anchorId="6FEAF601" wp14:editId="721D1F53">
            <wp:extent cx="4414117" cy="2214390"/>
            <wp:effectExtent l="0" t="0" r="5715" b="0"/>
            <wp:docPr id="541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686" name=""/>
                    <pic:cNvPicPr/>
                  </pic:nvPicPr>
                  <pic:blipFill>
                    <a:blip r:embed="rId33"/>
                    <a:stretch>
                      <a:fillRect/>
                    </a:stretch>
                  </pic:blipFill>
                  <pic:spPr>
                    <a:xfrm>
                      <a:off x="0" y="0"/>
                      <a:ext cx="4422932" cy="2218812"/>
                    </a:xfrm>
                    <a:prstGeom prst="rect">
                      <a:avLst/>
                    </a:prstGeom>
                  </pic:spPr>
                </pic:pic>
              </a:graphicData>
            </a:graphic>
          </wp:inline>
        </w:drawing>
      </w:r>
    </w:p>
    <w:p w14:paraId="56DAD5C0" w14:textId="7913E467" w:rsidR="004322E7" w:rsidRPr="001470FE" w:rsidRDefault="005B6FA6" w:rsidP="005B6FA6">
      <w:pPr>
        <w:pStyle w:val="Caption"/>
        <w:jc w:val="both"/>
        <w:rPr>
          <w:rFonts w:ascii="Times New Roman" w:eastAsia="Times New Roman" w:hAnsi="Times New Roman" w:cs="Times New Roman"/>
          <w:color w:val="auto"/>
          <w:sz w:val="24"/>
          <w:szCs w:val="24"/>
        </w:rPr>
      </w:pPr>
      <w:bookmarkStart w:id="53" w:name="_Toc237010717"/>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21</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3b (ROE) model summary.</w:t>
      </w:r>
      <w:bookmarkEnd w:id="53"/>
    </w:p>
    <w:p w14:paraId="56DAD5C2"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7083362A" w14:textId="32EB89C3" w:rsidR="00033DD9" w:rsidRPr="001470FE" w:rsidRDefault="00033DD9" w:rsidP="005B6FA6">
      <w:pPr>
        <w:keepNext/>
        <w:spacing w:line="360" w:lineRule="auto"/>
        <w:jc w:val="both"/>
        <w:rPr>
          <w:rFonts w:ascii="Times New Roman" w:hAnsi="Times New Roman" w:cs="Times New Roman"/>
        </w:rPr>
      </w:pPr>
      <w:r w:rsidRPr="00033DD9">
        <w:rPr>
          <w:rFonts w:ascii="Times New Roman" w:hAnsi="Times New Roman" w:cs="Times New Roman"/>
          <w:noProof/>
        </w:rPr>
        <w:lastRenderedPageBreak/>
        <w:drawing>
          <wp:inline distT="0" distB="0" distL="0" distR="0" wp14:anchorId="1110CB9E" wp14:editId="464B5527">
            <wp:extent cx="5943600" cy="2781935"/>
            <wp:effectExtent l="0" t="0" r="0" b="0"/>
            <wp:docPr id="1811918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918538" name=""/>
                    <pic:cNvPicPr/>
                  </pic:nvPicPr>
                  <pic:blipFill>
                    <a:blip r:embed="rId34"/>
                    <a:stretch>
                      <a:fillRect/>
                    </a:stretch>
                  </pic:blipFill>
                  <pic:spPr>
                    <a:xfrm>
                      <a:off x="0" y="0"/>
                      <a:ext cx="5943600" cy="2781935"/>
                    </a:xfrm>
                    <a:prstGeom prst="rect">
                      <a:avLst/>
                    </a:prstGeom>
                  </pic:spPr>
                </pic:pic>
              </a:graphicData>
            </a:graphic>
          </wp:inline>
        </w:drawing>
      </w:r>
    </w:p>
    <w:p w14:paraId="56DAD5C3" w14:textId="1DB79C2C" w:rsidR="004322E7" w:rsidRPr="001470FE" w:rsidRDefault="005B6FA6" w:rsidP="005B6FA6">
      <w:pPr>
        <w:pStyle w:val="Caption"/>
        <w:jc w:val="both"/>
        <w:rPr>
          <w:rFonts w:ascii="Times New Roman" w:eastAsia="Times New Roman" w:hAnsi="Times New Roman" w:cs="Times New Roman"/>
          <w:color w:val="auto"/>
          <w:sz w:val="24"/>
          <w:szCs w:val="24"/>
        </w:rPr>
      </w:pPr>
      <w:bookmarkStart w:id="54" w:name="_Toc237010718"/>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22</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3b (ROE) ANOVA</w:t>
      </w:r>
      <w:bookmarkEnd w:id="54"/>
    </w:p>
    <w:p w14:paraId="56DAD5C5"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2350B0F5" w14:textId="68287BF4" w:rsidR="00033DD9" w:rsidRPr="001470FE" w:rsidRDefault="0053586F" w:rsidP="005B6FA6">
      <w:pPr>
        <w:keepNext/>
        <w:spacing w:line="360" w:lineRule="auto"/>
        <w:jc w:val="both"/>
        <w:rPr>
          <w:rFonts w:ascii="Times New Roman" w:hAnsi="Times New Roman" w:cs="Times New Roman"/>
        </w:rPr>
      </w:pPr>
      <w:r w:rsidRPr="0053586F">
        <w:rPr>
          <w:rFonts w:ascii="Times New Roman" w:hAnsi="Times New Roman" w:cs="Times New Roman"/>
          <w:noProof/>
        </w:rPr>
        <w:drawing>
          <wp:inline distT="0" distB="0" distL="0" distR="0" wp14:anchorId="7428326E" wp14:editId="6F9BD79F">
            <wp:extent cx="5332164" cy="3855565"/>
            <wp:effectExtent l="0" t="0" r="1905" b="0"/>
            <wp:docPr id="1298048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048029" name=""/>
                    <pic:cNvPicPr/>
                  </pic:nvPicPr>
                  <pic:blipFill>
                    <a:blip r:embed="rId35"/>
                    <a:stretch>
                      <a:fillRect/>
                    </a:stretch>
                  </pic:blipFill>
                  <pic:spPr>
                    <a:xfrm>
                      <a:off x="0" y="0"/>
                      <a:ext cx="5336334" cy="3858580"/>
                    </a:xfrm>
                    <a:prstGeom prst="rect">
                      <a:avLst/>
                    </a:prstGeom>
                  </pic:spPr>
                </pic:pic>
              </a:graphicData>
            </a:graphic>
          </wp:inline>
        </w:drawing>
      </w:r>
    </w:p>
    <w:p w14:paraId="56DAD5C6" w14:textId="7AFA6BD5" w:rsidR="004322E7" w:rsidRPr="001470FE" w:rsidRDefault="005B6FA6" w:rsidP="005B6FA6">
      <w:pPr>
        <w:pStyle w:val="Caption"/>
        <w:jc w:val="both"/>
        <w:rPr>
          <w:rFonts w:ascii="Times New Roman" w:eastAsia="Times New Roman" w:hAnsi="Times New Roman" w:cs="Times New Roman"/>
          <w:color w:val="auto"/>
          <w:sz w:val="24"/>
          <w:szCs w:val="24"/>
        </w:rPr>
      </w:pPr>
      <w:bookmarkStart w:id="55" w:name="_Toc237010719"/>
      <w:r w:rsidRPr="001470FE">
        <w:rPr>
          <w:rFonts w:ascii="Times New Roman" w:hAnsi="Times New Roman" w:cs="Times New Roman"/>
          <w:color w:val="auto"/>
          <w:sz w:val="24"/>
          <w:szCs w:val="24"/>
        </w:rPr>
        <w:t xml:space="preserve">Table </w:t>
      </w:r>
      <w:r w:rsidRPr="001470FE">
        <w:rPr>
          <w:rFonts w:ascii="Times New Roman" w:hAnsi="Times New Roman" w:cs="Times New Roman"/>
          <w:color w:val="auto"/>
          <w:sz w:val="24"/>
          <w:szCs w:val="24"/>
        </w:rPr>
        <w:fldChar w:fldCharType="begin"/>
      </w:r>
      <w:r w:rsidRPr="001470FE">
        <w:rPr>
          <w:rFonts w:ascii="Times New Roman" w:hAnsi="Times New Roman" w:cs="Times New Roman"/>
          <w:color w:val="auto"/>
          <w:sz w:val="24"/>
          <w:szCs w:val="24"/>
        </w:rPr>
        <w:instrText xml:space="preserve"> SEQ Table \* ARABIC </w:instrText>
      </w:r>
      <w:r w:rsidRPr="001470FE">
        <w:rPr>
          <w:rFonts w:ascii="Times New Roman" w:hAnsi="Times New Roman" w:cs="Times New Roman"/>
          <w:color w:val="auto"/>
          <w:sz w:val="24"/>
          <w:szCs w:val="24"/>
        </w:rPr>
        <w:fldChar w:fldCharType="separate"/>
      </w:r>
      <w:r w:rsidR="001470FE" w:rsidRPr="001470FE">
        <w:rPr>
          <w:rFonts w:ascii="Times New Roman" w:hAnsi="Times New Roman" w:cs="Times New Roman"/>
          <w:noProof/>
          <w:color w:val="auto"/>
          <w:sz w:val="24"/>
          <w:szCs w:val="24"/>
        </w:rPr>
        <w:t>23</w:t>
      </w:r>
      <w:r w:rsidRPr="001470FE">
        <w:rPr>
          <w:rFonts w:ascii="Times New Roman" w:hAnsi="Times New Roman" w:cs="Times New Roman"/>
          <w:color w:val="auto"/>
          <w:sz w:val="24"/>
          <w:szCs w:val="24"/>
        </w:rPr>
        <w:fldChar w:fldCharType="end"/>
      </w:r>
      <w:r w:rsidRPr="001470FE">
        <w:rPr>
          <w:rFonts w:ascii="Times New Roman" w:hAnsi="Times New Roman" w:cs="Times New Roman"/>
          <w:color w:val="auto"/>
          <w:sz w:val="24"/>
          <w:szCs w:val="24"/>
        </w:rPr>
        <w:t>: Model 3b (ROE) coefficients</w:t>
      </w:r>
      <w:bookmarkEnd w:id="55"/>
    </w:p>
    <w:p w14:paraId="56DAD5C8" w14:textId="77777777" w:rsidR="004322E7" w:rsidRPr="001470FE" w:rsidRDefault="000C275E">
      <w:pPr>
        <w:spacing w:line="360" w:lineRule="auto"/>
        <w:rPr>
          <w:rFonts w:ascii="Times New Roman" w:eastAsia="Times New Roman" w:hAnsi="Times New Roman" w:cs="Times New Roman"/>
        </w:rPr>
      </w:pPr>
      <w:r w:rsidRPr="001470FE">
        <w:rPr>
          <w:rFonts w:ascii="Times New Roman" w:eastAsia="Times New Roman" w:hAnsi="Times New Roman" w:cs="Times New Roman"/>
        </w:rPr>
        <w:t>Source: Authors' Work.</w:t>
      </w:r>
    </w:p>
    <w:p w14:paraId="56DAD5C9" w14:textId="715906D0" w:rsidR="004322E7" w:rsidRDefault="00E938E7">
      <w:pPr>
        <w:spacing w:line="360" w:lineRule="auto"/>
        <w:jc w:val="both"/>
        <w:rPr>
          <w:rFonts w:ascii="Times New Roman" w:eastAsia="Times New Roman" w:hAnsi="Times New Roman" w:cs="Times New Roman"/>
        </w:rPr>
      </w:pPr>
      <w:r w:rsidRPr="00E938E7">
        <w:rPr>
          <w:rFonts w:ascii="Times New Roman" w:eastAsia="Times New Roman" w:hAnsi="Times New Roman" w:cs="Times New Roman"/>
        </w:rPr>
        <w:lastRenderedPageBreak/>
        <w:t>Model 3 validates RQ3 and demonstrates that ESG performance does not influence the link between corporate governance and financial performance. The ROA specification explains a significant amount of raw variation (R²=).962; Adjusted R² =.812), although it remains statistically non-significant (F(4, 1) = 6.405, p =.287). The ROE model matches more closely (R²=).991; Adjusted R² =.957) and approaches but does not achieve significance (F(4, 1) = 28.500, p =.139). Similar to Model 1, the near-perfect R² values and non-significant F‑tests are due to estimating a four-term interaction model with just one residual degree of freedom, rather than a true moderation effect.</w:t>
      </w:r>
    </w:p>
    <w:p w14:paraId="56DAD5CA" w14:textId="092B4857" w:rsidR="004322E7" w:rsidRDefault="00052C9D" w:rsidP="00FF702F">
      <w:pPr>
        <w:spacing w:line="360" w:lineRule="auto"/>
        <w:jc w:val="both"/>
        <w:rPr>
          <w:rFonts w:ascii="Times New Roman" w:eastAsia="Times New Roman" w:hAnsi="Times New Roman" w:cs="Times New Roman"/>
        </w:rPr>
      </w:pPr>
      <w:r w:rsidRPr="00052C9D">
        <w:rPr>
          <w:rFonts w:ascii="Times New Roman" w:hAnsi="Times New Roman" w:cs="Times New Roman"/>
        </w:rPr>
        <w:t>While several of the four interaction terms them reach statistical significance at the coefficient level. P-values for ROE vary from.076 (Audit Meetings × ESG Composite) to.216 (Board Size × ESG Composite); for ROA, they range from</w:t>
      </w:r>
      <w:r w:rsidR="008111C1">
        <w:rPr>
          <w:rFonts w:ascii="Times New Roman" w:hAnsi="Times New Roman" w:cs="Times New Roman"/>
        </w:rPr>
        <w:t xml:space="preserve"> </w:t>
      </w:r>
      <w:r w:rsidRPr="00052C9D">
        <w:rPr>
          <w:rFonts w:ascii="Times New Roman" w:hAnsi="Times New Roman" w:cs="Times New Roman"/>
        </w:rPr>
        <w:t>.153 for the Audit Meetings × ESG Composite interaction to</w:t>
      </w:r>
      <w:r w:rsidR="00827C9E">
        <w:rPr>
          <w:rFonts w:ascii="Times New Roman" w:hAnsi="Times New Roman" w:cs="Times New Roman"/>
        </w:rPr>
        <w:t xml:space="preserve"> </w:t>
      </w:r>
      <w:r w:rsidRPr="00052C9D">
        <w:rPr>
          <w:rFonts w:ascii="Times New Roman" w:hAnsi="Times New Roman" w:cs="Times New Roman"/>
        </w:rPr>
        <w:t>.399 for Board Size × ESG Composite. Ownership Concentration × ESG Composite and Board Independence × ESG Composite also approach significance for ROE (p =.089 and.088), but the Audit Meetings × ESG Composite term continues to be the strongest in all models, generating the biggest t-values (t = –4.079 for ROA and t = –8.311 for ROE)</w:t>
      </w:r>
      <w:r w:rsidR="00F417CE" w:rsidRPr="00F417CE">
        <w:rPr>
          <w:rFonts w:ascii="Times New Roman" w:hAnsi="Times New Roman" w:cs="Times New Roman"/>
        </w:rPr>
        <w:t>.</w:t>
      </w:r>
      <w:r w:rsidR="006C6687" w:rsidRPr="006C6687">
        <w:t xml:space="preserve"> </w:t>
      </w:r>
      <w:r w:rsidR="006C6687" w:rsidRPr="006C6687">
        <w:rPr>
          <w:rFonts w:ascii="Times New Roman" w:hAnsi="Times New Roman" w:cs="Times New Roman"/>
        </w:rPr>
        <w:t>The crucial two-tailed 95% t-value is significantly higher than the observed range of 1.4 to 8.3. This highlights the fact that the four-term specification, while computationally viable, is still significantly underpowered with a six-firm sample and explains why even huge ROE t-statistics fail to approach significance.</w:t>
      </w:r>
    </w:p>
    <w:p w14:paraId="56DAD5CB" w14:textId="284ADE14" w:rsidR="004322E7" w:rsidRDefault="007D08F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Further, </w:t>
      </w:r>
      <w:r w:rsidR="00811124" w:rsidRPr="00811124">
        <w:rPr>
          <w:rFonts w:ascii="Times New Roman" w:eastAsia="Times New Roman" w:hAnsi="Times New Roman" w:cs="Times New Roman"/>
        </w:rPr>
        <w:t>Coefficient directions are largely constant. Board Size × ESG Composite has a positive correlation with ROA (B =.011) and ROE (B =.050), showing that greater ESG levels may increase the board size-performance link. Ownership Concentration × ESG Composite (B = -.112; -.573) and Audit Meetings × ESG Composite (B = -.035; -.141) are still adversely correlated, suggesting that improved ESG performance may worsen negative governance impacts. Although not statistically significant, these patterns suggest potential for repetition in the future</w:t>
      </w:r>
      <w:r w:rsidR="00B41B2E" w:rsidRPr="00B41B2E">
        <w:rPr>
          <w:rFonts w:ascii="Times New Roman" w:eastAsia="Times New Roman" w:hAnsi="Times New Roman" w:cs="Times New Roman"/>
        </w:rPr>
        <w:t>.</w:t>
      </w:r>
    </w:p>
    <w:p w14:paraId="56DAD5CC" w14:textId="66F2ACD1" w:rsidR="004322E7" w:rsidRDefault="00812CF6">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Finally, </w:t>
      </w:r>
      <w:r w:rsidR="00E24D40">
        <w:rPr>
          <w:rFonts w:ascii="Times New Roman" w:eastAsia="Times New Roman" w:hAnsi="Times New Roman" w:cs="Times New Roman"/>
        </w:rPr>
        <w:t>t</w:t>
      </w:r>
      <w:r w:rsidR="00E24D40" w:rsidRPr="00E24D40">
        <w:rPr>
          <w:rFonts w:ascii="Times New Roman" w:eastAsia="Times New Roman" w:hAnsi="Times New Roman" w:cs="Times New Roman"/>
        </w:rPr>
        <w:t>he standardised betas for Audit Meetings × ESG Composite and Board Size × ESG Composite (1.605; 1.756) are more than ±1, showing continuing multicollinearity. Because each interaction term increases a governance variable by the same ESG composite score, lowering term count alone will not eliminate shared variation, and any significant coefficients should be interpreted with caution.</w:t>
      </w:r>
      <w:r w:rsidR="00F90B2E" w:rsidRPr="00F90B2E">
        <w:rPr>
          <w:rFonts w:ascii="Times New Roman" w:eastAsia="Times New Roman" w:hAnsi="Times New Roman" w:cs="Times New Roman"/>
        </w:rPr>
        <w:t>.</w:t>
      </w:r>
    </w:p>
    <w:p w14:paraId="56DAD5CD" w14:textId="77777777" w:rsidR="004322E7" w:rsidRPr="00BC4815" w:rsidRDefault="000C275E">
      <w:pPr>
        <w:pStyle w:val="Heading1"/>
        <w:spacing w:line="360" w:lineRule="auto"/>
        <w:rPr>
          <w:rFonts w:ascii="Times New Roman" w:eastAsia="Times New Roman" w:hAnsi="Times New Roman" w:cs="Times New Roman"/>
          <w:b/>
          <w:bCs/>
          <w:color w:val="000000"/>
          <w:sz w:val="24"/>
          <w:szCs w:val="24"/>
        </w:rPr>
      </w:pPr>
      <w:bookmarkStart w:id="56" w:name="_Toc237010687"/>
      <w:r w:rsidRPr="00BC4815">
        <w:rPr>
          <w:rFonts w:ascii="Times New Roman" w:eastAsia="Times New Roman" w:hAnsi="Times New Roman" w:cs="Times New Roman"/>
          <w:b/>
          <w:bCs/>
          <w:color w:val="000000"/>
          <w:sz w:val="24"/>
          <w:szCs w:val="24"/>
        </w:rPr>
        <w:lastRenderedPageBreak/>
        <w:t>5. Discussion of findings</w:t>
      </w:r>
      <w:bookmarkEnd w:id="56"/>
      <w:r w:rsidRPr="00BC4815">
        <w:rPr>
          <w:rFonts w:ascii="Times New Roman" w:eastAsia="Times New Roman" w:hAnsi="Times New Roman" w:cs="Times New Roman"/>
          <w:b/>
          <w:bCs/>
          <w:color w:val="000000"/>
          <w:sz w:val="24"/>
          <w:szCs w:val="24"/>
        </w:rPr>
        <w:t xml:space="preserve"> </w:t>
      </w:r>
    </w:p>
    <w:p w14:paraId="56DAD5CE" w14:textId="77777777" w:rsidR="004322E7" w:rsidRPr="00BC4815" w:rsidRDefault="000C275E">
      <w:pPr>
        <w:pStyle w:val="Heading2"/>
        <w:spacing w:line="360" w:lineRule="auto"/>
        <w:rPr>
          <w:rFonts w:ascii="Times New Roman" w:eastAsia="Times New Roman" w:hAnsi="Times New Roman" w:cs="Times New Roman"/>
          <w:b/>
          <w:bCs/>
          <w:color w:val="000000"/>
          <w:sz w:val="24"/>
          <w:szCs w:val="24"/>
        </w:rPr>
      </w:pPr>
      <w:bookmarkStart w:id="57" w:name="_Toc237010688"/>
      <w:r w:rsidRPr="00BC4815">
        <w:rPr>
          <w:rFonts w:ascii="Times New Roman" w:eastAsia="Times New Roman" w:hAnsi="Times New Roman" w:cs="Times New Roman"/>
          <w:b/>
          <w:bCs/>
          <w:color w:val="000000"/>
          <w:sz w:val="24"/>
          <w:szCs w:val="24"/>
        </w:rPr>
        <w:t>5.1 Corporate Governance and Financial Performance (RQ1)</w:t>
      </w:r>
      <w:bookmarkEnd w:id="57"/>
    </w:p>
    <w:p w14:paraId="56DAD5CF"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empirical evidence for the first question is inconsistent and differs depending on the financial metric. While ROE is the dependent variable, the four estimated governance mechanisms Board Size, Board Independence, Ownership Concentration, and Audit Meetings produce a statistically significant model (F(4, 1) = 390.370, p =.038), which conforms to agency theoretic assumptions that more robust monitoring enhances performance (Meckling and Jensen, 1976; Kyere and Ausloos, 2021). The coefficient level findings demonstrate significant negative impacts for concentration of ownership (B = -1.338, p =.019) and annual audit meetings (B = -.336, p =.020), implying that concentrated ownership and lesser audit meetings are linked with lower ROE. The negative concentration of ownership impact is more consistent with expropriation risk assessments (Fama &amp; Jensen, 2019). Board Independence has a positive but small impact (B = 1.500, p =.052), but Board Size is non-significant (p =.159).</w:t>
      </w:r>
    </w:p>
    <w:p w14:paraId="56DAD5D0"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predictors for ROA show a comparable R² (.990 vs..999 for ROE) but no significance (F(4, 1) = 25.764, p =.147), and none of the coefficients approach significance. This ROA-ROE difference is most likely due to the exceedingly low degrees of freedom in a six-firm sample, rather than a significantly different governance-performance relationship. Nonetheless, the consistency of coefficient indications positive for Board Size and Board Independence, negative for Ownership Concentration and Audit Meetings gives interpretative weight to the ROE results.</w:t>
      </w:r>
    </w:p>
    <w:p w14:paraId="56DAD5D1"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Two commonly researched governance variables, CEO Duality and Audit Independence, could not be examined since there was no variation among organizations (Hosny and Elgharbawy, 2022). Overall, RQ1 finds cautious, partial support: governance mechanisms strongly predict ROE but not ROA, and results should be viewed as suggestive until bigger sample replication.</w:t>
      </w:r>
    </w:p>
    <w:p w14:paraId="56DAD5D2" w14:textId="77777777" w:rsidR="004322E7" w:rsidRPr="00BC4815" w:rsidRDefault="000C275E">
      <w:pPr>
        <w:pStyle w:val="Heading2"/>
        <w:spacing w:line="360" w:lineRule="auto"/>
        <w:rPr>
          <w:rFonts w:ascii="Times New Roman" w:eastAsia="Times New Roman" w:hAnsi="Times New Roman" w:cs="Times New Roman"/>
          <w:b/>
          <w:bCs/>
          <w:color w:val="000000"/>
          <w:sz w:val="24"/>
          <w:szCs w:val="24"/>
        </w:rPr>
      </w:pPr>
      <w:bookmarkStart w:id="58" w:name="_Toc237010689"/>
      <w:r w:rsidRPr="00BC4815">
        <w:rPr>
          <w:rFonts w:ascii="Times New Roman" w:eastAsia="Times New Roman" w:hAnsi="Times New Roman" w:cs="Times New Roman"/>
          <w:b/>
          <w:bCs/>
          <w:color w:val="000000"/>
          <w:sz w:val="24"/>
          <w:szCs w:val="24"/>
        </w:rPr>
        <w:t>5.2 ESG Performance and Financial Performance (RQ2)</w:t>
      </w:r>
      <w:bookmarkEnd w:id="58"/>
    </w:p>
    <w:p w14:paraId="56DAD5D3"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RQ2 statistics do not demonstrate a significant association between ESG and financial success in this sample. Model 2's ROA specification (F(3, 2) =.060, p =.976) and ROE specification (F(3, 2) =.398, p =.772) both produced negative results and were statistically insignificant. After accounting for model complexity, corrected R2 values demonstrate that the ESG component variables fail to perform better than a no predictor baseline.</w:t>
      </w:r>
    </w:p>
    <w:p w14:paraId="56DAD5D4"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 xml:space="preserve">The standardised Beta coefficients in both specifications surpass ±1, indicating substantial multicollinearity between the three ESG pillars (consistent with the pillar correlations of r =.966-.983 reported in Section 4.2). This undermines any attempt to understand individual pillar effects. Furthermore, neither of the corresponding pillar coefficients were significant (Tables 14 and 17). In contrast, Aydoğmuş, Gülay, and Ergun (2022) and Din </w:t>
      </w:r>
      <w:r>
        <w:rPr>
          <w:rFonts w:ascii="Times New Roman" w:eastAsia="Times New Roman" w:hAnsi="Times New Roman" w:cs="Times New Roman"/>
          <w:i/>
          <w:iCs/>
        </w:rPr>
        <w:t>et al.</w:t>
      </w:r>
      <w:r>
        <w:rPr>
          <w:rFonts w:ascii="Times New Roman" w:eastAsia="Times New Roman" w:hAnsi="Times New Roman" w:cs="Times New Roman"/>
        </w:rPr>
        <w:t xml:space="preserve"> (2022) identified a positive ESG-profitability relationship in other markets, while Ahmad, Mobarek, and Roni (2021) demonstrated a significant, albeit slight, positive ESG-ROA association for a much larger FTSE 350 sample. As a result of the very low statistical power available from six observations and three highly collinear predictors, the study's results should be interpreted as "no significant ESG–FP relationship detected in this sample," rather than as evidence that no such relationship exists in the larger FTSE 350 population. Consequently, RQ2 is not supported by the available data; nonetheless, the result should be seen as inconclusive rather than as a direct rejection of the larger body of FTSE 350 evidence.</w:t>
      </w:r>
    </w:p>
    <w:p w14:paraId="56DAD5D5" w14:textId="77777777" w:rsidR="004322E7" w:rsidRPr="00BC4815" w:rsidRDefault="000C275E">
      <w:pPr>
        <w:pStyle w:val="Heading2"/>
        <w:spacing w:line="360" w:lineRule="auto"/>
        <w:rPr>
          <w:rFonts w:ascii="Times New Roman" w:eastAsia="Times New Roman" w:hAnsi="Times New Roman" w:cs="Times New Roman"/>
          <w:b/>
          <w:bCs/>
          <w:color w:val="000000"/>
          <w:sz w:val="24"/>
          <w:szCs w:val="24"/>
        </w:rPr>
      </w:pPr>
      <w:bookmarkStart w:id="59" w:name="_Toc237010690"/>
      <w:r w:rsidRPr="00BC4815">
        <w:rPr>
          <w:rFonts w:ascii="Times New Roman" w:eastAsia="Times New Roman" w:hAnsi="Times New Roman" w:cs="Times New Roman"/>
          <w:b/>
          <w:bCs/>
          <w:color w:val="000000"/>
          <w:sz w:val="24"/>
          <w:szCs w:val="24"/>
        </w:rPr>
        <w:t>5.3 ESG as a Moderator (RQ3)</w:t>
      </w:r>
      <w:bookmarkEnd w:id="59"/>
    </w:p>
    <w:p w14:paraId="56DAD5D6" w14:textId="7AA94526" w:rsidR="004322E7" w:rsidRDefault="00D17A64">
      <w:pPr>
        <w:spacing w:line="360" w:lineRule="auto"/>
        <w:jc w:val="both"/>
        <w:rPr>
          <w:rFonts w:ascii="Times New Roman" w:eastAsia="Times New Roman" w:hAnsi="Times New Roman" w:cs="Times New Roman"/>
        </w:rPr>
      </w:pPr>
      <w:r w:rsidRPr="00D17A64">
        <w:rPr>
          <w:rFonts w:ascii="Times New Roman" w:eastAsia="Times New Roman" w:hAnsi="Times New Roman" w:cs="Times New Roman"/>
        </w:rPr>
        <w:t>The Model 3 may now be used to directly answer ESG term while keeping Board Size × ESG, Board Independence × ESG, Ownership Concentration × ESG, and Audit Meetings × ESG is it statistically estimable. The specification yields one residual degree of freedom and demonstrates that ESG performance does not significantly moderate governance–performance relationships for either ROA (F(4, 1) = 6.405, p =.287) or ROE (F(4, 1) = 28.500, p =.139). All interaction terms remain non-significant (Sig. =.076</w:t>
      </w:r>
      <w:r w:rsidR="002C1227">
        <w:rPr>
          <w:rFonts w:ascii="Times New Roman" w:eastAsia="Times New Roman" w:hAnsi="Times New Roman" w:cs="Times New Roman"/>
        </w:rPr>
        <w:t>-.</w:t>
      </w:r>
      <w:r w:rsidR="009B088A">
        <w:rPr>
          <w:rFonts w:ascii="Times New Roman" w:eastAsia="Times New Roman" w:hAnsi="Times New Roman" w:cs="Times New Roman"/>
        </w:rPr>
        <w:t>0</w:t>
      </w:r>
      <w:r w:rsidR="003105C2">
        <w:rPr>
          <w:rFonts w:ascii="Times New Roman" w:eastAsia="Times New Roman" w:hAnsi="Times New Roman" w:cs="Times New Roman"/>
        </w:rPr>
        <w:t>8</w:t>
      </w:r>
      <w:r w:rsidRPr="00D17A64">
        <w:rPr>
          <w:rFonts w:ascii="Times New Roman" w:eastAsia="Times New Roman" w:hAnsi="Times New Roman" w:cs="Times New Roman"/>
        </w:rPr>
        <w:t>9), though several ROE coefficients approach significance. The original five-term model produced zero residual degrees of freedom and an uninformative R² = 1.000</w:t>
      </w:r>
      <w:r w:rsidR="000C275E">
        <w:rPr>
          <w:rFonts w:ascii="Times New Roman" w:eastAsia="Times New Roman" w:hAnsi="Times New Roman" w:cs="Times New Roman"/>
        </w:rPr>
        <w:t>.</w:t>
      </w:r>
    </w:p>
    <w:p w14:paraId="56DAD5D7" w14:textId="4C396C9E" w:rsidR="004322E7" w:rsidRDefault="00B20890" w:rsidP="00B20890">
      <w:pPr>
        <w:spacing w:line="360" w:lineRule="auto"/>
        <w:jc w:val="both"/>
        <w:rPr>
          <w:rFonts w:ascii="Times New Roman" w:eastAsia="Times New Roman" w:hAnsi="Times New Roman" w:cs="Times New Roman"/>
        </w:rPr>
      </w:pPr>
      <w:r w:rsidRPr="00DA2AD5">
        <w:rPr>
          <w:rFonts w:ascii="Times New Roman" w:hAnsi="Times New Roman" w:cs="Times New Roman"/>
        </w:rPr>
        <w:t xml:space="preserve">However, </w:t>
      </w:r>
      <w:r w:rsidR="00212CA6" w:rsidRPr="00212CA6">
        <w:rPr>
          <w:rFonts w:ascii="Times New Roman" w:hAnsi="Times New Roman" w:cs="Times New Roman"/>
        </w:rPr>
        <w:t>The resource-based view (Barney, 1991), the theoretical moderation (Moussa, Elmarzouky, and Shohaieb, 2024) are all unsupported. The crucial t-value (12.71) is significantly higher than the obtained values (1.4–8.3) with only one residual degree of freedom, indicating that only very big effects could be found. The ROE model approach significance for three interaction factors, although RQ3 is best summed up as no meaningful moderation was found.</w:t>
      </w:r>
    </w:p>
    <w:p w14:paraId="56DAD5D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As a result, RQ3 is best taken as "no significant moderation found in this sample," rather than proof that ESG has no moderating function in the FTSE 350 as a whole. The repeatedly negative coefficients for Ownership Concentration × ESG and Audit Meetings × ESG across both ROA and </w:t>
      </w:r>
      <w:r>
        <w:rPr>
          <w:rFonts w:ascii="Times New Roman" w:eastAsia="Times New Roman" w:hAnsi="Times New Roman" w:cs="Times New Roman"/>
        </w:rPr>
        <w:lastRenderedPageBreak/>
        <w:t>ROE suggest a theoretically grounded hypothesis. Higher ESG performance may grow more intense, rather than mitigate, the negative direct effects of concentrated ownership and limited audit oversight. This idea needs more testing with a bigger, multi-year FTSE 350 panel.</w:t>
      </w:r>
    </w:p>
    <w:p w14:paraId="56DAD5D9" w14:textId="77777777" w:rsidR="004322E7" w:rsidRPr="00856AD7" w:rsidRDefault="000C275E">
      <w:pPr>
        <w:pStyle w:val="Heading1"/>
        <w:spacing w:line="360" w:lineRule="auto"/>
        <w:rPr>
          <w:rFonts w:ascii="Times New Roman" w:eastAsia="Times New Roman" w:hAnsi="Times New Roman" w:cs="Times New Roman"/>
          <w:b/>
          <w:bCs/>
          <w:color w:val="000000"/>
          <w:sz w:val="24"/>
          <w:szCs w:val="24"/>
        </w:rPr>
      </w:pPr>
      <w:bookmarkStart w:id="60" w:name="_Toc237010691"/>
      <w:r w:rsidRPr="00856AD7">
        <w:rPr>
          <w:rFonts w:ascii="Times New Roman" w:eastAsia="Times New Roman" w:hAnsi="Times New Roman" w:cs="Times New Roman"/>
          <w:b/>
          <w:bCs/>
          <w:color w:val="000000"/>
          <w:sz w:val="24"/>
          <w:szCs w:val="24"/>
        </w:rPr>
        <w:t>6. Conclusion</w:t>
      </w:r>
      <w:bookmarkEnd w:id="60"/>
    </w:p>
    <w:p w14:paraId="56DAD5DA"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The study investigated whether ESG performance has a direct impact on FP, if it moderates the governance-performance relationship, and how CG procedures relate to financial results in six FTSE 350 organizations. Three main findings arise. First, CG demonstrates limited support for RQ1. ROE is substantially linked with Board Size, Board Independence, Ownership Concentration, and Annual Audit Meetings (F(4, 1) = 390.370, p =.038), whereas ROA is not (F(4, 1) = 25.764, p =.147). This discrepancy represents the exceedingly restricted degrees of freedom in a six-firm architecture. At the coefficient level, Ownership Concentration (B = -1.338, p =.019) and Audit Meetings (B = -.336, p =.020) drive the ROE finding, both negatively indicated and consistent with expropriation risk accounting as opposed to traditional monitoring advantages (Fama and Jensen, 2019). Board Independence is positive but marginal (p =.052), while Board Size is not significant (p =.159). CEO duality and audit independence could not be evaluated due to zero variance.</w:t>
      </w:r>
    </w:p>
    <w:p w14:paraId="56DAD5DB" w14:textId="5445FEC4"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Second, there is no assistance for RQ2. The Environmental, Social, and Governance pillar scores of ESG performance do not significantly correlate with ROA (p =.976) or ROE (p =.772). Severe multicollinearity (r =.966</w:t>
      </w:r>
      <w:r w:rsidR="00D42267">
        <w:rPr>
          <w:rFonts w:ascii="Times New Roman" w:eastAsia="Times New Roman" w:hAnsi="Times New Roman" w:cs="Times New Roman"/>
        </w:rPr>
        <w:t xml:space="preserve"> - </w:t>
      </w:r>
      <w:r>
        <w:rPr>
          <w:rFonts w:ascii="Times New Roman" w:eastAsia="Times New Roman" w:hAnsi="Times New Roman" w:cs="Times New Roman"/>
        </w:rPr>
        <w:t xml:space="preserve">.983) compromises interpretability, and none of the pillar coefficients are significant. These findings are in contrast to global evidence of modest FTSE 350 ESG–ROA relationships (Ahmad, Mobarek, and Roni, 2021) and positive ESG–profitability correlations (Aydoğmuş, Gülay, and Ergun, 2022; Din </w:t>
      </w:r>
      <w:r>
        <w:rPr>
          <w:rFonts w:ascii="Times New Roman" w:eastAsia="Times New Roman" w:hAnsi="Times New Roman" w:cs="Times New Roman"/>
          <w:i/>
          <w:iCs/>
        </w:rPr>
        <w:t>et al.,</w:t>
      </w:r>
      <w:r>
        <w:rPr>
          <w:rFonts w:ascii="Times New Roman" w:eastAsia="Times New Roman" w:hAnsi="Times New Roman" w:cs="Times New Roman"/>
        </w:rPr>
        <w:t xml:space="preserve"> 2022). The results should be interpreted as "no significant ESG–FP relationship detected," not as proof of absence, due to the incredibly low statistical power.</w:t>
      </w:r>
    </w:p>
    <w:p w14:paraId="56DAD5DC" w14:textId="2EF950CB"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Third, </w:t>
      </w:r>
      <w:r w:rsidR="00D4067C" w:rsidRPr="00D4067C">
        <w:rPr>
          <w:rFonts w:ascii="Times New Roman" w:eastAsia="Times New Roman" w:hAnsi="Times New Roman" w:cs="Times New Roman"/>
        </w:rPr>
        <w:t xml:space="preserve">The moderation hypothesis was initially untestable, as the an uninformative R² = 1.000, barring significance testing. After revising the specification to include four terms (Board Size × ESG, Board Independence × ESG, Ownership Concentration × ESG, and Audit Meetings × ESG) and deleting the zero-variance Audit Independence × ESG term, the model regained one residual degree of freedom and was estimated. It yielded a clear but weak result: ESG performance has no </w:t>
      </w:r>
      <w:r w:rsidR="00D4067C" w:rsidRPr="00D4067C">
        <w:rPr>
          <w:rFonts w:ascii="Times New Roman" w:eastAsia="Times New Roman" w:hAnsi="Times New Roman" w:cs="Times New Roman"/>
        </w:rPr>
        <w:lastRenderedPageBreak/>
        <w:t>significant moderating effect on governance-performance correlations for ROA (F(4, 1) = 6.405, p =.287) or ROE (F(4, 1) = 28.500, p =.139), while three ROE interactions approach significance (p =.076–.089)</w:t>
      </w:r>
      <w:r>
        <w:rPr>
          <w:rFonts w:ascii="Times New Roman" w:eastAsia="Times New Roman" w:hAnsi="Times New Roman" w:cs="Times New Roman"/>
        </w:rPr>
        <w:t>.</w:t>
      </w:r>
    </w:p>
    <w:p w14:paraId="56DAD5DD"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Overall, the analysis reveals no direct ESG–performance association, no substantial ESG moderation, and limited ROE-specific evidence for a governance–performance relationship; all non-results are explained by severe power constraints.</w:t>
      </w:r>
    </w:p>
    <w:p w14:paraId="56DAD5DE" w14:textId="77777777" w:rsidR="004322E7" w:rsidRPr="00856AD7" w:rsidRDefault="000C275E">
      <w:pPr>
        <w:pStyle w:val="Heading1"/>
        <w:spacing w:line="360" w:lineRule="auto"/>
        <w:rPr>
          <w:rFonts w:ascii="Times New Roman" w:eastAsia="Times New Roman" w:hAnsi="Times New Roman" w:cs="Times New Roman"/>
          <w:b/>
          <w:bCs/>
          <w:color w:val="000000"/>
          <w:sz w:val="24"/>
          <w:szCs w:val="24"/>
        </w:rPr>
      </w:pPr>
      <w:bookmarkStart w:id="61" w:name="_Toc237010692"/>
      <w:r w:rsidRPr="00856AD7">
        <w:rPr>
          <w:rFonts w:ascii="Times New Roman" w:eastAsia="Times New Roman" w:hAnsi="Times New Roman" w:cs="Times New Roman"/>
          <w:b/>
          <w:bCs/>
          <w:color w:val="000000"/>
          <w:sz w:val="24"/>
          <w:szCs w:val="24"/>
        </w:rPr>
        <w:t>7. Implications of the Study</w:t>
      </w:r>
      <w:bookmarkEnd w:id="61"/>
    </w:p>
    <w:p w14:paraId="56DAD5DF"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This work provides three theoretical contributions. First, it broadens the predominantly agency theoretic framing of FTSE 350 governance-performance research (Meckling and Jensen, 1976; Kyere and Ausloos, 2021) by integrating governance into a joint framework that also includes stakeholder theory (Freeman, 1984) and the resource-based view (Barney, 1991). This integration is operationalized by a standard moderation framework, directly responding to requests for study that considers ESG performance as a conditioning variable instead of just an extra predictor (Moussa, Elmarzouky, and Shohaieb, 2024).</w:t>
      </w:r>
    </w:p>
    <w:p w14:paraId="56DAD5E0"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Second, the study makes methodological contributions by exhibiting a market capitalization stratified purposive sampling technique aimed to reflect the whole FTSE 350 population, including the understudied mid size section. This contrasts with FTSE 100 weighted or random sample methodologies popular in past work (Yusuf &amp; Sherif, 2020), and provides a reproducible blueprint for future index-based sampling in doctorate and practitioner research.</w:t>
      </w:r>
    </w:p>
    <w:p w14:paraId="56DAD5E1"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Third, the study improves theoretical precision by comparing five governance processes to three ESG pillars and a composite score using a single moderation framework. This disaggregated methodology advances beyond the aggregated "ESG" and "governance" categories utilized in comparative analyses (Ahmad, Mobarek and Roni, 2021; Sandberg, Alnoor, and Tiberius, 2023), allowing a more explicit determination of which governance-ESG combinations may important.</w:t>
      </w:r>
    </w:p>
    <w:p w14:paraId="56DAD5E2"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In practice, the framework gives regulators like the Financial Reporting Council a foundation for determining whether governance and ESG disclosure regimes function as a whole, assists FTSE 350 boards in determining whether ESG investment improves returns to governance reform, and supports stewardship teams and institutional shareholders in prioritizing engagement.</w:t>
      </w:r>
    </w:p>
    <w:p w14:paraId="56DAD5E3" w14:textId="77777777" w:rsidR="004322E7" w:rsidRPr="00856AD7" w:rsidRDefault="000C275E">
      <w:pPr>
        <w:pStyle w:val="Heading1"/>
        <w:spacing w:line="360" w:lineRule="auto"/>
        <w:rPr>
          <w:rFonts w:ascii="Times New Roman" w:eastAsia="Times New Roman" w:hAnsi="Times New Roman" w:cs="Times New Roman"/>
          <w:b/>
          <w:bCs/>
          <w:color w:val="000000"/>
          <w:sz w:val="24"/>
          <w:szCs w:val="24"/>
        </w:rPr>
      </w:pPr>
      <w:bookmarkStart w:id="62" w:name="_Toc237010693"/>
      <w:r w:rsidRPr="00856AD7">
        <w:rPr>
          <w:rFonts w:ascii="Times New Roman" w:eastAsia="Times New Roman" w:hAnsi="Times New Roman" w:cs="Times New Roman"/>
          <w:b/>
          <w:bCs/>
          <w:color w:val="000000"/>
          <w:sz w:val="24"/>
          <w:szCs w:val="24"/>
        </w:rPr>
        <w:lastRenderedPageBreak/>
        <w:t>8. Limitation of the study</w:t>
      </w:r>
      <w:bookmarkEnd w:id="62"/>
    </w:p>
    <w:p w14:paraId="56DAD5E4" w14:textId="7EEFF4AA"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study's use on secondary data from Yahoo Finance, LSEG, and annual reports reduces researcher bias but makes conclusions dependent on third-party disclosure accuracy; LSEG's developing ESG rating system may impair comparability over periods (Ahmad, Mobarek, and Roni, 2021). The findings are exclusively applicable to FTSE 350 enterprises operating under the UK Corporate Governance Code's </w:t>
      </w:r>
      <w:r w:rsidR="00A35452">
        <w:rPr>
          <w:rFonts w:ascii="Times New Roman" w:eastAsia="Times New Roman" w:hAnsi="Times New Roman" w:cs="Times New Roman"/>
        </w:rPr>
        <w:t>describes</w:t>
      </w:r>
      <w:r>
        <w:rPr>
          <w:rFonts w:ascii="Times New Roman" w:eastAsia="Times New Roman" w:hAnsi="Times New Roman" w:cs="Times New Roman"/>
        </w:rPr>
        <w:t xml:space="preserve"> </w:t>
      </w:r>
      <w:r w:rsidR="00D96D7F">
        <w:rPr>
          <w:rFonts w:ascii="Times New Roman" w:eastAsia="Times New Roman" w:hAnsi="Times New Roman" w:cs="Times New Roman"/>
        </w:rPr>
        <w:t>structures</w:t>
      </w:r>
      <w:r>
        <w:rPr>
          <w:rFonts w:ascii="Times New Roman" w:eastAsia="Times New Roman" w:hAnsi="Times New Roman" w:cs="Times New Roman"/>
        </w:rPr>
        <w:t xml:space="preserve"> (Financial Reporting Council, 2024) and cannot be extrapolated to AIM listed, unlisted, or non-UK companies. Sector variety in the six company sample banking, consumer goods, energy, defense, mining, beverages represents market capitalization sampling rather than sector logic, therefore moderating effects must be taken cautiously given sector specific ESG-FP Dynamics (Buallay, 2019).</w:t>
      </w:r>
    </w:p>
    <w:p w14:paraId="56DAD5E5"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quantitative, positivist methodology supplemented by thematic disclosure analysis reveals statistical relationships but fails to capture qualitative mechanisms like boardroom dynamics or governance-sustainability bargaining. The cross-sectional, single-period structure is prone to reverse causality and cannot demonstrate directionality, mirroring larger endogeneity difficulties in CG-FP research conducted using instrumental or quasi-experimental methods (Hu, Lin, and Tosun, 2023). Consistent with these difficulties, Giannopoulos </w:t>
      </w:r>
      <w:r>
        <w:rPr>
          <w:rFonts w:ascii="Times New Roman" w:eastAsia="Times New Roman" w:hAnsi="Times New Roman" w:cs="Times New Roman"/>
          <w:i/>
          <w:iCs/>
        </w:rPr>
        <w:t>et al.</w:t>
      </w:r>
      <w:r>
        <w:rPr>
          <w:rFonts w:ascii="Times New Roman" w:eastAsia="Times New Roman" w:hAnsi="Times New Roman" w:cs="Times New Roman"/>
        </w:rPr>
        <w:t xml:space="preserve"> (2026) present conflicting FTSE 350 data. ESG positively predicts ROA but is negligible for ROE, emphasizing the sensitivity of ESG-FP correlations to model specification and performance measurements.</w:t>
      </w:r>
    </w:p>
    <w:p w14:paraId="56DAD5E6" w14:textId="77777777" w:rsidR="004322E7" w:rsidRPr="00856AD7" w:rsidRDefault="000C275E">
      <w:pPr>
        <w:pStyle w:val="Heading1"/>
        <w:spacing w:line="360" w:lineRule="auto"/>
        <w:rPr>
          <w:rFonts w:ascii="Times New Roman" w:eastAsia="Times New Roman" w:hAnsi="Times New Roman" w:cs="Times New Roman"/>
          <w:b/>
          <w:bCs/>
          <w:color w:val="000000"/>
          <w:sz w:val="24"/>
          <w:szCs w:val="24"/>
        </w:rPr>
      </w:pPr>
      <w:bookmarkStart w:id="63" w:name="_Toc237010694"/>
      <w:r w:rsidRPr="00856AD7">
        <w:rPr>
          <w:rFonts w:ascii="Times New Roman" w:eastAsia="Times New Roman" w:hAnsi="Times New Roman" w:cs="Times New Roman"/>
          <w:b/>
          <w:bCs/>
          <w:color w:val="000000"/>
          <w:sz w:val="24"/>
          <w:szCs w:val="24"/>
        </w:rPr>
        <w:t>9. Recommendation for future research</w:t>
      </w:r>
      <w:bookmarkEnd w:id="63"/>
    </w:p>
    <w:p w14:paraId="56DAD5E7" w14:textId="3FFE4804"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The study's limitations suggest four paths for future investigation. First, to address the endogeneity and reverse causation problems raised in the future work section, the cross-sectional design should be replaced with a multi-year FTSE 350 panel. A complete index panel would significantly boost statistical power and allow for more confident testing of moderating effects than the current six-firm sample. The moderation model currently needed an a modification from an inconceivable five term interactions structure to a </w:t>
      </w:r>
      <w:r w:rsidR="00805AB2">
        <w:rPr>
          <w:rFonts w:ascii="Times New Roman" w:eastAsia="Times New Roman" w:hAnsi="Times New Roman" w:cs="Times New Roman"/>
        </w:rPr>
        <w:t>four</w:t>
      </w:r>
      <w:r>
        <w:rPr>
          <w:rFonts w:ascii="Times New Roman" w:eastAsia="Times New Roman" w:hAnsi="Times New Roman" w:cs="Times New Roman"/>
        </w:rPr>
        <w:t xml:space="preserve"> term version, and even the corrected model retained only two residual degrees of freedom, demonstrating that reducing interaction terms is only a partial solution; a robust test of RQ3 requires a larger, multi-period dataset.</w:t>
      </w:r>
    </w:p>
    <w:p w14:paraId="56DAD5E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Second, industry-specific governance–ESG dynamics indicated by environmental pillar evidence require sector stratified sampling (Buallay, 2019). Stratification by industry and market capitalization bands would allow testing if moderating effects vary systematically between sectors.</w:t>
      </w:r>
    </w:p>
    <w:p w14:paraId="56DAD5E9"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Third, in order to shed light on internal governance procedures that determine whether or not ESG factors are incorporated into board-level monitoring and decision-making, future research should supplement quantitative modeling with qualitative techniques like semi-structured interviews with company secretaries, sustainability officers, or non-executive directors.</w:t>
      </w:r>
    </w:p>
    <w:p w14:paraId="56DAD5EA"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Fourth, in addition to accounting-based indicators, future study should include market-based performance metrics like Tobin's Q. Considering findings that financial performance proxies (ROA vs. ROE) significantly affect conclusions, this would examine whether governance–ESG moderation effects function similarly through investor value channels (Ahmad, Mobarek, and Roni, 2021).</w:t>
      </w:r>
    </w:p>
    <w:p w14:paraId="56DAD5EB" w14:textId="77777777" w:rsidR="004322E7" w:rsidRDefault="004322E7">
      <w:pPr>
        <w:spacing w:line="360" w:lineRule="auto"/>
        <w:jc w:val="both"/>
        <w:rPr>
          <w:rFonts w:ascii="Times New Roman" w:eastAsia="Times New Roman" w:hAnsi="Times New Roman" w:cs="Times New Roman"/>
        </w:rPr>
      </w:pPr>
    </w:p>
    <w:p w14:paraId="56DAD5EC" w14:textId="77777777" w:rsidR="004322E7" w:rsidRDefault="004322E7">
      <w:pPr>
        <w:spacing w:line="360" w:lineRule="auto"/>
        <w:jc w:val="both"/>
        <w:rPr>
          <w:rFonts w:ascii="Times New Roman" w:eastAsia="Times New Roman" w:hAnsi="Times New Roman" w:cs="Times New Roman"/>
        </w:rPr>
      </w:pPr>
    </w:p>
    <w:p w14:paraId="56DAD5ED" w14:textId="77777777" w:rsidR="004322E7" w:rsidRDefault="004322E7">
      <w:pPr>
        <w:spacing w:line="360" w:lineRule="auto"/>
        <w:jc w:val="both"/>
        <w:rPr>
          <w:rFonts w:ascii="Times New Roman" w:eastAsia="Times New Roman" w:hAnsi="Times New Roman" w:cs="Times New Roman"/>
        </w:rPr>
      </w:pPr>
    </w:p>
    <w:p w14:paraId="56DAD5EE" w14:textId="77777777" w:rsidR="004322E7" w:rsidRDefault="004322E7">
      <w:pPr>
        <w:spacing w:line="360" w:lineRule="auto"/>
        <w:jc w:val="both"/>
        <w:rPr>
          <w:rFonts w:ascii="Times New Roman" w:eastAsia="Times New Roman" w:hAnsi="Times New Roman" w:cs="Times New Roman"/>
        </w:rPr>
      </w:pPr>
    </w:p>
    <w:p w14:paraId="56DAD5EF" w14:textId="77777777" w:rsidR="004322E7" w:rsidRDefault="004322E7">
      <w:pPr>
        <w:spacing w:line="360" w:lineRule="auto"/>
        <w:jc w:val="both"/>
        <w:rPr>
          <w:rFonts w:ascii="Times New Roman" w:eastAsia="Times New Roman" w:hAnsi="Times New Roman" w:cs="Times New Roman"/>
        </w:rPr>
      </w:pPr>
    </w:p>
    <w:p w14:paraId="56DAD5F0" w14:textId="77777777" w:rsidR="004322E7" w:rsidRDefault="004322E7">
      <w:pPr>
        <w:spacing w:line="360" w:lineRule="auto"/>
        <w:jc w:val="both"/>
        <w:rPr>
          <w:rFonts w:ascii="Times New Roman" w:eastAsia="Times New Roman" w:hAnsi="Times New Roman" w:cs="Times New Roman"/>
        </w:rPr>
      </w:pPr>
    </w:p>
    <w:p w14:paraId="56DAD5F1" w14:textId="77777777" w:rsidR="004322E7" w:rsidRDefault="004322E7">
      <w:pPr>
        <w:spacing w:line="360" w:lineRule="auto"/>
        <w:jc w:val="both"/>
        <w:rPr>
          <w:rFonts w:ascii="Times New Roman" w:eastAsia="Times New Roman" w:hAnsi="Times New Roman" w:cs="Times New Roman"/>
        </w:rPr>
      </w:pPr>
    </w:p>
    <w:p w14:paraId="56DAD5F2" w14:textId="77777777" w:rsidR="004322E7" w:rsidRDefault="004322E7">
      <w:pPr>
        <w:spacing w:line="360" w:lineRule="auto"/>
        <w:jc w:val="both"/>
        <w:rPr>
          <w:rFonts w:ascii="Times New Roman" w:eastAsia="Times New Roman" w:hAnsi="Times New Roman" w:cs="Times New Roman"/>
        </w:rPr>
      </w:pPr>
    </w:p>
    <w:p w14:paraId="56DAD5F3" w14:textId="77777777" w:rsidR="004322E7" w:rsidRDefault="004322E7">
      <w:pPr>
        <w:spacing w:line="360" w:lineRule="auto"/>
        <w:jc w:val="both"/>
        <w:rPr>
          <w:rFonts w:ascii="Times New Roman" w:eastAsia="Times New Roman" w:hAnsi="Times New Roman" w:cs="Times New Roman"/>
        </w:rPr>
      </w:pPr>
    </w:p>
    <w:p w14:paraId="2F90DC64" w14:textId="77777777" w:rsidR="002D2AFE" w:rsidRDefault="002D2AFE">
      <w:pPr>
        <w:spacing w:line="360" w:lineRule="auto"/>
        <w:jc w:val="both"/>
        <w:rPr>
          <w:rFonts w:ascii="Times New Roman" w:eastAsia="Times New Roman" w:hAnsi="Times New Roman" w:cs="Times New Roman"/>
        </w:rPr>
      </w:pPr>
    </w:p>
    <w:p w14:paraId="0111EBDB" w14:textId="77777777" w:rsidR="002D2AFE" w:rsidRDefault="002D2AFE">
      <w:pPr>
        <w:spacing w:line="360" w:lineRule="auto"/>
        <w:jc w:val="both"/>
        <w:rPr>
          <w:rFonts w:ascii="Times New Roman" w:eastAsia="Times New Roman" w:hAnsi="Times New Roman" w:cs="Times New Roman"/>
        </w:rPr>
      </w:pPr>
    </w:p>
    <w:p w14:paraId="68DDC563" w14:textId="77777777" w:rsidR="002D2AFE" w:rsidRDefault="002D2AFE">
      <w:pPr>
        <w:spacing w:line="360" w:lineRule="auto"/>
        <w:jc w:val="both"/>
        <w:rPr>
          <w:rFonts w:ascii="Times New Roman" w:eastAsia="Times New Roman" w:hAnsi="Times New Roman" w:cs="Times New Roman"/>
        </w:rPr>
      </w:pPr>
    </w:p>
    <w:p w14:paraId="56DAD5F6" w14:textId="77777777" w:rsidR="004322E7" w:rsidRPr="00856AD7" w:rsidRDefault="000C275E">
      <w:pPr>
        <w:pStyle w:val="Heading1"/>
        <w:spacing w:line="360" w:lineRule="auto"/>
        <w:rPr>
          <w:rFonts w:ascii="Times New Roman" w:eastAsia="Times New Roman" w:hAnsi="Times New Roman" w:cs="Times New Roman"/>
          <w:b/>
          <w:bCs/>
          <w:color w:val="000000"/>
          <w:sz w:val="24"/>
          <w:szCs w:val="24"/>
        </w:rPr>
      </w:pPr>
      <w:bookmarkStart w:id="64" w:name="_Toc237010695"/>
      <w:r w:rsidRPr="00856AD7">
        <w:rPr>
          <w:rFonts w:ascii="Times New Roman" w:eastAsia="Times New Roman" w:hAnsi="Times New Roman" w:cs="Times New Roman"/>
          <w:b/>
          <w:bCs/>
          <w:color w:val="000000"/>
          <w:sz w:val="24"/>
          <w:szCs w:val="24"/>
        </w:rPr>
        <w:lastRenderedPageBreak/>
        <w:t>References</w:t>
      </w:r>
      <w:bookmarkEnd w:id="64"/>
    </w:p>
    <w:p w14:paraId="56DAD5F7"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Affes, W. and Jarboui, A. (2023) ‘The impact of corporate governance on financial performance: a cross-sector study: The impact of corporate governance on financial performance: a cross-sector study’, </w:t>
      </w:r>
      <w:r>
        <w:rPr>
          <w:rFonts w:ascii="Times New Roman" w:eastAsia="Times New Roman" w:hAnsi="Times New Roman" w:cs="Times New Roman"/>
          <w:i/>
          <w:iCs/>
        </w:rPr>
        <w:t>International Journal of Disclosure and Governance</w:t>
      </w:r>
      <w:r>
        <w:rPr>
          <w:rFonts w:ascii="Times New Roman" w:eastAsia="Times New Roman" w:hAnsi="Times New Roman" w:cs="Times New Roman"/>
        </w:rPr>
        <w:t>, 20(4), pp. 374–394. Available at: https://doi.org/10.1057/s41310-023-00182-8</w:t>
      </w:r>
    </w:p>
    <w:p w14:paraId="56DAD5F8"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Agarwal, S. and Singh, A. (2020) ‘Literature Review on the Relationship between Board Structure and Firm Performance’, </w:t>
      </w:r>
      <w:r>
        <w:rPr>
          <w:rFonts w:ascii="Times New Roman" w:eastAsia="Times New Roman" w:hAnsi="Times New Roman" w:cs="Times New Roman"/>
          <w:i/>
          <w:iCs/>
        </w:rPr>
        <w:t>International Journal of Business Ethics in Developing Economies</w:t>
      </w:r>
      <w:r>
        <w:rPr>
          <w:rFonts w:ascii="Times New Roman" w:eastAsia="Times New Roman" w:hAnsi="Times New Roman" w:cs="Times New Roman"/>
        </w:rPr>
        <w:t>, 9(2), pp. 33–43. Available at: https://www.proquest.com/scholarly-journals/literature-review-on-relationship-between-board/docview/2540840059/se-2 (Accessed: 2 August 2026).</w:t>
      </w:r>
    </w:p>
    <w:p w14:paraId="56DAD5F9"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Ahmad, N., Mobarek, A. and Roni, N. N. (2021) ‘Revisiting the impact of ESG on financial performance of FTSE350 UK firms: Static and dynamic panel data analysis’, </w:t>
      </w:r>
      <w:r>
        <w:rPr>
          <w:rFonts w:ascii="Times New Roman" w:eastAsia="Times New Roman" w:hAnsi="Times New Roman" w:cs="Times New Roman"/>
          <w:i/>
          <w:iCs/>
        </w:rPr>
        <w:t>Cogent Business &amp; Management</w:t>
      </w:r>
      <w:r>
        <w:rPr>
          <w:rFonts w:ascii="Times New Roman" w:eastAsia="Times New Roman" w:hAnsi="Times New Roman" w:cs="Times New Roman"/>
        </w:rPr>
        <w:t>, 8(1), pp. 1–18. Available at: https://doi.org/10.1080/23311975.2021.1900500</w:t>
      </w:r>
    </w:p>
    <w:p w14:paraId="56DAD5FA"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Ahmad, N., Mobarek, A. and Raid, M. (2023) ‘Impact of global financial crisis on firm performance in UK: Moderating role of ESG, corporate governance and firm size’, </w:t>
      </w:r>
      <w:r>
        <w:rPr>
          <w:rFonts w:ascii="Times New Roman" w:eastAsia="Times New Roman" w:hAnsi="Times New Roman" w:cs="Times New Roman"/>
          <w:i/>
          <w:iCs/>
        </w:rPr>
        <w:t>Cogent Business &amp; Management</w:t>
      </w:r>
      <w:r>
        <w:rPr>
          <w:rFonts w:ascii="Times New Roman" w:eastAsia="Times New Roman" w:hAnsi="Times New Roman" w:cs="Times New Roman"/>
        </w:rPr>
        <w:t>, 10(1), pp. 1–19. Available at: https://doi.org/10.1080/23311975.2023.2167548</w:t>
      </w:r>
    </w:p>
    <w:p w14:paraId="56DAD5FB"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Aibar‐Guzmán, B., Raimo, N., Vitolla, F. and García‐Sánchez, I. (2024) ‘Corporate governance and financial performance: Reframing their relationship in the context of climate change’, </w:t>
      </w:r>
      <w:r>
        <w:rPr>
          <w:rFonts w:ascii="Times New Roman" w:eastAsia="Times New Roman" w:hAnsi="Times New Roman" w:cs="Times New Roman"/>
          <w:i/>
          <w:iCs/>
        </w:rPr>
        <w:t>Corporate Social-Responsibility and Environmental Management</w:t>
      </w:r>
      <w:r>
        <w:rPr>
          <w:rFonts w:ascii="Times New Roman" w:eastAsia="Times New Roman" w:hAnsi="Times New Roman" w:cs="Times New Roman"/>
        </w:rPr>
        <w:t>, 31(3), pp. 1493–1509. Available at: https://doi.org/10.1002/csr.2649</w:t>
      </w:r>
    </w:p>
    <w:p w14:paraId="56DAD5FC"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Aladwey, L., Elgharbawy, A. and Ganna, M. A. (2022) ‘Attributes of corporate boards and assurance of corporate social responsibility reporting: evidence from the UK’, </w:t>
      </w:r>
      <w:r>
        <w:rPr>
          <w:rFonts w:ascii="Times New Roman" w:eastAsia="Times New Roman" w:hAnsi="Times New Roman" w:cs="Times New Roman"/>
          <w:i/>
          <w:iCs/>
        </w:rPr>
        <w:t>Corporate Governance (Bradford)</w:t>
      </w:r>
      <w:r>
        <w:rPr>
          <w:rFonts w:ascii="Times New Roman" w:eastAsia="Times New Roman" w:hAnsi="Times New Roman" w:cs="Times New Roman"/>
        </w:rPr>
        <w:t>, 22(4), pp. 748–780. Available at: https://doi.org/10.1108/CG-02-2021-0066</w:t>
      </w:r>
    </w:p>
    <w:p w14:paraId="56DAD5FD"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Alareeni, B. A. and Hamdan, A. (2020) ‘ESG impact on performance of US S&amp;P 500-listed firms’, </w:t>
      </w:r>
      <w:r>
        <w:rPr>
          <w:rFonts w:ascii="Times New Roman" w:eastAsia="Times New Roman" w:hAnsi="Times New Roman" w:cs="Times New Roman"/>
          <w:i/>
          <w:iCs/>
        </w:rPr>
        <w:t>Corporate Governance (Bradford)</w:t>
      </w:r>
      <w:r>
        <w:rPr>
          <w:rFonts w:ascii="Times New Roman" w:eastAsia="Times New Roman" w:hAnsi="Times New Roman" w:cs="Times New Roman"/>
        </w:rPr>
        <w:t>, 20(7), pp. 1409–1428. Available at: https://doi.org/10.1108/CG-06-2020-0258</w:t>
      </w:r>
    </w:p>
    <w:p w14:paraId="56DAD5FE"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Arsh, M., Ansari, M. S., Ahmad, G., Enam, M., Tabash, M. I. and Al-Absy, M. S. M. (2025) ‘Unveiling the corporate governance dynamics: exploring the nexus of board composition, audit committee attributes, foreign ownership, and firm performance in an emerging market’, </w:t>
      </w:r>
      <w:r>
        <w:rPr>
          <w:rFonts w:ascii="Times New Roman" w:eastAsia="Times New Roman" w:hAnsi="Times New Roman" w:cs="Times New Roman"/>
          <w:i/>
          <w:iCs/>
        </w:rPr>
        <w:t>Cogent Business &amp; Management</w:t>
      </w:r>
      <w:r>
        <w:rPr>
          <w:rFonts w:ascii="Times New Roman" w:eastAsia="Times New Roman" w:hAnsi="Times New Roman" w:cs="Times New Roman"/>
        </w:rPr>
        <w:t>, 12(1), pp. 1–24. Available at: https://doi.org/10.1080/23311975.2025.2468876</w:t>
      </w:r>
    </w:p>
    <w:p w14:paraId="56DAD5FF"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Atz, U., Van Holt, T., Liu, Z. Z. and Bruno, C. C. (2023) ‘Does sustainability generate better financial performance? review, meta-analysis, and propositions’, </w:t>
      </w:r>
      <w:r>
        <w:rPr>
          <w:rFonts w:ascii="Times New Roman" w:eastAsia="Times New Roman" w:hAnsi="Times New Roman" w:cs="Times New Roman"/>
          <w:i/>
          <w:iCs/>
        </w:rPr>
        <w:t>Journal of Sustainable Finance &amp; Investment</w:t>
      </w:r>
      <w:r>
        <w:rPr>
          <w:rFonts w:ascii="Times New Roman" w:eastAsia="Times New Roman" w:hAnsi="Times New Roman" w:cs="Times New Roman"/>
        </w:rPr>
        <w:t>, 13(1), pp. 802–825. Available at: https://doi.org/10.1080/20430795.2022.2106934</w:t>
      </w:r>
    </w:p>
    <w:p w14:paraId="56DAD600"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Aydoğmuş, M., Gülay, G. and Ergun, K. (2022) ‘Impact of ESG performance on firm value and profitability’, </w:t>
      </w:r>
      <w:r>
        <w:rPr>
          <w:rFonts w:ascii="Times New Roman" w:eastAsia="Times New Roman" w:hAnsi="Times New Roman" w:cs="Times New Roman"/>
          <w:i/>
          <w:iCs/>
        </w:rPr>
        <w:t>Borsa Istanbul Review</w:t>
      </w:r>
      <w:r>
        <w:rPr>
          <w:rFonts w:ascii="Times New Roman" w:eastAsia="Times New Roman" w:hAnsi="Times New Roman" w:cs="Times New Roman"/>
        </w:rPr>
        <w:t>, 22, pp. S119–S127. Available at: https://doi.org/10.1016/j.bir.2022.11.006</w:t>
      </w:r>
    </w:p>
    <w:p w14:paraId="56DAD601"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Barney, J. (1991) ‘Firm Resources and Sustained Competitive Advantage’, </w:t>
      </w:r>
      <w:r>
        <w:rPr>
          <w:rFonts w:ascii="Times New Roman" w:eastAsia="Times New Roman" w:hAnsi="Times New Roman" w:cs="Times New Roman"/>
          <w:i/>
          <w:iCs/>
        </w:rPr>
        <w:t>Journal of Management</w:t>
      </w:r>
      <w:r>
        <w:rPr>
          <w:rFonts w:ascii="Times New Roman" w:eastAsia="Times New Roman" w:hAnsi="Times New Roman" w:cs="Times New Roman"/>
        </w:rPr>
        <w:t>, 17(1), pp. 99–120. Available at: https://doi.org/10.1177/014920639101700108</w:t>
      </w:r>
    </w:p>
    <w:p w14:paraId="56DAD602"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Becchetti, L., Bobbio, E., Prizia, F. and Semplici, L. (2022) ‘Going Deeper into the S of ESG: A Relational Approach to the Definition of Social Responsibility’, </w:t>
      </w:r>
      <w:r>
        <w:rPr>
          <w:rFonts w:ascii="Times New Roman" w:eastAsia="Times New Roman" w:hAnsi="Times New Roman" w:cs="Times New Roman"/>
          <w:i/>
          <w:iCs/>
        </w:rPr>
        <w:t>Sustainability</w:t>
      </w:r>
      <w:r>
        <w:rPr>
          <w:rFonts w:ascii="Times New Roman" w:eastAsia="Times New Roman" w:hAnsi="Times New Roman" w:cs="Times New Roman"/>
        </w:rPr>
        <w:t>, 14(15), pp. 1–22. Available at: https://doi.org/10.3390/su14159668</w:t>
      </w:r>
    </w:p>
    <w:p w14:paraId="56DAD603"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Boufounou, P., Moustairas, Ι., Toudas, K. and Malesios, C. (2023) ‘ESGs and Customer Choice: Some Empirical Evidence’, </w:t>
      </w:r>
      <w:r>
        <w:rPr>
          <w:rFonts w:ascii="Times New Roman" w:eastAsia="Times New Roman" w:hAnsi="Times New Roman" w:cs="Times New Roman"/>
          <w:i/>
          <w:iCs/>
        </w:rPr>
        <w:t>Circular Economy and Sustainability (Online)</w:t>
      </w:r>
      <w:r>
        <w:rPr>
          <w:rFonts w:ascii="Times New Roman" w:eastAsia="Times New Roman" w:hAnsi="Times New Roman" w:cs="Times New Roman"/>
        </w:rPr>
        <w:t>, 3(4), pp. 1841–1874. Available at: https://doi.org/10.1007/s43615-023-00251-8</w:t>
      </w:r>
    </w:p>
    <w:p w14:paraId="56DAD604"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Bryman, A. (2016) </w:t>
      </w:r>
      <w:r>
        <w:rPr>
          <w:rFonts w:ascii="Times New Roman" w:eastAsia="Times New Roman" w:hAnsi="Times New Roman" w:cs="Times New Roman"/>
          <w:i/>
          <w:iCs/>
        </w:rPr>
        <w:t>Social research methods</w:t>
      </w:r>
      <w:r>
        <w:rPr>
          <w:rFonts w:ascii="Times New Roman" w:eastAsia="Times New Roman" w:hAnsi="Times New Roman" w:cs="Times New Roman"/>
        </w:rPr>
        <w:t>. Oxford university press.</w:t>
      </w:r>
    </w:p>
    <w:p w14:paraId="56DAD605"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Buallay, A. (2019) ‘Is sustainability reporting (ESG) associated with performance? Evidence from the European banking sector’, </w:t>
      </w:r>
      <w:r>
        <w:rPr>
          <w:rFonts w:ascii="Times New Roman" w:eastAsia="Times New Roman" w:hAnsi="Times New Roman" w:cs="Times New Roman"/>
          <w:i/>
          <w:iCs/>
        </w:rPr>
        <w:t>Management of Environmental Quality</w:t>
      </w:r>
      <w:r>
        <w:rPr>
          <w:rFonts w:ascii="Times New Roman" w:eastAsia="Times New Roman" w:hAnsi="Times New Roman" w:cs="Times New Roman"/>
        </w:rPr>
        <w:t>, 30(1), pp. 98–115. Available at: https://doi.org/10.1108/MEQ-12-2017-0149</w:t>
      </w:r>
    </w:p>
    <w:p w14:paraId="56DAD606"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Cadbury Code. 1992. “The Financial Aspects of Corporate Governance.”In The Committee on the Financial Aspects of Corporate Governance, vol.1. London: Gee and Co</w:t>
      </w:r>
    </w:p>
    <w:p w14:paraId="56DAD607"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Cannella, A. A. and Lubatkin, M. (1993) ‘Succession as A Sociopolitical Process: Internal Impediments to Outsider Selection’, </w:t>
      </w:r>
      <w:r>
        <w:rPr>
          <w:rFonts w:ascii="Times New Roman" w:eastAsia="Times New Roman" w:hAnsi="Times New Roman" w:cs="Times New Roman"/>
          <w:i/>
          <w:iCs/>
        </w:rPr>
        <w:t>Academy of Management Journal</w:t>
      </w:r>
      <w:r>
        <w:rPr>
          <w:rFonts w:ascii="Times New Roman" w:eastAsia="Times New Roman" w:hAnsi="Times New Roman" w:cs="Times New Roman"/>
        </w:rPr>
        <w:t>, 36(4), pp. 763–793. Available at: https://doi.org/10.5465/256758</w:t>
      </w:r>
    </w:p>
    <w:p w14:paraId="56DAD608"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Chen, Z. and Xie, G. (2022) ‘ESG disclosure and financial performance: Moderating role of ESG investors’, </w:t>
      </w:r>
      <w:r>
        <w:rPr>
          <w:rFonts w:ascii="Times New Roman" w:eastAsia="Times New Roman" w:hAnsi="Times New Roman" w:cs="Times New Roman"/>
          <w:i/>
          <w:iCs/>
        </w:rPr>
        <w:t>International Review of Financial Analysis</w:t>
      </w:r>
      <w:r>
        <w:rPr>
          <w:rFonts w:ascii="Times New Roman" w:eastAsia="Times New Roman" w:hAnsi="Times New Roman" w:cs="Times New Roman"/>
        </w:rPr>
        <w:t>, 83(102291), pp. 1–16. Available at: https://doi.org/10.1016/j.irfa.2022.102291</w:t>
      </w:r>
    </w:p>
    <w:p w14:paraId="56DAD609"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Coelho, R., Jayantilal, S. and Ferreira, J. J. (2023) ‘The impact of social responsibility on corporate financial performance: A systematic literature review’, </w:t>
      </w:r>
      <w:r>
        <w:rPr>
          <w:rFonts w:ascii="Times New Roman" w:eastAsia="Times New Roman" w:hAnsi="Times New Roman" w:cs="Times New Roman"/>
          <w:i/>
          <w:iCs/>
        </w:rPr>
        <w:t>Corporate Social-Responsibility and Environmental Management</w:t>
      </w:r>
      <w:r>
        <w:rPr>
          <w:rFonts w:ascii="Times New Roman" w:eastAsia="Times New Roman" w:hAnsi="Times New Roman" w:cs="Times New Roman"/>
        </w:rPr>
        <w:t>, 30(4), pp. 1535–1560. Available at: https://doi.org/10.1002/csr.2446</w:t>
      </w:r>
    </w:p>
    <w:p w14:paraId="56DAD60A"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Cornell, B. (2021) ‘ESG preferences, risk and return’, </w:t>
      </w:r>
      <w:r>
        <w:rPr>
          <w:rFonts w:ascii="Times New Roman" w:eastAsia="Times New Roman" w:hAnsi="Times New Roman" w:cs="Times New Roman"/>
          <w:i/>
          <w:iCs/>
        </w:rPr>
        <w:t>European Financial Management : The Journal of the European Financial Management Association</w:t>
      </w:r>
      <w:r>
        <w:rPr>
          <w:rFonts w:ascii="Times New Roman" w:eastAsia="Times New Roman" w:hAnsi="Times New Roman" w:cs="Times New Roman"/>
        </w:rPr>
        <w:t>, 27(1), pp. 12–19. Available at: https://doi.org/10.1111/eufm.12295</w:t>
      </w:r>
    </w:p>
    <w:p w14:paraId="56DAD60B"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Creswell, J.W. and Creswell, J.D. (2017) </w:t>
      </w:r>
      <w:r>
        <w:rPr>
          <w:rFonts w:ascii="Times New Roman" w:eastAsia="Times New Roman" w:hAnsi="Times New Roman" w:cs="Times New Roman"/>
          <w:i/>
          <w:iCs/>
        </w:rPr>
        <w:t>Research design: Qualitative, quantitative, and mixed methods approaches</w:t>
      </w:r>
      <w:r>
        <w:rPr>
          <w:rFonts w:ascii="Times New Roman" w:eastAsia="Times New Roman" w:hAnsi="Times New Roman" w:cs="Times New Roman"/>
        </w:rPr>
        <w:t>. Sage publications</w:t>
      </w:r>
    </w:p>
    <w:p w14:paraId="56DAD60C"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Darko, J., Aribi, Z. A. and Uzonwanne, G. C. (2016) ‘Corporate governance: the impact of director and board structure, ownership structure and corporate control on the performance of listed companies on the Ghana stock exchange’, </w:t>
      </w:r>
      <w:r>
        <w:rPr>
          <w:rFonts w:ascii="Times New Roman" w:eastAsia="Times New Roman" w:hAnsi="Times New Roman" w:cs="Times New Roman"/>
          <w:i/>
          <w:iCs/>
        </w:rPr>
        <w:t>Corporate Governance (Bradford)</w:t>
      </w:r>
      <w:r>
        <w:rPr>
          <w:rFonts w:ascii="Times New Roman" w:eastAsia="Times New Roman" w:hAnsi="Times New Roman" w:cs="Times New Roman"/>
        </w:rPr>
        <w:t>, 16(2), pp. 259–277. Available at: https://doi.org/10.1108/CG-11-2014-0133</w:t>
      </w:r>
    </w:p>
    <w:p w14:paraId="56DAD60D"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Din, S. U., Arshad Khan, M., Khan, M. J. and Khan, M. Y. (2022) ‘Ownership structure and corporate financial performance in an emerging market: a dynamic panel data analysis’, </w:t>
      </w:r>
      <w:r>
        <w:rPr>
          <w:rFonts w:ascii="Times New Roman" w:eastAsia="Times New Roman" w:hAnsi="Times New Roman" w:cs="Times New Roman"/>
          <w:i/>
          <w:iCs/>
        </w:rPr>
        <w:t>International Journal of Emerging Markets</w:t>
      </w:r>
      <w:r>
        <w:rPr>
          <w:rFonts w:ascii="Times New Roman" w:eastAsia="Times New Roman" w:hAnsi="Times New Roman" w:cs="Times New Roman"/>
        </w:rPr>
        <w:t>, 17(8), pp. 1973–1997. Available at: https://doi.org/10.1108/IJOEM-03-2019-0220</w:t>
      </w:r>
    </w:p>
    <w:p w14:paraId="56DAD60E"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Elamer, A. A. and Boulhaga, M. (2024) ‘ESG controversies and corporate performance: The moderating effect of governance mechanisms and ESG practices’, </w:t>
      </w:r>
      <w:r>
        <w:rPr>
          <w:rFonts w:ascii="Times New Roman" w:eastAsia="Times New Roman" w:hAnsi="Times New Roman" w:cs="Times New Roman"/>
          <w:i/>
          <w:iCs/>
        </w:rPr>
        <w:t>Corporate Social-Responsibility and Environmental Management</w:t>
      </w:r>
      <w:r>
        <w:rPr>
          <w:rFonts w:ascii="Times New Roman" w:eastAsia="Times New Roman" w:hAnsi="Times New Roman" w:cs="Times New Roman"/>
        </w:rPr>
        <w:t>, 31(4), pp. 3312–3327. Available at: https://doi.org/10.1002/csr.2749</w:t>
      </w:r>
    </w:p>
    <w:p w14:paraId="56DAD60F" w14:textId="77777777" w:rsidR="004322E7" w:rsidRDefault="000C275E">
      <w:pPr>
        <w:spacing w:before="240" w:line="360" w:lineRule="auto"/>
        <w:jc w:val="both"/>
        <w:rPr>
          <w:rFonts w:ascii="Times New Roman" w:eastAsia="Times New Roman" w:hAnsi="Times New Roman" w:cs="Times New Roman"/>
          <w:i/>
          <w:iCs/>
        </w:rPr>
      </w:pPr>
      <w:r>
        <w:rPr>
          <w:rFonts w:ascii="Times New Roman" w:eastAsia="Times New Roman" w:hAnsi="Times New Roman" w:cs="Times New Roman"/>
        </w:rPr>
        <w:lastRenderedPageBreak/>
        <w:t>Fama, E.F. and Jensen, M.C. (2019) Separation of ownership and control. In </w:t>
      </w:r>
      <w:r>
        <w:rPr>
          <w:rFonts w:ascii="Times New Roman" w:eastAsia="Times New Roman" w:hAnsi="Times New Roman" w:cs="Times New Roman"/>
          <w:i/>
          <w:iCs/>
        </w:rPr>
        <w:t>Corporate Governance</w:t>
      </w:r>
      <w:r>
        <w:rPr>
          <w:rFonts w:ascii="Times New Roman" w:eastAsia="Times New Roman" w:hAnsi="Times New Roman" w:cs="Times New Roman"/>
        </w:rPr>
        <w:t> (pp. 163-188). Gower</w:t>
      </w:r>
      <w:r>
        <w:rPr>
          <w:rFonts w:ascii="Times New Roman" w:eastAsia="Times New Roman" w:hAnsi="Times New Roman" w:cs="Times New Roman"/>
          <w:i/>
          <w:iCs/>
        </w:rPr>
        <w:t xml:space="preserve"> </w:t>
      </w:r>
    </w:p>
    <w:p w14:paraId="56DAD610"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Financial Reporting Council (2024) </w:t>
      </w:r>
      <w:r>
        <w:rPr>
          <w:rFonts w:ascii="Times New Roman" w:eastAsia="Times New Roman" w:hAnsi="Times New Roman" w:cs="Times New Roman"/>
          <w:i/>
          <w:iCs/>
        </w:rPr>
        <w:t>The UK Corporate Governance Code.</w:t>
      </w:r>
      <w:r>
        <w:rPr>
          <w:rFonts w:ascii="Times New Roman" w:eastAsia="Times New Roman" w:hAnsi="Times New Roman" w:cs="Times New Roman"/>
        </w:rPr>
        <w:t> Available at: https://www.frc.org.uk/library/standards-codes-policy/corporate-governance/uk-corporate-governance-code/ (Accessed: 5 August 2026).</w:t>
      </w:r>
    </w:p>
    <w:p w14:paraId="56DAD611"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Florackis, C. (2005) ‘Internal corporate governance mechanisms and corporate performance: evidence for UK firms’, </w:t>
      </w:r>
      <w:r>
        <w:rPr>
          <w:rFonts w:ascii="Times New Roman" w:eastAsia="Times New Roman" w:hAnsi="Times New Roman" w:cs="Times New Roman"/>
          <w:i/>
          <w:iCs/>
        </w:rPr>
        <w:t>Applied Financial Economics Letters</w:t>
      </w:r>
      <w:r>
        <w:rPr>
          <w:rFonts w:ascii="Times New Roman" w:eastAsia="Times New Roman" w:hAnsi="Times New Roman" w:cs="Times New Roman"/>
        </w:rPr>
        <w:t>, 1(4), pp. 211–216. Available at: https://doi.org/10.1080/17446540500143897</w:t>
      </w:r>
    </w:p>
    <w:p w14:paraId="56DAD612"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Freeman, R.E. (1984) </w:t>
      </w:r>
      <w:r>
        <w:rPr>
          <w:rFonts w:ascii="Times New Roman" w:eastAsia="Times New Roman" w:hAnsi="Times New Roman" w:cs="Times New Roman"/>
          <w:i/>
          <w:iCs/>
        </w:rPr>
        <w:t xml:space="preserve"> Strategic Management: A Stakeholder Approach</w:t>
      </w:r>
      <w:r>
        <w:rPr>
          <w:rFonts w:ascii="Times New Roman" w:eastAsia="Times New Roman" w:hAnsi="Times New Roman" w:cs="Times New Roman"/>
        </w:rPr>
        <w:t>. Cambridge University Press</w:t>
      </w:r>
    </w:p>
    <w:p w14:paraId="56DAD613"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Friede, G., Busch, T. and Bassen, A. (2015) ‘ESG and financial performance: aggregated evidence from more than 2000 empirical studies’, </w:t>
      </w:r>
      <w:r>
        <w:rPr>
          <w:rFonts w:ascii="Times New Roman" w:eastAsia="Times New Roman" w:hAnsi="Times New Roman" w:cs="Times New Roman"/>
          <w:i/>
          <w:iCs/>
        </w:rPr>
        <w:t>Journal of Sustainable Finance &amp; Investment</w:t>
      </w:r>
      <w:r>
        <w:rPr>
          <w:rFonts w:ascii="Times New Roman" w:eastAsia="Times New Roman" w:hAnsi="Times New Roman" w:cs="Times New Roman"/>
        </w:rPr>
        <w:t>, 5(4), pp. 210–233. Available at: https://doi.org/10.1080/20430795.2015.1118917</w:t>
      </w:r>
    </w:p>
    <w:p w14:paraId="56DAD614"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Friede, G., Busch, T. and Bassen, A. (2015) ‘ESG and financial performance: aggregated evidence from more than 2000 empirical studies’, </w:t>
      </w:r>
      <w:r>
        <w:rPr>
          <w:rFonts w:ascii="Times New Roman" w:eastAsia="Times New Roman" w:hAnsi="Times New Roman" w:cs="Times New Roman"/>
          <w:i/>
          <w:iCs/>
        </w:rPr>
        <w:t>Journal of Sustainable Finance &amp; Investment</w:t>
      </w:r>
      <w:r>
        <w:rPr>
          <w:rFonts w:ascii="Times New Roman" w:eastAsia="Times New Roman" w:hAnsi="Times New Roman" w:cs="Times New Roman"/>
        </w:rPr>
        <w:t>, 5(4), pp. 210–233. Available at: https://doi.org/10.1080/20430795.2015.1118917</w:t>
      </w:r>
    </w:p>
    <w:p w14:paraId="56DAD615"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Gharbi, M. and Jarboui, A. (2024) ‘The impact of corporate social responsibility on firm financial performance: does corporate governance matter? ’, </w:t>
      </w:r>
      <w:r>
        <w:rPr>
          <w:rFonts w:ascii="Times New Roman" w:eastAsia="Times New Roman" w:hAnsi="Times New Roman" w:cs="Times New Roman"/>
          <w:i/>
          <w:iCs/>
        </w:rPr>
        <w:t>International Journal of Law and Management</w:t>
      </w:r>
      <w:r>
        <w:rPr>
          <w:rFonts w:ascii="Times New Roman" w:eastAsia="Times New Roman" w:hAnsi="Times New Roman" w:cs="Times New Roman"/>
        </w:rPr>
        <w:t>, 66(6), pp. 681–693. Available at: https://doi.org/10.1108/IJLMA-09-2023-0203</w:t>
      </w:r>
    </w:p>
    <w:p w14:paraId="56DAD616"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Giannopoulos, G., Vu, H. P., Mahmood, F., Salmon, I. and Salti, R. (2026) ‘The Impact of ESG on Firm Financial Performance: Empirical Evidence from Companies in the UK FTSE350’, </w:t>
      </w:r>
      <w:r>
        <w:rPr>
          <w:rFonts w:ascii="Times New Roman" w:eastAsia="Times New Roman" w:hAnsi="Times New Roman" w:cs="Times New Roman"/>
          <w:i/>
          <w:iCs/>
        </w:rPr>
        <w:t>Sustainability</w:t>
      </w:r>
      <w:r>
        <w:rPr>
          <w:rFonts w:ascii="Times New Roman" w:eastAsia="Times New Roman" w:hAnsi="Times New Roman" w:cs="Times New Roman"/>
        </w:rPr>
        <w:t>, 18(11), pp. 1–20. Available at: https://doi.org/10.3390/su18115254</w:t>
      </w:r>
    </w:p>
    <w:p w14:paraId="56DAD617"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Gillan, S. L., Koch, A. and Starks, L. T. (2021) ‘Firms and social responsibility: A review of ESG and CSR research in corporate finance’, </w:t>
      </w:r>
      <w:r>
        <w:rPr>
          <w:rFonts w:ascii="Times New Roman" w:eastAsia="Times New Roman" w:hAnsi="Times New Roman" w:cs="Times New Roman"/>
          <w:i/>
          <w:iCs/>
        </w:rPr>
        <w:t>Journal of Corporate Finance</w:t>
      </w:r>
      <w:r>
        <w:rPr>
          <w:rFonts w:ascii="Times New Roman" w:eastAsia="Times New Roman" w:hAnsi="Times New Roman" w:cs="Times New Roman"/>
        </w:rPr>
        <w:t>, 66(101889), pp. 85–95. Available at: https://doi.org/10.1016/j.jcorpfin.2021.101889</w:t>
      </w:r>
    </w:p>
    <w:p w14:paraId="56DAD618"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Godfrey, P. C., Merrill, C. B. and Hansen, J. M. (2009) ‘The relationship between corporate social responsibility and shareholder value: an empirical test of the risk management hypothesis’, </w:t>
      </w:r>
      <w:r>
        <w:rPr>
          <w:rFonts w:ascii="Times New Roman" w:eastAsia="Times New Roman" w:hAnsi="Times New Roman" w:cs="Times New Roman"/>
          <w:i/>
          <w:iCs/>
        </w:rPr>
        <w:t>Strategic Management Journal</w:t>
      </w:r>
      <w:r>
        <w:rPr>
          <w:rFonts w:ascii="Times New Roman" w:eastAsia="Times New Roman" w:hAnsi="Times New Roman" w:cs="Times New Roman"/>
        </w:rPr>
        <w:t>, 30(4), pp. 425–445. Available at: https://doi.org/10.1002/smj.750</w:t>
      </w:r>
    </w:p>
    <w:p w14:paraId="56DAD619"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Handoyo, S. and Anas, S. (2024) ‘The effect of environmental, social, and governance (ESG) on firm performance: the moderating role of country regulatory quality and government effectiveness in ASEAN’, </w:t>
      </w:r>
      <w:r>
        <w:rPr>
          <w:rFonts w:ascii="Times New Roman" w:eastAsia="Times New Roman" w:hAnsi="Times New Roman" w:cs="Times New Roman"/>
          <w:i/>
          <w:iCs/>
        </w:rPr>
        <w:t>Cogent Business &amp; Management</w:t>
      </w:r>
      <w:r>
        <w:rPr>
          <w:rFonts w:ascii="Times New Roman" w:eastAsia="Times New Roman" w:hAnsi="Times New Roman" w:cs="Times New Roman"/>
        </w:rPr>
        <w:t>, 11(1), pp. 1–28. Available at: https://doi.org/10.1080/23311975.2024.2371071</w:t>
      </w:r>
    </w:p>
    <w:p w14:paraId="56DAD61A"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Hosny, K., and Elgharbawy, A. (2022) ‘Board diversity and financial performance: empirical evidence from the United Kingdom’, </w:t>
      </w:r>
      <w:r>
        <w:rPr>
          <w:rFonts w:ascii="Times New Roman" w:eastAsia="Times New Roman" w:hAnsi="Times New Roman" w:cs="Times New Roman"/>
          <w:i/>
          <w:iCs/>
        </w:rPr>
        <w:t>Accounting Research Journal</w:t>
      </w:r>
      <w:r>
        <w:rPr>
          <w:rFonts w:ascii="Times New Roman" w:eastAsia="Times New Roman" w:hAnsi="Times New Roman" w:cs="Times New Roman"/>
        </w:rPr>
        <w:t>, 35(4), pp. 561–580. Available at: https://doi.org/10.1108/ARJ-02-2020-0037</w:t>
      </w:r>
    </w:p>
    <w:p w14:paraId="56DAD61B"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Hu, X., Lin, D., and Tosun, O. K. (2023) ‘The effect of board independence on firm performance - new evidence from product market conditions’, </w:t>
      </w:r>
      <w:r>
        <w:rPr>
          <w:rFonts w:ascii="Times New Roman" w:eastAsia="Times New Roman" w:hAnsi="Times New Roman" w:cs="Times New Roman"/>
          <w:i/>
          <w:iCs/>
        </w:rPr>
        <w:t>The European Journal of Finance</w:t>
      </w:r>
      <w:r>
        <w:rPr>
          <w:rFonts w:ascii="Times New Roman" w:eastAsia="Times New Roman" w:hAnsi="Times New Roman" w:cs="Times New Roman"/>
        </w:rPr>
        <w:t>, 29(4), pp. 363–392. Available at: https://doi.org/10.1080/1351847X.2022.2049448</w:t>
      </w:r>
    </w:p>
    <w:p w14:paraId="56DAD61C"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Khan, M. A. (2022) ‘ESG disclosure and Firm performance: A bibliometric and meta analysis’, </w:t>
      </w:r>
      <w:r>
        <w:rPr>
          <w:rFonts w:ascii="Times New Roman" w:eastAsia="Times New Roman" w:hAnsi="Times New Roman" w:cs="Times New Roman"/>
          <w:i/>
          <w:iCs/>
        </w:rPr>
        <w:t xml:space="preserve">Research in International Business and Finance </w:t>
      </w:r>
      <w:r>
        <w:rPr>
          <w:rFonts w:ascii="Times New Roman" w:eastAsia="Times New Roman" w:hAnsi="Times New Roman" w:cs="Times New Roman"/>
        </w:rPr>
        <w:t>, 61 (101668), pp. 1–19. Available at: https://doi.org/10.1016/j.ribaf.2022.101668</w:t>
      </w:r>
    </w:p>
    <w:p w14:paraId="56DAD61D"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Kyere, M. and Ausloos, M. (2021) ‘Corporate governance and firms financial performance in the United Kingdom’, </w:t>
      </w:r>
      <w:r>
        <w:rPr>
          <w:rFonts w:ascii="Times New Roman" w:eastAsia="Times New Roman" w:hAnsi="Times New Roman" w:cs="Times New Roman"/>
          <w:i/>
          <w:iCs/>
        </w:rPr>
        <w:t>International Journal of Finance and Economics</w:t>
      </w:r>
      <w:r>
        <w:rPr>
          <w:rFonts w:ascii="Times New Roman" w:eastAsia="Times New Roman" w:hAnsi="Times New Roman" w:cs="Times New Roman"/>
        </w:rPr>
        <w:t>, 26(2), pp. 1871–1885. Available at: https://doi.org/10.1002/ijfe.1883</w:t>
      </w:r>
    </w:p>
    <w:p w14:paraId="56DAD61E" w14:textId="77777777" w:rsidR="004322E7" w:rsidRDefault="000C275E">
      <w:pPr>
        <w:spacing w:before="240" w:line="360" w:lineRule="auto"/>
        <w:jc w:val="both"/>
        <w:rPr>
          <w:rFonts w:ascii="Times New Roman" w:eastAsia="Times New Roman" w:hAnsi="Times New Roman" w:cs="Times New Roman"/>
        </w:rPr>
      </w:pPr>
      <w:r>
        <w:rPr>
          <w:rFonts w:ascii="Times New Roman" w:eastAsia="Times New Roman" w:hAnsi="Times New Roman" w:cs="Times New Roman"/>
        </w:rPr>
        <w:t>Lemmon, M. L. and Lins, K. V. (2003) ‘Ownership Structure, Corporate Governance, and Firm Value: Evidence from the East Asian Financial Crisis’, </w:t>
      </w:r>
      <w:r>
        <w:rPr>
          <w:rFonts w:ascii="Times New Roman" w:eastAsia="Times New Roman" w:hAnsi="Times New Roman" w:cs="Times New Roman"/>
          <w:i/>
          <w:iCs/>
        </w:rPr>
        <w:t>The Journal of Finance (New York)</w:t>
      </w:r>
      <w:r>
        <w:rPr>
          <w:rFonts w:ascii="Times New Roman" w:eastAsia="Times New Roman" w:hAnsi="Times New Roman" w:cs="Times New Roman"/>
        </w:rPr>
        <w:t>, 58(4), pp. 1445–1468. Available at: https://doi.org/10.1111/1540-6261.00573</w:t>
      </w:r>
    </w:p>
    <w:p w14:paraId="56DAD61F"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Li, X. (2022) ‘The Mediating Effect of Internal Control for the Impact of Institutional Shareholding on Corporate Financial Performance’, </w:t>
      </w:r>
      <w:r>
        <w:rPr>
          <w:rFonts w:ascii="Times New Roman" w:eastAsia="Times New Roman" w:hAnsi="Times New Roman" w:cs="Times New Roman"/>
          <w:i/>
          <w:iCs/>
        </w:rPr>
        <w:t>Asia-Pacific Journal of Financial Studies</w:t>
      </w:r>
      <w:r>
        <w:rPr>
          <w:rFonts w:ascii="Times New Roman" w:eastAsia="Times New Roman" w:hAnsi="Times New Roman" w:cs="Times New Roman"/>
        </w:rPr>
        <w:t>, 51(2), pp. 194–222. Available at: https://doi.org/10.1111/ajfs.12368</w:t>
      </w:r>
    </w:p>
    <w:p w14:paraId="56DAD620"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London Stock Exchange Group (2025) </w:t>
      </w:r>
      <w:r>
        <w:rPr>
          <w:rFonts w:ascii="Times New Roman" w:eastAsia="Times New Roman" w:hAnsi="Times New Roman" w:cs="Times New Roman"/>
          <w:i/>
          <w:iCs/>
        </w:rPr>
        <w:t>FTSE 350 Index constituent list and company annual reports.</w:t>
      </w:r>
      <w:r>
        <w:rPr>
          <w:rFonts w:ascii="Times New Roman" w:eastAsia="Times New Roman" w:hAnsi="Times New Roman" w:cs="Times New Roman"/>
        </w:rPr>
        <w:t> Available at: https://www.londonstockexchange.com/indices/ftse-350/constituents/table (Accessed: 2 July 2026).</w:t>
      </w:r>
    </w:p>
    <w:p w14:paraId="56DAD621"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London Stock Exchange Group (2025) </w:t>
      </w:r>
      <w:r>
        <w:rPr>
          <w:rFonts w:ascii="Times New Roman" w:eastAsia="Times New Roman" w:hAnsi="Times New Roman" w:cs="Times New Roman"/>
          <w:i/>
          <w:iCs/>
        </w:rPr>
        <w:t>Sustainability Ratings and Data.</w:t>
      </w:r>
      <w:r>
        <w:rPr>
          <w:rFonts w:ascii="Times New Roman" w:eastAsia="Times New Roman" w:hAnsi="Times New Roman" w:cs="Times New Roman"/>
        </w:rPr>
        <w:t> Available at: https://www.lseg.com/en/data-analytics/sustainable-finance/sustainability-ratings-and-data#finder (Accessed: 8 July 2026).</w:t>
      </w:r>
    </w:p>
    <w:p w14:paraId="56DAD622"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Maji, S. G. and Lohia, P. (2024) ‘Assessing the effect of core and expanded ESG on corporate financial performance: COVID-19’s moderating role’, </w:t>
      </w:r>
      <w:r>
        <w:rPr>
          <w:rFonts w:ascii="Times New Roman" w:eastAsia="Times New Roman" w:hAnsi="Times New Roman" w:cs="Times New Roman"/>
          <w:i/>
          <w:iCs/>
        </w:rPr>
        <w:t>Journal of Indian Business Research</w:t>
      </w:r>
      <w:r>
        <w:rPr>
          <w:rFonts w:ascii="Times New Roman" w:eastAsia="Times New Roman" w:hAnsi="Times New Roman" w:cs="Times New Roman"/>
        </w:rPr>
        <w:t>, 16(2), pp. 244–264. Available at: https://doi.org/10.1108/JIBR-07-2023-0233</w:t>
      </w:r>
    </w:p>
    <w:p w14:paraId="56DAD623"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Meckling, W.H. and Jensen, M.C. (1976) </w:t>
      </w:r>
      <w:r>
        <w:rPr>
          <w:rFonts w:ascii="Times New Roman" w:eastAsia="Times New Roman" w:hAnsi="Times New Roman" w:cs="Times New Roman"/>
          <w:i/>
          <w:iCs/>
        </w:rPr>
        <w:t>Theory of the Firm: Managerial behavior, agency costs and ownership structure</w:t>
      </w:r>
      <w:r>
        <w:rPr>
          <w:rFonts w:ascii="Times New Roman" w:eastAsia="Times New Roman" w:hAnsi="Times New Roman" w:cs="Times New Roman"/>
        </w:rPr>
        <w:t>. Springer.</w:t>
      </w:r>
    </w:p>
    <w:p w14:paraId="56DAD624"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Mitton, T. (2002) ‘A cross-firm analysis of the impact of corporate governance on the East Asian financial crisis’, </w:t>
      </w:r>
      <w:r>
        <w:rPr>
          <w:rFonts w:ascii="Times New Roman" w:eastAsia="Times New Roman" w:hAnsi="Times New Roman" w:cs="Times New Roman"/>
          <w:i/>
          <w:iCs/>
        </w:rPr>
        <w:t>Journal of Financial Economics</w:t>
      </w:r>
      <w:r>
        <w:rPr>
          <w:rFonts w:ascii="Times New Roman" w:eastAsia="Times New Roman" w:hAnsi="Times New Roman" w:cs="Times New Roman"/>
        </w:rPr>
        <w:t>, 64(2), pp. 215–241. Available at: https://doi.org/10.1016/S0304-405X(02)00076-4</w:t>
      </w:r>
    </w:p>
    <w:p w14:paraId="56DAD625"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Moussa, A. S., Elmarzouky, M. and Shohaieb, D. (2024) ‘Green Governance: How ESG Initiatives Drive Financial Performance in UK Firms?’, </w:t>
      </w:r>
      <w:r>
        <w:rPr>
          <w:rFonts w:ascii="Times New Roman" w:eastAsia="Times New Roman" w:hAnsi="Times New Roman" w:cs="Times New Roman"/>
          <w:i/>
          <w:iCs/>
        </w:rPr>
        <w:t>Sustainability</w:t>
      </w:r>
      <w:r>
        <w:rPr>
          <w:rFonts w:ascii="Times New Roman" w:eastAsia="Times New Roman" w:hAnsi="Times New Roman" w:cs="Times New Roman"/>
        </w:rPr>
        <w:t>, 16(24), pp. 1–25. Available at: https://doi.org/10.3390/su162410894</w:t>
      </w:r>
    </w:p>
    <w:p w14:paraId="56DAD626"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Mukhtar, B., Shad, M. K., Ali, K., Woon, L. F. and Waqas, A. (2025) ‘Systematic literature review and retrospective bibliometric analysis on ESG research’, </w:t>
      </w:r>
      <w:r>
        <w:rPr>
          <w:rFonts w:ascii="Times New Roman" w:eastAsia="Times New Roman" w:hAnsi="Times New Roman" w:cs="Times New Roman"/>
          <w:i/>
          <w:iCs/>
        </w:rPr>
        <w:t>International Journal of Productivity and Performance Management</w:t>
      </w:r>
      <w:r>
        <w:rPr>
          <w:rFonts w:ascii="Times New Roman" w:eastAsia="Times New Roman" w:hAnsi="Times New Roman" w:cs="Times New Roman"/>
        </w:rPr>
        <w:t>, 74(4), pp. 1365–1399. Available at: https://doi.org/10.1108/IJPPM-07-2023-0395</w:t>
      </w:r>
    </w:p>
    <w:p w14:paraId="56DAD627"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Nirino, N., Santoro, G., Miglietta, N. and Quaglia, R. (2021) ‘Corporate controversies and company’s financial performance: Exploring the moderating role of ESG practices’, </w:t>
      </w:r>
      <w:r>
        <w:rPr>
          <w:rFonts w:ascii="Times New Roman" w:eastAsia="Times New Roman" w:hAnsi="Times New Roman" w:cs="Times New Roman"/>
          <w:i/>
          <w:iCs/>
        </w:rPr>
        <w:t>Technological Forecasting &amp; Social Change</w:t>
      </w:r>
      <w:r>
        <w:rPr>
          <w:rFonts w:ascii="Times New Roman" w:eastAsia="Times New Roman" w:hAnsi="Times New Roman" w:cs="Times New Roman"/>
        </w:rPr>
        <w:t>, 162(120341), pp. 1–7. Available at: https://doi.org/10.1016/j.techfore.2020.120341</w:t>
      </w:r>
    </w:p>
    <w:p w14:paraId="56DAD628"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Paniagua, J., Rivelles, R. and Sapena, J. (2018) ‘Corporate governance and financial performance: The role of ownership and board structure’, </w:t>
      </w:r>
      <w:r>
        <w:rPr>
          <w:rFonts w:ascii="Times New Roman" w:eastAsia="Times New Roman" w:hAnsi="Times New Roman" w:cs="Times New Roman"/>
          <w:i/>
          <w:iCs/>
        </w:rPr>
        <w:t>Journal of Business Research</w:t>
      </w:r>
      <w:r>
        <w:rPr>
          <w:rFonts w:ascii="Times New Roman" w:eastAsia="Times New Roman" w:hAnsi="Times New Roman" w:cs="Times New Roman"/>
        </w:rPr>
        <w:t>, 89, pp. 229–234. Available at: https://doi.org/10.1016/j.jbusres.2018.01.060</w:t>
      </w:r>
    </w:p>
    <w:p w14:paraId="56DAD629"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Pathan, K. and Mohanty, M. (2025) ‘Bibliometric analysis on ESG (environmental, social, and governance) practices and firm’s financial performance’, </w:t>
      </w:r>
      <w:r>
        <w:rPr>
          <w:rFonts w:ascii="Times New Roman" w:eastAsia="Times New Roman" w:hAnsi="Times New Roman" w:cs="Times New Roman"/>
          <w:i/>
          <w:iCs/>
        </w:rPr>
        <w:t>International Journal of Management Science and Engineering Management</w:t>
      </w:r>
      <w:r>
        <w:rPr>
          <w:rFonts w:ascii="Times New Roman" w:eastAsia="Times New Roman" w:hAnsi="Times New Roman" w:cs="Times New Roman"/>
        </w:rPr>
        <w:t>, 20(2), pp. 197–214. Available at: https://doi.org/10.1080/17509653.2024.2426504</w:t>
      </w:r>
    </w:p>
    <w:p w14:paraId="56DAD62A"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Sandberg, H., Alnoor, A. and Tiberius, V. (2023) ‘Environmental, social, and governance ratings and financial performance: Evidence from the European food industry’, </w:t>
      </w:r>
      <w:r>
        <w:rPr>
          <w:rFonts w:ascii="Times New Roman" w:eastAsia="Times New Roman" w:hAnsi="Times New Roman" w:cs="Times New Roman"/>
          <w:i/>
          <w:iCs/>
        </w:rPr>
        <w:t>Business Strategy and the Environment</w:t>
      </w:r>
      <w:r>
        <w:rPr>
          <w:rFonts w:ascii="Times New Roman" w:eastAsia="Times New Roman" w:hAnsi="Times New Roman" w:cs="Times New Roman"/>
        </w:rPr>
        <w:t>, 32(4), pp. 2471–2489. Available at: https://doi.org/10.1002/bse.3259</w:t>
      </w:r>
    </w:p>
    <w:p w14:paraId="56DAD62B"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Saunders, N. K., Lewis, P., and Thornhill, A. (2019). </w:t>
      </w:r>
      <w:r>
        <w:rPr>
          <w:rFonts w:ascii="Times New Roman" w:eastAsia="Times New Roman" w:hAnsi="Times New Roman" w:cs="Times New Roman"/>
          <w:i/>
          <w:iCs/>
        </w:rPr>
        <w:t>Research Methods for Business Students</w:t>
      </w:r>
      <w:r>
        <w:rPr>
          <w:rFonts w:ascii="Times New Roman" w:eastAsia="Times New Roman" w:hAnsi="Times New Roman" w:cs="Times New Roman"/>
        </w:rPr>
        <w:t>. Pearson.</w:t>
      </w:r>
    </w:p>
    <w:p w14:paraId="56DAD62C"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Sharfman, M. P. and Fernando, C. S. (2008) ‘Environmental risk management and the cost of capital’, </w:t>
      </w:r>
      <w:r>
        <w:rPr>
          <w:rFonts w:ascii="Times New Roman" w:eastAsia="Times New Roman" w:hAnsi="Times New Roman" w:cs="Times New Roman"/>
          <w:i/>
          <w:iCs/>
        </w:rPr>
        <w:t>Strategic Management Journal</w:t>
      </w:r>
      <w:r>
        <w:rPr>
          <w:rFonts w:ascii="Times New Roman" w:eastAsia="Times New Roman" w:hAnsi="Times New Roman" w:cs="Times New Roman"/>
        </w:rPr>
        <w:t>, 29(6), pp. 569–592. Available at: https://doi.org/10.1002/smj.678</w:t>
      </w:r>
    </w:p>
    <w:p w14:paraId="56DAD62D"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Yu, M. (2023) ‘CEO duality and firm performance: A systematic review and research agenda’, </w:t>
      </w:r>
      <w:r>
        <w:rPr>
          <w:rFonts w:ascii="Times New Roman" w:eastAsia="Times New Roman" w:hAnsi="Times New Roman" w:cs="Times New Roman"/>
          <w:i/>
          <w:iCs/>
        </w:rPr>
        <w:t>European Management Review</w:t>
      </w:r>
      <w:r>
        <w:rPr>
          <w:rFonts w:ascii="Times New Roman" w:eastAsia="Times New Roman" w:hAnsi="Times New Roman" w:cs="Times New Roman"/>
        </w:rPr>
        <w:t>, 20(2), pp. 347–359. Available at: https://doi.org/10.1111/emre.12522</w:t>
      </w:r>
    </w:p>
    <w:p w14:paraId="56DAD62E" w14:textId="77777777" w:rsidR="004322E7" w:rsidRDefault="000C275E">
      <w:pPr>
        <w:spacing w:line="360" w:lineRule="auto"/>
        <w:jc w:val="both"/>
        <w:rPr>
          <w:rFonts w:ascii="Times New Roman" w:eastAsia="Times New Roman" w:hAnsi="Times New Roman" w:cs="Times New Roman"/>
        </w:rPr>
      </w:pPr>
      <w:r>
        <w:rPr>
          <w:rFonts w:ascii="Times New Roman" w:eastAsia="Times New Roman" w:hAnsi="Times New Roman" w:cs="Times New Roman"/>
        </w:rPr>
        <w:t>Yusuf, A. and Sherif, M. (2020) ‘All on Board? New Evidence on Board Characteristics from a Large Panel of UK FTSE Indices’, </w:t>
      </w:r>
      <w:r>
        <w:rPr>
          <w:rFonts w:ascii="Times New Roman" w:eastAsia="Times New Roman" w:hAnsi="Times New Roman" w:cs="Times New Roman"/>
          <w:i/>
          <w:iCs/>
        </w:rPr>
        <w:t>Sustainability</w:t>
      </w:r>
      <w:r>
        <w:rPr>
          <w:rFonts w:ascii="Times New Roman" w:eastAsia="Times New Roman" w:hAnsi="Times New Roman" w:cs="Times New Roman"/>
        </w:rPr>
        <w:t>, 12(13), pp. 1–26. Available at: https://doi.org/10.3390/su12135328</w:t>
      </w:r>
    </w:p>
    <w:p w14:paraId="56DAD62F" w14:textId="77777777" w:rsidR="004322E7" w:rsidRDefault="004322E7">
      <w:pPr>
        <w:spacing w:line="360" w:lineRule="auto"/>
        <w:jc w:val="both"/>
        <w:rPr>
          <w:rFonts w:ascii="Times New Roman" w:eastAsia="Times New Roman" w:hAnsi="Times New Roman" w:cs="Times New Roman"/>
        </w:rPr>
      </w:pPr>
    </w:p>
    <w:p w14:paraId="56DAD630" w14:textId="77777777" w:rsidR="004322E7" w:rsidRDefault="004322E7">
      <w:pPr>
        <w:spacing w:line="360" w:lineRule="auto"/>
        <w:jc w:val="both"/>
        <w:rPr>
          <w:rFonts w:ascii="Times New Roman" w:eastAsia="Times New Roman" w:hAnsi="Times New Roman" w:cs="Times New Roman"/>
        </w:rPr>
      </w:pPr>
    </w:p>
    <w:p w14:paraId="56DAD631" w14:textId="77777777" w:rsidR="004322E7" w:rsidRDefault="004322E7">
      <w:pPr>
        <w:spacing w:line="360" w:lineRule="auto"/>
        <w:jc w:val="both"/>
        <w:rPr>
          <w:rFonts w:ascii="Times New Roman" w:eastAsia="Times New Roman" w:hAnsi="Times New Roman" w:cs="Times New Roman"/>
        </w:rPr>
      </w:pPr>
    </w:p>
    <w:p w14:paraId="56DAD632" w14:textId="77777777" w:rsidR="004322E7" w:rsidRDefault="004322E7">
      <w:pPr>
        <w:spacing w:line="360" w:lineRule="auto"/>
        <w:jc w:val="both"/>
        <w:rPr>
          <w:rFonts w:ascii="Times New Roman" w:eastAsia="Times New Roman" w:hAnsi="Times New Roman" w:cs="Times New Roman"/>
        </w:rPr>
      </w:pPr>
    </w:p>
    <w:p w14:paraId="56DAD633" w14:textId="77777777" w:rsidR="004322E7" w:rsidRDefault="004322E7">
      <w:pPr>
        <w:spacing w:line="360" w:lineRule="auto"/>
        <w:jc w:val="both"/>
        <w:rPr>
          <w:rFonts w:ascii="Times New Roman" w:eastAsia="Times New Roman" w:hAnsi="Times New Roman" w:cs="Times New Roman"/>
        </w:rPr>
      </w:pPr>
    </w:p>
    <w:p w14:paraId="56DAD634" w14:textId="77777777" w:rsidR="004322E7" w:rsidRDefault="004322E7">
      <w:pPr>
        <w:spacing w:line="360" w:lineRule="auto"/>
        <w:jc w:val="both"/>
        <w:rPr>
          <w:rFonts w:ascii="Times New Roman" w:eastAsia="Times New Roman" w:hAnsi="Times New Roman" w:cs="Times New Roman"/>
        </w:rPr>
      </w:pPr>
    </w:p>
    <w:p w14:paraId="56DAD635" w14:textId="77777777" w:rsidR="004322E7" w:rsidRPr="001470FE" w:rsidRDefault="004322E7">
      <w:pPr>
        <w:spacing w:line="360" w:lineRule="auto"/>
        <w:jc w:val="both"/>
        <w:rPr>
          <w:rFonts w:ascii="Times New Roman" w:eastAsia="Times New Roman" w:hAnsi="Times New Roman" w:cs="Times New Roman"/>
        </w:rPr>
      </w:pPr>
    </w:p>
    <w:p w14:paraId="56DAD636" w14:textId="77777777" w:rsidR="004322E7" w:rsidRPr="001470FE" w:rsidRDefault="004322E7">
      <w:pPr>
        <w:spacing w:line="360" w:lineRule="auto"/>
        <w:jc w:val="both"/>
        <w:rPr>
          <w:rFonts w:ascii="Times New Roman" w:eastAsia="Times New Roman" w:hAnsi="Times New Roman" w:cs="Times New Roman"/>
        </w:rPr>
      </w:pPr>
    </w:p>
    <w:p w14:paraId="56DAD637" w14:textId="77777777" w:rsidR="004322E7" w:rsidRPr="001470FE" w:rsidRDefault="000C275E">
      <w:pPr>
        <w:pStyle w:val="Heading1"/>
        <w:rPr>
          <w:rFonts w:ascii="Times New Roman" w:eastAsia="Times New Roman" w:hAnsi="Times New Roman" w:cs="Times New Roman"/>
          <w:b/>
          <w:bCs/>
          <w:color w:val="auto"/>
          <w:sz w:val="24"/>
          <w:szCs w:val="24"/>
        </w:rPr>
      </w:pPr>
      <w:bookmarkStart w:id="65" w:name="_Toc237010696"/>
      <w:r w:rsidRPr="001470FE">
        <w:rPr>
          <w:rFonts w:ascii="Times New Roman" w:eastAsia="Times New Roman" w:hAnsi="Times New Roman" w:cs="Times New Roman"/>
          <w:b/>
          <w:bCs/>
          <w:color w:val="auto"/>
          <w:sz w:val="24"/>
          <w:szCs w:val="24"/>
        </w:rPr>
        <w:lastRenderedPageBreak/>
        <w:t>Appendices</w:t>
      </w:r>
      <w:bookmarkEnd w:id="65"/>
    </w:p>
    <w:p w14:paraId="56DAD638" w14:textId="77777777" w:rsidR="004322E7" w:rsidRPr="001470FE" w:rsidRDefault="000C275E">
      <w:pPr>
        <w:spacing w:line="360" w:lineRule="auto"/>
        <w:jc w:val="both"/>
        <w:rPr>
          <w:rFonts w:ascii="Times New Roman" w:eastAsia="Times New Roman" w:hAnsi="Times New Roman" w:cs="Times New Roman"/>
          <w:b/>
          <w:bCs/>
        </w:rPr>
      </w:pPr>
      <w:r w:rsidRPr="001470FE">
        <w:rPr>
          <w:rFonts w:ascii="Times New Roman" w:eastAsia="Times New Roman" w:hAnsi="Times New Roman" w:cs="Times New Roman"/>
          <w:b/>
          <w:bCs/>
        </w:rPr>
        <w:t>Appendix – 1: Data tables of the variables.</w:t>
      </w:r>
    </w:p>
    <w:p w14:paraId="56DAD639" w14:textId="77777777" w:rsidR="004322E7" w:rsidRPr="001470FE" w:rsidRDefault="000C275E">
      <w:pPr>
        <w:spacing w:line="360" w:lineRule="auto"/>
        <w:jc w:val="both"/>
        <w:rPr>
          <w:rFonts w:ascii="Times New Roman" w:eastAsia="Times New Roman" w:hAnsi="Times New Roman" w:cs="Times New Roman"/>
          <w:b/>
          <w:bCs/>
        </w:rPr>
      </w:pPr>
      <w:r w:rsidRPr="001470FE">
        <w:rPr>
          <w:rFonts w:ascii="Times New Roman" w:eastAsia="Times New Roman" w:hAnsi="Times New Roman" w:cs="Times New Roman"/>
          <w:b/>
          <w:bCs/>
        </w:rPr>
        <w:t>1a. Corporate Covernance Variables</w:t>
      </w:r>
    </w:p>
    <w:p w14:paraId="047D2831" w14:textId="663FCA25" w:rsidR="0011648A" w:rsidRPr="00A13CA5" w:rsidRDefault="0011648A" w:rsidP="00A13CA5">
      <w:pPr>
        <w:keepNext/>
        <w:spacing w:line="360" w:lineRule="auto"/>
        <w:jc w:val="both"/>
        <w:rPr>
          <w:rFonts w:ascii="Times New Roman" w:hAnsi="Times New Roman" w:cs="Times New Roman"/>
        </w:rPr>
      </w:pPr>
      <w:r w:rsidRPr="0011648A">
        <w:rPr>
          <w:rFonts w:ascii="Times New Roman" w:hAnsi="Times New Roman" w:cs="Times New Roman"/>
          <w:noProof/>
        </w:rPr>
        <w:drawing>
          <wp:inline distT="0" distB="0" distL="0" distR="0" wp14:anchorId="383AE6D3" wp14:editId="6940BBB4">
            <wp:extent cx="5407673" cy="2401677"/>
            <wp:effectExtent l="0" t="0" r="2540" b="0"/>
            <wp:docPr id="575696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696701" name=""/>
                    <pic:cNvPicPr/>
                  </pic:nvPicPr>
                  <pic:blipFill>
                    <a:blip r:embed="rId36"/>
                    <a:stretch>
                      <a:fillRect/>
                    </a:stretch>
                  </pic:blipFill>
                  <pic:spPr>
                    <a:xfrm>
                      <a:off x="0" y="0"/>
                      <a:ext cx="5426101" cy="2409861"/>
                    </a:xfrm>
                    <a:prstGeom prst="rect">
                      <a:avLst/>
                    </a:prstGeom>
                  </pic:spPr>
                </pic:pic>
              </a:graphicData>
            </a:graphic>
          </wp:inline>
        </w:drawing>
      </w:r>
    </w:p>
    <w:p w14:paraId="5437BFFC" w14:textId="12ED2A70" w:rsidR="005F21CF" w:rsidRPr="00A13CA5" w:rsidRDefault="00A13CA5" w:rsidP="00A13CA5">
      <w:pPr>
        <w:pStyle w:val="Caption"/>
        <w:jc w:val="both"/>
        <w:rPr>
          <w:rFonts w:ascii="Times New Roman" w:hAnsi="Times New Roman" w:cs="Times New Roman"/>
          <w:color w:val="auto"/>
          <w:sz w:val="24"/>
          <w:szCs w:val="24"/>
        </w:rPr>
      </w:pPr>
      <w:bookmarkStart w:id="66" w:name="_Toc236979312"/>
      <w:r w:rsidRPr="00A13CA5">
        <w:rPr>
          <w:rFonts w:ascii="Times New Roman" w:hAnsi="Times New Roman" w:cs="Times New Roman"/>
          <w:color w:val="auto"/>
          <w:sz w:val="24"/>
          <w:szCs w:val="24"/>
        </w:rPr>
        <w:t xml:space="preserve">Appendix 1 </w:t>
      </w:r>
      <w:r w:rsidRPr="00A13CA5">
        <w:rPr>
          <w:rFonts w:ascii="Times New Roman" w:hAnsi="Times New Roman" w:cs="Times New Roman"/>
          <w:color w:val="auto"/>
          <w:sz w:val="24"/>
          <w:szCs w:val="24"/>
        </w:rPr>
        <w:fldChar w:fldCharType="begin"/>
      </w:r>
      <w:r w:rsidRPr="00A13CA5">
        <w:rPr>
          <w:rFonts w:ascii="Times New Roman" w:hAnsi="Times New Roman" w:cs="Times New Roman"/>
          <w:color w:val="auto"/>
          <w:sz w:val="24"/>
          <w:szCs w:val="24"/>
        </w:rPr>
        <w:instrText xml:space="preserve"> SEQ Appendix_1 \* alphabetic </w:instrText>
      </w:r>
      <w:r w:rsidRPr="00A13CA5">
        <w:rPr>
          <w:rFonts w:ascii="Times New Roman" w:hAnsi="Times New Roman" w:cs="Times New Roman"/>
          <w:color w:val="auto"/>
          <w:sz w:val="24"/>
          <w:szCs w:val="24"/>
        </w:rPr>
        <w:fldChar w:fldCharType="separate"/>
      </w:r>
      <w:r w:rsidRPr="00A13CA5">
        <w:rPr>
          <w:rFonts w:ascii="Times New Roman" w:hAnsi="Times New Roman" w:cs="Times New Roman"/>
          <w:noProof/>
          <w:color w:val="auto"/>
          <w:sz w:val="24"/>
          <w:szCs w:val="24"/>
        </w:rPr>
        <w:t>a</w:t>
      </w:r>
      <w:r w:rsidRPr="00A13CA5">
        <w:rPr>
          <w:rFonts w:ascii="Times New Roman" w:hAnsi="Times New Roman" w:cs="Times New Roman"/>
          <w:color w:val="auto"/>
          <w:sz w:val="24"/>
          <w:szCs w:val="24"/>
        </w:rPr>
        <w:fldChar w:fldCharType="end"/>
      </w:r>
      <w:r w:rsidRPr="00A13CA5">
        <w:rPr>
          <w:rFonts w:ascii="Times New Roman" w:hAnsi="Times New Roman" w:cs="Times New Roman"/>
          <w:color w:val="auto"/>
          <w:sz w:val="24"/>
          <w:szCs w:val="24"/>
        </w:rPr>
        <w:t>: Corporate Governance Variables Values.</w:t>
      </w:r>
      <w:bookmarkEnd w:id="66"/>
    </w:p>
    <w:p w14:paraId="48E4B0AC" w14:textId="77777777" w:rsidR="00856AD7" w:rsidRDefault="00856AD7" w:rsidP="00856AD7">
      <w:pPr>
        <w:spacing w:line="360" w:lineRule="auto"/>
        <w:rPr>
          <w:rFonts w:ascii="Times New Roman" w:eastAsia="Times New Roman" w:hAnsi="Times New Roman" w:cs="Times New Roman"/>
        </w:rPr>
      </w:pPr>
      <w:r w:rsidRPr="00A13CA5">
        <w:rPr>
          <w:rFonts w:ascii="Times New Roman" w:eastAsia="Times New Roman" w:hAnsi="Times New Roman" w:cs="Times New Roman"/>
        </w:rPr>
        <w:t>Source: Authors' Work.</w:t>
      </w:r>
    </w:p>
    <w:p w14:paraId="75514477" w14:textId="77777777" w:rsidR="00856AD7" w:rsidRPr="00A13CA5" w:rsidRDefault="00856AD7">
      <w:pPr>
        <w:pBdr>
          <w:top w:val="nil"/>
          <w:left w:val="nil"/>
          <w:bottom w:val="nil"/>
          <w:right w:val="nil"/>
          <w:between w:val="nil"/>
        </w:pBdr>
        <w:spacing w:after="200" w:line="240" w:lineRule="auto"/>
        <w:jc w:val="both"/>
        <w:rPr>
          <w:rFonts w:ascii="Times New Roman" w:eastAsia="Times New Roman" w:hAnsi="Times New Roman" w:cs="Times New Roman"/>
          <w:i/>
          <w:iCs/>
        </w:rPr>
      </w:pPr>
    </w:p>
    <w:p w14:paraId="2A603431" w14:textId="77777777" w:rsidR="00A13CA5" w:rsidRPr="00A13CA5" w:rsidRDefault="000C275E" w:rsidP="00A13CA5">
      <w:pPr>
        <w:keepNext/>
        <w:spacing w:line="360" w:lineRule="auto"/>
        <w:rPr>
          <w:rFonts w:ascii="Times New Roman" w:hAnsi="Times New Roman" w:cs="Times New Roman"/>
        </w:rPr>
      </w:pPr>
      <w:r w:rsidRPr="00A13CA5">
        <w:rPr>
          <w:rFonts w:ascii="Times New Roman" w:eastAsia="Times New Roman" w:hAnsi="Times New Roman" w:cs="Times New Roman"/>
          <w:b/>
          <w:bCs/>
        </w:rPr>
        <w:t>1b. ESG Performance Variables Values</w:t>
      </w:r>
      <w:r w:rsidRPr="00A13CA5">
        <w:rPr>
          <w:rFonts w:ascii="Times New Roman" w:eastAsia="Times New Roman" w:hAnsi="Times New Roman" w:cs="Times New Roman"/>
          <w:noProof/>
        </w:rPr>
        <w:drawing>
          <wp:inline distT="0" distB="0" distL="0" distR="0" wp14:anchorId="56DAD67A" wp14:editId="228F6B4E">
            <wp:extent cx="4529470" cy="2743200"/>
            <wp:effectExtent l="0" t="0" r="4445" b="0"/>
            <wp:docPr id="21198872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7"/>
                    <a:srcRect/>
                    <a:stretch>
                      <a:fillRect/>
                    </a:stretch>
                  </pic:blipFill>
                  <pic:spPr>
                    <a:xfrm>
                      <a:off x="0" y="0"/>
                      <a:ext cx="4536095" cy="2747212"/>
                    </a:xfrm>
                    <a:prstGeom prst="rect">
                      <a:avLst/>
                    </a:prstGeom>
                    <a:ln/>
                  </pic:spPr>
                </pic:pic>
              </a:graphicData>
            </a:graphic>
          </wp:inline>
        </w:drawing>
      </w:r>
    </w:p>
    <w:p w14:paraId="2E4088E4" w14:textId="5FDEEA2E" w:rsidR="005F21CF" w:rsidRPr="00A13CA5" w:rsidRDefault="00A13CA5" w:rsidP="00A13CA5">
      <w:pPr>
        <w:pStyle w:val="Caption"/>
        <w:rPr>
          <w:rFonts w:ascii="Times New Roman" w:hAnsi="Times New Roman" w:cs="Times New Roman"/>
          <w:color w:val="auto"/>
          <w:sz w:val="24"/>
          <w:szCs w:val="24"/>
        </w:rPr>
      </w:pPr>
      <w:bookmarkStart w:id="67" w:name="_Toc236979313"/>
      <w:r w:rsidRPr="00A13CA5">
        <w:rPr>
          <w:rFonts w:ascii="Times New Roman" w:hAnsi="Times New Roman" w:cs="Times New Roman"/>
          <w:color w:val="auto"/>
          <w:sz w:val="24"/>
          <w:szCs w:val="24"/>
        </w:rPr>
        <w:t xml:space="preserve">Appendix 1 </w:t>
      </w:r>
      <w:r w:rsidRPr="00A13CA5">
        <w:rPr>
          <w:rFonts w:ascii="Times New Roman" w:hAnsi="Times New Roman" w:cs="Times New Roman"/>
          <w:color w:val="auto"/>
          <w:sz w:val="24"/>
          <w:szCs w:val="24"/>
        </w:rPr>
        <w:fldChar w:fldCharType="begin"/>
      </w:r>
      <w:r w:rsidRPr="00A13CA5">
        <w:rPr>
          <w:rFonts w:ascii="Times New Roman" w:hAnsi="Times New Roman" w:cs="Times New Roman"/>
          <w:color w:val="auto"/>
          <w:sz w:val="24"/>
          <w:szCs w:val="24"/>
        </w:rPr>
        <w:instrText xml:space="preserve"> SEQ Appendix_1 \* alphabetic </w:instrText>
      </w:r>
      <w:r w:rsidRPr="00A13CA5">
        <w:rPr>
          <w:rFonts w:ascii="Times New Roman" w:hAnsi="Times New Roman" w:cs="Times New Roman"/>
          <w:color w:val="auto"/>
          <w:sz w:val="24"/>
          <w:szCs w:val="24"/>
        </w:rPr>
        <w:fldChar w:fldCharType="separate"/>
      </w:r>
      <w:r w:rsidRPr="00A13CA5">
        <w:rPr>
          <w:rFonts w:ascii="Times New Roman" w:hAnsi="Times New Roman" w:cs="Times New Roman"/>
          <w:noProof/>
          <w:color w:val="auto"/>
          <w:sz w:val="24"/>
          <w:szCs w:val="24"/>
        </w:rPr>
        <w:t>b</w:t>
      </w:r>
      <w:r w:rsidRPr="00A13CA5">
        <w:rPr>
          <w:rFonts w:ascii="Times New Roman" w:hAnsi="Times New Roman" w:cs="Times New Roman"/>
          <w:color w:val="auto"/>
          <w:sz w:val="24"/>
          <w:szCs w:val="24"/>
        </w:rPr>
        <w:fldChar w:fldCharType="end"/>
      </w:r>
      <w:r w:rsidRPr="00A13CA5">
        <w:rPr>
          <w:rFonts w:ascii="Times New Roman" w:hAnsi="Times New Roman" w:cs="Times New Roman"/>
          <w:color w:val="auto"/>
          <w:sz w:val="24"/>
          <w:szCs w:val="24"/>
        </w:rPr>
        <w:t>: ESG Performance Variables Values.</w:t>
      </w:r>
      <w:bookmarkEnd w:id="67"/>
    </w:p>
    <w:p w14:paraId="020F45A8" w14:textId="77777777" w:rsidR="00856AD7" w:rsidRPr="00A13CA5" w:rsidRDefault="00856AD7" w:rsidP="00856AD7">
      <w:pPr>
        <w:spacing w:line="360" w:lineRule="auto"/>
        <w:rPr>
          <w:rFonts w:ascii="Times New Roman" w:eastAsia="Times New Roman" w:hAnsi="Times New Roman" w:cs="Times New Roman"/>
        </w:rPr>
      </w:pPr>
      <w:r w:rsidRPr="00A13CA5">
        <w:rPr>
          <w:rFonts w:ascii="Times New Roman" w:eastAsia="Times New Roman" w:hAnsi="Times New Roman" w:cs="Times New Roman"/>
        </w:rPr>
        <w:t>Source: Authors' Work.</w:t>
      </w:r>
    </w:p>
    <w:p w14:paraId="56DAD63E" w14:textId="77777777" w:rsidR="004322E7" w:rsidRPr="00A13CA5" w:rsidRDefault="000C275E">
      <w:pPr>
        <w:spacing w:line="360" w:lineRule="auto"/>
        <w:jc w:val="both"/>
        <w:rPr>
          <w:rFonts w:ascii="Times New Roman" w:eastAsia="Times New Roman" w:hAnsi="Times New Roman" w:cs="Times New Roman"/>
          <w:b/>
          <w:bCs/>
        </w:rPr>
      </w:pPr>
      <w:r w:rsidRPr="00A13CA5">
        <w:rPr>
          <w:rFonts w:ascii="Times New Roman" w:eastAsia="Times New Roman" w:hAnsi="Times New Roman" w:cs="Times New Roman"/>
          <w:b/>
          <w:bCs/>
        </w:rPr>
        <w:lastRenderedPageBreak/>
        <w:t>1c. Financial Performance Variables Values</w:t>
      </w:r>
    </w:p>
    <w:p w14:paraId="0A207E78" w14:textId="77777777" w:rsidR="00A13CA5" w:rsidRPr="00A13CA5" w:rsidRDefault="000C275E" w:rsidP="00A13CA5">
      <w:pPr>
        <w:keepNext/>
        <w:spacing w:line="360" w:lineRule="auto"/>
        <w:jc w:val="both"/>
        <w:rPr>
          <w:rFonts w:ascii="Times New Roman" w:hAnsi="Times New Roman" w:cs="Times New Roman"/>
        </w:rPr>
      </w:pPr>
      <w:r w:rsidRPr="00A13CA5">
        <w:rPr>
          <w:rFonts w:ascii="Times New Roman" w:eastAsia="Times New Roman" w:hAnsi="Times New Roman" w:cs="Times New Roman"/>
          <w:noProof/>
        </w:rPr>
        <w:drawing>
          <wp:inline distT="0" distB="0" distL="0" distR="0" wp14:anchorId="56DAD67C" wp14:editId="56DAD67D">
            <wp:extent cx="5943600" cy="1920240"/>
            <wp:effectExtent l="0" t="0" r="0" b="0"/>
            <wp:docPr id="211988721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8"/>
                    <a:srcRect/>
                    <a:stretch>
                      <a:fillRect/>
                    </a:stretch>
                  </pic:blipFill>
                  <pic:spPr>
                    <a:xfrm>
                      <a:off x="0" y="0"/>
                      <a:ext cx="5943600" cy="1920240"/>
                    </a:xfrm>
                    <a:prstGeom prst="rect">
                      <a:avLst/>
                    </a:prstGeom>
                    <a:ln/>
                  </pic:spPr>
                </pic:pic>
              </a:graphicData>
            </a:graphic>
          </wp:inline>
        </w:drawing>
      </w:r>
    </w:p>
    <w:p w14:paraId="61062A25" w14:textId="3A1A7EB5" w:rsidR="00146EA3" w:rsidRDefault="00A13CA5" w:rsidP="00A13CA5">
      <w:pPr>
        <w:pStyle w:val="Caption"/>
        <w:jc w:val="both"/>
        <w:rPr>
          <w:rFonts w:ascii="Times New Roman" w:hAnsi="Times New Roman" w:cs="Times New Roman"/>
          <w:color w:val="auto"/>
          <w:sz w:val="24"/>
          <w:szCs w:val="24"/>
        </w:rPr>
      </w:pPr>
      <w:bookmarkStart w:id="68" w:name="_Toc236979314"/>
      <w:r w:rsidRPr="00A13CA5">
        <w:rPr>
          <w:rFonts w:ascii="Times New Roman" w:hAnsi="Times New Roman" w:cs="Times New Roman"/>
          <w:color w:val="auto"/>
          <w:sz w:val="24"/>
          <w:szCs w:val="24"/>
        </w:rPr>
        <w:t xml:space="preserve">Appendix 1 </w:t>
      </w:r>
      <w:r w:rsidRPr="00A13CA5">
        <w:rPr>
          <w:rFonts w:ascii="Times New Roman" w:hAnsi="Times New Roman" w:cs="Times New Roman"/>
          <w:color w:val="auto"/>
          <w:sz w:val="24"/>
          <w:szCs w:val="24"/>
        </w:rPr>
        <w:fldChar w:fldCharType="begin"/>
      </w:r>
      <w:r w:rsidRPr="00A13CA5">
        <w:rPr>
          <w:rFonts w:ascii="Times New Roman" w:hAnsi="Times New Roman" w:cs="Times New Roman"/>
          <w:color w:val="auto"/>
          <w:sz w:val="24"/>
          <w:szCs w:val="24"/>
        </w:rPr>
        <w:instrText xml:space="preserve"> SEQ Appendix_1 \* alphabetic </w:instrText>
      </w:r>
      <w:r w:rsidRPr="00A13CA5">
        <w:rPr>
          <w:rFonts w:ascii="Times New Roman" w:hAnsi="Times New Roman" w:cs="Times New Roman"/>
          <w:color w:val="auto"/>
          <w:sz w:val="24"/>
          <w:szCs w:val="24"/>
        </w:rPr>
        <w:fldChar w:fldCharType="separate"/>
      </w:r>
      <w:r w:rsidRPr="00A13CA5">
        <w:rPr>
          <w:rFonts w:ascii="Times New Roman" w:hAnsi="Times New Roman" w:cs="Times New Roman"/>
          <w:noProof/>
          <w:color w:val="auto"/>
          <w:sz w:val="24"/>
          <w:szCs w:val="24"/>
        </w:rPr>
        <w:t>c</w:t>
      </w:r>
      <w:r w:rsidRPr="00A13CA5">
        <w:rPr>
          <w:rFonts w:ascii="Times New Roman" w:hAnsi="Times New Roman" w:cs="Times New Roman"/>
          <w:color w:val="auto"/>
          <w:sz w:val="24"/>
          <w:szCs w:val="24"/>
        </w:rPr>
        <w:fldChar w:fldCharType="end"/>
      </w:r>
      <w:r w:rsidRPr="00A13CA5">
        <w:rPr>
          <w:rFonts w:ascii="Times New Roman" w:hAnsi="Times New Roman" w:cs="Times New Roman"/>
          <w:color w:val="auto"/>
          <w:sz w:val="24"/>
          <w:szCs w:val="24"/>
        </w:rPr>
        <w:t>: Financial Performance Variables Values</w:t>
      </w:r>
      <w:bookmarkEnd w:id="68"/>
    </w:p>
    <w:p w14:paraId="7077F24B" w14:textId="77777777" w:rsidR="0005420E" w:rsidRPr="00A13CA5" w:rsidRDefault="0005420E" w:rsidP="0005420E">
      <w:pPr>
        <w:spacing w:line="360" w:lineRule="auto"/>
        <w:rPr>
          <w:rFonts w:ascii="Times New Roman" w:eastAsia="Times New Roman" w:hAnsi="Times New Roman" w:cs="Times New Roman"/>
        </w:rPr>
      </w:pPr>
      <w:r w:rsidRPr="00A13CA5">
        <w:rPr>
          <w:rFonts w:ascii="Times New Roman" w:eastAsia="Times New Roman" w:hAnsi="Times New Roman" w:cs="Times New Roman"/>
        </w:rPr>
        <w:t>Source: Authors' Work.</w:t>
      </w:r>
    </w:p>
    <w:p w14:paraId="6E703369" w14:textId="77777777" w:rsidR="0005420E" w:rsidRPr="0005420E" w:rsidRDefault="0005420E" w:rsidP="0005420E"/>
    <w:p w14:paraId="56DAD641" w14:textId="77777777" w:rsidR="004322E7" w:rsidRPr="00A13CA5" w:rsidRDefault="000C275E">
      <w:pPr>
        <w:spacing w:line="360" w:lineRule="auto"/>
        <w:jc w:val="both"/>
        <w:rPr>
          <w:rFonts w:ascii="Times New Roman" w:eastAsia="Times New Roman" w:hAnsi="Times New Roman" w:cs="Times New Roman"/>
          <w:b/>
          <w:bCs/>
        </w:rPr>
      </w:pPr>
      <w:r w:rsidRPr="00A13CA5">
        <w:rPr>
          <w:rFonts w:ascii="Times New Roman" w:eastAsia="Times New Roman" w:hAnsi="Times New Roman" w:cs="Times New Roman"/>
          <w:b/>
          <w:bCs/>
        </w:rPr>
        <w:t>1d. Moderation Values (interaction terms)</w:t>
      </w:r>
    </w:p>
    <w:p w14:paraId="051E6084" w14:textId="77777777" w:rsidR="00A13CA5" w:rsidRPr="00A13CA5" w:rsidRDefault="000C275E" w:rsidP="00A13CA5">
      <w:pPr>
        <w:keepNext/>
        <w:spacing w:line="360" w:lineRule="auto"/>
        <w:jc w:val="both"/>
        <w:rPr>
          <w:rFonts w:ascii="Times New Roman" w:hAnsi="Times New Roman" w:cs="Times New Roman"/>
        </w:rPr>
      </w:pPr>
      <w:r w:rsidRPr="00A13CA5">
        <w:rPr>
          <w:rFonts w:ascii="Times New Roman" w:eastAsia="Times New Roman" w:hAnsi="Times New Roman" w:cs="Times New Roman"/>
          <w:noProof/>
        </w:rPr>
        <w:drawing>
          <wp:inline distT="0" distB="0" distL="0" distR="0" wp14:anchorId="56DAD67E" wp14:editId="56DAD67F">
            <wp:extent cx="5943600" cy="2288540"/>
            <wp:effectExtent l="0" t="0" r="0" b="0"/>
            <wp:docPr id="21198872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9"/>
                    <a:srcRect/>
                    <a:stretch>
                      <a:fillRect/>
                    </a:stretch>
                  </pic:blipFill>
                  <pic:spPr>
                    <a:xfrm>
                      <a:off x="0" y="0"/>
                      <a:ext cx="5943600" cy="2288540"/>
                    </a:xfrm>
                    <a:prstGeom prst="rect">
                      <a:avLst/>
                    </a:prstGeom>
                    <a:ln/>
                  </pic:spPr>
                </pic:pic>
              </a:graphicData>
            </a:graphic>
          </wp:inline>
        </w:drawing>
      </w:r>
    </w:p>
    <w:p w14:paraId="15EF54CF" w14:textId="19ACE7AC" w:rsidR="00146EA3" w:rsidRPr="00A13CA5" w:rsidRDefault="00A13CA5" w:rsidP="00A13CA5">
      <w:pPr>
        <w:pStyle w:val="Caption"/>
        <w:jc w:val="both"/>
        <w:rPr>
          <w:rFonts w:ascii="Times New Roman" w:hAnsi="Times New Roman" w:cs="Times New Roman"/>
          <w:color w:val="auto"/>
          <w:sz w:val="24"/>
          <w:szCs w:val="24"/>
        </w:rPr>
      </w:pPr>
      <w:bookmarkStart w:id="69" w:name="_Toc236979315"/>
      <w:r w:rsidRPr="00A13CA5">
        <w:rPr>
          <w:rFonts w:ascii="Times New Roman" w:hAnsi="Times New Roman" w:cs="Times New Roman"/>
          <w:color w:val="auto"/>
          <w:sz w:val="24"/>
          <w:szCs w:val="24"/>
        </w:rPr>
        <w:t xml:space="preserve">Appendix 1 </w:t>
      </w:r>
      <w:r w:rsidRPr="00A13CA5">
        <w:rPr>
          <w:rFonts w:ascii="Times New Roman" w:hAnsi="Times New Roman" w:cs="Times New Roman"/>
          <w:color w:val="auto"/>
          <w:sz w:val="24"/>
          <w:szCs w:val="24"/>
        </w:rPr>
        <w:fldChar w:fldCharType="begin"/>
      </w:r>
      <w:r w:rsidRPr="00A13CA5">
        <w:rPr>
          <w:rFonts w:ascii="Times New Roman" w:hAnsi="Times New Roman" w:cs="Times New Roman"/>
          <w:color w:val="auto"/>
          <w:sz w:val="24"/>
          <w:szCs w:val="24"/>
        </w:rPr>
        <w:instrText xml:space="preserve"> SEQ Appendix_1 \* alphabetic </w:instrText>
      </w:r>
      <w:r w:rsidRPr="00A13CA5">
        <w:rPr>
          <w:rFonts w:ascii="Times New Roman" w:hAnsi="Times New Roman" w:cs="Times New Roman"/>
          <w:color w:val="auto"/>
          <w:sz w:val="24"/>
          <w:szCs w:val="24"/>
        </w:rPr>
        <w:fldChar w:fldCharType="separate"/>
      </w:r>
      <w:r w:rsidRPr="00A13CA5">
        <w:rPr>
          <w:rFonts w:ascii="Times New Roman" w:hAnsi="Times New Roman" w:cs="Times New Roman"/>
          <w:noProof/>
          <w:color w:val="auto"/>
          <w:sz w:val="24"/>
          <w:szCs w:val="24"/>
        </w:rPr>
        <w:t>d</w:t>
      </w:r>
      <w:r w:rsidRPr="00A13CA5">
        <w:rPr>
          <w:rFonts w:ascii="Times New Roman" w:hAnsi="Times New Roman" w:cs="Times New Roman"/>
          <w:color w:val="auto"/>
          <w:sz w:val="24"/>
          <w:szCs w:val="24"/>
        </w:rPr>
        <w:fldChar w:fldCharType="end"/>
      </w:r>
      <w:r w:rsidRPr="00A13CA5">
        <w:rPr>
          <w:rFonts w:ascii="Times New Roman" w:hAnsi="Times New Roman" w:cs="Times New Roman"/>
          <w:color w:val="auto"/>
          <w:sz w:val="24"/>
          <w:szCs w:val="24"/>
        </w:rPr>
        <w:t>: Moderation Variables Values.</w:t>
      </w:r>
      <w:bookmarkEnd w:id="69"/>
    </w:p>
    <w:p w14:paraId="1E4F4B80" w14:textId="77777777" w:rsidR="00856AD7" w:rsidRPr="0054670C" w:rsidRDefault="00856AD7" w:rsidP="00856AD7">
      <w:pPr>
        <w:spacing w:line="360" w:lineRule="auto"/>
        <w:rPr>
          <w:rFonts w:ascii="Times New Roman" w:eastAsia="Times New Roman" w:hAnsi="Times New Roman" w:cs="Times New Roman"/>
        </w:rPr>
      </w:pPr>
      <w:r w:rsidRPr="0054670C">
        <w:rPr>
          <w:rFonts w:ascii="Times New Roman" w:eastAsia="Times New Roman" w:hAnsi="Times New Roman" w:cs="Times New Roman"/>
        </w:rPr>
        <w:t>Source: Authors' Work.</w:t>
      </w:r>
    </w:p>
    <w:p w14:paraId="3987803C" w14:textId="77777777" w:rsidR="00856AD7" w:rsidRPr="0054670C" w:rsidRDefault="00856AD7">
      <w:pPr>
        <w:pBdr>
          <w:top w:val="nil"/>
          <w:left w:val="nil"/>
          <w:bottom w:val="nil"/>
          <w:right w:val="nil"/>
          <w:between w:val="nil"/>
        </w:pBdr>
        <w:spacing w:after="200" w:line="240" w:lineRule="auto"/>
        <w:jc w:val="both"/>
        <w:rPr>
          <w:rFonts w:ascii="Times New Roman" w:eastAsia="Times New Roman" w:hAnsi="Times New Roman" w:cs="Times New Roman"/>
          <w:i/>
          <w:iCs/>
        </w:rPr>
      </w:pPr>
    </w:p>
    <w:sectPr w:rsidR="00856AD7" w:rsidRPr="0054670C">
      <w:footerReference w:type="default" r:id="rId40"/>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C454CD" w14:textId="77777777" w:rsidR="00540564" w:rsidRDefault="00540564">
      <w:pPr>
        <w:spacing w:after="0" w:line="240" w:lineRule="auto"/>
      </w:pPr>
      <w:r>
        <w:separator/>
      </w:r>
    </w:p>
  </w:endnote>
  <w:endnote w:type="continuationSeparator" w:id="0">
    <w:p w14:paraId="10D694D0" w14:textId="77777777" w:rsidR="00540564" w:rsidRDefault="005405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65785716-3CBB-4617-BC82-530BF0981DCA}"/>
    <w:embedBold r:id="rId2" w:fontKey="{5F01916B-76E0-4963-B23E-3A04ED6F2784}"/>
    <w:embedItalic r:id="rId3" w:fontKey="{60AF96CA-26B2-490C-815C-2B515E7F65C8}"/>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4" w:fontKey="{7A6E49D8-885C-435B-8A1D-1DF7452C590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AD682" w14:textId="0E147A88" w:rsidR="004322E7" w:rsidRDefault="000C275E">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161274">
      <w:rPr>
        <w:noProof/>
        <w:color w:val="000000"/>
      </w:rPr>
      <w:t>1</w:t>
    </w:r>
    <w:r>
      <w:rPr>
        <w:color w:val="000000"/>
      </w:rPr>
      <w:fldChar w:fldCharType="end"/>
    </w:r>
  </w:p>
  <w:p w14:paraId="56DAD683" w14:textId="77777777" w:rsidR="004322E7" w:rsidRDefault="004322E7">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AD684" w14:textId="61E71D29" w:rsidR="004322E7" w:rsidRDefault="000C275E">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161274">
      <w:rPr>
        <w:noProof/>
        <w:color w:val="000000"/>
      </w:rPr>
      <w:t>2</w:t>
    </w:r>
    <w:r>
      <w:rPr>
        <w:color w:val="000000"/>
      </w:rPr>
      <w:fldChar w:fldCharType="end"/>
    </w:r>
  </w:p>
  <w:p w14:paraId="56DAD685" w14:textId="77777777" w:rsidR="004322E7" w:rsidRDefault="004322E7">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B1E1B" w14:textId="77777777" w:rsidR="00540564" w:rsidRDefault="00540564">
      <w:pPr>
        <w:spacing w:after="0" w:line="240" w:lineRule="auto"/>
      </w:pPr>
      <w:r>
        <w:separator/>
      </w:r>
    </w:p>
  </w:footnote>
  <w:footnote w:type="continuationSeparator" w:id="0">
    <w:p w14:paraId="76C3EB1D" w14:textId="77777777" w:rsidR="00540564" w:rsidRDefault="005405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DAD680" w14:textId="77777777" w:rsidR="004322E7" w:rsidRDefault="004322E7">
    <w:pPr>
      <w:pBdr>
        <w:top w:val="nil"/>
        <w:left w:val="nil"/>
        <w:bottom w:val="nil"/>
        <w:right w:val="nil"/>
        <w:between w:val="nil"/>
      </w:pBdr>
      <w:tabs>
        <w:tab w:val="center" w:pos="4680"/>
        <w:tab w:val="right" w:pos="9360"/>
      </w:tabs>
      <w:spacing w:after="0" w:line="240" w:lineRule="auto"/>
      <w:jc w:val="center"/>
      <w:rPr>
        <w:color w:val="000000"/>
      </w:rPr>
    </w:pPr>
  </w:p>
  <w:p w14:paraId="56DAD681" w14:textId="77777777" w:rsidR="004322E7" w:rsidRDefault="004322E7">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C32AEC"/>
    <w:multiLevelType w:val="multilevel"/>
    <w:tmpl w:val="FC9480D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30611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2E7"/>
    <w:rsid w:val="00024A12"/>
    <w:rsid w:val="00033DD9"/>
    <w:rsid w:val="00052C9D"/>
    <w:rsid w:val="0005420E"/>
    <w:rsid w:val="0009292C"/>
    <w:rsid w:val="000B4B5A"/>
    <w:rsid w:val="000C275E"/>
    <w:rsid w:val="000D0B47"/>
    <w:rsid w:val="00107C55"/>
    <w:rsid w:val="0011648A"/>
    <w:rsid w:val="00122CEB"/>
    <w:rsid w:val="001349CC"/>
    <w:rsid w:val="0014105A"/>
    <w:rsid w:val="001430E9"/>
    <w:rsid w:val="00146EA3"/>
    <w:rsid w:val="001470FE"/>
    <w:rsid w:val="00161274"/>
    <w:rsid w:val="00162C02"/>
    <w:rsid w:val="00163A1A"/>
    <w:rsid w:val="00174FA5"/>
    <w:rsid w:val="00184057"/>
    <w:rsid w:val="001854FB"/>
    <w:rsid w:val="00185B62"/>
    <w:rsid w:val="001C6F39"/>
    <w:rsid w:val="001F5855"/>
    <w:rsid w:val="00212CA6"/>
    <w:rsid w:val="002164D2"/>
    <w:rsid w:val="00223F56"/>
    <w:rsid w:val="00242C3A"/>
    <w:rsid w:val="00265B7F"/>
    <w:rsid w:val="002854E0"/>
    <w:rsid w:val="002858FB"/>
    <w:rsid w:val="002B1F4B"/>
    <w:rsid w:val="002C1227"/>
    <w:rsid w:val="002C539A"/>
    <w:rsid w:val="002D2AFE"/>
    <w:rsid w:val="002E58AC"/>
    <w:rsid w:val="003105C2"/>
    <w:rsid w:val="003235AF"/>
    <w:rsid w:val="00347572"/>
    <w:rsid w:val="00385643"/>
    <w:rsid w:val="003871C7"/>
    <w:rsid w:val="003F66EC"/>
    <w:rsid w:val="0040669B"/>
    <w:rsid w:val="00410B76"/>
    <w:rsid w:val="00427202"/>
    <w:rsid w:val="004322E7"/>
    <w:rsid w:val="004332AD"/>
    <w:rsid w:val="00450C8C"/>
    <w:rsid w:val="004539D3"/>
    <w:rsid w:val="00456720"/>
    <w:rsid w:val="00471CB5"/>
    <w:rsid w:val="0047523B"/>
    <w:rsid w:val="00496AD9"/>
    <w:rsid w:val="004B287C"/>
    <w:rsid w:val="004C46BF"/>
    <w:rsid w:val="004D4EE9"/>
    <w:rsid w:val="0053586F"/>
    <w:rsid w:val="00540564"/>
    <w:rsid w:val="00543E14"/>
    <w:rsid w:val="0054670C"/>
    <w:rsid w:val="005761CE"/>
    <w:rsid w:val="005806F2"/>
    <w:rsid w:val="005B6FA6"/>
    <w:rsid w:val="005C2D76"/>
    <w:rsid w:val="005F21CF"/>
    <w:rsid w:val="005F391E"/>
    <w:rsid w:val="00604E4B"/>
    <w:rsid w:val="0067123E"/>
    <w:rsid w:val="00673052"/>
    <w:rsid w:val="00696B10"/>
    <w:rsid w:val="006C6687"/>
    <w:rsid w:val="00701F05"/>
    <w:rsid w:val="007125C8"/>
    <w:rsid w:val="00714758"/>
    <w:rsid w:val="00736D3F"/>
    <w:rsid w:val="00760190"/>
    <w:rsid w:val="00772450"/>
    <w:rsid w:val="00785CBA"/>
    <w:rsid w:val="0078735B"/>
    <w:rsid w:val="007D08FE"/>
    <w:rsid w:val="007D3ECF"/>
    <w:rsid w:val="008019A1"/>
    <w:rsid w:val="00805AB2"/>
    <w:rsid w:val="00811124"/>
    <w:rsid w:val="008111C1"/>
    <w:rsid w:val="00812CF6"/>
    <w:rsid w:val="00827C9E"/>
    <w:rsid w:val="00854E47"/>
    <w:rsid w:val="00856AD7"/>
    <w:rsid w:val="008A111E"/>
    <w:rsid w:val="008A43D7"/>
    <w:rsid w:val="00910573"/>
    <w:rsid w:val="0091769E"/>
    <w:rsid w:val="009205A8"/>
    <w:rsid w:val="009671ED"/>
    <w:rsid w:val="00993EA6"/>
    <w:rsid w:val="009A37A2"/>
    <w:rsid w:val="009B088A"/>
    <w:rsid w:val="009C2477"/>
    <w:rsid w:val="009F2245"/>
    <w:rsid w:val="00A13CA5"/>
    <w:rsid w:val="00A22C03"/>
    <w:rsid w:val="00A35452"/>
    <w:rsid w:val="00A530C7"/>
    <w:rsid w:val="00A8674F"/>
    <w:rsid w:val="00AC6168"/>
    <w:rsid w:val="00B12E77"/>
    <w:rsid w:val="00B20890"/>
    <w:rsid w:val="00B41B2E"/>
    <w:rsid w:val="00B623F4"/>
    <w:rsid w:val="00BC078E"/>
    <w:rsid w:val="00BC2D20"/>
    <w:rsid w:val="00BC4815"/>
    <w:rsid w:val="00C170D8"/>
    <w:rsid w:val="00C271B3"/>
    <w:rsid w:val="00C501C2"/>
    <w:rsid w:val="00C67050"/>
    <w:rsid w:val="00C76DC6"/>
    <w:rsid w:val="00C85045"/>
    <w:rsid w:val="00C936E4"/>
    <w:rsid w:val="00C95188"/>
    <w:rsid w:val="00C968EB"/>
    <w:rsid w:val="00CA4855"/>
    <w:rsid w:val="00CA62CF"/>
    <w:rsid w:val="00CB4E13"/>
    <w:rsid w:val="00CD18F9"/>
    <w:rsid w:val="00D17A64"/>
    <w:rsid w:val="00D237A2"/>
    <w:rsid w:val="00D4067C"/>
    <w:rsid w:val="00D42267"/>
    <w:rsid w:val="00D4570A"/>
    <w:rsid w:val="00D50F7E"/>
    <w:rsid w:val="00D54E10"/>
    <w:rsid w:val="00D623D2"/>
    <w:rsid w:val="00D711FA"/>
    <w:rsid w:val="00D8447C"/>
    <w:rsid w:val="00D91214"/>
    <w:rsid w:val="00D96D7F"/>
    <w:rsid w:val="00DB3801"/>
    <w:rsid w:val="00DC5C78"/>
    <w:rsid w:val="00DD1320"/>
    <w:rsid w:val="00E04599"/>
    <w:rsid w:val="00E05345"/>
    <w:rsid w:val="00E0705A"/>
    <w:rsid w:val="00E12953"/>
    <w:rsid w:val="00E24D40"/>
    <w:rsid w:val="00E419CB"/>
    <w:rsid w:val="00E73FC9"/>
    <w:rsid w:val="00E938E7"/>
    <w:rsid w:val="00EA29DE"/>
    <w:rsid w:val="00EA3321"/>
    <w:rsid w:val="00EA5467"/>
    <w:rsid w:val="00EB27D0"/>
    <w:rsid w:val="00EC7866"/>
    <w:rsid w:val="00ED4EF5"/>
    <w:rsid w:val="00ED6A21"/>
    <w:rsid w:val="00ED6D63"/>
    <w:rsid w:val="00EF1262"/>
    <w:rsid w:val="00F12BF7"/>
    <w:rsid w:val="00F31003"/>
    <w:rsid w:val="00F417CE"/>
    <w:rsid w:val="00F90B2E"/>
    <w:rsid w:val="00F96B14"/>
    <w:rsid w:val="00FB76F4"/>
    <w:rsid w:val="00FE5902"/>
    <w:rsid w:val="00FF70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AD254"/>
  <w15:docId w15:val="{2014457A-F43C-46C4-88F2-4BD11018E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color w:val="2F5496"/>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color w:val="2F5496"/>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color w:val="2F5496"/>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9E62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2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2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sz w:val="56"/>
      <w:szCs w:val="56"/>
    </w:rPr>
  </w:style>
  <w:style w:type="character" w:customStyle="1" w:styleId="Heading1Char">
    <w:name w:val="Heading 1 Char"/>
    <w:basedOn w:val="DefaultParagraphFont"/>
    <w:link w:val="Heading1"/>
    <w:uiPriority w:val="9"/>
    <w:rsid w:val="009E62B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E62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9E62B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9E62B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E62B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E62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2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2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2B1"/>
    <w:rPr>
      <w:rFonts w:eastAsiaTheme="majorEastAsia" w:cstheme="majorBidi"/>
      <w:color w:val="272727" w:themeColor="text1" w:themeTint="D8"/>
    </w:rPr>
  </w:style>
  <w:style w:type="character" w:customStyle="1" w:styleId="TitleChar">
    <w:name w:val="Title Char"/>
    <w:basedOn w:val="DefaultParagraphFont"/>
    <w:link w:val="Title"/>
    <w:uiPriority w:val="10"/>
    <w:rsid w:val="009E62B1"/>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9E62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2B1"/>
    <w:pPr>
      <w:spacing w:before="160"/>
      <w:jc w:val="center"/>
    </w:pPr>
    <w:rPr>
      <w:i/>
      <w:iCs/>
      <w:color w:val="404040" w:themeColor="text1" w:themeTint="BF"/>
    </w:rPr>
  </w:style>
  <w:style w:type="character" w:customStyle="1" w:styleId="QuoteChar">
    <w:name w:val="Quote Char"/>
    <w:basedOn w:val="DefaultParagraphFont"/>
    <w:link w:val="Quote"/>
    <w:uiPriority w:val="29"/>
    <w:rsid w:val="009E62B1"/>
    <w:rPr>
      <w:i/>
      <w:iCs/>
      <w:color w:val="404040" w:themeColor="text1" w:themeTint="BF"/>
    </w:rPr>
  </w:style>
  <w:style w:type="paragraph" w:styleId="ListParagraph">
    <w:name w:val="List Paragraph"/>
    <w:basedOn w:val="Normal"/>
    <w:qFormat/>
    <w:rsid w:val="009E62B1"/>
    <w:pPr>
      <w:ind w:left="720"/>
      <w:contextualSpacing/>
    </w:pPr>
  </w:style>
  <w:style w:type="character" w:styleId="IntenseEmphasis">
    <w:name w:val="Intense Emphasis"/>
    <w:basedOn w:val="DefaultParagraphFont"/>
    <w:uiPriority w:val="21"/>
    <w:qFormat/>
    <w:rsid w:val="009E62B1"/>
    <w:rPr>
      <w:i/>
      <w:iCs/>
      <w:color w:val="2F5496" w:themeColor="accent1" w:themeShade="BF"/>
    </w:rPr>
  </w:style>
  <w:style w:type="paragraph" w:styleId="IntenseQuote">
    <w:name w:val="Intense Quote"/>
    <w:basedOn w:val="Normal"/>
    <w:next w:val="Normal"/>
    <w:link w:val="IntenseQuoteChar"/>
    <w:uiPriority w:val="30"/>
    <w:qFormat/>
    <w:rsid w:val="009E62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E62B1"/>
    <w:rPr>
      <w:i/>
      <w:iCs/>
      <w:color w:val="2F5496" w:themeColor="accent1" w:themeShade="BF"/>
    </w:rPr>
  </w:style>
  <w:style w:type="character" w:styleId="IntenseReference">
    <w:name w:val="Intense Reference"/>
    <w:basedOn w:val="DefaultParagraphFont"/>
    <w:uiPriority w:val="32"/>
    <w:qFormat/>
    <w:rsid w:val="009E62B1"/>
    <w:rPr>
      <w:b/>
      <w:bCs/>
      <w:smallCaps/>
      <w:color w:val="2F5496" w:themeColor="accent1" w:themeShade="BF"/>
      <w:spacing w:val="5"/>
    </w:rPr>
  </w:style>
  <w:style w:type="paragraph" w:styleId="TOCHeading">
    <w:name w:val="TOC Heading"/>
    <w:basedOn w:val="Heading1"/>
    <w:next w:val="Normal"/>
    <w:uiPriority w:val="39"/>
    <w:unhideWhenUsed/>
    <w:qFormat/>
    <w:rsid w:val="00A928C8"/>
    <w:pPr>
      <w:spacing w:before="240" w:after="0" w:line="259" w:lineRule="auto"/>
      <w:outlineLvl w:val="9"/>
    </w:pPr>
    <w:rPr>
      <w:sz w:val="32"/>
      <w:szCs w:val="32"/>
    </w:rPr>
  </w:style>
  <w:style w:type="paragraph" w:styleId="TOC1">
    <w:name w:val="toc 1"/>
    <w:basedOn w:val="Normal"/>
    <w:next w:val="Normal"/>
    <w:autoRedefine/>
    <w:uiPriority w:val="39"/>
    <w:unhideWhenUsed/>
    <w:rsid w:val="00A928C8"/>
    <w:pPr>
      <w:spacing w:after="100"/>
    </w:pPr>
  </w:style>
  <w:style w:type="paragraph" w:styleId="TOC2">
    <w:name w:val="toc 2"/>
    <w:basedOn w:val="Normal"/>
    <w:next w:val="Normal"/>
    <w:autoRedefine/>
    <w:uiPriority w:val="39"/>
    <w:unhideWhenUsed/>
    <w:rsid w:val="00A928C8"/>
    <w:pPr>
      <w:spacing w:after="100"/>
      <w:ind w:left="240"/>
    </w:pPr>
  </w:style>
  <w:style w:type="paragraph" w:styleId="TOC3">
    <w:name w:val="toc 3"/>
    <w:basedOn w:val="Normal"/>
    <w:next w:val="Normal"/>
    <w:autoRedefine/>
    <w:uiPriority w:val="39"/>
    <w:unhideWhenUsed/>
    <w:rsid w:val="00A928C8"/>
    <w:pPr>
      <w:spacing w:after="100"/>
      <w:ind w:left="480"/>
    </w:pPr>
  </w:style>
  <w:style w:type="character" w:styleId="Hyperlink">
    <w:name w:val="Hyperlink"/>
    <w:basedOn w:val="DefaultParagraphFont"/>
    <w:uiPriority w:val="99"/>
    <w:unhideWhenUsed/>
    <w:rsid w:val="00A928C8"/>
    <w:rPr>
      <w:color w:val="0563C1" w:themeColor="hyperlink"/>
      <w:u w:val="single"/>
    </w:rPr>
  </w:style>
  <w:style w:type="paragraph" w:styleId="Header">
    <w:name w:val="header"/>
    <w:basedOn w:val="Normal"/>
    <w:link w:val="HeaderChar"/>
    <w:uiPriority w:val="99"/>
    <w:unhideWhenUsed/>
    <w:rsid w:val="00B357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571F"/>
  </w:style>
  <w:style w:type="paragraph" w:styleId="Footer">
    <w:name w:val="footer"/>
    <w:basedOn w:val="Normal"/>
    <w:link w:val="FooterChar"/>
    <w:uiPriority w:val="99"/>
    <w:unhideWhenUsed/>
    <w:rsid w:val="00B357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571F"/>
  </w:style>
  <w:style w:type="character" w:styleId="UnresolvedMention">
    <w:name w:val="Unresolved Mention"/>
    <w:basedOn w:val="DefaultParagraphFont"/>
    <w:uiPriority w:val="99"/>
    <w:semiHidden/>
    <w:unhideWhenUsed/>
    <w:rsid w:val="00074DA1"/>
    <w:rPr>
      <w:color w:val="605E5C"/>
      <w:shd w:val="clear" w:color="auto" w:fill="E1DFDD"/>
    </w:rPr>
  </w:style>
  <w:style w:type="paragraph" w:styleId="Caption">
    <w:name w:val="caption"/>
    <w:basedOn w:val="Normal"/>
    <w:next w:val="Normal"/>
    <w:uiPriority w:val="35"/>
    <w:unhideWhenUsed/>
    <w:qFormat/>
    <w:rsid w:val="009B426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311AA"/>
    <w:pPr>
      <w:spacing w:after="0"/>
    </w:pPr>
  </w:style>
  <w:style w:type="paragraph" w:styleId="Subtitle">
    <w:name w:val="Subtitle"/>
    <w:basedOn w:val="Normal"/>
    <w:next w:val="Normal"/>
    <w:link w:val="SubtitleChar"/>
    <w:uiPriority w:val="11"/>
    <w:qFormat/>
    <w:rPr>
      <w:color w:val="595959"/>
      <w:sz w:val="28"/>
      <w:szCs w:val="28"/>
    </w:rPr>
  </w:style>
  <w:style w:type="table" w:customStyle="1" w:styleId="a">
    <w:basedOn w:val="TableNormal"/>
    <w:tblPr>
      <w:tblStyleRowBandSize w:val="1"/>
      <w:tblStyleColBandSize w:val="1"/>
      <w:tblCellMar>
        <w:left w:w="0" w:type="dxa"/>
        <w:right w:w="0" w:type="dxa"/>
      </w:tblCellMar>
    </w:tblPr>
  </w:style>
  <w:style w:type="paragraph" w:styleId="TOC4">
    <w:name w:val="toc 4"/>
    <w:basedOn w:val="Normal"/>
    <w:next w:val="Normal"/>
    <w:autoRedefine/>
    <w:uiPriority w:val="39"/>
    <w:unhideWhenUsed/>
    <w:rsid w:val="00CB4E13"/>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30.png"/><Relationship Id="rId21" Type="http://schemas.openxmlformats.org/officeDocument/2006/relationships/image" Target="media/image11.png"/><Relationship Id="rId34" Type="http://schemas.openxmlformats.org/officeDocument/2006/relationships/image" Target="media/image25.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image" Target="media/image14.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7.png"/><Relationship Id="rId10" Type="http://schemas.openxmlformats.org/officeDocument/2006/relationships/image" Target="media/image21.png"/><Relationship Id="rId19" Type="http://schemas.openxmlformats.org/officeDocument/2006/relationships/image" Target="media/image9.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6.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4.png"/><Relationship Id="rId38" Type="http://schemas.openxmlformats.org/officeDocument/2006/relationships/image" Target="media/image29.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Orv8VFupLY/sXRiGtXQgzZwQ4fA==">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</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55</Pages>
  <Words>13421</Words>
  <Characters>76506</Characters>
  <Application>Microsoft Office Word</Application>
  <DocSecurity>0</DocSecurity>
  <Lines>637</Lines>
  <Paragraphs>179</Paragraphs>
  <ScaleCrop>false</ScaleCrop>
  <Company/>
  <LinksUpToDate>false</LinksUpToDate>
  <CharactersWithSpaces>89748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sunil khadka</dc:creator>
  <cp:lastModifiedBy>sunil khadka</cp:lastModifiedBy>
  <cp:revision>164</cp:revision>
  <dcterms:created xsi:type="dcterms:W3CDTF">2026-08-05T04:05:00Z</dcterms:created>
  <dcterms:modified xsi:type="dcterms:W3CDTF">2026-08-07T15:00:00Z</dcterms:modified>
</cp:coreProperties>
</file>