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before="120" w:after="120" w:lineRule="auto" w:line="360"/>
        <w:jc w:val="center"/>
        <w:rPr>
          <w:rFonts w:ascii="Times New Roman" w:cs="Times New Roman" w:hAnsi="Times New Roman"/>
          <w:b/>
          <w:sz w:val="32"/>
          <w:szCs w:val="32"/>
          <w:lang w:val="en-GB"/>
        </w:rPr>
      </w:pPr>
      <w:r>
        <w:rPr>
          <w:rFonts w:ascii="Times New Roman" w:cs="Times New Roman" w:hAnsi="Times New Roman"/>
          <w:b/>
          <w:noProof/>
          <w:sz w:val="32"/>
          <w:szCs w:val="32"/>
          <w:lang w:val="en-IN" w:eastAsia="en-IN"/>
        </w:rPr>
        <w:drawing>
          <wp:inline distL="0" distT="0" distB="0" distR="0">
            <wp:extent cx="5846885" cy="2013438"/>
            <wp:effectExtent l="0" t="0" r="0" b="0"/>
            <wp:docPr id="1026" name="Picture 4" descr="C:\Users\ONESTEP\Downloads\1622737320488.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 cstate="print"/>
                    <a:srcRect l="0" t="0" r="0" b="0"/>
                    <a:stretch/>
                  </pic:blipFill>
                  <pic:spPr>
                    <a:xfrm rot="0">
                      <a:off x="0" y="0"/>
                      <a:ext cx="5846885" cy="2013438"/>
                    </a:xfrm>
                    <a:prstGeom prst="rect"/>
                    <a:ln>
                      <a:noFill/>
                    </a:ln>
                  </pic:spPr>
                </pic:pic>
              </a:graphicData>
            </a:graphic>
          </wp:inline>
        </w:drawing>
      </w:r>
      <w:r>
        <w:rPr>
          <w:rFonts w:ascii="Times New Roman" w:cs="Times New Roman" w:hAnsi="Times New Roman"/>
          <w:b/>
          <w:sz w:val="32"/>
          <w:szCs w:val="32"/>
          <w:lang w:val="en-GB"/>
        </w:rPr>
        <w:t xml:space="preserve">   </w:t>
      </w:r>
    </w:p>
    <w:p>
      <w:pPr>
        <w:pStyle w:val="style0"/>
        <w:spacing w:before="120" w:after="120" w:lineRule="auto" w:line="360"/>
        <w:rPr>
          <w:rFonts w:ascii="Times New Roman" w:cs="Times New Roman" w:hAnsi="Times New Roman"/>
          <w:b/>
          <w:sz w:val="32"/>
          <w:szCs w:val="32"/>
          <w:lang w:val="en-GB"/>
        </w:rPr>
      </w:pPr>
    </w:p>
    <w:p>
      <w:pPr>
        <w:pStyle w:val="style0"/>
        <w:spacing w:before="120" w:after="120" w:lineRule="auto" w:line="360"/>
        <w:jc w:val="center"/>
        <w:rPr>
          <w:rFonts w:ascii="Times New Roman" w:cs="Times New Roman" w:hAnsi="Times New Roman"/>
          <w:b/>
          <w:bCs/>
          <w:sz w:val="36"/>
          <w:szCs w:val="36"/>
          <w:lang w:val="en-GB"/>
        </w:rPr>
      </w:pPr>
      <w:r>
        <w:rPr>
          <w:rFonts w:cs="Times New Roman" w:hAnsi="Times New Roman"/>
          <w:b/>
          <w:bCs/>
          <w:sz w:val="36"/>
          <w:szCs w:val="36"/>
          <w:lang w:val="en-US"/>
        </w:rPr>
        <w:t>MASTER OF BUSINESS ADMINISTRATION</w:t>
      </w:r>
    </w:p>
    <w:p>
      <w:pPr>
        <w:pStyle w:val="style0"/>
        <w:spacing w:before="120" w:after="120" w:lineRule="auto" w:line="360"/>
        <w:jc w:val="center"/>
        <w:rPr>
          <w:rFonts w:ascii="Times New Roman" w:cs="Times New Roman" w:hAnsi="Times New Roman"/>
          <w:b/>
          <w:bCs/>
          <w:sz w:val="36"/>
          <w:szCs w:val="36"/>
          <w:lang w:val="en-GB"/>
        </w:rPr>
      </w:pPr>
      <w:r>
        <w:rPr>
          <w:rFonts w:cs="Times New Roman" w:hAnsi="Times New Roman"/>
          <w:b/>
          <w:bCs/>
          <w:sz w:val="36"/>
          <w:szCs w:val="36"/>
          <w:lang w:val="en-US"/>
        </w:rPr>
        <w:t>Human Resource Management</w:t>
      </w:r>
    </w:p>
    <w:p>
      <w:pPr>
        <w:pStyle w:val="style0"/>
        <w:spacing w:before="120" w:after="120" w:lineRule="auto" w:line="360"/>
        <w:jc w:val="center"/>
        <w:rPr>
          <w:rFonts w:ascii="Times New Roman" w:cs="Times New Roman" w:hAnsi="Times New Roman"/>
          <w:b/>
          <w:bCs/>
          <w:sz w:val="36"/>
          <w:szCs w:val="36"/>
          <w:lang w:val="en-GB"/>
        </w:rPr>
      </w:pPr>
      <w:r>
        <w:rPr>
          <w:rFonts w:cs="Times New Roman" w:hAnsi="Times New Roman"/>
          <w:b/>
          <w:bCs/>
          <w:sz w:val="36"/>
          <w:szCs w:val="36"/>
          <w:lang w:val="en-US"/>
        </w:rPr>
        <w:t>LCMB7000</w:t>
      </w:r>
    </w:p>
    <w:p>
      <w:pPr>
        <w:pStyle w:val="style0"/>
        <w:spacing w:before="120" w:after="120" w:lineRule="auto" w:line="360"/>
        <w:jc w:val="center"/>
        <w:rPr>
          <w:rFonts w:ascii="Times New Roman" w:cs="Times New Roman" w:hAnsi="Times New Roman"/>
          <w:b/>
          <w:sz w:val="32"/>
          <w:szCs w:val="32"/>
          <w:lang w:val="en-GB"/>
        </w:rPr>
      </w:pPr>
    </w:p>
    <w:p>
      <w:pPr>
        <w:pStyle w:val="style0"/>
        <w:spacing w:before="120" w:after="120" w:lineRule="auto" w:line="360"/>
        <w:jc w:val="center"/>
        <w:rPr>
          <w:rFonts w:ascii="Times New Roman" w:cs="Times New Roman" w:hAnsi="Times New Roman"/>
          <w:b/>
          <w:sz w:val="32"/>
          <w:szCs w:val="32"/>
          <w:lang w:val="en-GB"/>
        </w:rPr>
      </w:pPr>
      <w:r>
        <w:rPr>
          <w:rFonts w:cs="Times New Roman" w:hAnsi="Times New Roman"/>
          <w:b/>
          <w:sz w:val="32"/>
          <w:szCs w:val="32"/>
          <w:lang w:val="en-US"/>
        </w:rPr>
        <w:t>Individual Report - CW 1</w:t>
      </w:r>
    </w:p>
    <w:p>
      <w:pPr>
        <w:pStyle w:val="style0"/>
        <w:spacing w:before="120" w:after="120" w:lineRule="auto" w:line="360"/>
        <w:jc w:val="center"/>
        <w:rPr>
          <w:rFonts w:ascii="Times New Roman" w:cs="Times New Roman" w:hAnsi="Times New Roman"/>
          <w:b/>
          <w:sz w:val="32"/>
          <w:szCs w:val="32"/>
          <w:lang w:val="en-GB"/>
        </w:rPr>
      </w:pPr>
    </w:p>
    <w:p>
      <w:pPr>
        <w:pStyle w:val="style0"/>
        <w:spacing w:before="120" w:after="120" w:lineRule="auto" w:line="360"/>
        <w:jc w:val="center"/>
        <w:rPr>
          <w:rFonts w:ascii="Times New Roman" w:cs="Times New Roman" w:hAnsi="Times New Roman"/>
          <w:b/>
          <w:sz w:val="32"/>
          <w:szCs w:val="32"/>
          <w:lang w:val="en-GB"/>
        </w:rPr>
      </w:pPr>
      <w:r>
        <w:rPr>
          <w:rFonts w:cs="Times New Roman" w:hAnsi="Times New Roman"/>
          <w:b/>
          <w:sz w:val="32"/>
          <w:szCs w:val="32"/>
          <w:lang w:val="en-US"/>
        </w:rPr>
        <w:t xml:space="preserve">Student </w:t>
      </w:r>
      <w:r>
        <w:rPr>
          <w:rFonts w:ascii="Times New Roman" w:cs="Times New Roman" w:hAnsi="Times New Roman"/>
          <w:b/>
          <w:sz w:val="32"/>
          <w:szCs w:val="32"/>
          <w:lang w:val="en-GB"/>
        </w:rPr>
        <w:t>N</w:t>
      </w:r>
      <w:r>
        <w:rPr>
          <w:rFonts w:ascii="Times New Roman" w:cs="Times New Roman" w:hAnsi="Times New Roman"/>
          <w:b/>
          <w:sz w:val="32"/>
          <w:szCs w:val="32"/>
          <w:lang w:val="en-GB"/>
        </w:rPr>
        <w:t xml:space="preserve">ame </w:t>
      </w:r>
      <w:r>
        <w:rPr>
          <w:rFonts w:cs="Times New Roman" w:hAnsi="Times New Roman"/>
          <w:b/>
          <w:sz w:val="32"/>
          <w:szCs w:val="32"/>
          <w:lang w:val="en-US"/>
        </w:rPr>
        <w:t xml:space="preserve">: </w:t>
      </w:r>
      <w:r>
        <w:rPr>
          <w:rFonts w:ascii="Times New Roman" w:cs="Times New Roman" w:hAnsi="Times New Roman"/>
          <w:b/>
          <w:sz w:val="32"/>
          <w:szCs w:val="32"/>
          <w:lang w:val="en-GB"/>
        </w:rPr>
        <w:t xml:space="preserve">Rashmibahen D Thakor </w:t>
      </w:r>
    </w:p>
    <w:p>
      <w:pPr>
        <w:pStyle w:val="style0"/>
        <w:spacing w:before="120" w:after="120" w:lineRule="auto" w:line="360"/>
        <w:jc w:val="center"/>
        <w:rPr>
          <w:rFonts w:ascii="Times New Roman" w:cs="Times New Roman" w:hAnsi="Times New Roman"/>
          <w:b/>
          <w:sz w:val="32"/>
          <w:szCs w:val="32"/>
          <w:lang w:val="en-GB"/>
        </w:rPr>
      </w:pPr>
      <w:r>
        <w:rPr>
          <w:rFonts w:ascii="Times New Roman" w:cs="Times New Roman" w:hAnsi="Times New Roman"/>
          <w:b/>
          <w:sz w:val="32"/>
          <w:szCs w:val="32"/>
          <w:lang w:val="en-GB"/>
        </w:rPr>
        <w:t>Student N</w:t>
      </w:r>
      <w:r>
        <w:rPr>
          <w:rFonts w:cs="Times New Roman" w:hAnsi="Times New Roman"/>
          <w:b/>
          <w:sz w:val="32"/>
          <w:szCs w:val="32"/>
          <w:lang w:val="en-US"/>
        </w:rPr>
        <w:t>o :</w:t>
      </w:r>
      <w:r>
        <w:rPr>
          <w:rFonts w:ascii="Times New Roman" w:cs="Times New Roman" w:hAnsi="Times New Roman"/>
          <w:b/>
          <w:sz w:val="32"/>
          <w:szCs w:val="32"/>
          <w:lang w:val="en-GB"/>
        </w:rPr>
        <w:t xml:space="preserve"> 2211283</w:t>
      </w:r>
    </w:p>
    <w:p>
      <w:pPr>
        <w:pStyle w:val="style0"/>
        <w:spacing w:before="120" w:after="120" w:lineRule="auto" w:line="360"/>
        <w:jc w:val="center"/>
        <w:rPr>
          <w:rFonts w:ascii="Times New Roman" w:cs="Times New Roman" w:hAnsi="Times New Roman"/>
          <w:b/>
          <w:sz w:val="32"/>
          <w:szCs w:val="32"/>
          <w:lang w:val="en-GB"/>
        </w:rPr>
      </w:pPr>
      <w:r>
        <w:rPr>
          <w:rFonts w:ascii="Times New Roman" w:cs="Times New Roman" w:hAnsi="Times New Roman"/>
          <w:b/>
          <w:sz w:val="32"/>
          <w:szCs w:val="32"/>
          <w:lang w:val="en-GB"/>
        </w:rPr>
        <w:t>Lecturer's N</w:t>
      </w:r>
      <w:r>
        <w:rPr>
          <w:rFonts w:ascii="Times New Roman" w:cs="Times New Roman" w:hAnsi="Times New Roman"/>
          <w:b/>
          <w:sz w:val="32"/>
          <w:szCs w:val="32"/>
          <w:lang w:val="en-GB"/>
        </w:rPr>
        <w:t>ame</w:t>
      </w:r>
      <w:r>
        <w:rPr>
          <w:rFonts w:cs="Times New Roman" w:hAnsi="Times New Roman"/>
          <w:b/>
          <w:sz w:val="32"/>
          <w:szCs w:val="32"/>
          <w:lang w:val="en-US"/>
        </w:rPr>
        <w:t xml:space="preserve"> :</w:t>
      </w:r>
      <w:r>
        <w:rPr>
          <w:rFonts w:ascii="Times New Roman" w:cs="Times New Roman" w:hAnsi="Times New Roman"/>
          <w:b/>
          <w:sz w:val="32"/>
          <w:szCs w:val="32"/>
          <w:lang w:val="en-GB"/>
        </w:rPr>
        <w:t xml:space="preserve"> Pro</w:t>
      </w:r>
      <w:r>
        <w:rPr>
          <w:rFonts w:cs="Times New Roman" w:hAnsi="Times New Roman"/>
          <w:b/>
          <w:sz w:val="32"/>
          <w:szCs w:val="32"/>
          <w:lang w:val="en-US"/>
        </w:rPr>
        <w:t>.</w:t>
      </w:r>
      <w:r>
        <w:rPr>
          <w:rFonts w:ascii="Times New Roman" w:cs="Times New Roman" w:hAnsi="Times New Roman"/>
          <w:b/>
          <w:sz w:val="32"/>
          <w:szCs w:val="32"/>
          <w:lang w:val="en-GB"/>
        </w:rPr>
        <w:t xml:space="preserve"> Dennis Pepple</w:t>
      </w:r>
    </w:p>
    <w:p>
      <w:pPr>
        <w:pStyle w:val="style0"/>
        <w:spacing w:lineRule="auto" w:line="360"/>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br w:type="page"/>
      </w:r>
    </w:p>
    <w:p>
      <w:pPr>
        <w:pStyle w:val="style4097"/>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Executive summary</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difference between HR in the public and private sectors is highlighted in the report by identifying and analysing the role of the HRM. The relationship between the private and public sectors has also been established in the report. The life cycle model and its stages have been analysed in the public sector by HR </w:t>
      </w:r>
      <w:r>
        <w:rPr>
          <w:rFonts w:ascii="Times New Roman" w:cs="Times New Roman" w:eastAsia="Times New Roman" w:hAnsi="Times New Roman"/>
          <w:sz w:val="24"/>
          <w:szCs w:val="24"/>
          <w:lang w:val="en-GB"/>
        </w:rPr>
        <w:t>strategies</w:t>
      </w:r>
      <w:r>
        <w:rPr>
          <w:rFonts w:ascii="Times New Roman" w:cs="Times New Roman" w:eastAsia="Times New Roman" w:hAnsi="Times New Roman"/>
          <w:sz w:val="24"/>
          <w:szCs w:val="24"/>
          <w:lang w:val="en-GB"/>
        </w:rPr>
        <w:t xml:space="preserve"> and practices. </w:t>
      </w:r>
      <w:r>
        <w:rPr>
          <w:rFonts w:ascii="Times New Roman" w:cs="Times New Roman" w:eastAsia="Times New Roman" w:hAnsi="Times New Roman"/>
          <w:sz w:val="24"/>
          <w:szCs w:val="24"/>
          <w:lang w:val="en-GB"/>
        </w:rPr>
        <w:t xml:space="preserve">The aspects of improved HRM practices have been identified in the study. The organisational climate and HR practices are also imitated in the study. </w:t>
      </w:r>
    </w:p>
    <w:p>
      <w:pPr>
        <w:pStyle w:val="style0"/>
        <w:spacing w:lineRule="auto" w:line="360"/>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br w:type="page"/>
      </w:r>
    </w:p>
    <w:p>
      <w:pPr>
        <w:pStyle w:val="style266"/>
        <w:jc w:val="center"/>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Table of Contents</w:t>
      </w:r>
    </w:p>
    <w:p>
      <w:pPr>
        <w:pStyle w:val="style19"/>
        <w:tabs>
          <w:tab w:val="right" w:leader="dot" w:pos="9019"/>
        </w:tabs>
        <w:spacing w:lineRule="auto" w:line="360"/>
        <w:rPr>
          <w:rFonts w:ascii="Times New Roman" w:cs="Times New Roman" w:eastAsia="宋体" w:hAnsi="Times New Roman"/>
          <w:noProof/>
          <w:sz w:val="24"/>
          <w:szCs w:val="24"/>
        </w:rPr>
      </w:pPr>
      <w:r>
        <w:rPr>
          <w:rFonts w:ascii="Times New Roman" w:cs="Times New Roman" w:hAnsi="Times New Roman"/>
          <w:sz w:val="24"/>
          <w:szCs w:val="24"/>
          <w:lang w:val="en-GB"/>
        </w:rPr>
        <w:fldChar w:fldCharType="begin"/>
      </w:r>
      <w:r>
        <w:rPr>
          <w:rFonts w:ascii="Times New Roman" w:cs="Times New Roman" w:hAnsi="Times New Roman"/>
          <w:sz w:val="24"/>
          <w:szCs w:val="24"/>
          <w:lang w:val="en-GB"/>
        </w:rPr>
        <w:instrText xml:space="preserve"> TOC \o "1-3" \h \z \u </w:instrText>
      </w:r>
      <w:r>
        <w:rPr>
          <w:rFonts w:ascii="Times New Roman" w:cs="Times New Roman" w:hAnsi="Times New Roman"/>
          <w:sz w:val="24"/>
          <w:szCs w:val="24"/>
          <w:lang w:val="en-GB"/>
        </w:rPr>
        <w:fldChar w:fldCharType="separate"/>
      </w:r>
      <w:r>
        <w:rPr/>
        <w:fldChar w:fldCharType="begin"/>
      </w:r>
      <w:r>
        <w:instrText xml:space="preserve"> HYPERLINK \l "_Toc137489984" </w:instrText>
      </w:r>
      <w:r>
        <w:rPr/>
        <w:fldChar w:fldCharType="separate"/>
      </w:r>
      <w:r>
        <w:rPr>
          <w:rStyle w:val="style85"/>
          <w:rFonts w:ascii="Times New Roman" w:cs="Times New Roman" w:hAnsi="Times New Roman"/>
          <w:noProof/>
          <w:sz w:val="24"/>
          <w:szCs w:val="24"/>
          <w:lang w:val="en-GB"/>
        </w:rPr>
        <w:t>Introduction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_Toc137489984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360"/>
        <w:rPr>
          <w:rFonts w:ascii="Times New Roman" w:cs="Times New Roman" w:eastAsia="宋体" w:hAnsi="Times New Roman"/>
          <w:noProof/>
          <w:sz w:val="24"/>
          <w:szCs w:val="24"/>
        </w:rPr>
      </w:pPr>
      <w:r>
        <w:rPr/>
        <w:fldChar w:fldCharType="begin"/>
      </w:r>
      <w:r>
        <w:instrText xml:space="preserve"> HYPERLINK \l "_Toc137489985" </w:instrText>
      </w:r>
      <w:r>
        <w:rPr/>
        <w:fldChar w:fldCharType="separate"/>
      </w:r>
      <w:r>
        <w:rPr>
          <w:rStyle w:val="style85"/>
          <w:rFonts w:ascii="Times New Roman" w:cs="Times New Roman" w:hAnsi="Times New Roman"/>
          <w:noProof/>
          <w:sz w:val="24"/>
          <w:szCs w:val="24"/>
          <w:lang w:val="en-GB"/>
        </w:rPr>
        <w:t>Difference between HR in the private sector and HR in the public sector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_Toc137489985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360"/>
        <w:rPr>
          <w:rFonts w:ascii="Times New Roman" w:cs="Times New Roman" w:eastAsia="宋体" w:hAnsi="Times New Roman"/>
          <w:noProof/>
          <w:sz w:val="24"/>
          <w:szCs w:val="24"/>
        </w:rPr>
      </w:pPr>
      <w:r>
        <w:rPr/>
        <w:fldChar w:fldCharType="begin"/>
      </w:r>
      <w:r>
        <w:instrText xml:space="preserve"> HYPERLINK \l "_Toc137489986" </w:instrText>
      </w:r>
      <w:r>
        <w:rPr/>
        <w:fldChar w:fldCharType="separate"/>
      </w:r>
      <w:r>
        <w:rPr>
          <w:rStyle w:val="style85"/>
          <w:rFonts w:ascii="Times New Roman" w:cs="Times New Roman" w:hAnsi="Times New Roman"/>
          <w:noProof/>
          <w:sz w:val="24"/>
          <w:szCs w:val="24"/>
          <w:lang w:val="en-GB"/>
        </w:rPr>
        <w:t>Main differences between the HR of private and public sector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_Toc137489986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360"/>
        <w:rPr>
          <w:rFonts w:ascii="Times New Roman" w:cs="Times New Roman" w:eastAsia="宋体" w:hAnsi="Times New Roman"/>
          <w:noProof/>
          <w:sz w:val="24"/>
          <w:szCs w:val="24"/>
        </w:rPr>
      </w:pPr>
      <w:r>
        <w:rPr/>
        <w:fldChar w:fldCharType="begin"/>
      </w:r>
      <w:r>
        <w:instrText xml:space="preserve"> HYPERLINK \l "_Toc137489987" </w:instrText>
      </w:r>
      <w:r>
        <w:rPr/>
        <w:fldChar w:fldCharType="separate"/>
      </w:r>
      <w:r>
        <w:rPr>
          <w:rStyle w:val="style85"/>
          <w:rFonts w:ascii="Times New Roman" w:cs="Times New Roman" w:hAnsi="Times New Roman"/>
          <w:noProof/>
          <w:sz w:val="24"/>
          <w:szCs w:val="24"/>
          <w:lang w:val="en-GB"/>
        </w:rPr>
        <w:t>Improvement for the HR of the public sector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_Toc137489987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360"/>
        <w:rPr>
          <w:rFonts w:ascii="Times New Roman" w:cs="Times New Roman" w:eastAsia="宋体" w:hAnsi="Times New Roman"/>
          <w:noProof/>
          <w:sz w:val="24"/>
          <w:szCs w:val="24"/>
        </w:rPr>
      </w:pPr>
      <w:r>
        <w:rPr/>
        <w:fldChar w:fldCharType="begin"/>
      </w:r>
      <w:r>
        <w:instrText xml:space="preserve"> HYPERLINK \l "_Toc137489988" </w:instrText>
      </w:r>
      <w:r>
        <w:rPr/>
        <w:fldChar w:fldCharType="separate"/>
      </w:r>
      <w:r>
        <w:rPr>
          <w:rStyle w:val="style85"/>
          <w:rFonts w:ascii="Times New Roman" w:cs="Times New Roman" w:hAnsi="Times New Roman"/>
          <w:noProof/>
          <w:sz w:val="24"/>
          <w:szCs w:val="24"/>
          <w:lang w:val="en-GB"/>
        </w:rPr>
        <w:t>The effectiveness of HR strategy by the sectors by using Life cycle model</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_Toc137489988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360"/>
        <w:rPr>
          <w:rFonts w:ascii="Times New Roman" w:cs="Times New Roman" w:eastAsia="宋体" w:hAnsi="Times New Roman"/>
          <w:noProof/>
          <w:sz w:val="24"/>
          <w:szCs w:val="24"/>
        </w:rPr>
      </w:pPr>
      <w:r>
        <w:rPr/>
        <w:fldChar w:fldCharType="begin"/>
      </w:r>
      <w:r>
        <w:instrText xml:space="preserve"> HYPERLINK \l "_Toc137489989" </w:instrText>
      </w:r>
      <w:r>
        <w:rPr/>
        <w:fldChar w:fldCharType="separate"/>
      </w:r>
      <w:r>
        <w:rPr>
          <w:rStyle w:val="style85"/>
          <w:rFonts w:ascii="Times New Roman" w:cs="Times New Roman" w:hAnsi="Times New Roman"/>
          <w:noProof/>
          <w:sz w:val="24"/>
          <w:szCs w:val="24"/>
        </w:rPr>
        <w:t>Development of the employees by HR for achieving strategic goals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_Toc137489989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360"/>
        <w:rPr>
          <w:rFonts w:ascii="Times New Roman" w:cs="Times New Roman" w:eastAsia="宋体" w:hAnsi="Times New Roman"/>
          <w:noProof/>
          <w:sz w:val="24"/>
          <w:szCs w:val="24"/>
        </w:rPr>
      </w:pPr>
      <w:r>
        <w:rPr/>
        <w:fldChar w:fldCharType="begin"/>
      </w:r>
      <w:r>
        <w:instrText xml:space="preserve"> HYPERLINK \l "_Toc137489990" </w:instrText>
      </w:r>
      <w:r>
        <w:rPr/>
        <w:fldChar w:fldCharType="separate"/>
      </w:r>
      <w:r>
        <w:rPr>
          <w:rStyle w:val="style85"/>
          <w:rFonts w:ascii="Times New Roman" w:cs="Times New Roman" w:hAnsi="Times New Roman"/>
          <w:noProof/>
          <w:sz w:val="24"/>
          <w:szCs w:val="24"/>
        </w:rPr>
        <w:t>Developing policies which are conducive to the growth of employees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_Toc137489990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360"/>
        <w:rPr>
          <w:rFonts w:ascii="Times New Roman" w:cs="Times New Roman" w:eastAsia="宋体" w:hAnsi="Times New Roman"/>
          <w:noProof/>
          <w:sz w:val="24"/>
          <w:szCs w:val="24"/>
        </w:rPr>
      </w:pPr>
      <w:r>
        <w:rPr/>
        <w:fldChar w:fldCharType="begin"/>
      </w:r>
      <w:r>
        <w:instrText xml:space="preserve"> HYPERLINK \l "_Toc137489991" </w:instrText>
      </w:r>
      <w:r>
        <w:rPr/>
        <w:fldChar w:fldCharType="separate"/>
      </w:r>
      <w:r>
        <w:rPr>
          <w:rStyle w:val="style85"/>
          <w:rFonts w:ascii="Times New Roman" w:cs="Times New Roman" w:hAnsi="Times New Roman"/>
          <w:noProof/>
          <w:sz w:val="24"/>
          <w:szCs w:val="24"/>
        </w:rPr>
        <w:t>Improving the satisfaction of the employees through rewards and recognition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_Toc137489991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360"/>
        <w:rPr>
          <w:rFonts w:ascii="Times New Roman" w:cs="Times New Roman" w:eastAsia="宋体" w:hAnsi="Times New Roman"/>
          <w:noProof/>
          <w:sz w:val="24"/>
          <w:szCs w:val="24"/>
        </w:rPr>
      </w:pPr>
      <w:r>
        <w:rPr/>
        <w:fldChar w:fldCharType="begin"/>
      </w:r>
      <w:r>
        <w:instrText xml:space="preserve"> HYPERLINK \l "_Toc137489992" </w:instrText>
      </w:r>
      <w:r>
        <w:rPr/>
        <w:fldChar w:fldCharType="separate"/>
      </w:r>
      <w:r>
        <w:rPr>
          <w:rStyle w:val="style85"/>
          <w:rFonts w:ascii="Times New Roman" w:cs="Times New Roman" w:hAnsi="Times New Roman"/>
          <w:noProof/>
          <w:sz w:val="24"/>
          <w:szCs w:val="24"/>
        </w:rPr>
        <w:t>Identifying employee's training needs with vital skills and knowledge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_Toc137489992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360"/>
        <w:rPr>
          <w:rFonts w:ascii="Times New Roman" w:cs="Times New Roman" w:eastAsia="宋体" w:hAnsi="Times New Roman"/>
          <w:noProof/>
          <w:sz w:val="24"/>
          <w:szCs w:val="24"/>
        </w:rPr>
      </w:pPr>
      <w:r>
        <w:rPr/>
        <w:fldChar w:fldCharType="begin"/>
      </w:r>
      <w:r>
        <w:instrText xml:space="preserve"> HYPERLINK \l "_Toc137489993" </w:instrText>
      </w:r>
      <w:r>
        <w:rPr/>
        <w:fldChar w:fldCharType="separate"/>
      </w:r>
      <w:r>
        <w:rPr>
          <w:rStyle w:val="style85"/>
          <w:rFonts w:ascii="Times New Roman" w:cs="Times New Roman" w:hAnsi="Times New Roman"/>
          <w:noProof/>
          <w:sz w:val="24"/>
          <w:szCs w:val="24"/>
        </w:rPr>
        <w:t>Recognising productive collaboration and contribution of each employee within the organisation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_Toc137489993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360"/>
        <w:rPr>
          <w:rFonts w:ascii="Times New Roman" w:cs="Times New Roman" w:eastAsia="宋体" w:hAnsi="Times New Roman"/>
          <w:noProof/>
          <w:sz w:val="24"/>
          <w:szCs w:val="24"/>
        </w:rPr>
      </w:pPr>
      <w:r>
        <w:rPr/>
        <w:fldChar w:fldCharType="begin"/>
      </w:r>
      <w:r>
        <w:instrText xml:space="preserve"> HYPERLINK \l "_Toc137489994" </w:instrText>
      </w:r>
      <w:r>
        <w:rPr/>
        <w:fldChar w:fldCharType="separate"/>
      </w:r>
      <w:r>
        <w:rPr>
          <w:rStyle w:val="style85"/>
          <w:rFonts w:ascii="Times New Roman" w:cs="Times New Roman" w:hAnsi="Times New Roman"/>
          <w:noProof/>
          <w:sz w:val="24"/>
          <w:szCs w:val="24"/>
        </w:rPr>
        <w:t>Effectiveness of HR Strategy by the Effect of organisational climate factors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_Toc137489994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360"/>
        <w:rPr>
          <w:rFonts w:ascii="Times New Roman" w:cs="Times New Roman" w:eastAsia="宋体" w:hAnsi="Times New Roman"/>
          <w:noProof/>
          <w:sz w:val="24"/>
          <w:szCs w:val="24"/>
        </w:rPr>
      </w:pPr>
      <w:r>
        <w:rPr/>
        <w:fldChar w:fldCharType="begin"/>
      </w:r>
      <w:r>
        <w:instrText xml:space="preserve"> HYPERLINK \l "_Toc137489995" </w:instrText>
      </w:r>
      <w:r>
        <w:rPr/>
        <w:fldChar w:fldCharType="separate"/>
      </w:r>
      <w:r>
        <w:rPr>
          <w:rStyle w:val="style85"/>
          <w:rFonts w:ascii="Times New Roman" w:cs="Times New Roman" w:hAnsi="Times New Roman"/>
          <w:noProof/>
          <w:sz w:val="24"/>
          <w:szCs w:val="24"/>
        </w:rPr>
        <w:t>Stable and positive working environment are adhered through effective organisational climate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_Toc137489995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360"/>
        <w:rPr>
          <w:rFonts w:ascii="Times New Roman" w:cs="Times New Roman" w:eastAsia="宋体" w:hAnsi="Times New Roman"/>
          <w:noProof/>
          <w:sz w:val="24"/>
          <w:szCs w:val="24"/>
        </w:rPr>
      </w:pPr>
      <w:r>
        <w:rPr/>
        <w:fldChar w:fldCharType="begin"/>
      </w:r>
      <w:r>
        <w:instrText xml:space="preserve"> HYPERLINK \l "_Toc137489996" </w:instrText>
      </w:r>
      <w:r>
        <w:rPr/>
        <w:fldChar w:fldCharType="separate"/>
      </w:r>
      <w:r>
        <w:rPr>
          <w:rStyle w:val="style85"/>
          <w:rFonts w:ascii="Times New Roman" w:cs="Times New Roman" w:hAnsi="Times New Roman"/>
          <w:noProof/>
          <w:sz w:val="24"/>
          <w:szCs w:val="24"/>
        </w:rPr>
        <w:t>Coordination between the team’s members increases the organisation performance with retention of the employees within the organisation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_Toc137489996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360"/>
        <w:rPr>
          <w:rFonts w:ascii="Times New Roman" w:cs="Times New Roman" w:eastAsia="宋体" w:hAnsi="Times New Roman"/>
          <w:noProof/>
          <w:sz w:val="24"/>
          <w:szCs w:val="24"/>
        </w:rPr>
      </w:pPr>
      <w:r>
        <w:rPr/>
        <w:fldChar w:fldCharType="begin"/>
      </w:r>
      <w:r>
        <w:instrText xml:space="preserve"> HYPERLINK \l "_Toc137489997" </w:instrText>
      </w:r>
      <w:r>
        <w:rPr/>
        <w:fldChar w:fldCharType="separate"/>
      </w:r>
      <w:r>
        <w:rPr>
          <w:rStyle w:val="style85"/>
          <w:rFonts w:ascii="Times New Roman" w:cs="Times New Roman" w:hAnsi="Times New Roman"/>
          <w:noProof/>
          <w:sz w:val="24"/>
          <w:szCs w:val="24"/>
        </w:rPr>
        <w:t>Timely release of monetary payments has directly intervened in the issues within the organisation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_Toc137489997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360"/>
        <w:rPr>
          <w:rFonts w:ascii="Times New Roman" w:cs="Times New Roman" w:eastAsia="宋体" w:hAnsi="Times New Roman"/>
          <w:noProof/>
          <w:sz w:val="24"/>
          <w:szCs w:val="24"/>
        </w:rPr>
      </w:pPr>
      <w:r>
        <w:rPr/>
        <w:fldChar w:fldCharType="begin"/>
      </w:r>
      <w:r>
        <w:instrText xml:space="preserve"> HYPERLINK \l "_Toc137489998" </w:instrText>
      </w:r>
      <w:r>
        <w:rPr/>
        <w:fldChar w:fldCharType="separate"/>
      </w:r>
      <w:r>
        <w:rPr>
          <w:rStyle w:val="style85"/>
          <w:rFonts w:ascii="Times New Roman" w:cs="Times New Roman" w:hAnsi="Times New Roman"/>
          <w:noProof/>
          <w:sz w:val="24"/>
          <w:szCs w:val="24"/>
        </w:rPr>
        <w:t>Conclusion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_Toc137489998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360"/>
        <w:rPr>
          <w:rFonts w:ascii="Times New Roman" w:cs="Times New Roman" w:eastAsia="宋体" w:hAnsi="Times New Roman"/>
          <w:noProof/>
          <w:sz w:val="24"/>
          <w:szCs w:val="24"/>
        </w:rPr>
      </w:pPr>
      <w:r>
        <w:rPr/>
        <w:fldChar w:fldCharType="begin"/>
      </w:r>
      <w:r>
        <w:instrText xml:space="preserve"> HYPERLINK \l "_Toc137489999" </w:instrText>
      </w:r>
      <w:r>
        <w:rPr/>
        <w:fldChar w:fldCharType="separate"/>
      </w:r>
      <w:r>
        <w:rPr>
          <w:rStyle w:val="style85"/>
          <w:rFonts w:ascii="Times New Roman" w:cs="Times New Roman" w:hAnsi="Times New Roman"/>
          <w:noProof/>
          <w:sz w:val="24"/>
          <w:szCs w:val="24"/>
          <w:lang w:val="en-GB"/>
        </w:rPr>
        <w:t>References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_Toc137489999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0"/>
        <w:spacing w:lineRule="auto" w:line="360"/>
        <w:jc w:val="both"/>
        <w:rPr>
          <w:lang w:val="en-GB"/>
        </w:rPr>
      </w:pPr>
      <w:r>
        <w:rPr>
          <w:rFonts w:ascii="Times New Roman" w:cs="Times New Roman" w:hAnsi="Times New Roman"/>
          <w:sz w:val="24"/>
          <w:szCs w:val="24"/>
          <w:lang w:val="en-GB"/>
        </w:rPr>
        <w:fldChar w:fldCharType="end"/>
      </w:r>
    </w:p>
    <w:p>
      <w:pPr>
        <w:pStyle w:val="style0"/>
        <w:spacing w:lineRule="auto" w:line="360"/>
        <w:rPr>
          <w:rFonts w:ascii="Times New Roman" w:cs="Times New Roman" w:eastAsia="Times New Roman" w:hAnsi="Times New Roman"/>
          <w:sz w:val="24"/>
          <w:szCs w:val="24"/>
          <w:lang w:val="en-GB"/>
        </w:rPr>
      </w:pPr>
    </w:p>
    <w:p>
      <w:pPr>
        <w:pStyle w:val="style0"/>
        <w:spacing w:lineRule="auto" w:line="360"/>
        <w:rPr>
          <w:rFonts w:ascii="Times New Roman" w:hAnsi="Times New Roman"/>
          <w:b/>
          <w:sz w:val="24"/>
          <w:szCs w:val="24"/>
          <w:lang w:val="en-GB"/>
        </w:rPr>
      </w:pPr>
      <w:r>
        <w:rPr>
          <w:szCs w:val="24"/>
          <w:lang w:val="en-GB"/>
        </w:rPr>
        <w:br w:type="page"/>
      </w:r>
    </w:p>
    <w:bookmarkStart w:id="0" w:name="_Toc137489984"/>
    <w:p>
      <w:pPr>
        <w:pStyle w:val="style1"/>
        <w:rPr>
          <w:lang w:val="en-GB"/>
        </w:rPr>
      </w:pPr>
      <w:r>
        <w:rPr>
          <w:lang w:val="en-GB"/>
        </w:rPr>
        <w:t>Introduction</w:t>
      </w:r>
      <w:bookmarkEnd w:id="0"/>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capability and potential skills of HR are increased by organisational development. In this context, employers try to engage HR managers by helping them with their positions. The current report is based on the difference in the role of HR between the public and private sectors. The report also discussed the effectiveness of HR strategy. The “Life cycle model” and “competitive advantage model” helped in achieving the goals of the organisation through the development of the employees. The organisational climate factors like the advantage and facilities provided to the HR and the management decisions can create a major impact on the strategies of HR. </w:t>
      </w:r>
    </w:p>
    <w:bookmarkStart w:id="1" w:name="_Toc137489985"/>
    <w:p>
      <w:pPr>
        <w:pStyle w:val="style1"/>
        <w:rPr>
          <w:lang w:val="en-GB"/>
        </w:rPr>
      </w:pPr>
      <w:r>
        <w:rPr>
          <w:lang w:val="en-GB"/>
        </w:rPr>
        <w:t>Difference between HR in the private secto</w:t>
      </w:r>
      <w:r>
        <w:rPr>
          <w:lang w:val="en-GB"/>
        </w:rPr>
        <w:t>r and HR in the public sector</w:t>
      </w:r>
      <w:bookmarkEnd w:id="1"/>
      <w:r>
        <w:rPr>
          <w:lang w:val="en-GB"/>
        </w:rPr>
        <w:t xml:space="preserve"> </w:t>
      </w:r>
    </w:p>
    <w:bookmarkStart w:id="2" w:name="_Toc137489986"/>
    <w:p>
      <w:pPr>
        <w:pStyle w:val="style2"/>
        <w:spacing w:lineRule="auto" w:line="360"/>
        <w:rPr>
          <w:lang w:val="en-GB"/>
        </w:rPr>
      </w:pPr>
      <w:r>
        <w:rPr>
          <w:lang w:val="en-GB"/>
        </w:rPr>
        <w:t>Main differences between the HR of private and public sector</w:t>
      </w:r>
      <w:bookmarkEnd w:id="2"/>
      <w:r>
        <w:rPr>
          <w:lang w:val="en-GB"/>
        </w:rPr>
        <w:t xml:space="preserv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HR managers are facing major difficulties to fulfil the demand and requirements of their employees in both the private and public sectors. The main difference between public and private HR is that, in the private sector, the employees get more motivation from the HR managers, whereas in the public sector, the HR managers do not give their full effort to motivate or reinforce their employees. Blom (2020), has directed that employees get more opportunities in the private sector than in the public workplace. In the private sector, the HRM department or the HR managers become more conscious to encourage their employees. The East Coast Country (ECC), always supports their public sector employees through the development of the organisation and also by the improvement of efficiency of the HR department. The HR leaders of Amazon are also engaged to satisfy and fulfil the requirement of the employees. The HR managers also try to maintain the relationship with the employees. </w:t>
      </w:r>
    </w:p>
    <w:p>
      <w:pPr>
        <w:pStyle w:val="style4097"/>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noProof/>
          <w:sz w:val="24"/>
          <w:szCs w:val="24"/>
          <w:lang w:val="en-IN" w:eastAsia="en-IN"/>
        </w:rPr>
        <w:drawing>
          <wp:inline distL="0" distT="0" distB="0" distR="0">
            <wp:extent cx="3981449" cy="2867025"/>
            <wp:effectExtent l="38100" t="57150" r="114300" b="104775"/>
            <wp:docPr id="1027"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3" cstate="print"/>
                    <a:srcRect l="0" t="0" r="0" b="0"/>
                    <a:stretch/>
                  </pic:blipFill>
                  <pic:spPr>
                    <a:xfrm rot="0">
                      <a:off x="0" y="0"/>
                      <a:ext cx="3981449" cy="2867025"/>
                    </a:xfrm>
                    <a:prstGeom prst="rect"/>
                    <a:ln cmpd="sng" cap="sq" w="38100">
                      <a:solidFill>
                        <a:srgbClr val="000000"/>
                      </a:solidFill>
                      <a:prstDash val="solid"/>
                      <a:miter/>
                      <a:headEnd/>
                      <a:tailEnd/>
                    </a:ln>
                    <a:effectLst>
                      <a:outerShdw rotWithShape="false" sx="100000" sy="100000" dist="38100" dir="2700000" blurRad="50800" kx="0" ky="0" algn="tl">
                        <a:srgbClr val="000000">
                          <a:alpha val="43000"/>
                        </a:srgbClr>
                      </a:outerShdw>
                    </a:effectLst>
                  </pic:spPr>
                </pic:pic>
              </a:graphicData>
            </a:graphic>
          </wp:inline>
        </w:drawing>
      </w:r>
    </w:p>
    <w:p>
      <w:pPr>
        <w:pStyle w:val="style4097"/>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 xml:space="preserve">Figure 1: HR practices and strategies </w:t>
      </w:r>
    </w:p>
    <w:p>
      <w:pPr>
        <w:pStyle w:val="style4097"/>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(Source: created by Author)</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In the public sector, it is noticed that they are dependent on the private sector and also on their employees. The HRM practices are highly helpful and beneficial to maintain “performance-based compensation”, which creates a positive impact on upgrading the function and activities of the employees. Kravariti and Johnston (2020), have stated that HRM practices need to be designed for stimulating the ability, opportunity and motivation of the employees. The public sector organisations are influenced by the private sector, as the “private sector employment” is more stable and secure than the public sector. In organisations, it is necessary to distinguish between the characteristics of “public and private sector HR managers. Boselie </w:t>
      </w:r>
      <w:r>
        <w:rPr>
          <w:rFonts w:ascii="Times New Roman" w:cs="Times New Roman" w:eastAsia="Times New Roman" w:hAnsi="Times New Roman"/>
          <w:i/>
          <w:sz w:val="24"/>
          <w:szCs w:val="24"/>
          <w:lang w:val="en-GB"/>
        </w:rPr>
        <w:t>et al.</w:t>
      </w:r>
      <w:r>
        <w:rPr>
          <w:rFonts w:ascii="Times New Roman" w:cs="Times New Roman" w:eastAsia="Times New Roman" w:hAnsi="Times New Roman"/>
          <w:sz w:val="24"/>
          <w:szCs w:val="24"/>
          <w:lang w:val="en-GB"/>
        </w:rPr>
        <w:t xml:space="preserve"> (20210, have proposed that HR managers in the private sector have maintained a trend for improving the performance of the employees. The employees also can get satisfaction by getting proper training from their HR managers. </w:t>
      </w:r>
    </w:p>
    <w:p>
      <w:pPr>
        <w:pStyle w:val="style94"/>
        <w:spacing w:before="240" w:beforeAutospacing="false" w:after="0" w:afterAutospacing="false" w:lineRule="auto" w:line="360"/>
        <w:jc w:val="both"/>
        <w:rPr>
          <w:lang w:val="en-GB"/>
        </w:rPr>
      </w:pPr>
      <w:r>
        <w:rPr>
          <w:color w:val="000000"/>
          <w:lang w:val="en-GB"/>
        </w:rPr>
        <w:t xml:space="preserve">Human resource management within the private sector is associated with the charge of the employees to describe the entire workforce within the organisations. As opined by </w:t>
      </w:r>
      <w:r>
        <w:rPr>
          <w:color w:val="222222"/>
          <w:shd w:val="clear" w:color="auto" w:fill="ffffff"/>
          <w:lang w:val="en-GB"/>
        </w:rPr>
        <w:t>Gelle-Jimenez and Aguiling (2021</w:t>
      </w:r>
      <w:r>
        <w:rPr>
          <w:color w:val="000000"/>
          <w:lang w:val="en-GB"/>
        </w:rPr>
        <w:t>), the human resource strategy sets the direction towards the key areas of HR from performance appraisal to compensation packages for the employees. The HR in the private sector determines the personnel leadership position and segregates the tasks to be overseen by the managers. As per the case study, the public sector is facing shortages of candidates associated with business partnering skills which needs to be addressed strategically. </w:t>
      </w:r>
    </w:p>
    <w:p>
      <w:pPr>
        <w:pStyle w:val="style94"/>
        <w:spacing w:before="240" w:beforeAutospacing="false" w:after="0" w:afterAutospacing="false" w:lineRule="auto" w:line="360"/>
        <w:jc w:val="both"/>
        <w:rPr>
          <w:lang w:val="en-GB"/>
        </w:rPr>
      </w:pPr>
      <w:r>
        <w:rPr>
          <w:color w:val="000000"/>
          <w:lang w:val="en-GB"/>
        </w:rPr>
        <w:t xml:space="preserve">The HR department within the private sector is associated with increasing the stability and staff loyalty rate within the organisations. The private sector has initiated the role of increasing communication with training programs with regular feedback to the employees as well. As per the view of </w:t>
      </w:r>
      <w:r>
        <w:rPr>
          <w:color w:val="222222"/>
          <w:shd w:val="clear" w:color="auto" w:fill="ffffff"/>
          <w:lang w:val="en-GB"/>
        </w:rPr>
        <w:t xml:space="preserve">Oliveira </w:t>
      </w:r>
      <w:r>
        <w:rPr>
          <w:i/>
          <w:iCs/>
          <w:color w:val="222222"/>
          <w:shd w:val="clear" w:color="auto" w:fill="ffffff"/>
          <w:lang w:val="en-GB"/>
        </w:rPr>
        <w:t>et al.</w:t>
      </w:r>
      <w:r>
        <w:rPr>
          <w:color w:val="222222"/>
          <w:shd w:val="clear" w:color="auto" w:fill="ffffff"/>
          <w:lang w:val="en-GB"/>
        </w:rPr>
        <w:t xml:space="preserve"> (2021</w:t>
      </w:r>
      <w:r>
        <w:rPr>
          <w:color w:val="000000"/>
          <w:lang w:val="en-GB"/>
        </w:rPr>
        <w:t>), initiating the process of equal opportunity and welfare management to the employees on which the private sector focuses. Appraisal performance and enhancing the compensation and benefits on which the sectors have availed to increase the performance of the employees within the organisation</w:t>
      </w:r>
      <w:r>
        <w:rPr>
          <w:color w:val="000000"/>
          <w:lang w:val="en-GB"/>
        </w:rPr>
        <w:t xml:space="preserve"> are essential</w:t>
      </w:r>
      <w:r>
        <w:rPr>
          <w:color w:val="000000"/>
          <w:lang w:val="en-GB"/>
        </w:rPr>
        <w:t xml:space="preserve">. </w:t>
      </w:r>
      <w:r>
        <w:rPr>
          <w:color w:val="000000"/>
        </w:rPr>
        <w:t>For instance, 85 % of the workforce in Unilever recommends working their within the organisation with effective HR policies (</w:t>
      </w:r>
      <w:r>
        <w:rPr>
          <w:color w:val="222222"/>
          <w:shd w:val="clear" w:color="auto" w:fill="ffffff"/>
        </w:rPr>
        <w:t>Salesforce.com, 2023</w:t>
      </w:r>
      <w:r>
        <w:rPr>
          <w:color w:val="000000"/>
        </w:rPr>
        <w:t xml:space="preserve">). </w:t>
      </w:r>
      <w:r>
        <w:rPr>
          <w:color w:val="000000"/>
          <w:lang w:val="en-GB"/>
        </w:rPr>
        <w:t>Overseeing the teams of the smaller groups and focusing on profit maximisation and customer satisfaction on which the private sectors have focused. </w:t>
      </w:r>
    </w:p>
    <w:bookmarkStart w:id="3" w:name="_Toc137489987"/>
    <w:p>
      <w:pPr>
        <w:pStyle w:val="style2"/>
        <w:spacing w:before="240" w:lineRule="auto" w:line="360"/>
        <w:rPr>
          <w:lang w:val="en-GB"/>
        </w:rPr>
      </w:pPr>
      <w:r>
        <w:rPr>
          <w:lang w:val="en-GB"/>
        </w:rPr>
        <w:t>Improvement for the HR of the public sector</w:t>
      </w:r>
      <w:bookmarkEnd w:id="3"/>
      <w:r>
        <w:rPr>
          <w:lang w:val="en-GB"/>
        </w:rPr>
        <w:t xml:space="preserv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In private sector organisations, a for-profit motive can be used for increasing the skill and growth of the employees. On the other hand, the public sector can increase the outcomes by the retention of employees and also by increasing their growth and turnover rate. In the public and private sectors, workplace conflict can be noticed, which needs to be removed and identified for improving the performance of the employees. The HR managers in both sectors also need to take proper </w:t>
      </w:r>
      <w:r>
        <w:rPr>
          <w:rFonts w:ascii="Times New Roman" w:cs="Times New Roman" w:eastAsia="Times New Roman" w:hAnsi="Times New Roman"/>
          <w:sz w:val="24"/>
          <w:szCs w:val="24"/>
          <w:lang w:val="en-GB"/>
        </w:rPr>
        <w:t>initiative;</w:t>
      </w:r>
      <w:r>
        <w:rPr>
          <w:rFonts w:ascii="Times New Roman" w:cs="Times New Roman" w:eastAsia="Times New Roman" w:hAnsi="Times New Roman"/>
          <w:sz w:val="24"/>
          <w:szCs w:val="24"/>
          <w:lang w:val="en-GB"/>
        </w:rPr>
        <w:t xml:space="preserve"> also they need to make proactive decisions in the workplace. Borst </w:t>
      </w:r>
      <w:r>
        <w:rPr>
          <w:rFonts w:ascii="Times New Roman" w:cs="Times New Roman" w:eastAsia="Times New Roman" w:hAnsi="Times New Roman"/>
          <w:i/>
          <w:sz w:val="24"/>
          <w:szCs w:val="24"/>
          <w:lang w:val="en-GB"/>
        </w:rPr>
        <w:t>et al.</w:t>
      </w:r>
      <w:r>
        <w:rPr>
          <w:rFonts w:ascii="Times New Roman" w:cs="Times New Roman" w:eastAsia="Times New Roman" w:hAnsi="Times New Roman"/>
          <w:sz w:val="24"/>
          <w:szCs w:val="24"/>
          <w:lang w:val="en-GB"/>
        </w:rPr>
        <w:t xml:space="preserve"> (2020</w:t>
      </w:r>
      <w:r>
        <w:rPr>
          <w:rFonts w:ascii="Times New Roman" w:cs="Times New Roman" w:eastAsia="Times New Roman" w:hAnsi="Times New Roman"/>
          <w:sz w:val="24"/>
          <w:szCs w:val="24"/>
          <w:lang w:val="en-GB"/>
        </w:rPr>
        <w:t>)</w:t>
      </w:r>
      <w:r>
        <w:rPr>
          <w:rFonts w:ascii="Times New Roman" w:cs="Times New Roman" w:eastAsia="Times New Roman" w:hAnsi="Times New Roman"/>
          <w:sz w:val="24"/>
          <w:szCs w:val="24"/>
          <w:lang w:val="en-GB"/>
        </w:rPr>
        <w:t xml:space="preserve"> have suggested that private sector employees need to be more active and also they need to improve the satisfaction of the client through the quality of service. The main goal or aim of the HR managers is to maximise the human capital of the organisation. “Talent management, performance and succession planning” is also improved by the HR managers of Amazon. In both the private and public sectors, HR management professionals try to improve the efficiency of the employees by reflecting their personalities on their work and also by reducing the error and risks in the workplace.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HR practices need to be increased for handling and managing all the issues of the employees and also to tackle all the training and issues of the employees. The HR department needs to be more conscious of the automated solution (</w:t>
      </w:r>
      <w:r>
        <w:rPr>
          <w:rFonts w:ascii="Times New Roman" w:cs="Times New Roman" w:eastAsia="Times New Roman" w:hAnsi="Times New Roman"/>
          <w:i/>
          <w:sz w:val="24"/>
          <w:szCs w:val="24"/>
          <w:lang w:val="en-GB"/>
        </w:rPr>
        <w:t xml:space="preserve">Refer to the case study). </w:t>
      </w:r>
      <w:r>
        <w:rPr>
          <w:rFonts w:ascii="Times New Roman" w:cs="Times New Roman" w:eastAsia="Times New Roman" w:hAnsi="Times New Roman"/>
          <w:sz w:val="24"/>
          <w:szCs w:val="24"/>
          <w:lang w:val="en-GB"/>
        </w:rPr>
        <w:t xml:space="preserve">In both the public and private sectors, HR managers need to manage and control all the side </w:t>
      </w:r>
      <w:r>
        <w:rPr>
          <w:rFonts w:ascii="Times New Roman" w:cs="Times New Roman" w:eastAsia="Times New Roman" w:hAnsi="Times New Roman"/>
          <w:sz w:val="24"/>
          <w:szCs w:val="24"/>
          <w:lang w:val="en-GB"/>
        </w:rPr>
        <w:t>effects;</w:t>
      </w:r>
      <w:r>
        <w:rPr>
          <w:rFonts w:ascii="Times New Roman" w:cs="Times New Roman" w:eastAsia="Times New Roman" w:hAnsi="Times New Roman"/>
          <w:sz w:val="24"/>
          <w:szCs w:val="24"/>
          <w:lang w:val="en-GB"/>
        </w:rPr>
        <w:t xml:space="preserve"> also they need to manage all the negative effects of technological change.  </w:t>
      </w:r>
    </w:p>
    <w:bookmarkStart w:id="4" w:name="_Toc137489988"/>
    <w:p>
      <w:pPr>
        <w:pStyle w:val="style1"/>
        <w:rPr>
          <w:lang w:val="en-GB"/>
        </w:rPr>
      </w:pPr>
      <w:r>
        <w:rPr>
          <w:lang w:val="en-GB"/>
        </w:rPr>
        <w:t>The effectiveness of HR strategy by the sectors by usi</w:t>
      </w:r>
      <w:r>
        <w:rPr>
          <w:lang w:val="en-GB"/>
        </w:rPr>
        <w:t>ng Life cycle model</w:t>
      </w:r>
      <w:bookmarkEnd w:id="4"/>
      <w:r>
        <w:rPr>
          <w:lang w:val="en-GB"/>
        </w:rPr>
        <w:t xml:space="preserv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HR managers can help in implementing rapid changes in the economic environment of the workplace. The HRM department mainly follows the characteristics and strategies like “vertical integration, horizontal integration, effectiveness and partnership” for fulfilling the goals of the line managers. Mendoza Beltran </w:t>
      </w:r>
      <w:r>
        <w:rPr>
          <w:rFonts w:ascii="Times New Roman" w:cs="Times New Roman" w:eastAsia="Times New Roman" w:hAnsi="Times New Roman"/>
          <w:i/>
          <w:sz w:val="24"/>
          <w:szCs w:val="24"/>
          <w:lang w:val="en-GB"/>
        </w:rPr>
        <w:t>et al.</w:t>
      </w:r>
      <w:r>
        <w:rPr>
          <w:rFonts w:ascii="Times New Roman" w:cs="Times New Roman" w:eastAsia="Times New Roman" w:hAnsi="Times New Roman"/>
          <w:sz w:val="24"/>
          <w:szCs w:val="24"/>
          <w:lang w:val="en-GB"/>
        </w:rPr>
        <w:t xml:space="preserve">, (2020) stated that, in the public sector, it helps in maintaining the trend of globalisation, and also it helps in maximising the expense and progress of the workplace. HR managers are also essential for the public sector to improve the quality of the work environment. On the other hand, Anwar and Abdullah, (2021) stated that the HRM need to increase their concern on the planning and requirement stage as per the “Life cycle model”. The HR managers also need to get acceptance from the project stakeholders as per stage 2. In defining and developing the project, the HR managers need to maintain continuity with the growth and maturity of the project. </w:t>
      </w:r>
    </w:p>
    <w:p>
      <w:pPr>
        <w:pStyle w:val="style4097"/>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noProof/>
          <w:sz w:val="24"/>
          <w:szCs w:val="24"/>
          <w:lang w:val="en-IN" w:eastAsia="en-IN"/>
        </w:rPr>
        <w:drawing>
          <wp:inline distL="0" distT="0" distB="0" distR="0">
            <wp:extent cx="4036786" cy="4009373"/>
            <wp:effectExtent l="38100" t="57150" r="116114" b="86377"/>
            <wp:docPr id="1028"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4" cstate="print"/>
                    <a:srcRect l="0" t="0" r="0" b="0"/>
                    <a:stretch/>
                  </pic:blipFill>
                  <pic:spPr>
                    <a:xfrm rot="0">
                      <a:off x="0" y="0"/>
                      <a:ext cx="4036786" cy="4009373"/>
                    </a:xfrm>
                    <a:prstGeom prst="rect"/>
                    <a:ln cmpd="sng" cap="sq" w="38100">
                      <a:solidFill>
                        <a:srgbClr val="000000"/>
                      </a:solidFill>
                      <a:prstDash val="solid"/>
                      <a:miter/>
                      <a:headEnd/>
                      <a:tailEnd/>
                    </a:ln>
                    <a:effectLst>
                      <a:outerShdw rotWithShape="false" sx="100000" sy="100000" dist="38100" dir="2700000" blurRad="50800" kx="0" ky="0" algn="tl">
                        <a:srgbClr val="000000">
                          <a:alpha val="43000"/>
                        </a:srgbClr>
                      </a:outerShdw>
                    </a:effectLst>
                  </pic:spPr>
                </pic:pic>
              </a:graphicData>
            </a:graphic>
          </wp:inline>
        </w:drawing>
      </w:r>
    </w:p>
    <w:p>
      <w:pPr>
        <w:pStyle w:val="style4097"/>
        <w:spacing w:lineRule="auto" w:line="360"/>
        <w:jc w:val="center"/>
        <w:rPr>
          <w:rFonts w:ascii="Times New Roman" w:cs="Times New Roman" w:eastAsia="Times New Roman" w:hAnsi="Times New Roman"/>
          <w:b/>
          <w:sz w:val="24"/>
          <w:szCs w:val="24"/>
          <w:lang w:val="en-GB"/>
        </w:rPr>
      </w:pPr>
      <w:r>
        <w:rPr>
          <w:rFonts w:ascii="Times New Roman" w:cs="Times New Roman" w:eastAsia="Times New Roman" w:hAnsi="Times New Roman"/>
          <w:b/>
          <w:sz w:val="24"/>
          <w:szCs w:val="24"/>
          <w:lang w:val="en-GB"/>
        </w:rPr>
        <w:t>Figure 2</w:t>
      </w:r>
      <w:r>
        <w:rPr>
          <w:rFonts w:ascii="Times New Roman" w:cs="Times New Roman" w:eastAsia="Times New Roman" w:hAnsi="Times New Roman"/>
          <w:b/>
          <w:sz w:val="24"/>
          <w:szCs w:val="24"/>
          <w:lang w:val="en-GB"/>
        </w:rPr>
        <w:t xml:space="preserve">: Number of employees of Amazon </w:t>
      </w:r>
    </w:p>
    <w:p>
      <w:pPr>
        <w:pStyle w:val="style4097"/>
        <w:spacing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(Source: </w:t>
      </w:r>
      <w:r>
        <w:rPr>
          <w:rFonts w:ascii="Times New Roman" w:cs="Times New Roman" w:eastAsia="Times New Roman" w:hAnsi="Times New Roman"/>
          <w:sz w:val="24"/>
          <w:szCs w:val="24"/>
          <w:lang w:val="en-GB"/>
        </w:rPr>
        <w:t>Statista</w:t>
      </w:r>
      <w:r>
        <w:rPr>
          <w:rFonts w:ascii="Times New Roman" w:cs="Times New Roman" w:eastAsia="Times New Roman" w:hAnsi="Times New Roman"/>
          <w:sz w:val="24"/>
          <w:szCs w:val="24"/>
          <w:lang w:val="en-GB"/>
        </w:rPr>
        <w:t>, 2023)</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HR strategy is highly effective in the stage of testing, which helps in increasing the integration and acceptance of the project. The deployment and maintenance also can be managed by the enhancement of the object. In the public sector, the stages of maturity, control and cost of labour are also dependent on the HR managers. Organisations need to maintain or improve the sustainability of their employees through HR practices. For instance, the “health, motivation, skills </w:t>
      </w:r>
      <w:r>
        <w:rPr>
          <w:rFonts w:ascii="Times New Roman" w:cs="Times New Roman" w:eastAsia="Times New Roman" w:hAnsi="Times New Roman"/>
          <w:sz w:val="24"/>
          <w:szCs w:val="24"/>
          <w:lang w:val="en-GB"/>
        </w:rPr>
        <w:t>and knowledge” of the employees are considered as the HR activities.</w:t>
      </w:r>
      <w:r>
        <w:rPr>
          <w:rFonts w:ascii="Times New Roman" w:cs="Times New Roman" w:eastAsia="Times New Roman" w:hAnsi="Times New Roman"/>
          <w:sz w:val="24"/>
          <w:szCs w:val="24"/>
          <w:lang w:val="en-GB"/>
        </w:rPr>
        <w:t xml:space="preserve"> The practices and effectiveness of the employees also depend on the HR practices. The current employability of employees in public organisations can be increased by increasing the productivity of the workplace. </w:t>
      </w:r>
    </w:p>
    <w:p>
      <w:pPr>
        <w:pStyle w:val="style4097"/>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HR practices are also related to the satisfaction and employability of the employees. Ybema </w:t>
      </w:r>
      <w:r>
        <w:rPr>
          <w:rFonts w:ascii="Times New Roman" w:cs="Times New Roman" w:eastAsia="Times New Roman" w:hAnsi="Times New Roman"/>
          <w:i/>
          <w:sz w:val="24"/>
          <w:szCs w:val="24"/>
          <w:lang w:val="en-GB"/>
        </w:rPr>
        <w:t>et al.</w:t>
      </w:r>
      <w:r>
        <w:rPr>
          <w:rFonts w:ascii="Times New Roman" w:cs="Times New Roman" w:eastAsia="Times New Roman" w:hAnsi="Times New Roman"/>
          <w:sz w:val="24"/>
          <w:szCs w:val="24"/>
          <w:lang w:val="en-GB"/>
        </w:rPr>
        <w:t xml:space="preserve"> (2020</w:t>
      </w:r>
      <w:r>
        <w:rPr>
          <w:rFonts w:ascii="Times New Roman" w:cs="Times New Roman" w:eastAsia="Times New Roman" w:hAnsi="Times New Roman"/>
          <w:sz w:val="24"/>
          <w:szCs w:val="24"/>
          <w:lang w:val="en-GB"/>
        </w:rPr>
        <w:t>)</w:t>
      </w:r>
      <w:r>
        <w:rPr>
          <w:rFonts w:ascii="Times New Roman" w:cs="Times New Roman" w:eastAsia="Times New Roman" w:hAnsi="Times New Roman"/>
          <w:sz w:val="24"/>
          <w:szCs w:val="24"/>
          <w:lang w:val="en-GB"/>
        </w:rPr>
        <w:t xml:space="preserve"> have stated that HRM practices are required and important for influencing competitive advantage, also fulfilling the commitment of the employees. The employee's skills, knowledge, capacity and efficiency are also managed by the strategies of HRM (Hamadamin and Atan, 2019). The sustainable competitive advantage is also helpful for upgrading and maximising organisational performance. The employees can get huge benefits and opportunities from HRM practices and also with their innovative activities. </w:t>
      </w:r>
    </w:p>
    <w:bookmarkStart w:id="5" w:name="_Toc137489989"/>
    <w:p>
      <w:pPr>
        <w:pStyle w:val="style1"/>
        <w:rPr/>
      </w:pPr>
      <w:r>
        <w:t>Development of the employees by HR for achieving strategic goals</w:t>
      </w:r>
      <w:bookmarkEnd w:id="5"/>
    </w:p>
    <w:bookmarkStart w:id="6" w:name="_Toc137489990"/>
    <w:p>
      <w:pPr>
        <w:pStyle w:val="style2"/>
        <w:spacing w:lineRule="auto" w:line="360"/>
        <w:rPr/>
      </w:pPr>
      <w:r>
        <w:t>Developing policies which are conducive to the growth of employees</w:t>
      </w:r>
      <w:bookmarkEnd w:id="6"/>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The role of HR is associated with creating an environment with a comfortable workplace and work-life balance for the employees with 360-degree performance appraisal to the employees. The rules and procedures for governing the employment relationship by enhancing the rights and behaviour of the employees within the organisations are identified as an essential factor. Initiating the factors of employees' contracts and wages and leave policy ate also an essential factor for improved performance and growth of the employees within the organisation (</w:t>
      </w:r>
      <w:r>
        <w:rPr>
          <w:rFonts w:ascii="Times New Roman" w:cs="Times New Roman" w:eastAsia="Times New Roman" w:hAnsi="Times New Roman"/>
          <w:color w:val="222222"/>
          <w:sz w:val="24"/>
          <w:szCs w:val="24"/>
          <w:shd w:val="clear" w:color="auto" w:fill="ffffff"/>
        </w:rPr>
        <w:t xml:space="preserve">Mappamiring </w:t>
      </w:r>
      <w:r>
        <w:rPr>
          <w:rFonts w:ascii="Times New Roman" w:cs="Times New Roman" w:eastAsia="Times New Roman" w:hAnsi="Times New Roman"/>
          <w:i/>
          <w:iCs/>
          <w:color w:val="222222"/>
          <w:sz w:val="24"/>
          <w:szCs w:val="24"/>
          <w:shd w:val="clear" w:color="auto" w:fill="ffffff"/>
        </w:rPr>
        <w:t>et al.,</w:t>
      </w:r>
      <w:r>
        <w:rPr>
          <w:rFonts w:ascii="Times New Roman" w:cs="Times New Roman" w:eastAsia="Times New Roman" w:hAnsi="Times New Roman"/>
          <w:color w:val="222222"/>
          <w:sz w:val="24"/>
          <w:szCs w:val="24"/>
          <w:shd w:val="clear" w:color="auto" w:fill="ffffff"/>
        </w:rPr>
        <w:t xml:space="preserve"> 2021</w:t>
      </w:r>
      <w:r>
        <w:rPr>
          <w:rFonts w:ascii="Times New Roman" w:cs="Times New Roman" w:eastAsia="Times New Roman" w:hAnsi="Times New Roman"/>
          <w:color w:val="000000"/>
          <w:sz w:val="24"/>
          <w:szCs w:val="24"/>
        </w:rPr>
        <w:t>). For instance, the HR department within Unilever organisations is associated with the aspects of formulating policies against the salary packages and the appraisal with additional benefits to the employees. Additionally, it motivates them to work better within the organisations with protocols and safety policies for the employees. </w:t>
      </w:r>
    </w:p>
    <w:bookmarkStart w:id="7" w:name="_Toc137489991"/>
    <w:p>
      <w:pPr>
        <w:pStyle w:val="style2"/>
        <w:spacing w:lineRule="auto" w:line="360"/>
        <w:rPr/>
      </w:pPr>
      <w:r>
        <w:t>Improving the satisfaction of the employees through rewards and recognition</w:t>
      </w:r>
      <w:bookmarkEnd w:id="7"/>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 xml:space="preserve">Giving rewards to forge employees for their hard work has initiated the aspects of better participation and motivation of the employees to feel supported within the organisation. As per the view of </w:t>
      </w:r>
      <w:r>
        <w:rPr>
          <w:rFonts w:ascii="Times New Roman" w:cs="Times New Roman" w:eastAsia="Times New Roman" w:hAnsi="Times New Roman"/>
          <w:color w:val="222222"/>
          <w:sz w:val="24"/>
          <w:szCs w:val="24"/>
          <w:shd w:val="clear" w:color="auto" w:fill="ffffff"/>
        </w:rPr>
        <w:t>Gitau and Monari (2019</w:t>
      </w:r>
      <w:r>
        <w:rPr>
          <w:rFonts w:ascii="Times New Roman" w:cs="Times New Roman" w:eastAsia="Times New Roman" w:hAnsi="Times New Roman"/>
          <w:color w:val="000000"/>
          <w:sz w:val="24"/>
          <w:szCs w:val="24"/>
        </w:rPr>
        <w:t>), employee recognition is a paramount interest in the workplace with intrinsic rewards and flexible working hours for employees. Additionally, which has improved the performance of the em</w:t>
      </w:r>
      <w:r>
        <w:rPr>
          <w:rFonts w:ascii="Times New Roman" w:cs="Times New Roman" w:eastAsia="Times New Roman" w:hAnsi="Times New Roman"/>
          <w:color w:val="000000"/>
          <w:sz w:val="24"/>
          <w:szCs w:val="24"/>
        </w:rPr>
        <w:t xml:space="preserve">ployees within the organization are identified.  </w:t>
      </w:r>
      <w:r>
        <w:rPr>
          <w:rFonts w:ascii="Times New Roman" w:cs="Times New Roman" w:eastAsia="Times New Roman" w:hAnsi="Times New Roman"/>
          <w:color w:val="000000"/>
          <w:sz w:val="24"/>
          <w:szCs w:val="24"/>
        </w:rPr>
        <w:t xml:space="preserve"> Recognition programs with praise efforts with honour achievements have improved the efficiency of the employees within the organisation. Additionally, explaining the employees' standards with incentives to improve the performance of the employees within the organisation is also considered an essential factor.</w:t>
      </w:r>
    </w:p>
    <w:bookmarkStart w:id="8" w:name="_Toc137489992"/>
    <w:p>
      <w:pPr>
        <w:pStyle w:val="style2"/>
        <w:spacing w:lineRule="auto" w:line="360"/>
        <w:rPr/>
      </w:pPr>
      <w:r>
        <w:t>Identifying employee's training needs with vital skills and knowledge</w:t>
      </w:r>
      <w:bookmarkEnd w:id="8"/>
      <w:r>
        <w:t> </w:t>
      </w:r>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The HR departments within the organisation are associated with setting out clear expectations for each role and monitoring employees' performance. Utilising the focus groups to identify the training programs with personal development plans tended to be initiated among the employees (</w:t>
      </w:r>
      <w:r>
        <w:rPr>
          <w:rFonts w:ascii="Times New Roman" w:cs="Times New Roman" w:eastAsia="Times New Roman" w:hAnsi="Times New Roman"/>
          <w:color w:val="222222"/>
          <w:sz w:val="24"/>
          <w:szCs w:val="24"/>
          <w:shd w:val="clear" w:color="auto" w:fill="ffffff"/>
        </w:rPr>
        <w:t xml:space="preserve">Alshaikh </w:t>
      </w:r>
      <w:r>
        <w:rPr>
          <w:rFonts w:ascii="Times New Roman" w:cs="Times New Roman" w:eastAsia="Times New Roman" w:hAnsi="Times New Roman"/>
          <w:i/>
          <w:iCs/>
          <w:color w:val="222222"/>
          <w:sz w:val="24"/>
          <w:szCs w:val="24"/>
          <w:shd w:val="clear" w:color="auto" w:fill="ffffff"/>
        </w:rPr>
        <w:t>et al.,</w:t>
      </w:r>
      <w:r>
        <w:rPr>
          <w:rFonts w:ascii="Times New Roman" w:cs="Times New Roman" w:eastAsia="Times New Roman" w:hAnsi="Times New Roman"/>
          <w:color w:val="222222"/>
          <w:sz w:val="24"/>
          <w:szCs w:val="24"/>
          <w:shd w:val="clear" w:color="auto" w:fill="ffffff"/>
        </w:rPr>
        <w:t xml:space="preserve"> 2021</w:t>
      </w:r>
      <w:r>
        <w:rPr>
          <w:rFonts w:ascii="Times New Roman" w:cs="Times New Roman" w:eastAsia="Times New Roman" w:hAnsi="Times New Roman"/>
          <w:color w:val="000000"/>
          <w:sz w:val="24"/>
          <w:szCs w:val="24"/>
        </w:rPr>
        <w:t>). For instance, the HR departments within the organisation are needed to establish the areas where the employees need effective training and have the ability to effectively perform their jobs. Introducing employees' level of awareness and areas of expertise with an individual motivation to perform the tasks well</w:t>
      </w:r>
      <w:r>
        <w:rPr>
          <w:rFonts w:ascii="Times New Roman" w:cs="Times New Roman" w:eastAsia="Times New Roman" w:hAnsi="Times New Roman"/>
          <w:color w:val="000000"/>
          <w:sz w:val="24"/>
          <w:szCs w:val="24"/>
        </w:rPr>
        <w:t xml:space="preserve"> are identified</w:t>
      </w:r>
      <w:r>
        <w:rPr>
          <w:rFonts w:ascii="Times New Roman" w:cs="Times New Roman" w:eastAsia="Times New Roman" w:hAnsi="Times New Roman"/>
          <w:color w:val="000000"/>
          <w:sz w:val="24"/>
          <w:szCs w:val="24"/>
        </w:rPr>
        <w:t>. </w:t>
      </w:r>
    </w:p>
    <w:bookmarkStart w:id="9" w:name="_Toc137489993"/>
    <w:p>
      <w:pPr>
        <w:pStyle w:val="style2"/>
        <w:spacing w:lineRule="auto" w:line="360"/>
        <w:rPr/>
      </w:pPr>
      <w:r>
        <w:t>Recognising productive collaboration and contribution of each employee within the organisation</w:t>
      </w:r>
      <w:bookmarkEnd w:id="9"/>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The collaborative approach is required to cultivate openness and transparency within the organisations. Encouraging collaboration across departments and offering positivity and rewards has implemented better decision-making within the organisations (</w:t>
      </w:r>
      <w:r>
        <w:rPr>
          <w:rFonts w:ascii="Times New Roman" w:cs="Times New Roman" w:eastAsia="Times New Roman" w:hAnsi="Times New Roman"/>
          <w:color w:val="222222"/>
          <w:sz w:val="24"/>
          <w:szCs w:val="24"/>
          <w:shd w:val="clear" w:color="auto" w:fill="ffffff"/>
        </w:rPr>
        <w:t>Tuffaha, 2020</w:t>
      </w:r>
      <w:r>
        <w:rPr>
          <w:rFonts w:ascii="Times New Roman" w:cs="Times New Roman" w:eastAsia="Times New Roman" w:hAnsi="Times New Roman"/>
          <w:color w:val="000000"/>
          <w:sz w:val="24"/>
          <w:szCs w:val="24"/>
        </w:rPr>
        <w:t>). Highlighting the individual strengths and promoting a community working environment in which the organisation needs to resort to improving the performance of the employees within the organisation. Building diverse and inclusive teams to manage tasks effectively is the core focus of the HR departments within the organisation. </w:t>
      </w:r>
    </w:p>
    <w:bookmarkStart w:id="10" w:name="_Toc137489994"/>
    <w:p>
      <w:pPr>
        <w:pStyle w:val="style1"/>
        <w:rPr/>
      </w:pPr>
      <w:r>
        <w:t>Effectiveness of HR Strategy by the Effect of organisational climate factors</w:t>
      </w:r>
      <w:bookmarkEnd w:id="10"/>
    </w:p>
    <w:bookmarkStart w:id="11" w:name="_Toc137489995"/>
    <w:p>
      <w:pPr>
        <w:pStyle w:val="style2"/>
        <w:spacing w:lineRule="auto" w:line="360"/>
        <w:rPr/>
      </w:pPr>
      <w:r>
        <w:t>Stable and positive working environment are adhered through effective organisational climate</w:t>
      </w:r>
      <w:bookmarkEnd w:id="11"/>
      <w:r>
        <w:t> </w:t>
      </w:r>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 xml:space="preserve">The higher leader efficacy has increased the perception of interests among the employees behaviour within the organisation. The organisation has achieved full self awareness by setting well-defined goals for the employees by outlining clear decision making and communication has improved the success for the organisation to achieve the goals. The HR Department's needs to initiate the process of appreciating the resources and align organisational structure and strategy for measuring the continuous improvement within the </w:t>
      </w:r>
      <w:r>
        <w:rPr>
          <w:rFonts w:ascii="Times New Roman" w:cs="Times New Roman" w:eastAsia="Times New Roman" w:hAnsi="Times New Roman"/>
          <w:color w:val="000000"/>
          <w:sz w:val="24"/>
          <w:szCs w:val="24"/>
        </w:rPr>
        <w:t>organization are identified</w:t>
      </w:r>
      <w:r>
        <w:rPr>
          <w:rFonts w:ascii="Times New Roman" w:cs="Times New Roman" w:eastAsia="Times New Roman" w:hAnsi="Times New Roman"/>
          <w:color w:val="000000"/>
          <w:sz w:val="24"/>
          <w:szCs w:val="24"/>
        </w:rPr>
        <w:t xml:space="preserve">. Prioritising the fewer resources to attain the goals with the “right thing” with acceptability and delivery within the </w:t>
      </w:r>
      <w:r>
        <w:rPr>
          <w:rFonts w:ascii="Times New Roman" w:cs="Times New Roman" w:eastAsia="Times New Roman" w:hAnsi="Times New Roman"/>
          <w:color w:val="000000"/>
          <w:sz w:val="24"/>
          <w:szCs w:val="24"/>
        </w:rPr>
        <w:t>organizations are observed</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222222"/>
          <w:sz w:val="24"/>
          <w:szCs w:val="24"/>
          <w:shd w:val="clear" w:color="auto" w:fill="ffffff"/>
        </w:rPr>
        <w:t>Frennesson</w:t>
      </w:r>
      <w:r>
        <w:rPr>
          <w:rFonts w:ascii="Times New Roman" w:cs="Times New Roman" w:eastAsia="Times New Roman" w:hAnsi="Times New Roman"/>
          <w:i/>
          <w:iCs/>
          <w:color w:val="222222"/>
          <w:sz w:val="24"/>
          <w:szCs w:val="24"/>
          <w:shd w:val="clear" w:color="auto" w:fill="ffffff"/>
        </w:rPr>
        <w:t xml:space="preserve"> et al.,</w:t>
      </w:r>
      <w:r>
        <w:rPr>
          <w:rFonts w:ascii="Times New Roman" w:cs="Times New Roman" w:eastAsia="Times New Roman" w:hAnsi="Times New Roman"/>
          <w:color w:val="222222"/>
          <w:sz w:val="24"/>
          <w:szCs w:val="24"/>
          <w:shd w:val="clear" w:color="auto" w:fill="ffffff"/>
        </w:rPr>
        <w:t xml:space="preserve"> 2022</w:t>
      </w:r>
      <w:r>
        <w:rPr>
          <w:rFonts w:ascii="Times New Roman" w:cs="Times New Roman" w:eastAsia="Times New Roman" w:hAnsi="Times New Roman"/>
          <w:color w:val="000000"/>
          <w:sz w:val="24"/>
          <w:szCs w:val="24"/>
        </w:rPr>
        <w:t>). Efficient structure needs to be initiated to promote communication to encourage cohesiveness and good morale within the organisation. </w:t>
      </w:r>
    </w:p>
    <w:bookmarkStart w:id="12" w:name="_Toc137489996"/>
    <w:p>
      <w:pPr>
        <w:pStyle w:val="style2"/>
        <w:spacing w:lineRule="auto" w:line="360"/>
        <w:rPr/>
      </w:pPr>
      <w:r>
        <w:t>Coordination between the team’s members increases the organisation performance with retention of the employees within the organisation</w:t>
      </w:r>
      <w:bookmarkEnd w:id="12"/>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 xml:space="preserve">The HR department's needs to initiate the process of on boarding and orientation with mentorship programs within the </w:t>
      </w:r>
      <w:r>
        <w:rPr>
          <w:rFonts w:ascii="Times New Roman" w:cs="Times New Roman" w:eastAsia="Times New Roman" w:hAnsi="Times New Roman"/>
          <w:color w:val="000000"/>
          <w:sz w:val="24"/>
          <w:szCs w:val="24"/>
        </w:rPr>
        <w:t>organizations are identified</w:t>
      </w:r>
      <w:r>
        <w:rPr>
          <w:rFonts w:ascii="Times New Roman" w:cs="Times New Roman" w:eastAsia="Times New Roman" w:hAnsi="Times New Roman"/>
          <w:color w:val="000000"/>
          <w:sz w:val="24"/>
          <w:szCs w:val="24"/>
        </w:rPr>
        <w:t>. Initiating the continuous feedback mechanism with training and development are ended within the organisation to achieve the goals and objectives within the organisation (</w:t>
      </w:r>
      <w:r>
        <w:rPr>
          <w:rFonts w:ascii="Times New Roman" w:cs="Times New Roman" w:eastAsia="Times New Roman" w:hAnsi="Times New Roman"/>
          <w:color w:val="222222"/>
          <w:sz w:val="24"/>
          <w:szCs w:val="24"/>
          <w:shd w:val="clear" w:color="auto" w:fill="ffffff"/>
        </w:rPr>
        <w:t xml:space="preserve">Tian </w:t>
      </w:r>
      <w:r>
        <w:rPr>
          <w:rFonts w:ascii="Times New Roman" w:cs="Times New Roman" w:eastAsia="Times New Roman" w:hAnsi="Times New Roman"/>
          <w:i/>
          <w:iCs/>
          <w:color w:val="222222"/>
          <w:sz w:val="24"/>
          <w:szCs w:val="24"/>
          <w:shd w:val="clear" w:color="auto" w:fill="ffffff"/>
        </w:rPr>
        <w:t xml:space="preserve">et al., </w:t>
      </w:r>
      <w:r>
        <w:rPr>
          <w:rFonts w:ascii="Times New Roman" w:cs="Times New Roman" w:eastAsia="Times New Roman" w:hAnsi="Times New Roman"/>
          <w:color w:val="222222"/>
          <w:sz w:val="24"/>
          <w:szCs w:val="24"/>
          <w:shd w:val="clear" w:color="auto" w:fill="ffffff"/>
        </w:rPr>
        <w:t>2020</w:t>
      </w:r>
      <w:r>
        <w:rPr>
          <w:rFonts w:ascii="Times New Roman" w:cs="Times New Roman" w:eastAsia="Times New Roman" w:hAnsi="Times New Roman"/>
          <w:color w:val="000000"/>
          <w:sz w:val="24"/>
          <w:szCs w:val="24"/>
        </w:rPr>
        <w:t>). Fostering the positive work atmosphere to promote appreciation to employees with better engagement with competitive pay and benefits are essential for more predictive benefits to the organisation. Better communication reduces the turnover rates of the employees within the organisation and promotes better performance and well-being with open organisational culture within the framework. </w:t>
      </w:r>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Individual employees derive satisfaction with team collaboration among the co-workers is essential for productivity, problem-solving and overall job satisfaction within the organisation. Coordination and understanding between each other with strong leadership and frequent feedback are essential factors  for competitive compensation with a good life balance for the employees (</w:t>
      </w:r>
      <w:r>
        <w:rPr>
          <w:rFonts w:ascii="Times New Roman" w:cs="Times New Roman" w:eastAsia="Times New Roman" w:hAnsi="Times New Roman"/>
          <w:color w:val="222222"/>
          <w:sz w:val="24"/>
          <w:szCs w:val="24"/>
          <w:shd w:val="clear" w:color="auto" w:fill="ffffff"/>
        </w:rPr>
        <w:t>Cote, 2019</w:t>
      </w:r>
      <w:r>
        <w:rPr>
          <w:rFonts w:ascii="Times New Roman" w:cs="Times New Roman" w:eastAsia="Times New Roman" w:hAnsi="Times New Roman"/>
          <w:color w:val="000000"/>
          <w:sz w:val="24"/>
          <w:szCs w:val="24"/>
        </w:rPr>
        <w:t xml:space="preserve">). Thereby, identifying the metrics to determine the percentage of employees involved within the period of time with engagement initiatives </w:t>
      </w:r>
      <w:r>
        <w:rPr>
          <w:rFonts w:ascii="Times New Roman" w:cs="Times New Roman" w:eastAsia="Times New Roman" w:hAnsi="Times New Roman"/>
          <w:color w:val="000000"/>
          <w:sz w:val="24"/>
          <w:szCs w:val="24"/>
        </w:rPr>
        <w:t>is</w:t>
      </w:r>
      <w:r>
        <w:rPr>
          <w:rFonts w:ascii="Times New Roman" w:cs="Times New Roman" w:eastAsia="Times New Roman" w:hAnsi="Times New Roman"/>
          <w:color w:val="000000"/>
          <w:sz w:val="24"/>
          <w:szCs w:val="24"/>
        </w:rPr>
        <w:t xml:space="preserve"> essential for the organisations. </w:t>
      </w:r>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noProof/>
          <w:color w:val="000000"/>
          <w:sz w:val="24"/>
          <w:szCs w:val="24"/>
          <w:bdr w:val="single" w:sz="8" w:space="0" w:color="000000" w:frame="true"/>
          <w:lang w:val="en-IN" w:eastAsia="en-IN"/>
        </w:rPr>
        <w:drawing>
          <wp:inline distL="0" distT="0" distB="0" distR="0">
            <wp:extent cx="5736590" cy="3363595"/>
            <wp:effectExtent l="0" t="0" r="0" b="0"/>
            <wp:docPr id="1029" name="Picture 1" descr="https://lh3.googleusercontent.com/aUgQzsJVAri2Gus9EhTD0kVp3sNmGb8hNgeOoysXnfcQSHwVmbzF6OkGDAzBuAIQaZnYjYRIpq-TsQysxhdnBJ1qO84iXM4ipC3F5BF0jtv5miuTdKlv625OXv4WmpVeIpWhYxIhcvUrYTDq8eJswgk"/>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5" cstate="print"/>
                    <a:srcRect l="0" t="0" r="0" b="0"/>
                    <a:stretch/>
                  </pic:blipFill>
                  <pic:spPr>
                    <a:xfrm rot="0">
                      <a:off x="0" y="0"/>
                      <a:ext cx="5736590" cy="3363595"/>
                    </a:xfrm>
                    <a:prstGeom prst="rect"/>
                    <a:ln>
                      <a:noFill/>
                    </a:ln>
                  </pic:spPr>
                </pic:pic>
              </a:graphicData>
            </a:graphic>
          </wp:inline>
        </w:drawing>
      </w:r>
    </w:p>
    <w:p>
      <w:pPr>
        <w:pStyle w:val="style0"/>
        <w:spacing w:before="240" w:lineRule="auto" w:line="360"/>
        <w:jc w:val="center"/>
        <w:rPr>
          <w:rFonts w:ascii="Times New Roman" w:cs="Times New Roman" w:eastAsia="Times New Roman" w:hAnsi="Times New Roman"/>
          <w:sz w:val="24"/>
          <w:szCs w:val="24"/>
        </w:rPr>
      </w:pPr>
      <w:r>
        <w:rPr>
          <w:rFonts w:ascii="Times New Roman" w:cs="Times New Roman" w:eastAsia="Times New Roman" w:hAnsi="Times New Roman"/>
          <w:b/>
          <w:bCs/>
          <w:color w:val="000000"/>
          <w:sz w:val="24"/>
          <w:szCs w:val="24"/>
        </w:rPr>
        <w:t>Figure 3</w:t>
      </w:r>
      <w:r>
        <w:rPr>
          <w:rFonts w:ascii="Times New Roman" w:cs="Times New Roman" w:eastAsia="Times New Roman" w:hAnsi="Times New Roman"/>
          <w:b/>
          <w:bCs/>
          <w:color w:val="000000"/>
          <w:sz w:val="24"/>
          <w:szCs w:val="24"/>
        </w:rPr>
        <w:t>: Effectiveness of HR Strategy with the associated organisational culture</w:t>
      </w:r>
    </w:p>
    <w:p>
      <w:pPr>
        <w:pStyle w:val="style0"/>
        <w:spacing w:before="240" w:lineRule="auto" w:line="360"/>
        <w:jc w:val="center"/>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(Source: Created by Author)</w:t>
      </w:r>
    </w:p>
    <w:bookmarkStart w:id="13" w:name="_Toc137489997"/>
    <w:p>
      <w:pPr>
        <w:pStyle w:val="style2"/>
        <w:spacing w:lineRule="auto" w:line="360"/>
        <w:rPr/>
      </w:pPr>
      <w:r>
        <w:t>Timely release of monetary payments has directly intervened in the issues within the organisation</w:t>
      </w:r>
      <w:bookmarkEnd w:id="13"/>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The organisation's HR departments need to ensure reserve actions and communications with maximum employment on which the HR departments need to focus on. Influencing the interest and benefits rates within the organisation with the people's decision to invest and effective employment opportunities for the masses on which the organisation focuses on (</w:t>
      </w:r>
      <w:r>
        <w:rPr>
          <w:rFonts w:ascii="Times New Roman" w:cs="Times New Roman" w:eastAsia="Times New Roman" w:hAnsi="Times New Roman"/>
          <w:color w:val="222222"/>
          <w:sz w:val="24"/>
          <w:szCs w:val="24"/>
          <w:shd w:val="clear" w:color="auto" w:fill="ffffff"/>
        </w:rPr>
        <w:t>Ali and Anwar, 2021</w:t>
      </w:r>
      <w:r>
        <w:rPr>
          <w:rFonts w:ascii="Times New Roman" w:cs="Times New Roman" w:eastAsia="Times New Roman" w:hAnsi="Times New Roman"/>
          <w:color w:val="000000"/>
          <w:sz w:val="24"/>
          <w:szCs w:val="24"/>
        </w:rPr>
        <w:t>). The expansionary policies with the moderate downtown area needed to be initiated within the organisation for sustainable growth of the organisation to meet the goals and objectives. For instance, enduring bye FED lead to indemnity and the markets for corporate a</w:t>
      </w:r>
      <w:r>
        <w:rPr>
          <w:rFonts w:ascii="Times New Roman" w:cs="Times New Roman" w:eastAsia="Times New Roman" w:hAnsi="Times New Roman"/>
          <w:color w:val="000000"/>
          <w:sz w:val="24"/>
          <w:szCs w:val="24"/>
        </w:rPr>
        <w:t xml:space="preserve">nd </w:t>
      </w:r>
      <w:r>
        <w:rPr>
          <w:rFonts w:ascii="Times New Roman" w:cs="Times New Roman" w:eastAsia="Times New Roman" w:hAnsi="Times New Roman"/>
          <w:color w:val="000000"/>
          <w:sz w:val="24"/>
          <w:szCs w:val="24"/>
        </w:rPr>
        <w:t>municipal debt to ensure key economic factors to raise funds are ended to be init</w:t>
      </w:r>
      <w:r>
        <w:rPr>
          <w:rFonts w:ascii="Times New Roman" w:cs="Times New Roman" w:eastAsia="Times New Roman" w:hAnsi="Times New Roman"/>
          <w:color w:val="000000"/>
          <w:sz w:val="24"/>
          <w:szCs w:val="24"/>
        </w:rPr>
        <w:t>iated within the organization (</w:t>
      </w:r>
      <w:r>
        <w:rPr>
          <w:rFonts w:ascii="Times New Roman" w:cs="Times New Roman" w:hAnsi="Times New Roman"/>
          <w:color w:val="222222"/>
          <w:sz w:val="24"/>
          <w:szCs w:val="24"/>
          <w:shd w:val="clear" w:color="auto" w:fill="ffffff"/>
        </w:rPr>
        <w:t>Tumi</w:t>
      </w:r>
      <w:r>
        <w:rPr>
          <w:rFonts w:ascii="Times New Roman" w:cs="Times New Roman" w:hAnsi="Times New Roman"/>
          <w:i/>
          <w:iCs/>
          <w:color w:val="222222"/>
          <w:sz w:val="24"/>
          <w:szCs w:val="24"/>
          <w:shd w:val="clear" w:color="auto" w:fill="ffffff"/>
        </w:rPr>
        <w:t xml:space="preserve"> et al., </w:t>
      </w:r>
      <w:r>
        <w:rPr>
          <w:rFonts w:ascii="Times New Roman" w:cs="Times New Roman" w:hAnsi="Times New Roman"/>
          <w:color w:val="222222"/>
          <w:sz w:val="24"/>
          <w:szCs w:val="24"/>
          <w:shd w:val="clear" w:color="auto" w:fill="ffffff"/>
        </w:rPr>
        <w:t>2022</w:t>
      </w:r>
      <w:r>
        <w:rPr>
          <w:color w:val="222222"/>
          <w:shd w:val="clear" w:color="auto" w:fill="ffffff"/>
        </w:rPr>
        <w:t>). S</w:t>
      </w:r>
      <w:r>
        <w:rPr>
          <w:rFonts w:ascii="Times New Roman" w:cs="Times New Roman" w:eastAsia="Times New Roman" w:hAnsi="Times New Roman"/>
          <w:color w:val="000000"/>
          <w:sz w:val="24"/>
          <w:szCs w:val="24"/>
        </w:rPr>
        <w:t>etting the standards of monetary payments among the employees based on the job role and position within the organisation are also considered as an essential factor. Setting the salary ranges and nurturing the bonuses which need to be calculated by identifying the benefits of the staff. </w:t>
      </w:r>
    </w:p>
    <w:bookmarkStart w:id="14" w:name="_Toc137489998"/>
    <w:p>
      <w:pPr>
        <w:pStyle w:val="style1"/>
        <w:rPr/>
      </w:pPr>
      <w:r>
        <w:t>Conclusion</w:t>
      </w:r>
      <w:bookmarkEnd w:id="14"/>
    </w:p>
    <w:p>
      <w:pPr>
        <w:pStyle w:val="style0"/>
        <w:spacing w:before="240"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The HRM practises are essential for the organisation to determine the compensation packages and stimulate the ability to motivate the employees within the organisation. Training and development among the employees are needed to improve the performance and functionality within the organisation. The HR policies are needed to be initiated to gain competitive advantages and the efficiency to manage the stages of the HRM. Talent management within the organisation needs to be initiated to increase the opportunity and performance and initiate the ability within the organisation to manage the employees effectively. The HR policies need to be initiated to gain the effective compensation packages with recognition and remuneration among the employees to increase their performance within the organisation.</w:t>
      </w:r>
    </w:p>
    <w:p>
      <w:pPr>
        <w:pStyle w:val="style0"/>
        <w:spacing w:before="240"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 xml:space="preserve"> Ensuring key economic factors to raise funds tend to be initiated within the organisation with effective monetary payments to the employees to improve their performance. Influencing the interest and the benefits rates with calcula</w:t>
      </w:r>
      <w:r>
        <w:rPr>
          <w:rFonts w:ascii="Times New Roman" w:cs="Times New Roman" w:eastAsia="Times New Roman" w:hAnsi="Times New Roman"/>
          <w:color w:val="000000"/>
          <w:sz w:val="24"/>
          <w:szCs w:val="24"/>
        </w:rPr>
        <w:t>ted business are needed to eval</w:t>
      </w:r>
      <w:r>
        <w:rPr>
          <w:rFonts w:ascii="Times New Roman" w:cs="Times New Roman" w:eastAsia="Times New Roman" w:hAnsi="Times New Roman"/>
          <w:color w:val="000000"/>
          <w:sz w:val="24"/>
          <w:szCs w:val="24"/>
        </w:rPr>
        <w:t xml:space="preserve">uated to determine the tasks and performance within the organisation to achieve the sustainable business performance. Hence, the organisational strategy to improve the performance within the public and private sectors has helped to maintain the efficiency of the work with collaboration and cooperation within the organisation. </w:t>
      </w:r>
    </w:p>
    <w:p>
      <w:pPr>
        <w:pStyle w:val="style4097"/>
        <w:spacing w:before="240" w:lineRule="auto" w:line="360"/>
        <w:jc w:val="both"/>
        <w:rPr>
          <w:rFonts w:ascii="Times New Roman" w:cs="Times New Roman" w:eastAsia="Times New Roman" w:hAnsi="Times New Roman"/>
          <w:sz w:val="24"/>
          <w:szCs w:val="24"/>
          <w:lang w:val="en-GB"/>
        </w:rPr>
      </w:pPr>
      <w:r>
        <w:rPr>
          <w:lang w:val="en-GB"/>
        </w:rPr>
        <w:br w:type="page"/>
      </w:r>
    </w:p>
    <w:bookmarkStart w:id="15" w:name="_Toc137489999"/>
    <w:p>
      <w:pPr>
        <w:pStyle w:val="style1"/>
        <w:rPr>
          <w:lang w:val="en-GB"/>
        </w:rPr>
      </w:pPr>
      <w:r>
        <w:rPr>
          <w:lang w:val="en-GB"/>
        </w:rPr>
        <w:t>References</w:t>
      </w:r>
      <w:bookmarkEnd w:id="15"/>
    </w:p>
    <w:p>
      <w:pPr>
        <w:pStyle w:val="style94"/>
        <w:spacing w:before="240" w:beforeAutospacing="false" w:after="0" w:afterAutospacing="false" w:lineRule="auto" w:line="360"/>
        <w:jc w:val="both"/>
        <w:rPr/>
      </w:pPr>
      <w:r>
        <w:rPr>
          <w:color w:val="222222"/>
          <w:shd w:val="clear" w:color="auto" w:fill="ffffff"/>
        </w:rPr>
        <w:t xml:space="preserve">Ali, B.J. and Anwar, G., (2021). An empirical study of employees’ motivation and its influence job satisfaction. </w:t>
      </w:r>
      <w:r>
        <w:rPr>
          <w:i/>
          <w:iCs/>
          <w:color w:val="222222"/>
          <w:shd w:val="clear" w:color="auto" w:fill="ffffff"/>
        </w:rPr>
        <w:t>Ali, BJ, &amp; Anwar, G.(2021). An Empirical Study of Employees’ Motivation and its Influence Job Satisfaction. International Journal of Engineering, Business and Management</w:t>
      </w:r>
      <w:r>
        <w:rPr>
          <w:color w:val="222222"/>
          <w:shd w:val="clear" w:color="auto" w:fill="ffffff"/>
        </w:rPr>
        <w:t xml:space="preserve">, </w:t>
      </w:r>
      <w:r>
        <w:rPr>
          <w:i/>
          <w:iCs/>
          <w:color w:val="222222"/>
          <w:shd w:val="clear" w:color="auto" w:fill="ffffff"/>
        </w:rPr>
        <w:t>5</w:t>
      </w:r>
      <w:r>
        <w:rPr>
          <w:color w:val="222222"/>
          <w:shd w:val="clear" w:color="auto" w:fill="ffffff"/>
        </w:rPr>
        <w:t>(2), pp.21-30.</w:t>
      </w:r>
    </w:p>
    <w:p>
      <w:pPr>
        <w:pStyle w:val="style94"/>
        <w:spacing w:before="240" w:beforeAutospacing="false" w:after="0" w:afterAutospacing="false" w:lineRule="auto" w:line="360"/>
        <w:jc w:val="both"/>
        <w:rPr/>
      </w:pPr>
      <w:r>
        <w:rPr>
          <w:color w:val="222222"/>
          <w:shd w:val="clear" w:color="auto" w:fill="ffffff"/>
        </w:rPr>
        <w:t xml:space="preserve">Alshaikh, M., Maynard, S.B. and Ahmad, A., (2021). Applying social marketing to evaluate current security education training and awareness programs in organisations. </w:t>
      </w:r>
      <w:r>
        <w:rPr>
          <w:i/>
          <w:iCs/>
          <w:color w:val="222222"/>
          <w:shd w:val="clear" w:color="auto" w:fill="ffffff"/>
        </w:rPr>
        <w:t>Computers &amp; Security</w:t>
      </w:r>
      <w:r>
        <w:rPr>
          <w:color w:val="222222"/>
          <w:shd w:val="clear" w:color="auto" w:fill="ffffff"/>
        </w:rPr>
        <w:t xml:space="preserve">, </w:t>
      </w:r>
      <w:r>
        <w:rPr>
          <w:i/>
          <w:iCs/>
          <w:color w:val="222222"/>
          <w:shd w:val="clear" w:color="auto" w:fill="ffffff"/>
        </w:rPr>
        <w:t>100</w:t>
      </w:r>
      <w:r>
        <w:rPr>
          <w:color w:val="222222"/>
          <w:shd w:val="clear" w:color="auto" w:fill="ffffff"/>
        </w:rPr>
        <w:t>, p.102090.</w:t>
      </w:r>
    </w:p>
    <w:p>
      <w:pPr>
        <w:pStyle w:val="style4097"/>
        <w:spacing w:before="240"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amazon.jobs (2023). </w:t>
      </w:r>
      <w:r>
        <w:rPr>
          <w:rFonts w:ascii="Times New Roman" w:cs="Times New Roman" w:eastAsia="Times New Roman" w:hAnsi="Times New Roman"/>
          <w:i/>
          <w:sz w:val="24"/>
          <w:szCs w:val="24"/>
          <w:lang w:val="en-GB"/>
        </w:rPr>
        <w:t>“Human Resource Fulfilment</w:t>
      </w:r>
      <w:r>
        <w:rPr>
          <w:rFonts w:ascii="Times New Roman" w:cs="Times New Roman" w:eastAsia="Times New Roman" w:hAnsi="Times New Roman"/>
          <w:sz w:val="24"/>
          <w:szCs w:val="24"/>
          <w:lang w:val="en-GB"/>
        </w:rPr>
        <w:t xml:space="preserve">”. Available at:  https://www.amazon.jobs/en-gb/teams/human-resources-fulfillment [Accessed on 8th June, 2023]. </w:t>
      </w:r>
    </w:p>
    <w:p>
      <w:pPr>
        <w:pStyle w:val="style4097"/>
        <w:spacing w:before="240"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Anwar, G. and Abdullah, N.N., (2021). The impact of Human resource management practice on Organisational performance. International journal of Engineering, Business and Management (IJEBM), 5.</w:t>
      </w:r>
    </w:p>
    <w:p>
      <w:pPr>
        <w:pStyle w:val="style4097"/>
        <w:spacing w:before="240"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Blom, R., Kruyen, P.M., Van der Heijden, B.I. and Van Thiel, S., (2020). One HRM fits all? A meta-analysis of the effects of HRM practices in the public, semipublic, and private sector. Review of Public Personnel Administration, 40(1), pp.3-35.</w:t>
      </w:r>
    </w:p>
    <w:p>
      <w:pPr>
        <w:pStyle w:val="style4097"/>
        <w:spacing w:before="240"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Borst, R.T., Kruyen, P.M., Lako, C.J. and de Vries, M.S., (2020). The attitudinal, behavioural, and performance outcomes of work engagement: A comparative meta-analysis across the public, semipublic, and private sector. Review of Public Personnel Administration, 40(4), pp.613-640.</w:t>
      </w:r>
    </w:p>
    <w:p>
      <w:pPr>
        <w:pStyle w:val="style4097"/>
        <w:spacing w:before="240"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Boselie, P., Van Harten, J. and Veld, M., (2021). A human resource management review on public management and public administration research: stop right there… before we go any further…. Public Management Review, 23(4), pp.483-500.</w:t>
      </w:r>
    </w:p>
    <w:p>
      <w:pPr>
        <w:pStyle w:val="style94"/>
        <w:spacing w:before="240" w:beforeAutospacing="false" w:after="0" w:afterAutospacing="false" w:lineRule="auto" w:line="360"/>
        <w:jc w:val="both"/>
        <w:rPr/>
      </w:pPr>
      <w:r>
        <w:rPr>
          <w:color w:val="222222"/>
          <w:shd w:val="clear" w:color="auto" w:fill="ffffff"/>
        </w:rPr>
        <w:t xml:space="preserve">Cote, R., (2019). Motivating Multigenerational Employees: Is There a Difference?. </w:t>
      </w:r>
      <w:r>
        <w:rPr>
          <w:i/>
          <w:iCs/>
          <w:color w:val="222222"/>
          <w:shd w:val="clear" w:color="auto" w:fill="ffffff"/>
        </w:rPr>
        <w:t>Journal of Leadership, Accountability and Ethics</w:t>
      </w:r>
      <w:r>
        <w:rPr>
          <w:color w:val="222222"/>
          <w:shd w:val="clear" w:color="auto" w:fill="ffffff"/>
        </w:rPr>
        <w:t xml:space="preserve">, </w:t>
      </w:r>
      <w:r>
        <w:rPr>
          <w:i/>
          <w:iCs/>
          <w:color w:val="222222"/>
          <w:shd w:val="clear" w:color="auto" w:fill="ffffff"/>
        </w:rPr>
        <w:t>16</w:t>
      </w:r>
      <w:r>
        <w:rPr>
          <w:color w:val="222222"/>
          <w:shd w:val="clear" w:color="auto" w:fill="ffffff"/>
        </w:rPr>
        <w:t>(2), pp.15-29.</w:t>
      </w:r>
    </w:p>
    <w:p>
      <w:pPr>
        <w:pStyle w:val="style94"/>
        <w:spacing w:before="240" w:beforeAutospacing="false" w:after="0" w:afterAutospacing="false" w:lineRule="auto" w:line="360"/>
        <w:jc w:val="both"/>
        <w:rPr/>
      </w:pPr>
      <w:r>
        <w:rPr>
          <w:color w:val="222222"/>
          <w:shd w:val="clear" w:color="auto" w:fill="ffffff"/>
        </w:rPr>
        <w:t xml:space="preserve">Frennesson, L., Kembro, J., de Vries, H., Jahre, M. and Van Wassenhove, L., (2022). International humanitarian organizations’ perspectives on localization efforts. </w:t>
      </w:r>
      <w:r>
        <w:rPr>
          <w:i/>
          <w:iCs/>
          <w:color w:val="222222"/>
          <w:shd w:val="clear" w:color="auto" w:fill="ffffff"/>
        </w:rPr>
        <w:t>International Journal of Disaster Risk Reduction</w:t>
      </w:r>
      <w:r>
        <w:rPr>
          <w:color w:val="222222"/>
          <w:shd w:val="clear" w:color="auto" w:fill="ffffff"/>
        </w:rPr>
        <w:t xml:space="preserve">, </w:t>
      </w:r>
      <w:r>
        <w:rPr>
          <w:i/>
          <w:iCs/>
          <w:color w:val="222222"/>
          <w:shd w:val="clear" w:color="auto" w:fill="ffffff"/>
        </w:rPr>
        <w:t>83</w:t>
      </w:r>
      <w:r>
        <w:rPr>
          <w:color w:val="222222"/>
          <w:shd w:val="clear" w:color="auto" w:fill="ffffff"/>
        </w:rPr>
        <w:t>, p.103410.</w:t>
      </w:r>
    </w:p>
    <w:p>
      <w:pPr>
        <w:pStyle w:val="style94"/>
        <w:spacing w:before="240" w:beforeAutospacing="false" w:after="0" w:afterAutospacing="false" w:lineRule="auto" w:line="360"/>
        <w:jc w:val="both"/>
        <w:rPr/>
      </w:pPr>
      <w:r>
        <w:rPr>
          <w:color w:val="222222"/>
          <w:shd w:val="clear" w:color="auto" w:fill="ffffff"/>
        </w:rPr>
        <w:t xml:space="preserve">Gelle-Jimenez, M. and Aguiling, H.M., (2021). Leveraging human resources management (HRM) practices toward congruence of values. </w:t>
      </w:r>
      <w:r>
        <w:rPr>
          <w:i/>
          <w:iCs/>
          <w:color w:val="222222"/>
          <w:shd w:val="clear" w:color="auto" w:fill="ffffff"/>
        </w:rPr>
        <w:t>International Journal of Research in Business and Social Science (2147-4478)</w:t>
      </w:r>
      <w:r>
        <w:rPr>
          <w:color w:val="222222"/>
          <w:shd w:val="clear" w:color="auto" w:fill="ffffff"/>
        </w:rPr>
        <w:t xml:space="preserve">, </w:t>
      </w:r>
      <w:r>
        <w:rPr>
          <w:i/>
          <w:iCs/>
          <w:color w:val="222222"/>
          <w:shd w:val="clear" w:color="auto" w:fill="ffffff"/>
        </w:rPr>
        <w:t>10</w:t>
      </w:r>
      <w:r>
        <w:rPr>
          <w:color w:val="222222"/>
          <w:shd w:val="clear" w:color="auto" w:fill="ffffff"/>
        </w:rPr>
        <w:t>(1), pp.85-94.</w:t>
      </w:r>
    </w:p>
    <w:p>
      <w:pPr>
        <w:pStyle w:val="style94"/>
        <w:spacing w:before="240" w:beforeAutospacing="false" w:after="0" w:afterAutospacing="false" w:lineRule="auto" w:line="360"/>
        <w:jc w:val="both"/>
        <w:rPr/>
      </w:pPr>
      <w:r>
        <w:rPr>
          <w:color w:val="222222"/>
          <w:shd w:val="clear" w:color="auto" w:fill="ffffff"/>
        </w:rPr>
        <w:t xml:space="preserve">Gitau, A.N. and Monari, D.G., (2019). Determinants of employee commitment in constitutional commissions in Kenya. </w:t>
      </w:r>
      <w:r>
        <w:rPr>
          <w:i/>
          <w:iCs/>
          <w:color w:val="222222"/>
          <w:shd w:val="clear" w:color="auto" w:fill="ffffff"/>
        </w:rPr>
        <w:t>The Strategic Journal of Business &amp; Change Management</w:t>
      </w:r>
      <w:r>
        <w:rPr>
          <w:color w:val="222222"/>
          <w:shd w:val="clear" w:color="auto" w:fill="ffffff"/>
        </w:rPr>
        <w:t xml:space="preserve">, </w:t>
      </w:r>
      <w:r>
        <w:rPr>
          <w:i/>
          <w:iCs/>
          <w:color w:val="222222"/>
          <w:shd w:val="clear" w:color="auto" w:fill="ffffff"/>
        </w:rPr>
        <w:t>6</w:t>
      </w:r>
      <w:r>
        <w:rPr>
          <w:color w:val="222222"/>
          <w:shd w:val="clear" w:color="auto" w:fill="ffffff"/>
        </w:rPr>
        <w:t>(2), pp.2065-2078.</w:t>
      </w:r>
    </w:p>
    <w:p>
      <w:pPr>
        <w:pStyle w:val="style4097"/>
        <w:spacing w:before="240"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Hamadamin, H.H. and Atan, T., (2019). The impact of strategic human resource management practices on competitive advantage sustainability: The mediation of human capital development and employee commitment. Sustainability, 11(20), p.5782.</w:t>
      </w:r>
    </w:p>
    <w:p>
      <w:pPr>
        <w:pStyle w:val="style4097"/>
        <w:spacing w:before="240"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Kravariti, F. and Johnston, K., (2020). Talent management: a critical literature review and research agenda for public sector human resource management. Public Management Review, 22(1), pp.75-95.</w:t>
      </w:r>
    </w:p>
    <w:p>
      <w:pPr>
        <w:pStyle w:val="style94"/>
        <w:spacing w:before="240" w:beforeAutospacing="false" w:after="0" w:afterAutospacing="false" w:lineRule="auto" w:line="360"/>
        <w:jc w:val="both"/>
        <w:rPr/>
      </w:pPr>
      <w:r>
        <w:rPr>
          <w:color w:val="222222"/>
          <w:shd w:val="clear" w:color="auto" w:fill="ffffff"/>
        </w:rPr>
        <w:t xml:space="preserve">Mappamiring, M., Muhammad, A.K.O.B. and Putra, A.H.P.K., (2020). What millennial workers want? Turnover or intention to stay in company. </w:t>
      </w:r>
      <w:r>
        <w:rPr>
          <w:i/>
          <w:iCs/>
          <w:color w:val="222222"/>
          <w:shd w:val="clear" w:color="auto" w:fill="ffffff"/>
        </w:rPr>
        <w:t>The Journal of Asian Finance, Economics and Business (JAFEB)</w:t>
      </w:r>
      <w:r>
        <w:rPr>
          <w:color w:val="222222"/>
          <w:shd w:val="clear" w:color="auto" w:fill="ffffff"/>
        </w:rPr>
        <w:t xml:space="preserve">, </w:t>
      </w:r>
      <w:r>
        <w:rPr>
          <w:i/>
          <w:iCs/>
          <w:color w:val="222222"/>
          <w:shd w:val="clear" w:color="auto" w:fill="ffffff"/>
        </w:rPr>
        <w:t>7</w:t>
      </w:r>
      <w:r>
        <w:rPr>
          <w:color w:val="222222"/>
          <w:shd w:val="clear" w:color="auto" w:fill="ffffff"/>
        </w:rPr>
        <w:t>(5), pp.237-248.</w:t>
      </w:r>
    </w:p>
    <w:p>
      <w:pPr>
        <w:pStyle w:val="style4097"/>
        <w:spacing w:before="240"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Mendoza Beltran, A., Cox, B., Mutel, C., van Vuuren, D.P., Font Vivanco, D., Deetman, S., Edelenbosch, O.Y., Guinée, J. and Tukker, A., (2020). When the background matters: using scenarios from integrated assessment models in prospective life cycle assessment. Journal of Industrial Ecology, 24(1), pp.64-79.</w:t>
      </w:r>
    </w:p>
    <w:p>
      <w:pPr>
        <w:pStyle w:val="style94"/>
        <w:spacing w:before="240" w:beforeAutospacing="false" w:after="0" w:afterAutospacing="false" w:lineRule="auto" w:line="360"/>
        <w:jc w:val="both"/>
        <w:rPr/>
      </w:pPr>
      <w:r>
        <w:rPr>
          <w:color w:val="222222"/>
          <w:shd w:val="clear" w:color="auto" w:fill="ffffff"/>
        </w:rPr>
        <w:t xml:space="preserve">Oliveira, M., Sousa, M., Silva, R. and Santos, T., (2021). Strategy and human resources management in non-profit organizations: Its interaction with open innovation. </w:t>
      </w:r>
      <w:r>
        <w:rPr>
          <w:i/>
          <w:iCs/>
          <w:color w:val="222222"/>
          <w:shd w:val="clear" w:color="auto" w:fill="ffffff"/>
        </w:rPr>
        <w:t>Journal of Open Innovation: Technology, Market, and Complexity</w:t>
      </w:r>
      <w:r>
        <w:rPr>
          <w:color w:val="222222"/>
          <w:shd w:val="clear" w:color="auto" w:fill="ffffff"/>
        </w:rPr>
        <w:t xml:space="preserve">, </w:t>
      </w:r>
      <w:r>
        <w:rPr>
          <w:i/>
          <w:iCs/>
          <w:color w:val="222222"/>
          <w:shd w:val="clear" w:color="auto" w:fill="ffffff"/>
        </w:rPr>
        <w:t>7</w:t>
      </w:r>
      <w:r>
        <w:rPr>
          <w:color w:val="222222"/>
          <w:shd w:val="clear" w:color="auto" w:fill="ffffff"/>
        </w:rPr>
        <w:t>(1), p.75.</w:t>
      </w:r>
    </w:p>
    <w:p>
      <w:pPr>
        <w:pStyle w:val="style4097"/>
        <w:spacing w:before="240"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Pradhan, R.K., Dash, S. and Jena, L.K., (2019). Do HR practices influence job satisfaction? Examining the mediating role of employee engagement in Indian public sector undertakings. Global Business Review, 20(1), pp.119-132.</w:t>
      </w:r>
    </w:p>
    <w:p>
      <w:pPr>
        <w:pStyle w:val="style94"/>
        <w:spacing w:before="240" w:beforeAutospacing="false" w:after="0" w:afterAutospacing="false" w:lineRule="auto" w:line="360"/>
        <w:jc w:val="both"/>
        <w:rPr/>
      </w:pPr>
      <w:r>
        <w:rPr>
          <w:color w:val="222222"/>
          <w:shd w:val="clear" w:color="auto" w:fill="ffffff"/>
        </w:rPr>
        <w:t>Salesforce.com, (2023). “UNILEVER”. Available at: https://www.salesforce.com/content/dam/web/en_gb/www/pdf/form/pdf/unilever-ee-v03.pdf, [Accessed on: 2nd June, 2023]</w:t>
      </w:r>
    </w:p>
    <w:p>
      <w:pPr>
        <w:pStyle w:val="style4097"/>
        <w:spacing w:before="240"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statista.com (2023). </w:t>
      </w:r>
      <w:r>
        <w:rPr>
          <w:rFonts w:ascii="Times New Roman" w:cs="Times New Roman" w:eastAsia="Times New Roman" w:hAnsi="Times New Roman"/>
          <w:i/>
          <w:sz w:val="24"/>
          <w:szCs w:val="24"/>
          <w:lang w:val="en-GB"/>
        </w:rPr>
        <w:t>“Number of Amazon Employees</w:t>
      </w:r>
      <w:r>
        <w:rPr>
          <w:rFonts w:ascii="Times New Roman" w:cs="Times New Roman" w:eastAsia="Times New Roman" w:hAnsi="Times New Roman"/>
          <w:sz w:val="24"/>
          <w:szCs w:val="24"/>
          <w:lang w:val="en-GB"/>
        </w:rPr>
        <w:t xml:space="preserve">”.  Available at:  https://www.statista.com/statistics/234488/number-of-amazon-employees/ [Accessed on 8th June, 2023]. </w:t>
      </w:r>
    </w:p>
    <w:p>
      <w:pPr>
        <w:pStyle w:val="style94"/>
        <w:spacing w:before="240" w:beforeAutospacing="false" w:after="0" w:afterAutospacing="false" w:lineRule="auto" w:line="360"/>
        <w:jc w:val="both"/>
        <w:rPr/>
      </w:pPr>
      <w:r>
        <w:rPr>
          <w:color w:val="222222"/>
          <w:shd w:val="clear" w:color="auto" w:fill="ffffff"/>
        </w:rPr>
        <w:t xml:space="preserve">Tian, H., Iqbal, S., Akhtar, S., Qalati, S.A., Anwar, F. and Khan, M.A.S., (2020). The impact of transformational leadership on employee retention: mediation and moderation through organizational citizenship behavior and communication. </w:t>
      </w:r>
      <w:r>
        <w:rPr>
          <w:i/>
          <w:iCs/>
          <w:color w:val="222222"/>
          <w:shd w:val="clear" w:color="auto" w:fill="ffffff"/>
        </w:rPr>
        <w:t>Frontiers in psychology</w:t>
      </w:r>
      <w:r>
        <w:rPr>
          <w:color w:val="222222"/>
          <w:shd w:val="clear" w:color="auto" w:fill="ffffff"/>
        </w:rPr>
        <w:t xml:space="preserve">, </w:t>
      </w:r>
      <w:r>
        <w:rPr>
          <w:i/>
          <w:iCs/>
          <w:color w:val="222222"/>
          <w:shd w:val="clear" w:color="auto" w:fill="ffffff"/>
        </w:rPr>
        <w:t>11</w:t>
      </w:r>
      <w:r>
        <w:rPr>
          <w:color w:val="222222"/>
          <w:shd w:val="clear" w:color="auto" w:fill="ffffff"/>
        </w:rPr>
        <w:t>, p.314.</w:t>
      </w:r>
    </w:p>
    <w:p>
      <w:pPr>
        <w:pStyle w:val="style94"/>
        <w:spacing w:before="240" w:beforeAutospacing="false" w:after="0" w:afterAutospacing="false" w:lineRule="auto" w:line="360"/>
        <w:jc w:val="both"/>
        <w:rPr/>
      </w:pPr>
      <w:r>
        <w:rPr>
          <w:color w:val="222222"/>
          <w:shd w:val="clear" w:color="auto" w:fill="ffffff"/>
        </w:rPr>
        <w:t xml:space="preserve">Tuffaha, M., (2020). The determinants of employee’s performance: A literature review. </w:t>
      </w:r>
      <w:r>
        <w:rPr>
          <w:i/>
          <w:iCs/>
          <w:color w:val="222222"/>
          <w:shd w:val="clear" w:color="auto" w:fill="ffffff"/>
        </w:rPr>
        <w:t>Journal of economics and management sciences</w:t>
      </w:r>
      <w:r>
        <w:rPr>
          <w:color w:val="222222"/>
          <w:shd w:val="clear" w:color="auto" w:fill="ffffff"/>
        </w:rPr>
        <w:t xml:space="preserve">, </w:t>
      </w:r>
      <w:r>
        <w:rPr>
          <w:i/>
          <w:iCs/>
          <w:color w:val="222222"/>
          <w:shd w:val="clear" w:color="auto" w:fill="ffffff"/>
        </w:rPr>
        <w:t>3</w:t>
      </w:r>
      <w:r>
        <w:rPr>
          <w:color w:val="222222"/>
          <w:shd w:val="clear" w:color="auto" w:fill="ffffff"/>
        </w:rPr>
        <w:t>(3), pp.p14-p14.</w:t>
      </w:r>
    </w:p>
    <w:p>
      <w:pPr>
        <w:pStyle w:val="style94"/>
        <w:spacing w:before="240" w:beforeAutospacing="false" w:after="0" w:afterAutospacing="false" w:lineRule="auto" w:line="360"/>
        <w:jc w:val="both"/>
        <w:rPr/>
      </w:pPr>
      <w:r>
        <w:rPr>
          <w:color w:val="222222"/>
          <w:shd w:val="clear" w:color="auto" w:fill="ffffff"/>
        </w:rPr>
        <w:t xml:space="preserve">Tumi, N.S., Hasan, A.N. and Khalid, J., (2022). Impact of compensation, job enrichment and enlargement, and training on employee motivation. </w:t>
      </w:r>
      <w:r>
        <w:rPr>
          <w:i/>
          <w:iCs/>
          <w:color w:val="222222"/>
          <w:shd w:val="clear" w:color="auto" w:fill="ffffff"/>
        </w:rPr>
        <w:t>Business Perspectives and Research</w:t>
      </w:r>
      <w:r>
        <w:rPr>
          <w:color w:val="222222"/>
          <w:shd w:val="clear" w:color="auto" w:fill="ffffff"/>
        </w:rPr>
        <w:t xml:space="preserve">, </w:t>
      </w:r>
      <w:r>
        <w:rPr>
          <w:i/>
          <w:iCs/>
          <w:color w:val="222222"/>
          <w:shd w:val="clear" w:color="auto" w:fill="ffffff"/>
        </w:rPr>
        <w:t>10</w:t>
      </w:r>
      <w:r>
        <w:rPr>
          <w:color w:val="222222"/>
          <w:shd w:val="clear" w:color="auto" w:fill="ffffff"/>
        </w:rPr>
        <w:t>(1), pp.121-139.</w:t>
      </w:r>
    </w:p>
    <w:p>
      <w:pPr>
        <w:pStyle w:val="style4097"/>
        <w:spacing w:before="240"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Ybema, J.F., van Vuuren, T. and van Dam, K., (2020). HR practices for enhancing sustainable employability: implementation, use, and outcomes. The International Journal of Human Resource Management, 31(7), pp.886-907.</w:t>
      </w:r>
    </w:p>
    <w:p>
      <w:pPr>
        <w:pStyle w:val="style4097"/>
        <w:spacing w:before="240" w:lineRule="auto" w:line="360"/>
        <w:jc w:val="both"/>
        <w:rPr>
          <w:rFonts w:ascii="Times New Roman" w:cs="Times New Roman" w:eastAsia="Times New Roman" w:hAnsi="Times New Roman"/>
          <w:sz w:val="24"/>
          <w:szCs w:val="24"/>
          <w:lang w:val="en-GB"/>
        </w:rPr>
      </w:pPr>
    </w:p>
    <w:p>
      <w:pPr>
        <w:pStyle w:val="style4097"/>
        <w:spacing w:before="240"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 </w:t>
      </w:r>
    </w:p>
    <w:p>
      <w:pPr>
        <w:pStyle w:val="style4097"/>
        <w:spacing w:before="240" w:lineRule="auto" w:line="360"/>
        <w:jc w:val="both"/>
        <w:rPr>
          <w:rFonts w:ascii="Times New Roman" w:cs="Times New Roman" w:eastAsia="Times New Roman" w:hAnsi="Times New Roman"/>
          <w:sz w:val="24"/>
          <w:szCs w:val="24"/>
          <w:lang w:val="en-GB"/>
        </w:rPr>
      </w:pPr>
    </w:p>
    <w:sectPr>
      <w:footerReference w:type="default" r:id="rId6"/>
      <w:pgSz w:w="11909" w:h="16834" w:orient="portrait"/>
      <w:pgMar w:top="1440" w:right="1440" w:bottom="1440" w:left="1440" w:header="720" w:footer="720" w:gutter="0"/>
      <w:pgNumType w:start="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0"/>
    <w:family w:val="swiss"/>
    <w:pitch w:val="variable"/>
    <w:sig w:usb0="E0002EFF" w:usb1="C0007843" w:usb2="00000009" w:usb3="00000000" w:csb0="000001FF" w:csb1="00000000"/>
  </w:font>
  <w:font w:name="Times New Roman">
    <w:altName w:val="Arial"/>
    <w:panose1 w:val="02020603050004020304"/>
    <w:charset w:val="00"/>
    <w:family w:val="roman"/>
    <w:pitch w:val="variable"/>
    <w:sig w:usb0="E0002EFF" w:usb1="C000785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Calibri">
    <w:altName w:val="Calibri"/>
    <w:panose1 w:val="020f0502020002030204"/>
    <w:charset w:val="00"/>
    <w:family w:val="swiss"/>
    <w:pitch w:val="variable"/>
    <w:sig w:usb0="E00002FF" w:usb1="4000ACFF" w:usb2="00000001" w:usb3="00000000" w:csb0="0000019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0</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view w:val="web"/>
  <w:zoom w:percent="6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revisionView w:inkAnnotations="f"/>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US" w:bidi="ar-SA" w:eastAsia="en-US"/>
      </w:rPr>
    </w:rPrDefault>
    <w:pPrDefault>
      <w:pPr>
        <w:spacing w:lineRule="auto" w:line="276"/>
      </w:pPr>
    </w:pPrDefault>
  </w:docDefaults>
  <w:style w:type="paragraph" w:default="1" w:styleId="style0">
    <w:name w:val="Normal"/>
    <w:next w:val="style0"/>
    <w:qFormat/>
    <w:pPr/>
  </w:style>
  <w:style w:type="paragraph" w:styleId="style1">
    <w:name w:val="heading 1"/>
    <w:basedOn w:val="style0"/>
    <w:next w:val="style4097"/>
    <w:pPr>
      <w:spacing w:before="240" w:lineRule="auto" w:line="360"/>
      <w:jc w:val="both"/>
      <w:outlineLvl w:val="0"/>
    </w:pPr>
    <w:rPr>
      <w:rFonts w:ascii="Times New Roman" w:cs="Times New Roman" w:eastAsia="Times New Roman" w:hAnsi="Times New Roman"/>
      <w:b/>
      <w:bCs/>
      <w:color w:val="000000"/>
      <w:sz w:val="24"/>
      <w:szCs w:val="24"/>
    </w:rPr>
  </w:style>
  <w:style w:type="paragraph" w:styleId="style2">
    <w:name w:val="heading 2"/>
    <w:basedOn w:val="style4097"/>
    <w:next w:val="style4097"/>
    <w:pPr>
      <w:keepNext/>
      <w:keepLines/>
      <w:spacing w:before="360" w:after="120"/>
      <w:outlineLvl w:val="1"/>
    </w:pPr>
    <w:rPr>
      <w:rFonts w:ascii="Times New Roman" w:hAnsi="Times New Roman"/>
      <w:b/>
      <w:i/>
      <w:sz w:val="24"/>
      <w:szCs w:val="32"/>
    </w:rPr>
  </w:style>
  <w:style w:type="paragraph" w:styleId="style3">
    <w:name w:val="heading 3"/>
    <w:basedOn w:val="style4097"/>
    <w:next w:val="style4097"/>
    <w:pPr>
      <w:keepNext/>
      <w:keepLines/>
      <w:spacing w:before="320" w:after="80"/>
      <w:outlineLvl w:val="2"/>
    </w:pPr>
    <w:rPr>
      <w:color w:val="434343"/>
      <w:sz w:val="28"/>
      <w:szCs w:val="28"/>
    </w:rPr>
  </w:style>
  <w:style w:type="paragraph" w:styleId="style4">
    <w:name w:val="heading 4"/>
    <w:basedOn w:val="style4097"/>
    <w:next w:val="style4097"/>
    <w:pPr>
      <w:keepNext/>
      <w:keepLines/>
      <w:spacing w:before="280" w:after="80"/>
      <w:outlineLvl w:val="3"/>
    </w:pPr>
    <w:rPr>
      <w:color w:val="666666"/>
      <w:sz w:val="24"/>
      <w:szCs w:val="24"/>
    </w:rPr>
  </w:style>
  <w:style w:type="paragraph" w:styleId="style5">
    <w:name w:val="heading 5"/>
    <w:basedOn w:val="style4097"/>
    <w:next w:val="style4097"/>
    <w:pPr>
      <w:keepNext/>
      <w:keepLines/>
      <w:spacing w:before="240" w:after="80"/>
      <w:outlineLvl w:val="4"/>
    </w:pPr>
    <w:rPr>
      <w:color w:val="666666"/>
    </w:rPr>
  </w:style>
  <w:style w:type="paragraph" w:styleId="style6">
    <w:name w:val="heading 6"/>
    <w:basedOn w:val="style4097"/>
    <w:next w:val="style4097"/>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customStyle="1" w:styleId="style4097">
    <w:name w:val="Normal1"/>
    <w:next w:val="style4097"/>
    <w:pPr/>
  </w:style>
  <w:style w:type="paragraph" w:styleId="style62">
    <w:name w:val="Title"/>
    <w:basedOn w:val="style4097"/>
    <w:next w:val="style4097"/>
    <w:pPr>
      <w:keepNext/>
      <w:keepLines/>
      <w:spacing w:after="60"/>
    </w:pPr>
    <w:rPr>
      <w:sz w:val="52"/>
      <w:szCs w:val="52"/>
    </w:rPr>
  </w:style>
  <w:style w:type="paragraph" w:styleId="style74">
    <w:name w:val="Subtitle"/>
    <w:basedOn w:val="style4097"/>
    <w:next w:val="style4097"/>
    <w:pPr>
      <w:keepNext/>
      <w:keepLines/>
      <w:spacing w:after="320"/>
    </w:pPr>
    <w:rPr>
      <w:color w:val="666666"/>
      <w:sz w:val="30"/>
      <w:szCs w:val="30"/>
    </w:rPr>
  </w:style>
  <w:style w:type="paragraph" w:styleId="style30">
    <w:name w:val="annotation text"/>
    <w:basedOn w:val="style0"/>
    <w:next w:val="style30"/>
    <w:link w:val="style4098"/>
    <w:uiPriority w:val="99"/>
    <w:pPr>
      <w:spacing w:lineRule="auto" w:line="240"/>
    </w:pPr>
    <w:rPr>
      <w:sz w:val="20"/>
      <w:szCs w:val="20"/>
    </w:rPr>
  </w:style>
  <w:style w:type="character" w:customStyle="1" w:styleId="style4098">
    <w:name w:val="Comment Text Char"/>
    <w:basedOn w:val="style65"/>
    <w:next w:val="style4098"/>
    <w:link w:val="style30"/>
    <w:uiPriority w:val="99"/>
    <w:rPr>
      <w:sz w:val="20"/>
      <w:szCs w:val="20"/>
    </w:rPr>
  </w:style>
  <w:style w:type="character" w:styleId="style39">
    <w:name w:val="annotation reference"/>
    <w:basedOn w:val="style65"/>
    <w:next w:val="style39"/>
    <w:uiPriority w:val="99"/>
    <w:rPr>
      <w:sz w:val="16"/>
      <w:szCs w:val="16"/>
    </w:rPr>
  </w:style>
  <w:style w:type="paragraph" w:styleId="style153">
    <w:name w:val="Balloon Text"/>
    <w:basedOn w:val="style0"/>
    <w:next w:val="style153"/>
    <w:link w:val="style4099"/>
    <w:uiPriority w:val="99"/>
    <w:pPr>
      <w:spacing w:lineRule="auto" w:line="240"/>
    </w:pPr>
    <w:rPr>
      <w:rFonts w:ascii="Tahoma" w:cs="Tahoma" w:hAnsi="Tahoma"/>
      <w:sz w:val="16"/>
      <w:szCs w:val="16"/>
    </w:rPr>
  </w:style>
  <w:style w:type="character" w:customStyle="1" w:styleId="style4099">
    <w:name w:val="Balloon Text Char"/>
    <w:basedOn w:val="style65"/>
    <w:next w:val="style4099"/>
    <w:link w:val="style153"/>
    <w:uiPriority w:val="99"/>
    <w:rPr>
      <w:rFonts w:ascii="Tahoma" w:cs="Tahoma" w:hAnsi="Tahoma"/>
      <w:sz w:val="16"/>
      <w:szCs w:val="16"/>
    </w:rPr>
  </w:style>
  <w:style w:type="character" w:styleId="style85">
    <w:name w:val="Hyperlink"/>
    <w:basedOn w:val="style65"/>
    <w:next w:val="style85"/>
    <w:uiPriority w:val="99"/>
    <w:rPr>
      <w:color w:val="0000ff"/>
      <w:u w:val="single"/>
    </w:rPr>
  </w:style>
  <w:style w:type="paragraph" w:styleId="style266">
    <w:name w:val="TOC Heading"/>
    <w:basedOn w:val="style1"/>
    <w:next w:val="style0"/>
    <w:qFormat/>
    <w:uiPriority w:val="39"/>
    <w:pPr>
      <w:spacing w:before="480"/>
      <w:outlineLvl w:val="9"/>
    </w:pPr>
    <w:rPr>
      <w:rFonts w:ascii="Calibri" w:cs="宋体" w:eastAsia="宋体" w:hAnsi="Calibri"/>
      <w:color w:val="365f91"/>
      <w:sz w:val="28"/>
      <w:szCs w:val="28"/>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paragraph" w:styleId="style31">
    <w:name w:val="header"/>
    <w:basedOn w:val="style0"/>
    <w:next w:val="style31"/>
    <w:link w:val="style4100"/>
    <w:uiPriority w:val="99"/>
    <w:pPr>
      <w:tabs>
        <w:tab w:val="center" w:leader="none" w:pos="4680"/>
        <w:tab w:val="right" w:leader="none" w:pos="9360"/>
      </w:tabs>
      <w:spacing w:lineRule="auto" w:line="240"/>
    </w:pPr>
    <w:rPr/>
  </w:style>
  <w:style w:type="character" w:customStyle="1" w:styleId="style4100">
    <w:name w:val="Header Char_f8e92982-a00f-4743-b9ed-cd3055d9e47e"/>
    <w:basedOn w:val="style65"/>
    <w:next w:val="style4100"/>
    <w:link w:val="style31"/>
    <w:uiPriority w:val="99"/>
  </w:style>
  <w:style w:type="paragraph" w:styleId="style32">
    <w:name w:val="footer"/>
    <w:basedOn w:val="style0"/>
    <w:next w:val="style32"/>
    <w:link w:val="style4101"/>
    <w:uiPriority w:val="99"/>
    <w:pPr>
      <w:tabs>
        <w:tab w:val="center" w:leader="none" w:pos="4680"/>
        <w:tab w:val="right" w:leader="none" w:pos="9360"/>
      </w:tabs>
      <w:spacing w:lineRule="auto" w:line="240"/>
    </w:pPr>
    <w:rPr/>
  </w:style>
  <w:style w:type="character" w:customStyle="1" w:styleId="style4101">
    <w:name w:val="Footer Char_351c6d64-7690-466a-9f9a-2fefdc33e12c"/>
    <w:basedOn w:val="style65"/>
    <w:next w:val="style4101"/>
    <w:link w:val="style32"/>
    <w:uiPriority w:val="99"/>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customXml" Target="../customXml/item1.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footer" Target="footer1.xml"/><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4A5FC-E35E-4C06-8FE0-14566E1D29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3456</Words>
  <Pages>1</Pages>
  <Characters>20276</Characters>
  <Application>WPS Office</Application>
  <DocSecurity>0</DocSecurity>
  <Paragraphs>110</Paragraphs>
  <ScaleCrop>false</ScaleCrop>
  <LinksUpToDate>false</LinksUpToDate>
  <CharactersWithSpaces>23682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2023-06-23T13:14:30Z</dcterms:created>
  <dc:creator>User</dc:creator>
  <lastModifiedBy>Lenovo TB-8505XS</lastModifiedBy>
  <dcterms:modified xsi:type="dcterms:W3CDTF">2023-06-23T13:14:31Z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8d0251d39d404809a04f7b6282f4eca7</vt:lpwstr>
  </property>
</Properties>
</file>