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72AF" w:rsidRDefault="00824419" w:rsidP="00691A2C">
      <w:pPr>
        <w:pStyle w:val="awTB00chTitle"/>
        <w:keepNext/>
        <w:spacing w:before="720" w:after="0"/>
      </w:pPr>
      <w:r>
        <w:rPr>
          <w:sz w:val="44"/>
        </w:rPr>
        <w:t>Chapter 13</w:t>
      </w:r>
      <w:r>
        <w:rPr>
          <w:sz w:val="32"/>
        </w:rPr>
        <w:br/>
      </w:r>
      <w:r w:rsidR="00E36F90">
        <w:t>Raising</w:t>
      </w:r>
      <w:r>
        <w:t xml:space="preserve"> Equity and Debt Globally</w:t>
      </w:r>
    </w:p>
    <w:p w:rsidR="006C6BFA" w:rsidRPr="006C6BFA" w:rsidRDefault="006C6BFA" w:rsidP="006C6BFA">
      <w:pPr>
        <w:pStyle w:val="awTB02question"/>
        <w:numPr>
          <w:ilvl w:val="0"/>
          <w:numId w:val="0"/>
        </w:numPr>
        <w:ind w:left="547"/>
      </w:pPr>
    </w:p>
    <w:p w:rsidR="006C6BFA" w:rsidRPr="0090254E" w:rsidRDefault="006C6BFA" w:rsidP="001D6301">
      <w:pPr>
        <w:spacing w:after="120"/>
        <w:rPr>
          <w:rFonts w:ascii="Helvetica" w:eastAsia="Calibri" w:hAnsi="Helvetica"/>
          <w:b/>
          <w:sz w:val="28"/>
          <w:szCs w:val="28"/>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Learning Objectives</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Design a strategy to source equity globally</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Analyze the motivations and goals of a firm cross-listing its shares on foreign equity</w:t>
      </w:r>
      <w:r>
        <w:rPr>
          <w:rFonts w:ascii="Times" w:eastAsia="Calibri" w:hAnsi="Times" w:cs="Times"/>
          <w:sz w:val="24"/>
          <w:szCs w:val="24"/>
        </w:rPr>
        <w:t xml:space="preserve"> </w:t>
      </w:r>
      <w:r w:rsidRPr="006C6BFA">
        <w:rPr>
          <w:rFonts w:ascii="Times" w:eastAsia="Calibri" w:hAnsi="Times" w:cs="Times"/>
          <w:sz w:val="24"/>
          <w:szCs w:val="24"/>
        </w:rPr>
        <w:t>markets</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Analyze the motivations and goals of a firm issuing new equity shares on foreign equity</w:t>
      </w:r>
      <w:r>
        <w:rPr>
          <w:rFonts w:ascii="Times" w:eastAsia="Calibri" w:hAnsi="Times" w:cs="Times"/>
          <w:sz w:val="24"/>
          <w:szCs w:val="24"/>
        </w:rPr>
        <w:t xml:space="preserve"> </w:t>
      </w:r>
      <w:r w:rsidRPr="006C6BFA">
        <w:rPr>
          <w:rFonts w:ascii="Times" w:eastAsia="Calibri" w:hAnsi="Times" w:cs="Times"/>
          <w:sz w:val="24"/>
          <w:szCs w:val="24"/>
        </w:rPr>
        <w:t>markets</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Understand the many barriers to effectively penetrating foreign equity markets</w:t>
      </w:r>
      <w:r>
        <w:rPr>
          <w:rFonts w:ascii="Times" w:eastAsia="Calibri" w:hAnsi="Times" w:cs="Times"/>
          <w:sz w:val="24"/>
          <w:szCs w:val="24"/>
        </w:rPr>
        <w:t xml:space="preserve"> </w:t>
      </w:r>
      <w:r w:rsidRPr="006C6BFA">
        <w:rPr>
          <w:rFonts w:ascii="Times" w:eastAsia="Calibri" w:hAnsi="Times" w:cs="Times"/>
          <w:sz w:val="24"/>
          <w:szCs w:val="24"/>
        </w:rPr>
        <w:t>through cross-listing and selling equity abroad</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Examine the various financial instruments that can be used to source equity in the</w:t>
      </w:r>
      <w:r>
        <w:rPr>
          <w:rFonts w:ascii="Times" w:eastAsia="Calibri" w:hAnsi="Times" w:cs="Times"/>
          <w:sz w:val="24"/>
          <w:szCs w:val="24"/>
        </w:rPr>
        <w:t xml:space="preserve"> </w:t>
      </w:r>
      <w:r w:rsidRPr="006C6BFA">
        <w:rPr>
          <w:rFonts w:ascii="Times" w:eastAsia="Calibri" w:hAnsi="Times" w:cs="Times"/>
          <w:sz w:val="24"/>
          <w:szCs w:val="24"/>
        </w:rPr>
        <w:t>global equity markets</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Extend the theory of optimal financial structure to the multinational enterprise (MNE)</w:t>
      </w:r>
    </w:p>
    <w:p w:rsidR="006C6BFA" w:rsidRPr="006C6BFA" w:rsidRDefault="006C6BFA" w:rsidP="00082FD4">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Analyze the factors that, in practice, determine the financial structure of foreign subsidiaries</w:t>
      </w:r>
      <w:r>
        <w:rPr>
          <w:rFonts w:ascii="Times" w:eastAsia="Calibri" w:hAnsi="Times" w:cs="Times"/>
          <w:sz w:val="24"/>
          <w:szCs w:val="24"/>
        </w:rPr>
        <w:t xml:space="preserve"> </w:t>
      </w:r>
      <w:r w:rsidRPr="006C6BFA">
        <w:rPr>
          <w:rFonts w:ascii="Times" w:eastAsia="Calibri" w:hAnsi="Times" w:cs="Times"/>
          <w:sz w:val="24"/>
          <w:szCs w:val="24"/>
        </w:rPr>
        <w:t>within the context of the MNE</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Evaluate the various internal and external sources of funds available for the financing</w:t>
      </w:r>
      <w:r>
        <w:rPr>
          <w:rFonts w:ascii="Times" w:eastAsia="Calibri" w:hAnsi="Times" w:cs="Times"/>
          <w:sz w:val="24"/>
          <w:szCs w:val="24"/>
        </w:rPr>
        <w:t xml:space="preserve"> </w:t>
      </w:r>
      <w:r w:rsidRPr="006C6BFA">
        <w:rPr>
          <w:rFonts w:ascii="Times" w:eastAsia="Calibri" w:hAnsi="Times" w:cs="Times"/>
          <w:sz w:val="24"/>
          <w:szCs w:val="24"/>
        </w:rPr>
        <w:t>of foreign subsidiaries</w:t>
      </w:r>
    </w:p>
    <w:p w:rsidR="006C6BFA" w:rsidRPr="006C6BFA" w:rsidRDefault="006C6BFA" w:rsidP="006C6BFA">
      <w:pPr>
        <w:numPr>
          <w:ilvl w:val="0"/>
          <w:numId w:val="30"/>
        </w:numPr>
        <w:spacing w:after="160" w:line="259" w:lineRule="auto"/>
        <w:contextualSpacing/>
        <w:rPr>
          <w:rFonts w:ascii="Times" w:eastAsia="Calibri" w:hAnsi="Times" w:cs="Times"/>
          <w:sz w:val="24"/>
          <w:szCs w:val="24"/>
        </w:rPr>
      </w:pPr>
      <w:r w:rsidRPr="006C6BFA">
        <w:rPr>
          <w:rFonts w:ascii="Times" w:eastAsia="Calibri" w:hAnsi="Times" w:cs="Times"/>
          <w:sz w:val="24"/>
          <w:szCs w:val="24"/>
        </w:rPr>
        <w:t>Identify the relevant characteristics of different international debt instruments in</w:t>
      </w:r>
      <w:r>
        <w:rPr>
          <w:rFonts w:ascii="Times" w:eastAsia="Calibri" w:hAnsi="Times" w:cs="Times"/>
          <w:sz w:val="24"/>
          <w:szCs w:val="24"/>
        </w:rPr>
        <w:t xml:space="preserve"> </w:t>
      </w:r>
      <w:r w:rsidRPr="006C6BFA">
        <w:rPr>
          <w:rFonts w:ascii="Times" w:eastAsia="Calibri" w:hAnsi="Times" w:cs="Times"/>
          <w:sz w:val="24"/>
          <w:szCs w:val="24"/>
        </w:rPr>
        <w:t>financing both the MNE itself, and its various foreign affiliate components</w:t>
      </w:r>
    </w:p>
    <w:p w:rsidR="006C6BFA" w:rsidRPr="0090254E" w:rsidRDefault="006C6BFA" w:rsidP="00A87D08">
      <w:pPr>
        <w:spacing w:before="480" w:after="160" w:line="259" w:lineRule="auto"/>
        <w:rPr>
          <w:rFonts w:ascii="Calibri" w:eastAsia="Calibri" w:hAnsi="Calibri"/>
          <w:sz w:val="22"/>
          <w:szCs w:val="22"/>
        </w:rPr>
      </w:pPr>
      <w:r w:rsidRPr="0090254E">
        <w:rPr>
          <w:rFonts w:ascii="Helvetica" w:eastAsia="Calibri" w:hAnsi="Helvetica"/>
          <w:sz w:val="28"/>
          <w:szCs w:val="28"/>
        </w:rPr>
        <w:sym w:font="Wingdings" w:char="F06E"/>
      </w:r>
      <w:r w:rsidRPr="0090254E">
        <w:rPr>
          <w:rFonts w:ascii="Helvetica" w:eastAsia="Calibri" w:hAnsi="Helvetica"/>
          <w:sz w:val="28"/>
          <w:szCs w:val="28"/>
        </w:rPr>
        <w:t xml:space="preserve">  </w:t>
      </w:r>
      <w:r w:rsidRPr="0090254E">
        <w:rPr>
          <w:rFonts w:ascii="Helvetica" w:eastAsia="Calibri" w:hAnsi="Helvetica"/>
          <w:b/>
          <w:sz w:val="28"/>
          <w:szCs w:val="28"/>
        </w:rPr>
        <w:t>Chapter Outline</w:t>
      </w:r>
      <w:r w:rsidRPr="0090254E">
        <w:rPr>
          <w:rFonts w:ascii="Calibri" w:eastAsia="Calibri" w:hAnsi="Calibri"/>
          <w:sz w:val="22"/>
          <w:szCs w:val="22"/>
        </w:rPr>
        <w:t xml:space="preserve"> </w:t>
      </w:r>
    </w:p>
    <w:p w:rsidR="006C6BFA" w:rsidRDefault="006C6BFA" w:rsidP="00A87D08">
      <w:pPr>
        <w:pStyle w:val="OutlineI"/>
      </w:pPr>
      <w:r>
        <w:t>Designing a Strategy to Source Capital Globally</w:t>
      </w:r>
    </w:p>
    <w:p w:rsidR="006C6BFA" w:rsidRDefault="006C6BFA" w:rsidP="00A87D08">
      <w:pPr>
        <w:pStyle w:val="OutlineI"/>
      </w:pPr>
      <w:r>
        <w:t>Optimal Financial Structure</w:t>
      </w:r>
    </w:p>
    <w:p w:rsidR="006C6BFA" w:rsidRDefault="006C6BFA" w:rsidP="00A87D08">
      <w:pPr>
        <w:pStyle w:val="OutlineI"/>
      </w:pPr>
      <w:r>
        <w:t>Optimal Financial Structure and the MNE</w:t>
      </w:r>
    </w:p>
    <w:p w:rsidR="006C6BFA" w:rsidRDefault="006C6BFA" w:rsidP="00A87D08">
      <w:pPr>
        <w:pStyle w:val="OutlineA"/>
      </w:pPr>
      <w:r>
        <w:t>Availability of Capital</w:t>
      </w:r>
    </w:p>
    <w:p w:rsidR="00E36F90" w:rsidRDefault="00E36F90" w:rsidP="00A87D08">
      <w:pPr>
        <w:pStyle w:val="OutlineA"/>
      </w:pPr>
      <w:r>
        <w:t>Diversification of Cash Flows</w:t>
      </w:r>
    </w:p>
    <w:p w:rsidR="00E36F90" w:rsidRDefault="00E36F90" w:rsidP="00A87D08">
      <w:pPr>
        <w:pStyle w:val="OutlineA"/>
      </w:pPr>
      <w:r>
        <w:t>Foreign Exchange Risk and the Cost of Debt</w:t>
      </w:r>
    </w:p>
    <w:p w:rsidR="00E36F90" w:rsidRDefault="00E36F90" w:rsidP="00A87D08">
      <w:pPr>
        <w:pStyle w:val="OutlineA"/>
      </w:pPr>
      <w:r>
        <w:t>Expectations of International Portfolio Investors</w:t>
      </w:r>
    </w:p>
    <w:p w:rsidR="00E36F90" w:rsidRDefault="00E36F90" w:rsidP="00A87D08">
      <w:pPr>
        <w:pStyle w:val="OutlineI"/>
      </w:pPr>
      <w:r>
        <w:t>Raising Equity Globally</w:t>
      </w:r>
    </w:p>
    <w:p w:rsidR="00E36F90" w:rsidRDefault="00E36F90" w:rsidP="00A87D08">
      <w:pPr>
        <w:pStyle w:val="OutlineA"/>
        <w:numPr>
          <w:ilvl w:val="0"/>
          <w:numId w:val="35"/>
        </w:numPr>
      </w:pPr>
      <w:r>
        <w:t>Initial Public Offering (IPO)</w:t>
      </w:r>
    </w:p>
    <w:p w:rsidR="00E36F90" w:rsidRDefault="00E36F90" w:rsidP="00A87D08">
      <w:pPr>
        <w:pStyle w:val="OutlineA"/>
      </w:pPr>
      <w:proofErr w:type="spellStart"/>
      <w:r>
        <w:t>Euroequity</w:t>
      </w:r>
      <w:proofErr w:type="spellEnd"/>
      <w:r>
        <w:t xml:space="preserve"> Issue</w:t>
      </w:r>
    </w:p>
    <w:p w:rsidR="00E36F90" w:rsidRDefault="00E36F90" w:rsidP="00A87D08">
      <w:pPr>
        <w:pStyle w:val="OutlineA"/>
      </w:pPr>
      <w:r>
        <w:t>Directed Public Share Issues</w:t>
      </w:r>
    </w:p>
    <w:p w:rsidR="00E36F90" w:rsidRDefault="00E36F90" w:rsidP="00A87D08">
      <w:pPr>
        <w:pStyle w:val="OutlineI"/>
      </w:pPr>
      <w:r>
        <w:t>Depository Receipts</w:t>
      </w:r>
    </w:p>
    <w:p w:rsidR="00E36F90" w:rsidRDefault="00E36F90" w:rsidP="00A87D08">
      <w:pPr>
        <w:pStyle w:val="OutlineA"/>
        <w:numPr>
          <w:ilvl w:val="0"/>
          <w:numId w:val="36"/>
        </w:numPr>
      </w:pPr>
      <w:r>
        <w:t>ADR Mechanics</w:t>
      </w:r>
    </w:p>
    <w:p w:rsidR="00E36F90" w:rsidRDefault="00E36F90" w:rsidP="00A87D08">
      <w:pPr>
        <w:pStyle w:val="OutlineA"/>
      </w:pPr>
      <w:r>
        <w:t>ADR Program Structures</w:t>
      </w:r>
    </w:p>
    <w:p w:rsidR="00E36F90" w:rsidRDefault="00E36F90" w:rsidP="00A87D08">
      <w:pPr>
        <w:pStyle w:val="Outlline1"/>
      </w:pPr>
      <w:r>
        <w:t>Level I (over-the-counter or pink sheets) DR Programs</w:t>
      </w:r>
    </w:p>
    <w:p w:rsidR="00E36F90" w:rsidRDefault="00E36F90" w:rsidP="00A87D08">
      <w:pPr>
        <w:pStyle w:val="Outlline1"/>
      </w:pPr>
      <w:r>
        <w:t>Level II DR Programs</w:t>
      </w:r>
    </w:p>
    <w:p w:rsidR="00E36F90" w:rsidRDefault="00E36F90" w:rsidP="00A87D08">
      <w:pPr>
        <w:pStyle w:val="Outlline1"/>
      </w:pPr>
      <w:r>
        <w:t>Level III DR Programs</w:t>
      </w:r>
    </w:p>
    <w:p w:rsidR="00E36F90" w:rsidRDefault="00E36F90" w:rsidP="00A87D08">
      <w:pPr>
        <w:pStyle w:val="OutlineA"/>
      </w:pPr>
      <w:r>
        <w:lastRenderedPageBreak/>
        <w:t>DR Markets Today: Who, What, and Where</w:t>
      </w:r>
    </w:p>
    <w:p w:rsidR="00E36F90" w:rsidRDefault="00E36F90" w:rsidP="00A87D08">
      <w:pPr>
        <w:pStyle w:val="Outlline1"/>
        <w:numPr>
          <w:ilvl w:val="0"/>
          <w:numId w:val="37"/>
        </w:numPr>
      </w:pPr>
      <w:r>
        <w:t>The Who</w:t>
      </w:r>
    </w:p>
    <w:p w:rsidR="00E36F90" w:rsidRDefault="00E36F90" w:rsidP="00A87D08">
      <w:pPr>
        <w:pStyle w:val="Outlline1"/>
      </w:pPr>
      <w:r>
        <w:t>The What</w:t>
      </w:r>
    </w:p>
    <w:p w:rsidR="00E36F90" w:rsidRDefault="00E36F90" w:rsidP="00A87D08">
      <w:pPr>
        <w:pStyle w:val="Outlline1"/>
      </w:pPr>
      <w:r>
        <w:t>The Where</w:t>
      </w:r>
    </w:p>
    <w:p w:rsidR="00E36F90" w:rsidRDefault="00E36F90" w:rsidP="00A87D08">
      <w:pPr>
        <w:pStyle w:val="OutlineA"/>
      </w:pPr>
      <w:r>
        <w:t>Global Registered Shares (GRS)</w:t>
      </w:r>
    </w:p>
    <w:p w:rsidR="00E36F90" w:rsidRDefault="00E36F90" w:rsidP="00A87D08">
      <w:pPr>
        <w:pStyle w:val="OutlineI"/>
      </w:pPr>
      <w:r>
        <w:t>Private Placement</w:t>
      </w:r>
    </w:p>
    <w:p w:rsidR="00E36F90" w:rsidRDefault="00E36F90" w:rsidP="00A87D08">
      <w:pPr>
        <w:pStyle w:val="OutlineA"/>
        <w:numPr>
          <w:ilvl w:val="0"/>
          <w:numId w:val="38"/>
        </w:numPr>
      </w:pPr>
      <w:r>
        <w:t>SEC Rule 144A</w:t>
      </w:r>
    </w:p>
    <w:p w:rsidR="00E36F90" w:rsidRDefault="00E36F90" w:rsidP="00A87D08">
      <w:pPr>
        <w:pStyle w:val="OutlineA"/>
      </w:pPr>
      <w:r>
        <w:t>Private Equity Funds</w:t>
      </w:r>
    </w:p>
    <w:p w:rsidR="00E36F90" w:rsidRDefault="00E36F90" w:rsidP="00A87D08">
      <w:pPr>
        <w:pStyle w:val="OutlineI"/>
      </w:pPr>
      <w:r>
        <w:t>Foreign Equity Listing and Issuance</w:t>
      </w:r>
    </w:p>
    <w:p w:rsidR="00E36F90" w:rsidRDefault="00E36F90" w:rsidP="00A87D08">
      <w:pPr>
        <w:pStyle w:val="OutlineA"/>
        <w:numPr>
          <w:ilvl w:val="0"/>
          <w:numId w:val="39"/>
        </w:numPr>
      </w:pPr>
      <w:r>
        <w:t>Improving Liquidity</w:t>
      </w:r>
    </w:p>
    <w:p w:rsidR="00E36F90" w:rsidRDefault="00E36F90" w:rsidP="00A87D08">
      <w:pPr>
        <w:pStyle w:val="Outlline1"/>
        <w:numPr>
          <w:ilvl w:val="0"/>
          <w:numId w:val="40"/>
        </w:numPr>
      </w:pPr>
      <w:r>
        <w:t>Stock Exchanges</w:t>
      </w:r>
    </w:p>
    <w:p w:rsidR="00E36F90" w:rsidRDefault="00E36F90" w:rsidP="00A87D08">
      <w:pPr>
        <w:pStyle w:val="Outlline1"/>
      </w:pPr>
      <w:r>
        <w:t>Electronic Trading</w:t>
      </w:r>
    </w:p>
    <w:p w:rsidR="00E36F90" w:rsidRDefault="00E36F90" w:rsidP="00A87D08">
      <w:pPr>
        <w:pStyle w:val="OutlineA"/>
      </w:pPr>
      <w:r>
        <w:t>Promoting Shares and Share Prices</w:t>
      </w:r>
    </w:p>
    <w:p w:rsidR="00E36F90" w:rsidRDefault="00E36F90" w:rsidP="00A87D08">
      <w:pPr>
        <w:pStyle w:val="Outlline1"/>
        <w:numPr>
          <w:ilvl w:val="0"/>
          <w:numId w:val="41"/>
        </w:numPr>
      </w:pPr>
      <w:r>
        <w:t>Cross-Listing</w:t>
      </w:r>
    </w:p>
    <w:p w:rsidR="00E36F90" w:rsidRDefault="00E36F90" w:rsidP="00A87D08">
      <w:pPr>
        <w:pStyle w:val="Outlline1"/>
      </w:pPr>
      <w:r>
        <w:t>Equity Issuance</w:t>
      </w:r>
    </w:p>
    <w:p w:rsidR="00E36F90" w:rsidRDefault="00E36F90" w:rsidP="00A87D08">
      <w:pPr>
        <w:pStyle w:val="OutlineA"/>
      </w:pPr>
      <w:r>
        <w:t>Increasing Visibility and Political Acceptance</w:t>
      </w:r>
    </w:p>
    <w:p w:rsidR="00E36F90" w:rsidRDefault="00E36F90" w:rsidP="00A87D08">
      <w:pPr>
        <w:pStyle w:val="OutlineA"/>
      </w:pPr>
      <w:r>
        <w:t>Establish Liquid Secondary Markets</w:t>
      </w:r>
    </w:p>
    <w:p w:rsidR="00E36F90" w:rsidRDefault="00E36F90" w:rsidP="00A87D08">
      <w:pPr>
        <w:pStyle w:val="Outlline1"/>
        <w:numPr>
          <w:ilvl w:val="0"/>
          <w:numId w:val="42"/>
        </w:numPr>
      </w:pPr>
      <w:r>
        <w:t>Funding Growth by Acquisitions</w:t>
      </w:r>
    </w:p>
    <w:p w:rsidR="00E36F90" w:rsidRDefault="00E36F90" w:rsidP="00A87D08">
      <w:pPr>
        <w:pStyle w:val="Outlline1"/>
      </w:pPr>
      <w:r>
        <w:t>Compensating Management and Employees</w:t>
      </w:r>
    </w:p>
    <w:p w:rsidR="00E36F90" w:rsidRDefault="00E36F90" w:rsidP="00A87D08">
      <w:pPr>
        <w:pStyle w:val="OutlineA"/>
      </w:pPr>
      <w:r>
        <w:t>Barriers to Cross-Listing and Selling Equity Abroad</w:t>
      </w:r>
    </w:p>
    <w:p w:rsidR="00E36F90" w:rsidRDefault="00E36F90" w:rsidP="00A87D08">
      <w:pPr>
        <w:pStyle w:val="Outlline1"/>
        <w:numPr>
          <w:ilvl w:val="0"/>
          <w:numId w:val="43"/>
        </w:numPr>
      </w:pPr>
      <w:r w:rsidRPr="00E36F90">
        <w:t>The Commitment to Disclosure and Investor Relations</w:t>
      </w:r>
    </w:p>
    <w:p w:rsidR="00E36F90" w:rsidRDefault="00E36F90" w:rsidP="00A87D08">
      <w:pPr>
        <w:pStyle w:val="Outlline1"/>
      </w:pPr>
      <w:r w:rsidRPr="00E36F90">
        <w:t>Disclosure Is a Double-Edged Sword</w:t>
      </w:r>
    </w:p>
    <w:p w:rsidR="00E36F90" w:rsidRDefault="00E36F90" w:rsidP="00A87D08">
      <w:pPr>
        <w:pStyle w:val="OutlineI"/>
      </w:pPr>
      <w:r w:rsidRPr="00E36F90">
        <w:t>Raising Debt Globally</w:t>
      </w:r>
    </w:p>
    <w:p w:rsidR="00E36F90" w:rsidRPr="00E36F90" w:rsidRDefault="00E36F90" w:rsidP="00155538">
      <w:pPr>
        <w:pStyle w:val="OutlineA"/>
        <w:numPr>
          <w:ilvl w:val="0"/>
          <w:numId w:val="48"/>
        </w:numPr>
      </w:pPr>
      <w:r w:rsidRPr="00E36F90">
        <w:t>Bank Loans and Syndications</w:t>
      </w:r>
    </w:p>
    <w:p w:rsidR="00E36F90" w:rsidRDefault="00E36F90" w:rsidP="00A87D08">
      <w:pPr>
        <w:pStyle w:val="Outlline1"/>
        <w:numPr>
          <w:ilvl w:val="0"/>
          <w:numId w:val="44"/>
        </w:numPr>
      </w:pPr>
      <w:r w:rsidRPr="00E36F90">
        <w:t>International Bank Loans</w:t>
      </w:r>
    </w:p>
    <w:p w:rsidR="00E36F90" w:rsidRDefault="00E36F90" w:rsidP="00A87D08">
      <w:pPr>
        <w:pStyle w:val="Outlline1"/>
      </w:pPr>
      <w:proofErr w:type="spellStart"/>
      <w:r>
        <w:t>Eurocredits</w:t>
      </w:r>
      <w:proofErr w:type="spellEnd"/>
    </w:p>
    <w:p w:rsidR="00E36F90" w:rsidRDefault="00E36F90" w:rsidP="00A87D08">
      <w:pPr>
        <w:pStyle w:val="Outlline1"/>
      </w:pPr>
      <w:r>
        <w:t>Syndicated Credits</w:t>
      </w:r>
    </w:p>
    <w:p w:rsidR="00E36F90" w:rsidRDefault="00E36F90" w:rsidP="00A87D08">
      <w:pPr>
        <w:pStyle w:val="OutlineA"/>
      </w:pPr>
      <w:proofErr w:type="spellStart"/>
      <w:r>
        <w:t>Euronote</w:t>
      </w:r>
      <w:proofErr w:type="spellEnd"/>
      <w:r>
        <w:t xml:space="preserve"> Market</w:t>
      </w:r>
    </w:p>
    <w:p w:rsidR="00E36F90" w:rsidRDefault="00E36F90" w:rsidP="00A87D08">
      <w:pPr>
        <w:pStyle w:val="Outlline1"/>
        <w:numPr>
          <w:ilvl w:val="0"/>
          <w:numId w:val="45"/>
        </w:numPr>
      </w:pPr>
      <w:proofErr w:type="spellStart"/>
      <w:r w:rsidRPr="00E36F90">
        <w:t>Euronotes</w:t>
      </w:r>
      <w:proofErr w:type="spellEnd"/>
      <w:r w:rsidRPr="00E36F90">
        <w:t xml:space="preserve"> and </w:t>
      </w:r>
      <w:proofErr w:type="spellStart"/>
      <w:r w:rsidRPr="00E36F90">
        <w:t>Euronote</w:t>
      </w:r>
      <w:proofErr w:type="spellEnd"/>
      <w:r w:rsidRPr="00E36F90">
        <w:t xml:space="preserve"> Facilities</w:t>
      </w:r>
    </w:p>
    <w:p w:rsidR="00E36F90" w:rsidRDefault="00E36F90" w:rsidP="00A87D08">
      <w:pPr>
        <w:pStyle w:val="Outlline1"/>
      </w:pPr>
      <w:proofErr w:type="spellStart"/>
      <w:r w:rsidRPr="00E36F90">
        <w:t>Eurocommercial</w:t>
      </w:r>
      <w:proofErr w:type="spellEnd"/>
      <w:r w:rsidRPr="00E36F90">
        <w:t xml:space="preserve"> Paper (ECP)</w:t>
      </w:r>
    </w:p>
    <w:p w:rsidR="00E36F90" w:rsidRDefault="00E36F90" w:rsidP="00A87D08">
      <w:pPr>
        <w:pStyle w:val="Outlline1"/>
      </w:pPr>
      <w:r w:rsidRPr="00E36F90">
        <w:t>Euro Medium-Term Notes (EMTNs)</w:t>
      </w:r>
    </w:p>
    <w:p w:rsidR="00E36F90" w:rsidRDefault="00E36F90" w:rsidP="00A87D08">
      <w:pPr>
        <w:pStyle w:val="OutlineA"/>
      </w:pPr>
      <w:r w:rsidRPr="00E36F90">
        <w:t>International Bond Market</w:t>
      </w:r>
    </w:p>
    <w:p w:rsidR="00E36F90" w:rsidRDefault="00E36F90" w:rsidP="00A87D08">
      <w:pPr>
        <w:pStyle w:val="Outlline1"/>
        <w:numPr>
          <w:ilvl w:val="0"/>
          <w:numId w:val="46"/>
        </w:numPr>
      </w:pPr>
      <w:r>
        <w:t>Eurobonds</w:t>
      </w:r>
    </w:p>
    <w:p w:rsidR="00E36F90" w:rsidRDefault="00E36F90" w:rsidP="00A87D08">
      <w:pPr>
        <w:pStyle w:val="OutlineA"/>
        <w:numPr>
          <w:ilvl w:val="1"/>
          <w:numId w:val="32"/>
        </w:numPr>
      </w:pPr>
      <w:r w:rsidRPr="00E36F90">
        <w:t>The Straight Fixed-Rate Issue</w:t>
      </w:r>
    </w:p>
    <w:p w:rsidR="00E36F90" w:rsidRDefault="00E36F90" w:rsidP="00A87D08">
      <w:pPr>
        <w:pStyle w:val="OutlineA"/>
        <w:numPr>
          <w:ilvl w:val="1"/>
          <w:numId w:val="32"/>
        </w:numPr>
      </w:pPr>
      <w:r w:rsidRPr="00E36F90">
        <w:t>The Floating-Rate Note</w:t>
      </w:r>
    </w:p>
    <w:p w:rsidR="00E36F90" w:rsidRDefault="00E36F90" w:rsidP="00A87D08">
      <w:pPr>
        <w:pStyle w:val="OutlineA"/>
        <w:numPr>
          <w:ilvl w:val="1"/>
          <w:numId w:val="32"/>
        </w:numPr>
      </w:pPr>
      <w:r w:rsidRPr="00E36F90">
        <w:t>The Equity-Related Issue</w:t>
      </w:r>
    </w:p>
    <w:p w:rsidR="00E36F90" w:rsidRDefault="00E36F90" w:rsidP="00A87D08">
      <w:pPr>
        <w:pStyle w:val="Outlline1"/>
      </w:pPr>
      <w:r>
        <w:t>Foreign Bonds</w:t>
      </w:r>
    </w:p>
    <w:p w:rsidR="00E36F90" w:rsidRDefault="00E36F90" w:rsidP="00691A2C">
      <w:pPr>
        <w:pStyle w:val="OutlineA"/>
        <w:keepNext/>
      </w:pPr>
      <w:r w:rsidRPr="00E36F90">
        <w:lastRenderedPageBreak/>
        <w:t>Unique Characteristics of Eurobond Markets</w:t>
      </w:r>
    </w:p>
    <w:p w:rsidR="00E36F90" w:rsidRDefault="00E36F90" w:rsidP="00691A2C">
      <w:pPr>
        <w:pStyle w:val="Outlline1"/>
        <w:keepNext/>
        <w:numPr>
          <w:ilvl w:val="0"/>
          <w:numId w:val="47"/>
        </w:numPr>
      </w:pPr>
      <w:r w:rsidRPr="00E36F90">
        <w:t>Absence of Regulatory Interference</w:t>
      </w:r>
    </w:p>
    <w:p w:rsidR="00E36F90" w:rsidRDefault="00E36F90" w:rsidP="00691A2C">
      <w:pPr>
        <w:pStyle w:val="Outlline1"/>
        <w:keepNext/>
      </w:pPr>
      <w:r w:rsidRPr="00E36F90">
        <w:t>Less Stringent Disclosure</w:t>
      </w:r>
    </w:p>
    <w:p w:rsidR="00E36F90" w:rsidRDefault="00E36F90" w:rsidP="00691A2C">
      <w:pPr>
        <w:pStyle w:val="Outlline1"/>
        <w:keepNext/>
      </w:pPr>
      <w:r w:rsidRPr="00E36F90">
        <w:t>Favorable Tax Treatment</w:t>
      </w:r>
    </w:p>
    <w:p w:rsidR="00E36F90" w:rsidRPr="00E36F90" w:rsidRDefault="00E36F90" w:rsidP="00A87D08">
      <w:pPr>
        <w:pStyle w:val="Outlline1"/>
      </w:pPr>
      <w:r>
        <w:t>Ratings</w:t>
      </w:r>
    </w:p>
    <w:p w:rsidR="002672AF" w:rsidRDefault="00824419" w:rsidP="00A87D08">
      <w:pPr>
        <w:pStyle w:val="awTB01questionHead"/>
        <w:numPr>
          <w:ilvl w:val="0"/>
          <w:numId w:val="19"/>
        </w:numPr>
        <w:tabs>
          <w:tab w:val="num" w:pos="360"/>
        </w:tabs>
        <w:spacing w:before="480"/>
      </w:pPr>
      <w:r>
        <w:rPr>
          <w:szCs w:val="28"/>
        </w:rPr>
        <w:sym w:font="Wingdings" w:char="F06E"/>
      </w:r>
      <w:r>
        <w:t> </w:t>
      </w:r>
      <w:r>
        <w:t>Questions</w:t>
      </w:r>
    </w:p>
    <w:p w:rsidR="002672AF" w:rsidRDefault="00824419" w:rsidP="002F4492">
      <w:pPr>
        <w:pStyle w:val="MCQList1"/>
        <w:ind w:left="446" w:hanging="446"/>
      </w:pPr>
      <w:r>
        <w:tab/>
      </w:r>
      <w:proofErr w:type="gramStart"/>
      <w:r>
        <w:t>1.</w:t>
      </w:r>
      <w:r>
        <w:tab/>
      </w:r>
      <w:r>
        <w:rPr>
          <w:b/>
        </w:rPr>
        <w:t>Designing a Strategy to Source Equity Globally.</w:t>
      </w:r>
      <w:proofErr w:type="gramEnd"/>
      <w:r>
        <w:rPr>
          <w:b/>
        </w:rPr>
        <w:t xml:space="preserve"> </w:t>
      </w:r>
      <w:r w:rsidR="002F4492">
        <w:t>Exhibit 13.1 illustrates alternative paths to globalizing the cost and availability of capital. Why do you think the strategic path to sourcing equity starts with debt?</w:t>
      </w:r>
    </w:p>
    <w:p w:rsidR="002672AF" w:rsidRDefault="00163459" w:rsidP="00A87D08">
      <w:pPr>
        <w:pStyle w:val="MCQAnswer"/>
      </w:pPr>
      <w:r>
        <w:t xml:space="preserve">Because </w:t>
      </w:r>
      <w:r w:rsidR="002F4492">
        <w:t xml:space="preserve">most firms that have only raised capital in their domestic market </w:t>
      </w:r>
      <w:proofErr w:type="gramStart"/>
      <w:r w:rsidR="002F4492">
        <w:t>are not sufficiently well known</w:t>
      </w:r>
      <w:proofErr w:type="gramEnd"/>
      <w:r w:rsidR="002F4492">
        <w:t xml:space="preserve"> to attract foreign investors, it is often a better strategy to issue international debt before raising equity globally.</w:t>
      </w:r>
      <w:r w:rsidR="00332668">
        <w:t xml:space="preserve">  Given that a</w:t>
      </w:r>
      <w:r w:rsidR="002F4492">
        <w:t xml:space="preserve"> firm’s debt is less risky than its equity, beginning with a debt offering allows foreign investors to become </w:t>
      </w:r>
      <w:r w:rsidR="00332668">
        <w:t xml:space="preserve">acquainted with the firm </w:t>
      </w:r>
      <w:r>
        <w:t xml:space="preserve">using </w:t>
      </w:r>
      <w:r w:rsidR="00332668">
        <w:t>their relatively safe bonds.  After the firm becomes better known, an equity offering will likely be more successful.</w:t>
      </w:r>
      <w:r w:rsidR="002F4492">
        <w:t xml:space="preserve"> </w:t>
      </w:r>
    </w:p>
    <w:p w:rsidR="002672AF" w:rsidRDefault="006C6BFA" w:rsidP="006C6BFA">
      <w:pPr>
        <w:pStyle w:val="awTBfig"/>
        <w:ind w:left="825"/>
        <w:jc w:val="center"/>
      </w:pPr>
      <w:r w:rsidRPr="006C6BFA">
        <w:rPr>
          <w:noProof/>
        </w:rPr>
        <w:drawing>
          <wp:inline distT="0" distB="0" distL="0" distR="0" wp14:anchorId="4A613914" wp14:editId="0ED79BBF">
            <wp:extent cx="4663440" cy="3858768"/>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63440" cy="3858768"/>
                    </a:xfrm>
                    <a:prstGeom prst="rect">
                      <a:avLst/>
                    </a:prstGeom>
                  </pic:spPr>
                </pic:pic>
              </a:graphicData>
            </a:graphic>
          </wp:inline>
        </w:drawing>
      </w:r>
    </w:p>
    <w:p w:rsidR="00332668" w:rsidRDefault="00332668" w:rsidP="00332668">
      <w:pPr>
        <w:pStyle w:val="MCQList1"/>
        <w:spacing w:before="0"/>
        <w:ind w:left="0" w:firstLine="0"/>
      </w:pPr>
    </w:p>
    <w:p w:rsidR="002672AF" w:rsidRDefault="00824419" w:rsidP="00332668">
      <w:pPr>
        <w:pStyle w:val="MCQList1"/>
        <w:spacing w:before="0"/>
        <w:ind w:left="0" w:firstLine="0"/>
      </w:pPr>
      <w:r>
        <w:tab/>
      </w:r>
      <w:proofErr w:type="gramStart"/>
      <w:r>
        <w:t>2.</w:t>
      </w:r>
      <w:r>
        <w:tab/>
      </w:r>
      <w:r>
        <w:rPr>
          <w:b/>
        </w:rPr>
        <w:t>Depositary Receipts—Definitions.</w:t>
      </w:r>
      <w:proofErr w:type="gramEnd"/>
      <w:r>
        <w:t xml:space="preserve"> Define the following terms:</w:t>
      </w:r>
    </w:p>
    <w:p w:rsidR="002672AF" w:rsidRDefault="00824419">
      <w:pPr>
        <w:pStyle w:val="MCQList2"/>
      </w:pPr>
      <w:r>
        <w:t>a.</w:t>
      </w:r>
      <w:r>
        <w:tab/>
      </w:r>
      <w:r>
        <w:rPr>
          <w:iCs/>
        </w:rPr>
        <w:t>ADRs</w:t>
      </w:r>
      <w:r>
        <w:t xml:space="preserve"> </w:t>
      </w:r>
    </w:p>
    <w:p w:rsidR="002672AF" w:rsidRDefault="00824419" w:rsidP="00A87D08">
      <w:pPr>
        <w:pStyle w:val="MCQAnswerBL"/>
      </w:pPr>
      <w:r>
        <w:tab/>
      </w:r>
      <w:r>
        <w:rPr>
          <w:i/>
        </w:rPr>
        <w:t>Depositary receipts</w:t>
      </w:r>
      <w:r>
        <w:t xml:space="preserve"> (depositary shares) are negotiable certificates issued by a bank to represent the underlying shares of stock, which </w:t>
      </w:r>
      <w:proofErr w:type="gramStart"/>
      <w:r>
        <w:t>are held</w:t>
      </w:r>
      <w:proofErr w:type="gramEnd"/>
      <w:r>
        <w:t xml:space="preserve"> in trust at a foreign custodian bank. </w:t>
      </w:r>
      <w:r>
        <w:rPr>
          <w:i/>
        </w:rPr>
        <w:t>American depositary receipts</w:t>
      </w:r>
      <w:r>
        <w:t xml:space="preserve"> </w:t>
      </w:r>
      <w:r>
        <w:rPr>
          <w:i/>
        </w:rPr>
        <w:t>(ADRs)</w:t>
      </w:r>
      <w:r>
        <w:t xml:space="preserve"> are certificates traded in the United States and denominated in U.S. dollars. ADRs </w:t>
      </w:r>
      <w:proofErr w:type="gramStart"/>
      <w:r>
        <w:t xml:space="preserve">are sold, </w:t>
      </w:r>
      <w:r>
        <w:lastRenderedPageBreak/>
        <w:t>registered, and transferred in the United States in the same manner as any share of stock, with each ADR representing some multiple of the underlying foreign share</w:t>
      </w:r>
      <w:proofErr w:type="gramEnd"/>
      <w:r>
        <w:t xml:space="preserve">. </w:t>
      </w:r>
    </w:p>
    <w:p w:rsidR="002672AF" w:rsidRDefault="00824419">
      <w:pPr>
        <w:pStyle w:val="MCQList2"/>
      </w:pPr>
      <w:r>
        <w:t>b.</w:t>
      </w:r>
      <w:r>
        <w:tab/>
      </w:r>
      <w:r>
        <w:rPr>
          <w:iCs/>
        </w:rPr>
        <w:t>GDRs</w:t>
      </w:r>
      <w:r>
        <w:t xml:space="preserve"> </w:t>
      </w:r>
    </w:p>
    <w:p w:rsidR="002672AF" w:rsidRDefault="00824419" w:rsidP="00A87D08">
      <w:pPr>
        <w:pStyle w:val="MCQAnswerBL"/>
      </w:pPr>
      <w:r>
        <w:tab/>
      </w:r>
      <w:r>
        <w:rPr>
          <w:i/>
        </w:rPr>
        <w:t>Global depositary receipts (GDRs)</w:t>
      </w:r>
      <w:r>
        <w:t xml:space="preserve"> are similar to ADRs but refer to certificates traded outside of the </w:t>
      </w:r>
      <w:r w:rsidRPr="00A87D08">
        <w:t>United</w:t>
      </w:r>
      <w:r>
        <w:t xml:space="preserve"> States.</w:t>
      </w:r>
    </w:p>
    <w:p w:rsidR="00A87D08" w:rsidRDefault="00824419" w:rsidP="00A87D08">
      <w:pPr>
        <w:pStyle w:val="MCQList2"/>
        <w:keepNext/>
      </w:pPr>
      <w:r>
        <w:t>c.</w:t>
      </w:r>
      <w:r>
        <w:tab/>
      </w:r>
      <w:r>
        <w:rPr>
          <w:iCs/>
        </w:rPr>
        <w:t>Sponsored depositary receipts</w:t>
      </w:r>
      <w:r>
        <w:t xml:space="preserve"> </w:t>
      </w:r>
    </w:p>
    <w:p w:rsidR="002672AF" w:rsidRDefault="00A87D08" w:rsidP="00A87D08">
      <w:pPr>
        <w:pStyle w:val="MCQAnswerBL"/>
      </w:pPr>
      <w:r>
        <w:tab/>
      </w:r>
      <w:r w:rsidR="00824419">
        <w:rPr>
          <w:i/>
        </w:rPr>
        <w:t>Sponsored ADRs</w:t>
      </w:r>
      <w:r w:rsidR="00824419">
        <w:t xml:space="preserve"> </w:t>
      </w:r>
      <w:proofErr w:type="gramStart"/>
      <w:r w:rsidR="00824419">
        <w:t>are created</w:t>
      </w:r>
      <w:proofErr w:type="gramEnd"/>
      <w:r w:rsidR="00824419">
        <w:t xml:space="preserve"> at the request of a foreign firm wanting its shares traded in the United States. The firm applies to the Securities and Exchange Commission (SEC) and a U.S. bank for registration and issuance of ADRs. </w:t>
      </w:r>
    </w:p>
    <w:p w:rsidR="002672AF" w:rsidRDefault="00824419">
      <w:pPr>
        <w:pStyle w:val="MCQList2"/>
      </w:pPr>
      <w:r>
        <w:t>d.</w:t>
      </w:r>
      <w:r>
        <w:tab/>
      </w:r>
      <w:r>
        <w:rPr>
          <w:iCs/>
        </w:rPr>
        <w:t>Unsponsored depositary receipts</w:t>
      </w:r>
      <w:r>
        <w:t xml:space="preserve"> </w:t>
      </w:r>
    </w:p>
    <w:p w:rsidR="002672AF" w:rsidRDefault="00824419" w:rsidP="00A87D08">
      <w:pPr>
        <w:pStyle w:val="MCQAnswerBL"/>
      </w:pPr>
      <w:r>
        <w:tab/>
        <w:t xml:space="preserve">If a foreign firm does not seek to have its shares traded in the United States but U.S. investors are interested, a U.S. securities firm may initiate creation of the ADRs. Such an ADR would be </w:t>
      </w:r>
      <w:r>
        <w:rPr>
          <w:i/>
        </w:rPr>
        <w:t>unsponsored</w:t>
      </w:r>
      <w:r>
        <w:t>, but the SEC still requires that all new ADR programs must have approval of the firm itself even if it is not a sponsored ADR.</w:t>
      </w:r>
    </w:p>
    <w:p w:rsidR="002672AF" w:rsidRDefault="00824419">
      <w:pPr>
        <w:pStyle w:val="MCQList1"/>
      </w:pPr>
      <w:r>
        <w:tab/>
      </w:r>
      <w:proofErr w:type="gramStart"/>
      <w:r>
        <w:t>3.</w:t>
      </w:r>
      <w:r>
        <w:tab/>
      </w:r>
      <w:r>
        <w:rPr>
          <w:b/>
        </w:rPr>
        <w:t>ADRs.</w:t>
      </w:r>
      <w:proofErr w:type="gramEnd"/>
      <w:r>
        <w:rPr>
          <w:b/>
        </w:rPr>
        <w:t xml:space="preserve"> </w:t>
      </w:r>
      <w:r>
        <w:t>Distinguish between the three levels of commitment for ADRs traded in the United States.</w:t>
      </w:r>
    </w:p>
    <w:p w:rsidR="002672AF" w:rsidRDefault="00824419" w:rsidP="00A87D08">
      <w:pPr>
        <w:pStyle w:val="MCQAnswerBL"/>
      </w:pPr>
      <w:r>
        <w:rPr>
          <w:rFonts w:ascii="Symbol" w:hAnsi="Symbol"/>
        </w:rPr>
        <w:sym w:font="Symbol" w:char="F0B7"/>
      </w:r>
      <w:r>
        <w:tab/>
      </w:r>
      <w:r>
        <w:rPr>
          <w:spacing w:val="-3"/>
        </w:rPr>
        <w:t>Level I (“over the counter” or pink sheets) is the easiest level of commitment to satisfy. It facilitates</w:t>
      </w:r>
      <w:r>
        <w:t xml:space="preserve"> trading in foreign securities that </w:t>
      </w:r>
      <w:proofErr w:type="gramStart"/>
      <w:r>
        <w:t>have been acquired</w:t>
      </w:r>
      <w:proofErr w:type="gramEnd"/>
      <w:r>
        <w:t xml:space="preserve"> by U.S. investors but are not registered with the SEC. It is the least costly approach but might have a minimal impact on liquidity. </w:t>
      </w:r>
    </w:p>
    <w:p w:rsidR="002672AF" w:rsidRDefault="00824419" w:rsidP="00A87D08">
      <w:pPr>
        <w:pStyle w:val="MCQAnswerBL"/>
      </w:pPr>
      <w:r>
        <w:rPr>
          <w:rFonts w:ascii="Symbol" w:hAnsi="Symbol"/>
        </w:rPr>
        <w:sym w:font="Symbol" w:char="F0B7"/>
      </w:r>
      <w:r>
        <w:tab/>
        <w:t>Level II applies to firms that want to list existing shares on the NYSE-EURONEXT, ASE, or NASDAQ markets. They must meet the full registration requirements of the SEC. This means reconciling their financial accounts with those used under U.S.</w:t>
      </w:r>
      <w:r w:rsidR="00163459">
        <w:t xml:space="preserve"> </w:t>
      </w:r>
      <w:r>
        <w:t>GAAP, raising the costs considerably.</w:t>
      </w:r>
    </w:p>
    <w:p w:rsidR="002672AF" w:rsidRDefault="00824419" w:rsidP="00A87D08">
      <w:pPr>
        <w:pStyle w:val="MCQAnswerBL"/>
      </w:pPr>
      <w:r>
        <w:rPr>
          <w:rFonts w:ascii="Symbol" w:hAnsi="Symbol"/>
        </w:rPr>
        <w:sym w:font="Symbol" w:char="F0B7"/>
      </w:r>
      <w:r>
        <w:tab/>
      </w:r>
      <w:r>
        <w:rPr>
          <w:spacing w:val="-3"/>
        </w:rPr>
        <w:t>Level III applies to the sale of a new equity issued in the United States. It too requires full registration</w:t>
      </w:r>
      <w:r>
        <w:t xml:space="preserve"> with the SEC and an elaborate stock prospectus. This is the most expensive alternative, but is the most likely to improve the stock’s liquidity and escape from home market segmentation.</w:t>
      </w:r>
    </w:p>
    <w:p w:rsidR="002672AF" w:rsidRDefault="00824419">
      <w:pPr>
        <w:pStyle w:val="MCQList1"/>
        <w:keepNext w:val="0"/>
        <w:keepLines w:val="0"/>
      </w:pPr>
      <w:r>
        <w:tab/>
      </w:r>
      <w:proofErr w:type="gramStart"/>
      <w:r>
        <w:t>4.</w:t>
      </w:r>
      <w:r>
        <w:tab/>
      </w:r>
      <w:r>
        <w:rPr>
          <w:b/>
        </w:rPr>
        <w:t>Foreign Equity Listing and Issuance.</w:t>
      </w:r>
      <w:proofErr w:type="gramEnd"/>
      <w:r>
        <w:rPr>
          <w:b/>
        </w:rPr>
        <w:t xml:space="preserve"> </w:t>
      </w:r>
      <w:r>
        <w:t xml:space="preserve">Give five reasons why a firm might cross-list and sell its shares on a </w:t>
      </w:r>
      <w:proofErr w:type="gramStart"/>
      <w:r>
        <w:t>very liquid</w:t>
      </w:r>
      <w:proofErr w:type="gramEnd"/>
      <w:r>
        <w:t xml:space="preserve"> stock exchange.</w:t>
      </w:r>
    </w:p>
    <w:p w:rsidR="002672AF" w:rsidRDefault="00824419" w:rsidP="00A87D08">
      <w:pPr>
        <w:pStyle w:val="MCQAnswerBL"/>
      </w:pPr>
      <w:r>
        <w:rPr>
          <w:rFonts w:ascii="Symbol" w:hAnsi="Symbol"/>
        </w:rPr>
        <w:sym w:font="Symbol" w:char="F0B7"/>
      </w:r>
      <w:r>
        <w:tab/>
        <w:t>Improve the liquidity of its existing shares and support a liquid secondary market for new equity issues in foreign markets.</w:t>
      </w:r>
    </w:p>
    <w:p w:rsidR="002672AF" w:rsidRDefault="00824419" w:rsidP="00A87D08">
      <w:pPr>
        <w:pStyle w:val="MCQAnswerBL"/>
      </w:pPr>
      <w:r>
        <w:rPr>
          <w:rFonts w:ascii="Symbol" w:hAnsi="Symbol"/>
        </w:rPr>
        <w:sym w:font="Symbol" w:char="F0B7"/>
      </w:r>
      <w:r>
        <w:tab/>
        <w:t>Increase its share price by overcoming mispricing in a segmented and illiquid home capital market.</w:t>
      </w:r>
    </w:p>
    <w:p w:rsidR="002672AF" w:rsidRDefault="00824419" w:rsidP="00A87D08">
      <w:pPr>
        <w:pStyle w:val="MCQAnswerBL"/>
      </w:pPr>
      <w:r>
        <w:rPr>
          <w:rFonts w:ascii="Symbol" w:hAnsi="Symbol"/>
        </w:rPr>
        <w:sym w:font="Symbol" w:char="F0B7"/>
      </w:r>
      <w:r>
        <w:rPr>
          <w:rFonts w:ascii="Symbol" w:hAnsi="Symbol"/>
        </w:rPr>
        <w:tab/>
      </w:r>
      <w:r>
        <w:t>Increase the firm’s visibility and political acceptance to its customers, suppliers, creditors, and host governments.</w:t>
      </w:r>
    </w:p>
    <w:p w:rsidR="002672AF" w:rsidRDefault="00824419" w:rsidP="00A87D08">
      <w:pPr>
        <w:pStyle w:val="MCQAnswerBL"/>
      </w:pPr>
      <w:r>
        <w:rPr>
          <w:rFonts w:ascii="Symbol" w:hAnsi="Symbol"/>
        </w:rPr>
        <w:sym w:font="Symbol" w:char="F0B7"/>
      </w:r>
      <w:r>
        <w:tab/>
        <w:t>Establish a secondary market for shares used to acquire other firms in the host market.</w:t>
      </w:r>
    </w:p>
    <w:p w:rsidR="002672AF" w:rsidRDefault="00824419" w:rsidP="00A87D08">
      <w:pPr>
        <w:pStyle w:val="MCQAnswerBL"/>
      </w:pPr>
      <w:r>
        <w:rPr>
          <w:rFonts w:ascii="Symbol" w:hAnsi="Symbol"/>
        </w:rPr>
        <w:sym w:font="Symbol" w:char="F0B7"/>
      </w:r>
      <w:r>
        <w:tab/>
        <w:t xml:space="preserve">Create a secondary market for shares that </w:t>
      </w:r>
      <w:proofErr w:type="gramStart"/>
      <w:r>
        <w:t>can be used</w:t>
      </w:r>
      <w:proofErr w:type="gramEnd"/>
      <w:r>
        <w:t xml:space="preserve"> to compensate local management and employees in foreign subsidiaries.</w:t>
      </w:r>
    </w:p>
    <w:p w:rsidR="00163459" w:rsidRDefault="00163459" w:rsidP="00163459">
      <w:pPr>
        <w:pStyle w:val="MCQList1"/>
        <w:ind w:left="446" w:hanging="446"/>
      </w:pPr>
      <w:proofErr w:type="gramStart"/>
      <w:r>
        <w:t>5.</w:t>
      </w:r>
      <w:r>
        <w:tab/>
      </w:r>
      <w:r>
        <w:tab/>
      </w:r>
      <w:r w:rsidRPr="00400538">
        <w:rPr>
          <w:b/>
        </w:rPr>
        <w:t>Cross-Listing Abroad.</w:t>
      </w:r>
      <w:proofErr w:type="gramEnd"/>
      <w:r>
        <w:t xml:space="preserve"> What are the main reasons causing U.S. firms to cross-list abroad?</w:t>
      </w:r>
      <w:r w:rsidR="00824419">
        <w:tab/>
      </w:r>
    </w:p>
    <w:p w:rsidR="00D15650" w:rsidRDefault="00D15650" w:rsidP="00D15650">
      <w:pPr>
        <w:pStyle w:val="MCQAnswer"/>
      </w:pPr>
      <w:r w:rsidRPr="00D15650">
        <w:t xml:space="preserve">A 2002 study of U.S. firms that issued equity abroad concluded that increased name recognition and accessibility from global equity issues leads to increased investor recognition and participation in both the primary and secondary markets. Moreover, the ability to issue global shares can validate firm quality by reducing the information asymmetry between insiders and investors. Another conclusion was that U.S. firms </w:t>
      </w:r>
      <w:proofErr w:type="gramStart"/>
      <w:r w:rsidRPr="00D15650">
        <w:t>may</w:t>
      </w:r>
      <w:proofErr w:type="gramEnd"/>
      <w:r w:rsidRPr="00D15650">
        <w:t xml:space="preserve"> seize a window of opportunity to switch to global offerings when domestic demand for their shares is weak. Finally, the study found that U.S. firms announcing global equity offerings have significantly fewer negative market reactions by about one percentage point than what </w:t>
      </w:r>
      <w:proofErr w:type="gramStart"/>
      <w:r w:rsidRPr="00D15650">
        <w:t>would have been expected</w:t>
      </w:r>
      <w:proofErr w:type="gramEnd"/>
      <w:r w:rsidRPr="00D15650">
        <w:t xml:space="preserve"> had they limited their issues to the domestic market.</w:t>
      </w:r>
    </w:p>
    <w:p w:rsidR="002672AF" w:rsidRDefault="00163459" w:rsidP="00163459">
      <w:pPr>
        <w:pStyle w:val="MCQList1"/>
        <w:ind w:left="446" w:hanging="446"/>
      </w:pPr>
      <w:proofErr w:type="gramStart"/>
      <w:r>
        <w:lastRenderedPageBreak/>
        <w:t>6</w:t>
      </w:r>
      <w:r w:rsidR="00824419">
        <w:t>.</w:t>
      </w:r>
      <w:r w:rsidR="00824419">
        <w:tab/>
      </w:r>
      <w:r w:rsidR="00400538">
        <w:tab/>
      </w:r>
      <w:r w:rsidR="00824419">
        <w:rPr>
          <w:b/>
        </w:rPr>
        <w:t>Barriers to Cross-Listing.</w:t>
      </w:r>
      <w:proofErr w:type="gramEnd"/>
      <w:r w:rsidR="00824419">
        <w:rPr>
          <w:b/>
        </w:rPr>
        <w:t xml:space="preserve"> </w:t>
      </w:r>
      <w:r w:rsidR="00824419">
        <w:t xml:space="preserve">What are the main barriers to </w:t>
      </w:r>
      <w:proofErr w:type="gramStart"/>
      <w:r w:rsidR="00824419">
        <w:t>cross-listing</w:t>
      </w:r>
      <w:proofErr w:type="gramEnd"/>
      <w:r w:rsidR="00824419">
        <w:t xml:space="preserve"> abroad?</w:t>
      </w:r>
    </w:p>
    <w:p w:rsidR="002672AF" w:rsidRDefault="00824419" w:rsidP="00A87D08">
      <w:pPr>
        <w:pStyle w:val="MCQAnswer"/>
      </w:pPr>
      <w:r>
        <w:t xml:space="preserve">A decision to cross-list </w:t>
      </w:r>
      <w:proofErr w:type="gramStart"/>
      <w:r>
        <w:t>must be balanced</w:t>
      </w:r>
      <w:proofErr w:type="gramEnd"/>
      <w:r>
        <w:t xml:space="preserve"> against the implied increased commitment to full disclosure and a continuing investor relations program. For firms resident in the Anglo-American markets, listing abroad might not appear to be much of a barrier. For example, the SEC’s disclosure rules for listing in the United States are so stringent and costly that any other market’s rules are mere child’s play. Reversing the logic, however, non-U.S. firms must really think twice before </w:t>
      </w:r>
      <w:proofErr w:type="gramStart"/>
      <w:r>
        <w:t>cross-listing</w:t>
      </w:r>
      <w:proofErr w:type="gramEnd"/>
      <w:r>
        <w:t xml:space="preserve"> in the United States. Not only are the disclosure requirements breathtaking, but also continuous timely quarterly information is required by U.S. regulators and investors. As a result, the foreign firm must provide a costly continuous investor relations program for its U.S. shareholders, including frequent “road shows” and the time-consuming personal involvement of top management.</w:t>
      </w:r>
    </w:p>
    <w:p w:rsidR="002672AF" w:rsidRPr="00EE2241" w:rsidRDefault="00163459" w:rsidP="00EE2241">
      <w:pPr>
        <w:pStyle w:val="MCQList1"/>
        <w:tabs>
          <w:tab w:val="clear" w:pos="270"/>
        </w:tabs>
        <w:ind w:left="270" w:hanging="270"/>
      </w:pPr>
      <w:proofErr w:type="gramStart"/>
      <w:r>
        <w:t>7</w:t>
      </w:r>
      <w:r w:rsidR="00824419">
        <w:t>.</w:t>
      </w:r>
      <w:r w:rsidR="00A87D08">
        <w:tab/>
      </w:r>
      <w:r w:rsidR="00824419" w:rsidRPr="00EE2241">
        <w:rPr>
          <w:b/>
        </w:rPr>
        <w:t>Alternative Instruments.</w:t>
      </w:r>
      <w:proofErr w:type="gramEnd"/>
      <w:r w:rsidR="00824419" w:rsidRPr="00EE2241">
        <w:t xml:space="preserve"> </w:t>
      </w:r>
      <w:r w:rsidR="00824419">
        <w:t xml:space="preserve">What are </w:t>
      </w:r>
      <w:r w:rsidR="00D15650">
        <w:t>four</w:t>
      </w:r>
      <w:r>
        <w:t xml:space="preserve"> </w:t>
      </w:r>
      <w:r w:rsidR="00824419">
        <w:t xml:space="preserve">alternative instruments that </w:t>
      </w:r>
      <w:r w:rsidR="00EE2241">
        <w:t xml:space="preserve">can be used to source equity in </w:t>
      </w:r>
      <w:r w:rsidR="00824419">
        <w:t>global markets?</w:t>
      </w:r>
    </w:p>
    <w:p w:rsidR="007A6AF7" w:rsidRDefault="007A6AF7" w:rsidP="00A87D08">
      <w:pPr>
        <w:pStyle w:val="MCQAnswer"/>
        <w:keepNext/>
      </w:pPr>
      <w:r>
        <w:t>Exhibit 13.4 lists the four main equity alternatives in the global market.</w:t>
      </w:r>
    </w:p>
    <w:p w:rsidR="007A6AF7" w:rsidRDefault="007A6AF7">
      <w:pPr>
        <w:pStyle w:val="MCQList1"/>
        <w:ind w:left="604" w:hanging="590"/>
      </w:pPr>
      <w:r w:rsidRPr="007A6AF7">
        <w:rPr>
          <w:noProof/>
        </w:rPr>
        <w:drawing>
          <wp:inline distT="0" distB="0" distL="0" distR="0" wp14:anchorId="5C2AEBB6" wp14:editId="75A180C0">
            <wp:extent cx="5989320" cy="2731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89320" cy="2731770"/>
                    </a:xfrm>
                    <a:prstGeom prst="rect">
                      <a:avLst/>
                    </a:prstGeom>
                  </pic:spPr>
                </pic:pic>
              </a:graphicData>
            </a:graphic>
          </wp:inline>
        </w:drawing>
      </w:r>
    </w:p>
    <w:p w:rsidR="002672AF" w:rsidRDefault="00824419">
      <w:pPr>
        <w:pStyle w:val="MCQList1"/>
        <w:ind w:left="604" w:hanging="590"/>
      </w:pPr>
      <w:r>
        <w:tab/>
      </w:r>
      <w:proofErr w:type="gramStart"/>
      <w:r w:rsidR="00163459">
        <w:t>8</w:t>
      </w:r>
      <w:r>
        <w:t>.</w:t>
      </w:r>
      <w:r>
        <w:tab/>
      </w:r>
      <w:r>
        <w:rPr>
          <w:b/>
        </w:rPr>
        <w:t>Directed Public Share Issue</w:t>
      </w:r>
      <w:r w:rsidR="00163459">
        <w:rPr>
          <w:b/>
        </w:rPr>
        <w:t>.</w:t>
      </w:r>
      <w:proofErr w:type="gramEnd"/>
    </w:p>
    <w:p w:rsidR="002672AF" w:rsidRDefault="00824419">
      <w:pPr>
        <w:pStyle w:val="MCQList2"/>
      </w:pPr>
      <w:r>
        <w:t>a.</w:t>
      </w:r>
      <w:r>
        <w:tab/>
      </w:r>
      <w:r w:rsidR="007A6AF7" w:rsidRPr="007A6AF7">
        <w:t>What is a “directed public share issue?”</w:t>
      </w:r>
      <w:r>
        <w:t xml:space="preserve"> </w:t>
      </w:r>
    </w:p>
    <w:p w:rsidR="002672AF" w:rsidRDefault="00824419" w:rsidP="00A87D08">
      <w:pPr>
        <w:pStyle w:val="MCQAnswerBL"/>
      </w:pPr>
      <w:r>
        <w:tab/>
        <w:t xml:space="preserve">A </w:t>
      </w:r>
      <w:r>
        <w:rPr>
          <w:i/>
        </w:rPr>
        <w:t>directed public share issue</w:t>
      </w:r>
      <w:r>
        <w:t xml:space="preserve"> </w:t>
      </w:r>
      <w:proofErr w:type="gramStart"/>
      <w:r>
        <w:t>is defined</w:t>
      </w:r>
      <w:proofErr w:type="gramEnd"/>
      <w:r>
        <w:t xml:space="preserve"> as one that is targeted at investors in a single country and underwritten in whole or in part by investment institutions from that country. The issue might or might not be denominated in the currency of the target market. The shares might or might not be cross-listed on a stock exchange in the target market.</w:t>
      </w:r>
    </w:p>
    <w:p w:rsidR="002672AF" w:rsidRDefault="00824419" w:rsidP="007A6AF7">
      <w:pPr>
        <w:pStyle w:val="MCQList2"/>
      </w:pPr>
      <w:r>
        <w:t>b.</w:t>
      </w:r>
      <w:r>
        <w:tab/>
      </w:r>
      <w:r w:rsidR="007A6AF7" w:rsidRPr="007A6AF7">
        <w:rPr>
          <w:spacing w:val="-4"/>
        </w:rPr>
        <w:t>What are some of the motivations for directed public</w:t>
      </w:r>
      <w:r w:rsidR="007A6AF7">
        <w:rPr>
          <w:spacing w:val="-4"/>
        </w:rPr>
        <w:t xml:space="preserve"> </w:t>
      </w:r>
      <w:r w:rsidR="007A6AF7" w:rsidRPr="007A6AF7">
        <w:rPr>
          <w:spacing w:val="-4"/>
        </w:rPr>
        <w:t>share issues?</w:t>
      </w:r>
    </w:p>
    <w:p w:rsidR="002672AF" w:rsidRDefault="00824419" w:rsidP="00A87D08">
      <w:pPr>
        <w:pStyle w:val="MCQAnswerBL"/>
      </w:pPr>
      <w:r>
        <w:tab/>
      </w:r>
      <w:r w:rsidR="00C6031A">
        <w:t xml:space="preserve">A directed issue </w:t>
      </w:r>
      <w:proofErr w:type="gramStart"/>
      <w:r w:rsidR="00C6031A">
        <w:t>might be motivated</w:t>
      </w:r>
      <w:proofErr w:type="gramEnd"/>
      <w:r w:rsidR="00C6031A">
        <w:t xml:space="preserve"> by a need to fund acquisitions or major capital investments in a target foreign market. This is an especially important source of equity for firms that reside in smaller capital markets and that have outgrown that market.</w:t>
      </w:r>
    </w:p>
    <w:p w:rsidR="00163459" w:rsidRDefault="00824419" w:rsidP="00C6031A">
      <w:pPr>
        <w:pStyle w:val="MCQList1"/>
        <w:rPr>
          <w:b/>
        </w:rPr>
      </w:pPr>
      <w:r>
        <w:lastRenderedPageBreak/>
        <w:tab/>
      </w:r>
      <w:r w:rsidR="00163459">
        <w:t>9</w:t>
      </w:r>
      <w:r>
        <w:t>.</w:t>
      </w:r>
      <w:r>
        <w:rPr>
          <w:b/>
        </w:rPr>
        <w:tab/>
      </w:r>
      <w:proofErr w:type="spellStart"/>
      <w:r>
        <w:rPr>
          <w:b/>
        </w:rPr>
        <w:t>Euroequity</w:t>
      </w:r>
      <w:proofErr w:type="spellEnd"/>
      <w:r>
        <w:rPr>
          <w:b/>
        </w:rPr>
        <w:t xml:space="preserve"> Public Share Issue. </w:t>
      </w:r>
    </w:p>
    <w:p w:rsidR="002672AF" w:rsidRDefault="00C6031A" w:rsidP="00163459">
      <w:pPr>
        <w:pStyle w:val="List2"/>
      </w:pPr>
      <w:r>
        <w:t>What is a “</w:t>
      </w:r>
      <w:proofErr w:type="spellStart"/>
      <w:r>
        <w:t>euroequity</w:t>
      </w:r>
      <w:proofErr w:type="spellEnd"/>
      <w:r>
        <w:t xml:space="preserve"> public share issue?”</w:t>
      </w:r>
    </w:p>
    <w:p w:rsidR="002672AF" w:rsidRDefault="00824419" w:rsidP="00691A2C">
      <w:pPr>
        <w:pStyle w:val="MCQAnswer"/>
        <w:tabs>
          <w:tab w:val="clear" w:pos="446"/>
        </w:tabs>
        <w:ind w:left="540"/>
      </w:pPr>
      <w:r>
        <w:t xml:space="preserve">When a firm issues equity underwritten and distributed in multiple foreign equity markets, sometimes simultaneously with distribution in the domestic market, the issue </w:t>
      </w:r>
      <w:proofErr w:type="gramStart"/>
      <w:r>
        <w:t>is known</w:t>
      </w:r>
      <w:proofErr w:type="gramEnd"/>
      <w:r>
        <w:t xml:space="preserve"> as a </w:t>
      </w:r>
      <w:proofErr w:type="spellStart"/>
      <w:r>
        <w:rPr>
          <w:i/>
        </w:rPr>
        <w:t>euroequity</w:t>
      </w:r>
      <w:proofErr w:type="spellEnd"/>
      <w:r>
        <w:rPr>
          <w:i/>
        </w:rPr>
        <w:t xml:space="preserve"> public share issue</w:t>
      </w:r>
      <w:r>
        <w:t xml:space="preserve">. </w:t>
      </w:r>
      <w:r>
        <w:rPr>
          <w:rFonts w:cs="TimesTen-Roman"/>
        </w:rPr>
        <w:t xml:space="preserve">The objective is both to raise funds and to ensure post-issue worldwide liquidity. </w:t>
      </w:r>
      <w:r>
        <w:t xml:space="preserve">The term “euro” does not imply that the issuers or investors are located in Europe, nor does it mean the shares </w:t>
      </w:r>
      <w:proofErr w:type="gramStart"/>
      <w:r>
        <w:t>are sold</w:t>
      </w:r>
      <w:proofErr w:type="gramEnd"/>
      <w:r>
        <w:t xml:space="preserve"> in the currency “euro.” It is a generic term for international securities issues originating and being sold anywhere in the world.</w:t>
      </w:r>
    </w:p>
    <w:p w:rsidR="002672AF" w:rsidRDefault="00163459">
      <w:pPr>
        <w:pStyle w:val="MCQList1"/>
      </w:pPr>
      <w:r>
        <w:t>10</w:t>
      </w:r>
      <w:r w:rsidR="00824419">
        <w:t>.</w:t>
      </w:r>
      <w:r w:rsidR="00EE2241">
        <w:tab/>
      </w:r>
      <w:r w:rsidR="00824419">
        <w:tab/>
      </w:r>
      <w:r w:rsidR="00824419">
        <w:rPr>
          <w:b/>
        </w:rPr>
        <w:t>Private Placement under SEC Rule 144A</w:t>
      </w:r>
    </w:p>
    <w:p w:rsidR="002672AF" w:rsidRDefault="00824419">
      <w:pPr>
        <w:pStyle w:val="MCQList2"/>
        <w:rPr>
          <w:bCs/>
        </w:rPr>
      </w:pPr>
      <w:r>
        <w:t>a.</w:t>
      </w:r>
      <w:r>
        <w:rPr>
          <w:b/>
        </w:rPr>
        <w:tab/>
      </w:r>
      <w:r>
        <w:rPr>
          <w:bCs/>
          <w:iCs/>
        </w:rPr>
        <w:t xml:space="preserve">What is SEC Rule </w:t>
      </w:r>
      <w:r>
        <w:rPr>
          <w:bCs/>
        </w:rPr>
        <w:t>144A?</w:t>
      </w:r>
    </w:p>
    <w:p w:rsidR="002672AF" w:rsidRDefault="00824419" w:rsidP="00A87D08">
      <w:pPr>
        <w:pStyle w:val="MCQAnswerBL"/>
      </w:pPr>
      <w:r>
        <w:rPr>
          <w:bCs/>
        </w:rPr>
        <w:tab/>
      </w:r>
      <w:r>
        <w:t xml:space="preserve">In April </w:t>
      </w:r>
      <w:proofErr w:type="gramStart"/>
      <w:r>
        <w:t>1990</w:t>
      </w:r>
      <w:proofErr w:type="gramEnd"/>
      <w:r>
        <w:t xml:space="preserve"> the SEC approved Rule 144A. It permits qualified institutional buyers to trade privately</w:t>
      </w:r>
      <w:r w:rsidR="00163459">
        <w:t xml:space="preserve"> </w:t>
      </w:r>
      <w:r>
        <w:t xml:space="preserve">placed securities without the previous holding period restrictions and without requiring SEC registration. A </w:t>
      </w:r>
      <w:r>
        <w:rPr>
          <w:i/>
        </w:rPr>
        <w:t>qualified institutional buyer</w:t>
      </w:r>
      <w:r>
        <w:t xml:space="preserve"> (QIB) is an entity (except a bank or a savings and loan) that owns and invests on a discretionary basis $100 million in securities of non-affiliates. </w:t>
      </w:r>
      <w:proofErr w:type="gramStart"/>
      <w:r>
        <w:t>Banks and savings</w:t>
      </w:r>
      <w:proofErr w:type="gramEnd"/>
      <w:r>
        <w:t xml:space="preserve"> and loans must meet this test but also must have a minimum net worth of $25 million.</w:t>
      </w:r>
    </w:p>
    <w:p w:rsidR="002672AF" w:rsidRDefault="00824419">
      <w:pPr>
        <w:pStyle w:val="MCQList2"/>
        <w:rPr>
          <w:bCs/>
        </w:rPr>
      </w:pPr>
      <w:r>
        <w:t>b.</w:t>
      </w:r>
      <w:r>
        <w:tab/>
      </w:r>
      <w:r>
        <w:rPr>
          <w:bCs/>
          <w:iCs/>
        </w:rPr>
        <w:t xml:space="preserve">Why might a foreign firm choose to sell its equity in the United States under SEC Rule </w:t>
      </w:r>
      <w:r>
        <w:rPr>
          <w:bCs/>
        </w:rPr>
        <w:t>144A?</w:t>
      </w:r>
    </w:p>
    <w:p w:rsidR="002672AF" w:rsidRDefault="00824419" w:rsidP="00A87D08">
      <w:pPr>
        <w:pStyle w:val="MCQAnswerBL"/>
      </w:pPr>
      <w:r>
        <w:rPr>
          <w:bCs/>
        </w:rPr>
        <w:tab/>
      </w:r>
      <w:r w:rsidR="00163459">
        <w:t xml:space="preserve">Because </w:t>
      </w:r>
      <w:r>
        <w:t xml:space="preserve">SEC registration </w:t>
      </w:r>
      <w:proofErr w:type="gramStart"/>
      <w:r>
        <w:t>has been identified</w:t>
      </w:r>
      <w:proofErr w:type="gramEnd"/>
      <w:r>
        <w:t xml:space="preserve"> as the main barrier to foreign firms wishing to raise funds in the United States, SEC Rule 144A placements are proving attractive to foreign issuers of both equity and debt securities. </w:t>
      </w:r>
    </w:p>
    <w:p w:rsidR="002672AF" w:rsidRDefault="00163459" w:rsidP="00163459">
      <w:pPr>
        <w:pStyle w:val="MCQList1"/>
        <w:ind w:left="446" w:hanging="446"/>
        <w:rPr>
          <w:b/>
        </w:rPr>
      </w:pPr>
      <w:r>
        <w:t>1</w:t>
      </w:r>
      <w:r w:rsidR="00824419">
        <w:t>1.</w:t>
      </w:r>
      <w:r w:rsidR="00824419">
        <w:tab/>
      </w:r>
      <w:r w:rsidR="00824419">
        <w:rPr>
          <w:b/>
        </w:rPr>
        <w:t>Private Equity Funds</w:t>
      </w:r>
    </w:p>
    <w:p w:rsidR="002672AF" w:rsidRDefault="00824419" w:rsidP="00A87D08">
      <w:pPr>
        <w:pStyle w:val="MCQList2"/>
        <w:keepNext/>
      </w:pPr>
      <w:r>
        <w:t>a.</w:t>
      </w:r>
      <w:r>
        <w:tab/>
      </w:r>
      <w:r>
        <w:rPr>
          <w:bCs/>
          <w:iCs/>
        </w:rPr>
        <w:t>What is a private equity fund</w:t>
      </w:r>
      <w:r>
        <w:rPr>
          <w:bCs/>
        </w:rPr>
        <w:t xml:space="preserve">? </w:t>
      </w:r>
    </w:p>
    <w:p w:rsidR="002672AF" w:rsidRDefault="00824419" w:rsidP="00A87D08">
      <w:pPr>
        <w:pStyle w:val="MCQAnswerBL"/>
      </w:pPr>
      <w:r>
        <w:tab/>
      </w:r>
      <w:r>
        <w:rPr>
          <w:i/>
        </w:rPr>
        <w:t>Private equity funds</w:t>
      </w:r>
      <w:r>
        <w:t xml:space="preserve"> are usually limited partnerships of institutional and wealthy investors, such as college endowment funds, that raise capital in the most liquid capital markets. They </w:t>
      </w:r>
      <w:proofErr w:type="gramStart"/>
      <w:r>
        <w:t>are best known</w:t>
      </w:r>
      <w:proofErr w:type="gramEnd"/>
      <w:r>
        <w:t xml:space="preserve"> for buying control of publicly owned firms, taking them private, improving management, and then reselling them after one to three years. They are resold in a variety of ways including selling the firms to other firms, other private equity funds, or taking them back public. </w:t>
      </w:r>
    </w:p>
    <w:p w:rsidR="002672AF" w:rsidRDefault="00824419" w:rsidP="00163459">
      <w:pPr>
        <w:pStyle w:val="MCQList2"/>
        <w:spacing w:before="120"/>
        <w:rPr>
          <w:bCs/>
        </w:rPr>
      </w:pPr>
      <w:r>
        <w:t>b.</w:t>
      </w:r>
      <w:r>
        <w:tab/>
      </w:r>
      <w:r w:rsidR="00C6031A" w:rsidRPr="00C6031A">
        <w:rPr>
          <w:bCs/>
          <w:iCs/>
        </w:rPr>
        <w:t>How do private equity funds differ from traditional</w:t>
      </w:r>
      <w:r w:rsidR="00C6031A">
        <w:rPr>
          <w:bCs/>
          <w:iCs/>
        </w:rPr>
        <w:t xml:space="preserve"> </w:t>
      </w:r>
      <w:r w:rsidR="00C6031A" w:rsidRPr="00C6031A">
        <w:rPr>
          <w:bCs/>
          <w:iCs/>
        </w:rPr>
        <w:t>venture capital firms?</w:t>
      </w:r>
      <w:r>
        <w:rPr>
          <w:bCs/>
        </w:rPr>
        <w:t xml:space="preserve"> </w:t>
      </w:r>
    </w:p>
    <w:p w:rsidR="002672AF" w:rsidRDefault="00824419" w:rsidP="00A87D08">
      <w:pPr>
        <w:pStyle w:val="MCQAnswerBL"/>
      </w:pPr>
      <w:r>
        <w:rPr>
          <w:bCs/>
        </w:rPr>
        <w:tab/>
      </w:r>
      <w:r>
        <w:t xml:space="preserve">Private equity funds differ from traditional venture capital funds. Venture capital funds usually operate mainly in highly developed countries. They typically invest in start-up firms with the goal of exiting the investment with an initial public offering (IPO) placed in those same </w:t>
      </w:r>
      <w:proofErr w:type="gramStart"/>
      <w:r>
        <w:t>highly liquid</w:t>
      </w:r>
      <w:proofErr w:type="gramEnd"/>
      <w:r>
        <w:t xml:space="preserve"> markets. Very little venture capital is available in emerging markets, partly because it would be difficult to exit with an IPO in an illiquid market. The same exiting problem faces the private equity funds, but they appear to have a longer time horizon. They invest in already mature and profitable companies. They are content with growing companies through better management and mergers with other firms.</w:t>
      </w:r>
    </w:p>
    <w:p w:rsidR="002672AF" w:rsidRDefault="00824419" w:rsidP="00163459">
      <w:pPr>
        <w:pStyle w:val="MCQList2"/>
        <w:spacing w:before="120"/>
      </w:pPr>
      <w:r>
        <w:t>c.</w:t>
      </w:r>
      <w:r>
        <w:tab/>
      </w:r>
      <w:r>
        <w:rPr>
          <w:iCs/>
        </w:rPr>
        <w:t>How do private equity funds raise their own capital, and how does this action give them a competitive advantage over local banks and investment funds</w:t>
      </w:r>
      <w:r>
        <w:t>?</w:t>
      </w:r>
    </w:p>
    <w:p w:rsidR="002672AF" w:rsidRDefault="00824419" w:rsidP="00A87D08">
      <w:pPr>
        <w:pStyle w:val="MCQAnswerBL"/>
      </w:pPr>
      <w:r>
        <w:tab/>
        <w:t>Many mature family-owned firms resident in emerging markets are unlikely to qualify for a global cost and availability of capital. Although they might be consistently profitable and growing, they are still too small, too invisible to foreign investors, lacking in managerial depth, and unable to fund the upfront costs of a globalization strategy. For these firms, private equity funds may be a solution. Private equity funds give these firms access to capital that is not available through local banks or local investment funds.</w:t>
      </w:r>
    </w:p>
    <w:p w:rsidR="002672AF" w:rsidRDefault="00824419" w:rsidP="00691A2C">
      <w:pPr>
        <w:pStyle w:val="MCQList1"/>
        <w:keepLines w:val="0"/>
      </w:pPr>
      <w:proofErr w:type="gramStart"/>
      <w:r>
        <w:lastRenderedPageBreak/>
        <w:t>1</w:t>
      </w:r>
      <w:r w:rsidR="00163459">
        <w:t>2</w:t>
      </w:r>
      <w:r>
        <w:t>.</w:t>
      </w:r>
      <w:r>
        <w:tab/>
      </w:r>
      <w:r w:rsidR="00C6031A" w:rsidRPr="00C6031A">
        <w:rPr>
          <w:b/>
        </w:rPr>
        <w:t>Optimal Capital Structure Objective</w:t>
      </w:r>
      <w:r>
        <w:rPr>
          <w:b/>
        </w:rPr>
        <w:t>.</w:t>
      </w:r>
      <w:proofErr w:type="gramEnd"/>
      <w:r>
        <w:t xml:space="preserve"> What, in simple wording, is the objective </w:t>
      </w:r>
      <w:r w:rsidR="00163459">
        <w:t>when seeking</w:t>
      </w:r>
      <w:r>
        <w:t xml:space="preserve"> an optimal capital structure?</w:t>
      </w:r>
    </w:p>
    <w:p w:rsidR="00C6031A" w:rsidRDefault="00C6031A" w:rsidP="00A87D08">
      <w:pPr>
        <w:pStyle w:val="MCQAnswer"/>
      </w:pPr>
      <w:r w:rsidRPr="00C6031A">
        <w:t xml:space="preserve">When taxes and bankruptcy costs are considered, a firm has an optimal financial structure determined by that particular mix of debt and equity that minimizes the </w:t>
      </w:r>
      <w:proofErr w:type="gramStart"/>
      <w:r w:rsidRPr="00C6031A">
        <w:t>firm’s</w:t>
      </w:r>
      <w:proofErr w:type="gramEnd"/>
      <w:r w:rsidRPr="00C6031A">
        <w:t xml:space="preserve"> cost of capital for a given level of business risk. If the business risk of new projects differs from the risk of existing projects, the optimal mix of debt and equity would change to recognize trade-offs between business and financial risks.</w:t>
      </w:r>
    </w:p>
    <w:p w:rsidR="002672AF" w:rsidRDefault="00824419" w:rsidP="00C6031A">
      <w:pPr>
        <w:pStyle w:val="MCQList1"/>
        <w:spacing w:before="120"/>
        <w:ind w:left="446" w:hanging="446"/>
      </w:pPr>
      <w:r>
        <w:tab/>
      </w:r>
      <w:proofErr w:type="gramStart"/>
      <w:r>
        <w:t>1</w:t>
      </w:r>
      <w:r w:rsidR="00163459">
        <w:t>3</w:t>
      </w:r>
      <w:r>
        <w:t>.</w:t>
      </w:r>
      <w:r>
        <w:tab/>
      </w:r>
      <w:r>
        <w:rPr>
          <w:b/>
        </w:rPr>
        <w:t>Varying Debt Proportions.</w:t>
      </w:r>
      <w:proofErr w:type="gramEnd"/>
      <w:r>
        <w:t xml:space="preserve"> As debt in a firm’s capital structure is increased from no debt to a significant proportion of debt (say, 60%), what tends to happen to the cost of debt, the cost of equity, and the overall weighted average cost of capital?</w:t>
      </w:r>
    </w:p>
    <w:p w:rsidR="002672AF" w:rsidRDefault="00824419" w:rsidP="00A87D08">
      <w:pPr>
        <w:pStyle w:val="MCQAnswer"/>
      </w:pPr>
      <w:r>
        <w:t>As the debt ratio, defined as total debt divided by total assets at market values, increases, the overall cost of capital (</w:t>
      </w:r>
      <w:proofErr w:type="spellStart"/>
      <w:r>
        <w:rPr>
          <w:i/>
        </w:rPr>
        <w:t>k</w:t>
      </w:r>
      <w:r>
        <w:rPr>
          <w:vertAlign w:val="subscript"/>
        </w:rPr>
        <w:t>wacc</w:t>
      </w:r>
      <w:proofErr w:type="spellEnd"/>
      <w:r>
        <w:t>) decreases because of the heavier weight of low-cost debt [</w:t>
      </w:r>
      <w:proofErr w:type="spellStart"/>
      <w:r>
        <w:rPr>
          <w:i/>
        </w:rPr>
        <w:t>k</w:t>
      </w:r>
      <w:r>
        <w:rPr>
          <w:i/>
          <w:spacing w:val="20"/>
          <w:szCs w:val="22"/>
          <w:vertAlign w:val="subscript"/>
        </w:rPr>
        <w:t>d</w:t>
      </w:r>
      <w:proofErr w:type="spellEnd"/>
      <w:r>
        <w:t xml:space="preserve">(1 </w:t>
      </w:r>
      <w:r>
        <w:rPr>
          <w:rFonts w:ascii="Symbol" w:hAnsi="Symbol"/>
        </w:rPr>
        <w:t></w:t>
      </w:r>
      <w:r>
        <w:t xml:space="preserve"> </w:t>
      </w:r>
      <w:r>
        <w:rPr>
          <w:i/>
        </w:rPr>
        <w:t>t</w:t>
      </w:r>
      <w:r>
        <w:t>)] compared to high-cost equity (</w:t>
      </w:r>
      <w:proofErr w:type="spellStart"/>
      <w:r>
        <w:rPr>
          <w:i/>
        </w:rPr>
        <w:t>k</w:t>
      </w:r>
      <w:r>
        <w:rPr>
          <w:i/>
          <w:vertAlign w:val="subscript"/>
        </w:rPr>
        <w:t>e</w:t>
      </w:r>
      <w:proofErr w:type="spellEnd"/>
      <w:r>
        <w:t xml:space="preserve">). The low cost of debt is, of course, due to the tax deductibility of interest shown by the term (1 </w:t>
      </w:r>
      <w:r>
        <w:rPr>
          <w:rFonts w:ascii="Symbol" w:hAnsi="Symbol"/>
        </w:rPr>
        <w:t></w:t>
      </w:r>
      <w:r>
        <w:t xml:space="preserve"> </w:t>
      </w:r>
      <w:r>
        <w:rPr>
          <w:i/>
        </w:rPr>
        <w:t>t</w:t>
      </w:r>
      <w:r>
        <w:t>). Partly offsetting the favorable effect of more debt is an increase in the cost of equity (</w:t>
      </w:r>
      <w:proofErr w:type="spellStart"/>
      <w:r>
        <w:rPr>
          <w:i/>
        </w:rPr>
        <w:t>k</w:t>
      </w:r>
      <w:r>
        <w:rPr>
          <w:i/>
          <w:vertAlign w:val="subscript"/>
        </w:rPr>
        <w:t>e</w:t>
      </w:r>
      <w:proofErr w:type="spellEnd"/>
      <w:r>
        <w:t>), because investors perceive greater financial risk. Nevertheless, the overall weighted average after-tax cost of capital (</w:t>
      </w:r>
      <w:proofErr w:type="spellStart"/>
      <w:r>
        <w:rPr>
          <w:i/>
        </w:rPr>
        <w:t>k</w:t>
      </w:r>
      <w:r>
        <w:rPr>
          <w:vertAlign w:val="subscript"/>
        </w:rPr>
        <w:t>wacc</w:t>
      </w:r>
      <w:proofErr w:type="spellEnd"/>
      <w:r>
        <w:t xml:space="preserve">) continues to decline as the debt ratio increases, until financial risk becomes so serious that investors and management alike perceive a real danger of insolvency. This result causes a sharp increase in the cost of new debt and equity, thus increasing the weighted average cost of capital. The low point on the resulting U-shaped cost of capital curve defines the debt ratio range in which the cost of capital </w:t>
      </w:r>
      <w:proofErr w:type="gramStart"/>
      <w:r>
        <w:t>is minimized</w:t>
      </w:r>
      <w:proofErr w:type="gramEnd"/>
      <w:r>
        <w:t>. Most theorists believe that the low point is actually a rather broad, flat area encompassing a wide range of debt ratios, 30% to 60%.</w:t>
      </w:r>
    </w:p>
    <w:p w:rsidR="002672AF" w:rsidRDefault="00824419" w:rsidP="00A87D08">
      <w:pPr>
        <w:pStyle w:val="MCQList1"/>
        <w:keepLines w:val="0"/>
      </w:pPr>
      <w:proofErr w:type="gramStart"/>
      <w:r>
        <w:t>1</w:t>
      </w:r>
      <w:r w:rsidR="00756C26">
        <w:t>4</w:t>
      </w:r>
      <w:r>
        <w:t>.</w:t>
      </w:r>
      <w:r>
        <w:tab/>
      </w:r>
      <w:r>
        <w:rPr>
          <w:b/>
        </w:rPr>
        <w:t>Availability of Capital.</w:t>
      </w:r>
      <w:proofErr w:type="gramEnd"/>
      <w:r>
        <w:t xml:space="preserve"> How does the availability of capital influence the theory of optimal capital structure for a multinational enterprise?</w:t>
      </w:r>
    </w:p>
    <w:p w:rsidR="002672AF" w:rsidRDefault="00824419" w:rsidP="00A87D08">
      <w:pPr>
        <w:pStyle w:val="MCQAnswer"/>
      </w:pPr>
      <w:r>
        <w:t xml:space="preserve">Access to capital in global markets allows an MNE to lower its cost of equity and debt compared with most domestic firms. It also permits an MNE to maintain its desired debt ratio, even when significant amounts of new funds </w:t>
      </w:r>
      <w:proofErr w:type="gramStart"/>
      <w:r>
        <w:t>must be raised</w:t>
      </w:r>
      <w:proofErr w:type="gramEnd"/>
      <w:r>
        <w:t xml:space="preserve">. In other words, a multinational firm’s marginal cost of capital is constant for considerable ranges of its capital budget. This statement is not true for most small </w:t>
      </w:r>
      <w:r>
        <w:rPr>
          <w:spacing w:val="-3"/>
        </w:rPr>
        <w:t>domestic firms because they do not have access to the national equity or debt markets. They must either</w:t>
      </w:r>
      <w:r>
        <w:t xml:space="preserve"> rely on internally generated funds or borrow for the short and medium terms from commercial banks.</w:t>
      </w:r>
    </w:p>
    <w:p w:rsidR="002672AF" w:rsidRDefault="00824419" w:rsidP="00A87D08">
      <w:pPr>
        <w:pStyle w:val="MCQAnswer"/>
      </w:pPr>
      <w:r>
        <w:t xml:space="preserve">Multinational firms domiciled in countries that have illiquid capital markets are in almost the same situation as small domestic firms unless they have gained a global cost and availability of capital. They must rely on internally generated funds and bank borrowing. If they need to raise significant amounts of new funds to finance growth opportunities, they may need to borrow more than would be optimal from the viewpoint of minimizing their cost of capital. </w:t>
      </w:r>
      <w:proofErr w:type="gramStart"/>
      <w:r>
        <w:t>This is equivalent to saying that their marginal cost of capital is increasing at higher budget levels.</w:t>
      </w:r>
      <w:proofErr w:type="gramEnd"/>
    </w:p>
    <w:p w:rsidR="002672AF" w:rsidRDefault="00824419">
      <w:pPr>
        <w:pStyle w:val="MCQList1"/>
        <w:keepNext w:val="0"/>
        <w:keepLines w:val="0"/>
      </w:pPr>
      <w:r>
        <w:t>1</w:t>
      </w:r>
      <w:r w:rsidR="00756C26">
        <w:t>5</w:t>
      </w:r>
      <w:r>
        <w:t xml:space="preserve">. </w:t>
      </w:r>
      <w:r>
        <w:tab/>
      </w:r>
      <w:r>
        <w:rPr>
          <w:b/>
        </w:rPr>
        <w:t>Marginal Cost.</w:t>
      </w:r>
      <w:r>
        <w:t xml:space="preserve"> Define “marginal” weighted average cost of capital.</w:t>
      </w:r>
    </w:p>
    <w:p w:rsidR="002672AF" w:rsidRDefault="00824419" w:rsidP="00A87D08">
      <w:pPr>
        <w:pStyle w:val="MCQAnswer"/>
      </w:pPr>
      <w:r>
        <w:t xml:space="preserve">The </w:t>
      </w:r>
      <w:r>
        <w:rPr>
          <w:i/>
        </w:rPr>
        <w:t>marginal cost of capital</w:t>
      </w:r>
      <w:r>
        <w:t xml:space="preserve"> is the weighted average cost of the next currency unit raised. In other words, it is the cost of raising the next dollar, yen, euro, etc.</w:t>
      </w:r>
    </w:p>
    <w:p w:rsidR="002672AF" w:rsidRDefault="00824419">
      <w:pPr>
        <w:pStyle w:val="MCQList1"/>
        <w:keepNext w:val="0"/>
        <w:keepLines w:val="0"/>
      </w:pPr>
      <w:r>
        <w:t>1</w:t>
      </w:r>
      <w:r w:rsidR="00756C26">
        <w:t>6</w:t>
      </w:r>
      <w:r>
        <w:t>.</w:t>
      </w:r>
      <w:r>
        <w:tab/>
      </w:r>
      <w:r>
        <w:rPr>
          <w:b/>
        </w:rPr>
        <w:t>Diversified Cash Flows.</w:t>
      </w:r>
      <w:r>
        <w:t xml:space="preserve"> If a multinational firm is able to diversify its sources of cash inflow so </w:t>
      </w:r>
      <w:r w:rsidR="00756C26">
        <w:t>that it</w:t>
      </w:r>
      <w:r>
        <w:t xml:space="preserve"> </w:t>
      </w:r>
      <w:r>
        <w:rPr>
          <w:spacing w:val="-2"/>
        </w:rPr>
        <w:t>receive</w:t>
      </w:r>
      <w:r w:rsidR="00756C26">
        <w:rPr>
          <w:spacing w:val="-2"/>
        </w:rPr>
        <w:t>s</w:t>
      </w:r>
      <w:r>
        <w:rPr>
          <w:spacing w:val="-2"/>
        </w:rPr>
        <w:t xml:space="preserve"> those flows from several countries and in several currencies, do you think that</w:t>
      </w:r>
      <w:r w:rsidR="00756C26">
        <w:rPr>
          <w:spacing w:val="-2"/>
        </w:rPr>
        <w:t xml:space="preserve"> diversification</w:t>
      </w:r>
      <w:r>
        <w:rPr>
          <w:spacing w:val="-2"/>
        </w:rPr>
        <w:t xml:space="preserve"> tends to increase</w:t>
      </w:r>
      <w:r>
        <w:t xml:space="preserve"> or decrease its weighted average cost of </w:t>
      </w:r>
      <w:proofErr w:type="gramStart"/>
      <w:r>
        <w:t>capital?</w:t>
      </w:r>
      <w:proofErr w:type="gramEnd"/>
    </w:p>
    <w:p w:rsidR="002672AF" w:rsidRDefault="00824419" w:rsidP="00A87D08">
      <w:pPr>
        <w:pStyle w:val="MCQAnswer"/>
      </w:pPr>
      <w:r>
        <w:t>The theoretical possibility exists that multinational firms are in a better position than domestic firms</w:t>
      </w:r>
      <w:r w:rsidR="00756C26">
        <w:t xml:space="preserve"> are</w:t>
      </w:r>
      <w:r>
        <w:t xml:space="preserve"> to support higher debt ratios because their cash flows </w:t>
      </w:r>
      <w:proofErr w:type="gramStart"/>
      <w:r>
        <w:t>are diversified</w:t>
      </w:r>
      <w:proofErr w:type="gramEnd"/>
      <w:r>
        <w:t xml:space="preserve"> internationally. The probability </w:t>
      </w:r>
      <w:r>
        <w:rPr>
          <w:spacing w:val="-3"/>
        </w:rPr>
        <w:t>of a firm covering fixed charges under varying conditions in product, financial, and foreign exchange</w:t>
      </w:r>
      <w:r>
        <w:t xml:space="preserve"> markets should increase if the variability of its cash flow </w:t>
      </w:r>
      <w:proofErr w:type="gramStart"/>
      <w:r>
        <w:t>is minimized</w:t>
      </w:r>
      <w:proofErr w:type="gramEnd"/>
      <w:r>
        <w:t>.</w:t>
      </w:r>
    </w:p>
    <w:p w:rsidR="002672AF" w:rsidRDefault="00824419" w:rsidP="00A87D08">
      <w:pPr>
        <w:pStyle w:val="MCQAnswer"/>
      </w:pPr>
      <w:r>
        <w:lastRenderedPageBreak/>
        <w:t xml:space="preserve">By diversifying cash flows internationally, the MNE might be able to achieve the same kind of reduction in cash flow variability as portfolio investors receive from diversifying their security holdings internationally. Returns </w:t>
      </w:r>
      <w:proofErr w:type="gramStart"/>
      <w:r>
        <w:t>are not correlated</w:t>
      </w:r>
      <w:proofErr w:type="gramEnd"/>
      <w:r>
        <w:t xml:space="preserve"> </w:t>
      </w:r>
      <w:r w:rsidR="00756C26">
        <w:t xml:space="preserve">perfectly </w:t>
      </w:r>
      <w:r>
        <w:t>between countries.</w:t>
      </w:r>
    </w:p>
    <w:p w:rsidR="00EE2241" w:rsidRDefault="00824419" w:rsidP="00A87D08">
      <w:pPr>
        <w:pStyle w:val="MCQAnswer"/>
      </w:pPr>
      <w:r>
        <w:t xml:space="preserve">By reducing the risk of the firm’s cash flows, it should also reduce the cost of debt and cost of equity, thus reducing its weighted average cost of capital. This argument </w:t>
      </w:r>
      <w:proofErr w:type="gramStart"/>
      <w:r>
        <w:t>has been challenged</w:t>
      </w:r>
      <w:proofErr w:type="gramEnd"/>
      <w:r>
        <w:t xml:space="preserve"> by empirical research findings. </w:t>
      </w:r>
    </w:p>
    <w:p w:rsidR="00EE2241" w:rsidRDefault="00824419" w:rsidP="00EE2241">
      <w:pPr>
        <w:pStyle w:val="MCQList1"/>
        <w:keepNext w:val="0"/>
        <w:keepLines w:val="0"/>
        <w:spacing w:before="100"/>
        <w:ind w:left="446" w:hanging="446"/>
      </w:pPr>
      <w:proofErr w:type="gramStart"/>
      <w:r>
        <w:t>1</w:t>
      </w:r>
      <w:r w:rsidR="00756C26">
        <w:t>7</w:t>
      </w:r>
      <w:r>
        <w:t>.</w:t>
      </w:r>
      <w:r>
        <w:tab/>
      </w:r>
      <w:r>
        <w:rPr>
          <w:b/>
        </w:rPr>
        <w:t>Ex-</w:t>
      </w:r>
      <w:r w:rsidR="00756C26">
        <w:rPr>
          <w:b/>
        </w:rPr>
        <w:t>P</w:t>
      </w:r>
      <w:r>
        <w:rPr>
          <w:b/>
        </w:rPr>
        <w:t>ost Cost of Borrowing.</w:t>
      </w:r>
      <w:proofErr w:type="gramEnd"/>
      <w:r>
        <w:t xml:space="preserve"> Many firms in many countries borrow at nominal costs that later prove to be very different. For example, Deutsche Bank recently borrowed at a nominal cost of 9.59% per annum, but later that debt was selling to yield 7.24%. At the same time, the Kingdom of Thailand </w:t>
      </w:r>
      <w:r>
        <w:rPr>
          <w:spacing w:val="-3"/>
        </w:rPr>
        <w:t xml:space="preserve">borrowed at a nominal cost of 8.70% but later found the debt </w:t>
      </w:r>
      <w:proofErr w:type="gramStart"/>
      <w:r>
        <w:rPr>
          <w:spacing w:val="-3"/>
        </w:rPr>
        <w:t>was sold</w:t>
      </w:r>
      <w:proofErr w:type="gramEnd"/>
      <w:r>
        <w:rPr>
          <w:spacing w:val="-3"/>
        </w:rPr>
        <w:t xml:space="preserve"> in the market at a yield of 11.87%.</w:t>
      </w:r>
      <w:r>
        <w:t xml:space="preserve"> What caused these changes, and what might management do to benefit (as Deutsche Bank did) rather than suffer (as the Kingdom of Thailand did)?</w:t>
      </w:r>
    </w:p>
    <w:p w:rsidR="002672AF" w:rsidRDefault="00824419" w:rsidP="00A87D08">
      <w:pPr>
        <w:pStyle w:val="MCQAnswer"/>
      </w:pPr>
      <w:r>
        <w:t>Changes in foreign exchange rates caused the ex-post cost of borrowing to increase or decrease from what was originally expected. Management can only guess at future foreign exchange risk. To benefit from these unexpected changes, management would have to forecast the unexpected</w:t>
      </w:r>
      <w:r w:rsidR="00756C26" w:rsidRPr="00756C26">
        <w:t xml:space="preserve"> </w:t>
      </w:r>
      <w:r w:rsidR="00756C26">
        <w:t>correctly</w:t>
      </w:r>
      <w:r>
        <w:t>!</w:t>
      </w:r>
    </w:p>
    <w:p w:rsidR="002672AF" w:rsidRDefault="00824419">
      <w:pPr>
        <w:pStyle w:val="MCQList1"/>
      </w:pPr>
      <w:proofErr w:type="gramStart"/>
      <w:r>
        <w:t>1</w:t>
      </w:r>
      <w:r w:rsidR="00756C26">
        <w:t>8</w:t>
      </w:r>
      <w:r>
        <w:t>.</w:t>
      </w:r>
      <w:r>
        <w:tab/>
      </w:r>
      <w:r>
        <w:rPr>
          <w:b/>
        </w:rPr>
        <w:t>Local Norms.</w:t>
      </w:r>
      <w:proofErr w:type="gramEnd"/>
      <w:r>
        <w:t xml:space="preserve"> Should foreign subsidiaries of multinational firms conform to the capital structure norms of the host country or to the norms of their parent’s country? Discuss.</w:t>
      </w:r>
    </w:p>
    <w:p w:rsidR="002672AF" w:rsidRDefault="00824419" w:rsidP="00A87D08">
      <w:pPr>
        <w:pStyle w:val="MCQAnswer"/>
      </w:pPr>
      <w:r>
        <w:t>The main advantages of a finance structure for foreign subsidiaries that conforms to local debt norms are as follows:</w:t>
      </w:r>
    </w:p>
    <w:p w:rsidR="002672AF" w:rsidRDefault="00824419" w:rsidP="00A87D08">
      <w:pPr>
        <w:pStyle w:val="MCQAnswerBL"/>
      </w:pPr>
      <w:r>
        <w:rPr>
          <w:rFonts w:ascii="Symbol" w:hAnsi="Symbol"/>
        </w:rPr>
        <w:sym w:font="Symbol" w:char="F0B7"/>
      </w:r>
      <w:r>
        <w:tab/>
        <w:t>A localized financial structure reduces criticism of foreign subsidiaries that have been operating with too high a proportion of debt (judged by local standards), often resulting in the accusation that they are not contributing a fair share of risk capital to the host country. At the other end of the spectrum, a localized financial structure would improve the image of foreign subsidiaries that have been operating with too little debt and thus appear to be insensitive to local monetary policy.</w:t>
      </w:r>
    </w:p>
    <w:p w:rsidR="002672AF" w:rsidRDefault="00824419" w:rsidP="00A87D08">
      <w:pPr>
        <w:pStyle w:val="MCQAnswerBL"/>
      </w:pPr>
      <w:r>
        <w:rPr>
          <w:rFonts w:ascii="Symbol" w:hAnsi="Symbol"/>
        </w:rPr>
        <w:sym w:font="Symbol" w:char="F0B7"/>
      </w:r>
      <w:r>
        <w:tab/>
        <w:t>A localized financial structure helps management evaluate return on equity investment relative to local competitors in the same industry. In economies where interest rates are relatively high as an offset to inflation, the penalty paid reminds management of the need to consider price level changes when evaluating investment performance.</w:t>
      </w:r>
    </w:p>
    <w:p w:rsidR="002672AF" w:rsidRDefault="00824419" w:rsidP="00A87D08">
      <w:pPr>
        <w:pStyle w:val="MCQAnswerBL"/>
      </w:pPr>
      <w:r>
        <w:rPr>
          <w:rFonts w:ascii="Symbol" w:hAnsi="Symbol"/>
        </w:rPr>
        <w:sym w:font="Symbol" w:char="F0B7"/>
      </w:r>
      <w:r>
        <w:tab/>
      </w:r>
      <w:proofErr w:type="gramStart"/>
      <w:r>
        <w:t>In economies where interest rates are relatively high because of a scarcity of capital, and real resources are fully utilized (full employment), the penalty paid for borrowing local funds reminds management that unless return on assets is greater than the local price of capital—that is, negative leverage—they are probably misallocating scarce domestic real resources such as land and labor.</w:t>
      </w:r>
      <w:proofErr w:type="gramEnd"/>
      <w:r>
        <w:t xml:space="preserve"> This factor may not appear relevant to management decisions, but it </w:t>
      </w:r>
      <w:proofErr w:type="gramStart"/>
      <w:r>
        <w:t>will certainly be considered</w:t>
      </w:r>
      <w:proofErr w:type="gramEnd"/>
      <w:r>
        <w:t xml:space="preserve"> by the host country in making decisions with respect to the firm.</w:t>
      </w:r>
    </w:p>
    <w:p w:rsidR="002672AF" w:rsidRDefault="00824419" w:rsidP="00756C26">
      <w:pPr>
        <w:pStyle w:val="MCQAnswer"/>
      </w:pPr>
      <w:r>
        <w:t>The main disadvantages of localized financial structures are as follows:</w:t>
      </w:r>
    </w:p>
    <w:p w:rsidR="002672AF" w:rsidRDefault="00824419" w:rsidP="00A87D08">
      <w:pPr>
        <w:pStyle w:val="MCQAnswerBL"/>
      </w:pPr>
      <w:r>
        <w:rPr>
          <w:rFonts w:ascii="Symbol" w:hAnsi="Symbol"/>
        </w:rPr>
        <w:sym w:font="Symbol" w:char="F0B7"/>
      </w:r>
      <w:r>
        <w:tab/>
      </w:r>
      <w:r>
        <w:rPr>
          <w:spacing w:val="-2"/>
        </w:rPr>
        <w:t xml:space="preserve">An MNE </w:t>
      </w:r>
      <w:proofErr w:type="gramStart"/>
      <w:r>
        <w:rPr>
          <w:spacing w:val="-2"/>
        </w:rPr>
        <w:t>is expected</w:t>
      </w:r>
      <w:proofErr w:type="gramEnd"/>
      <w:r>
        <w:rPr>
          <w:spacing w:val="-2"/>
        </w:rPr>
        <w:t xml:space="preserve"> to have a comparative advantage over local firms in overcoming imperfections</w:t>
      </w:r>
      <w:r>
        <w:t xml:space="preserve"> in national capital markets through better availability of capital and the ability to diversify risk. It should</w:t>
      </w:r>
      <w:r w:rsidR="00756C26">
        <w:t xml:space="preserve"> not </w:t>
      </w:r>
      <w:r>
        <w:t>throw away these important competitive advantages to conform to local norms established in response to imperfect local capital markets, historical precedent, and institutional constraints that do not apply to the MNE.</w:t>
      </w:r>
    </w:p>
    <w:p w:rsidR="002672AF" w:rsidRDefault="00C6031A" w:rsidP="00A87D08">
      <w:pPr>
        <w:pStyle w:val="MCQAnswerBL"/>
      </w:pPr>
      <w:r>
        <w:rPr>
          <w:rFonts w:ascii="Symbol" w:hAnsi="Symbol"/>
        </w:rPr>
        <w:sym w:font="Symbol" w:char="F0B7"/>
      </w:r>
      <w:r>
        <w:tab/>
      </w:r>
      <w:r w:rsidRPr="00C6031A">
        <w:rPr>
          <w:spacing w:val="-2"/>
        </w:rPr>
        <w:t>If each foreign subsidiary of an MNE localizes its financial structure, the resulting consolidated balance sheet might show a financial structure that does not conform to any particular country’s norm. The debt ratio would be a simple weighted average of the corresponding ratio of each country in which the firm operates. This feature could increase perceived financial risk and thus the cost of capital for the parent, but only if two additional conditions are present:</w:t>
      </w:r>
    </w:p>
    <w:p w:rsidR="002672AF" w:rsidRDefault="00824419" w:rsidP="00A87D08">
      <w:pPr>
        <w:pStyle w:val="MCQAnswerBL"/>
        <w:ind w:left="1170"/>
      </w:pPr>
      <w:r>
        <w:rPr>
          <w:rFonts w:ascii="Symbol" w:hAnsi="Symbol"/>
          <w:szCs w:val="22"/>
        </w:rPr>
        <w:sym w:font="Symbol" w:char="F0B7"/>
      </w:r>
      <w:r>
        <w:tab/>
        <w:t xml:space="preserve">The consolidated debt ratio </w:t>
      </w:r>
      <w:proofErr w:type="gramStart"/>
      <w:r>
        <w:t>is pushed</w:t>
      </w:r>
      <w:proofErr w:type="gramEnd"/>
      <w:r>
        <w:t xml:space="preserve"> completely out of the discretionary range of acceptable debt ratios in the flat area of the cost of capital curve.</w:t>
      </w:r>
    </w:p>
    <w:p w:rsidR="002672AF" w:rsidRDefault="00824419" w:rsidP="00A87D08">
      <w:pPr>
        <w:pStyle w:val="MCQAnswerBL"/>
        <w:ind w:left="1170"/>
      </w:pPr>
      <w:r>
        <w:rPr>
          <w:rFonts w:ascii="Symbol" w:hAnsi="Symbol"/>
        </w:rPr>
        <w:lastRenderedPageBreak/>
        <w:sym w:font="Symbol" w:char="F0B7"/>
      </w:r>
      <w:r>
        <w:tab/>
        <w:t>The MNE is unable to offset high debt in one foreign subsidiary with low debt in other foreign or domestic subsidiaries at the same cost. If the International Fisher effect is working, replacement of debt should be possible at an equal after-tax cost after adjusting for foreign exchange risk. On the other hand, if market imperfections preclude this type of replacement, the possibility exists that the overall cost of debt, and thus the cost of capital, could increase if the MNE attempts to conform to local norms.</w:t>
      </w:r>
    </w:p>
    <w:p w:rsidR="002672AF" w:rsidRDefault="00824419" w:rsidP="00A87D08">
      <w:pPr>
        <w:pStyle w:val="MCQAnswerBL"/>
        <w:ind w:left="1170"/>
      </w:pPr>
      <w:r>
        <w:rPr>
          <w:rFonts w:ascii="Symbol" w:hAnsi="Symbol"/>
          <w:szCs w:val="22"/>
        </w:rPr>
        <w:sym w:font="Symbol" w:char="F0B7"/>
      </w:r>
      <w:r>
        <w:tab/>
        <w:t xml:space="preserve">The debt ratio of a foreign subsidiary is only cosmetic because lenders ultimately look to the parent and its consolidated worldwide cash flow as the source of repayment. In many cases, </w:t>
      </w:r>
      <w:proofErr w:type="gramStart"/>
      <w:r w:rsidR="00756C26">
        <w:t xml:space="preserve">subsidiary debt </w:t>
      </w:r>
      <w:r>
        <w:t>must be guaranteed by the parent firm</w:t>
      </w:r>
      <w:proofErr w:type="gramEnd"/>
      <w:r>
        <w:t xml:space="preserve">. Even if no formal guarantee exists, an implied guarantee usually exists because almost no parent firm would dare to allow an affiliate to default on a loan. If it did, repercussions </w:t>
      </w:r>
      <w:proofErr w:type="gramStart"/>
      <w:r>
        <w:t>would surely be felt</w:t>
      </w:r>
      <w:proofErr w:type="gramEnd"/>
      <w:r>
        <w:t xml:space="preserve"> with respect to the parent’s own financial standing, with a resulting increase in its cost of capital.</w:t>
      </w:r>
    </w:p>
    <w:p w:rsidR="002672AF" w:rsidRDefault="00C6031A">
      <w:pPr>
        <w:pStyle w:val="MCQList1"/>
      </w:pPr>
      <w:r>
        <w:t>1</w:t>
      </w:r>
      <w:r w:rsidR="00756C26">
        <w:t>9</w:t>
      </w:r>
      <w:r w:rsidR="00824419">
        <w:t>.</w:t>
      </w:r>
      <w:r w:rsidR="00824419">
        <w:tab/>
      </w:r>
      <w:r w:rsidR="00824419">
        <w:rPr>
          <w:b/>
          <w:spacing w:val="-2"/>
        </w:rPr>
        <w:t>Argentina.</w:t>
      </w:r>
      <w:r w:rsidR="00824419">
        <w:rPr>
          <w:spacing w:val="-2"/>
        </w:rPr>
        <w:t xml:space="preserve"> In January 2002, the government of Argentina broke away from its currency board system</w:t>
      </w:r>
      <w:r w:rsidR="00824419">
        <w:t xml:space="preserve"> that had tied the peso to the U.S. dollar and devalued the peso from APs1.0000/$ to APs1.40000. This caused some Argentine firms with dollar-denominated debt to go bankrupt. Should a U.S. or European parent in good financial health “rescue” its Argentine subsidiary that would otherwise go bankrupt because of the inept nature of Argentine political and economic management in the four or five years prior to January 2002? Assume the parent has not entered into a formal agreement to guarantee the debt of its Argentine subsidiary.</w:t>
      </w:r>
    </w:p>
    <w:p w:rsidR="002672AF" w:rsidRDefault="00824419" w:rsidP="00A87D08">
      <w:pPr>
        <w:pStyle w:val="MCQAnswer"/>
      </w:pPr>
      <w:r>
        <w:t xml:space="preserve">If a parent abandons a foreign subsidiary, its credit rating in international markets </w:t>
      </w:r>
      <w:proofErr w:type="gramStart"/>
      <w:r>
        <w:t>would be damaged</w:t>
      </w:r>
      <w:proofErr w:type="gramEnd"/>
      <w:r>
        <w:t>. Thus, it is in the parent’s best interest to “rescue” the subsidiary</w:t>
      </w:r>
      <w:r w:rsidR="00756C26">
        <w:t>.</w:t>
      </w:r>
      <w:r>
        <w:t xml:space="preserve"> It almost never happens that a MNE abandons a foreign subsidiary unless the host country expropriates the subsidiary.</w:t>
      </w:r>
    </w:p>
    <w:p w:rsidR="002672AF" w:rsidRDefault="00756C26">
      <w:pPr>
        <w:pStyle w:val="MCQList1"/>
      </w:pPr>
      <w:proofErr w:type="gramStart"/>
      <w:r>
        <w:t>20</w:t>
      </w:r>
      <w:r w:rsidR="00824419">
        <w:t>.</w:t>
      </w:r>
      <w:r w:rsidR="00824419">
        <w:tab/>
      </w:r>
      <w:r w:rsidR="00824419">
        <w:rPr>
          <w:b/>
        </w:rPr>
        <w:t>Internal Financing.</w:t>
      </w:r>
      <w:proofErr w:type="gramEnd"/>
      <w:r w:rsidR="00824419">
        <w:t xml:space="preserve"> What is the difference between “internal” financing and “external” financing for a subsidiary? List three types of </w:t>
      </w:r>
      <w:proofErr w:type="gramStart"/>
      <w:r w:rsidR="00824419">
        <w:t>internal financing</w:t>
      </w:r>
      <w:proofErr w:type="gramEnd"/>
      <w:r w:rsidR="00824419">
        <w:t xml:space="preserve"> and three types of external financing available to a foreign subsidiary.</w:t>
      </w:r>
    </w:p>
    <w:p w:rsidR="002672AF" w:rsidRDefault="00824419" w:rsidP="00A87D08">
      <w:pPr>
        <w:pStyle w:val="MCQAnswer"/>
      </w:pPr>
      <w:r>
        <w:rPr>
          <w:i/>
          <w:spacing w:val="-2"/>
        </w:rPr>
        <w:t>“Internal” financing</w:t>
      </w:r>
      <w:r>
        <w:rPr>
          <w:spacing w:val="-2"/>
        </w:rPr>
        <w:t xml:space="preserve"> refers to funds come from within the </w:t>
      </w:r>
      <w:r w:rsidR="00756C26">
        <w:rPr>
          <w:spacing w:val="-2"/>
        </w:rPr>
        <w:t>m</w:t>
      </w:r>
      <w:r>
        <w:rPr>
          <w:spacing w:val="-2"/>
        </w:rPr>
        <w:t xml:space="preserve">ultinational </w:t>
      </w:r>
      <w:proofErr w:type="spellStart"/>
      <w:r w:rsidR="00756C26">
        <w:rPr>
          <w:spacing w:val="-2"/>
        </w:rPr>
        <w:t>w</w:t>
      </w:r>
      <w:r>
        <w:rPr>
          <w:spacing w:val="-2"/>
        </w:rPr>
        <w:t>nterprise</w:t>
      </w:r>
      <w:proofErr w:type="spellEnd"/>
      <w:r>
        <w:rPr>
          <w:spacing w:val="-2"/>
        </w:rPr>
        <w:t xml:space="preserve"> (MNE). </w:t>
      </w:r>
      <w:r>
        <w:rPr>
          <w:i/>
          <w:spacing w:val="-2"/>
        </w:rPr>
        <w:t>“External”</w:t>
      </w:r>
      <w:r>
        <w:rPr>
          <w:i/>
        </w:rPr>
        <w:t xml:space="preserve"> financing </w:t>
      </w:r>
      <w:r>
        <w:t xml:space="preserve">refers to funds that come from unrelated firms or investors. Internal financing types include </w:t>
      </w:r>
      <w:r w:rsidR="00756C26">
        <w:t>(</w:t>
      </w:r>
      <w:r>
        <w:t>1) funds from the parent company</w:t>
      </w:r>
      <w:r w:rsidR="00756C26">
        <w:t>,</w:t>
      </w:r>
      <w:r>
        <w:t xml:space="preserve"> </w:t>
      </w:r>
      <w:r w:rsidR="00756C26">
        <w:t>(</w:t>
      </w:r>
      <w:r>
        <w:t>2) funds from sister subsidiaries</w:t>
      </w:r>
      <w:r w:rsidR="00756C26">
        <w:t>,</w:t>
      </w:r>
      <w:r>
        <w:t xml:space="preserve"> and </w:t>
      </w:r>
      <w:r w:rsidR="00756C26">
        <w:t>(</w:t>
      </w:r>
      <w:r>
        <w:t xml:space="preserve">3) subsidiary borrowing with parent guarantees. External financing types include </w:t>
      </w:r>
      <w:r w:rsidR="00756C26">
        <w:t>(</w:t>
      </w:r>
      <w:r>
        <w:t>1) debt from the parent’s country</w:t>
      </w:r>
      <w:r w:rsidR="00756C26">
        <w:t>,</w:t>
      </w:r>
      <w:r>
        <w:t xml:space="preserve"> </w:t>
      </w:r>
      <w:r w:rsidR="00756C26">
        <w:t>(</w:t>
      </w:r>
      <w:r>
        <w:t>2) debt from countries outside the parent’s country</w:t>
      </w:r>
      <w:r w:rsidR="00756C26">
        <w:t>,</w:t>
      </w:r>
      <w:r>
        <w:t xml:space="preserve"> and </w:t>
      </w:r>
      <w:r w:rsidR="00756C26">
        <w:t>(</w:t>
      </w:r>
      <w:r>
        <w:t>3) local equity.</w:t>
      </w:r>
    </w:p>
    <w:p w:rsidR="002672AF" w:rsidRDefault="00824419">
      <w:pPr>
        <w:pStyle w:val="MCQList1"/>
        <w:keepNext w:val="0"/>
        <w:keepLines w:val="0"/>
      </w:pPr>
      <w:proofErr w:type="gramStart"/>
      <w:r>
        <w:t>2</w:t>
      </w:r>
      <w:r w:rsidR="00756C26">
        <w:t>1</w:t>
      </w:r>
      <w:r>
        <w:t>.</w:t>
      </w:r>
      <w:r>
        <w:tab/>
      </w:r>
      <w:r>
        <w:rPr>
          <w:b/>
        </w:rPr>
        <w:t>Eurodollar Deposits.</w:t>
      </w:r>
      <w:proofErr w:type="gramEnd"/>
      <w:r>
        <w:t xml:space="preserve"> Why would anyone, individual or corporation, want to deposit U.S. dollars in a bank outside of the United States when the natural location for such deposits would be a bank within the United States?</w:t>
      </w:r>
    </w:p>
    <w:p w:rsidR="002672AF" w:rsidRDefault="00824419" w:rsidP="00A87D08">
      <w:pPr>
        <w:pStyle w:val="MCQAnswer"/>
      </w:pPr>
      <w:r>
        <w:t xml:space="preserve">The physical location of the bank is not particularly important for deposits as most funds </w:t>
      </w:r>
      <w:proofErr w:type="gramStart"/>
      <w:r>
        <w:t>are moved</w:t>
      </w:r>
      <w:proofErr w:type="gramEnd"/>
      <w:r>
        <w:t xml:space="preserve"> electronically. A depositor may prefer a </w:t>
      </w:r>
      <w:proofErr w:type="spellStart"/>
      <w:proofErr w:type="gramStart"/>
      <w:r w:rsidR="00756C26">
        <w:t>e</w:t>
      </w:r>
      <w:r>
        <w:t>urodollar</w:t>
      </w:r>
      <w:proofErr w:type="spellEnd"/>
      <w:proofErr w:type="gramEnd"/>
      <w:r>
        <w:t xml:space="preserve"> account if it pays a higher rate of interest than similar accounts in the United States. </w:t>
      </w:r>
      <w:r w:rsidR="00756C26">
        <w:t xml:space="preserve">Because </w:t>
      </w:r>
      <w:r>
        <w:t>the deposits are denominated in dollars, there is no foreign exchange risk.</w:t>
      </w:r>
    </w:p>
    <w:p w:rsidR="00756C26" w:rsidRDefault="00756C26" w:rsidP="00400538">
      <w:pPr>
        <w:pStyle w:val="MCQList1"/>
      </w:pPr>
      <w:proofErr w:type="gramStart"/>
      <w:r>
        <w:t>22.</w:t>
      </w:r>
      <w:r>
        <w:tab/>
      </w:r>
      <w:r w:rsidR="00691A2C">
        <w:rPr>
          <w:b/>
        </w:rPr>
        <w:t>International Debt Instru</w:t>
      </w:r>
      <w:r w:rsidRPr="00400538">
        <w:rPr>
          <w:b/>
        </w:rPr>
        <w:t>ments.</w:t>
      </w:r>
      <w:proofErr w:type="gramEnd"/>
      <w:r>
        <w:t xml:space="preserve"> Bank borrowing has been the long-time manner by which corporations and governments borrowed funds for short </w:t>
      </w:r>
      <w:proofErr w:type="gramStart"/>
      <w:r>
        <w:t>periods of time</w:t>
      </w:r>
      <w:proofErr w:type="gramEnd"/>
      <w:r>
        <w:t xml:space="preserve">. What then, is an advantage over bank borrowing of each of the </w:t>
      </w:r>
      <w:proofErr w:type="gramStart"/>
      <w:r>
        <w:t>following:</w:t>
      </w:r>
      <w:proofErr w:type="gramEnd"/>
    </w:p>
    <w:p w:rsidR="00756C26" w:rsidRDefault="00756C26" w:rsidP="00400538">
      <w:pPr>
        <w:pStyle w:val="MCQList2"/>
      </w:pPr>
      <w:r>
        <w:t>a.</w:t>
      </w:r>
      <w:r>
        <w:tab/>
        <w:t>Syndicated loans</w:t>
      </w:r>
    </w:p>
    <w:p w:rsidR="00691A2C" w:rsidRDefault="00691A2C" w:rsidP="00691A2C">
      <w:pPr>
        <w:pStyle w:val="MCQAnswerBL"/>
      </w:pPr>
      <w:r>
        <w:tab/>
      </w:r>
      <w:r w:rsidRPr="00691A2C">
        <w:t xml:space="preserve">The </w:t>
      </w:r>
      <w:r w:rsidRPr="00691A2C">
        <w:rPr>
          <w:i/>
          <w:iCs/>
        </w:rPr>
        <w:t>syndication of loans</w:t>
      </w:r>
      <w:r w:rsidRPr="00691A2C">
        <w:t xml:space="preserve"> has enabled banks to spread the risk of very large loans among a number of banks. Syndication is particularly important because many large MNEs need credit in excess</w:t>
      </w:r>
      <w:r>
        <w:t xml:space="preserve"> of a single bank’s loan limit.</w:t>
      </w:r>
    </w:p>
    <w:p w:rsidR="00756C26" w:rsidRDefault="00756C26" w:rsidP="00DB08EE">
      <w:pPr>
        <w:pStyle w:val="MCQList2"/>
        <w:keepNext/>
      </w:pPr>
      <w:r>
        <w:lastRenderedPageBreak/>
        <w:t>b.</w:t>
      </w:r>
      <w:r>
        <w:tab/>
      </w:r>
      <w:proofErr w:type="spellStart"/>
      <w:r>
        <w:t>Euronotes</w:t>
      </w:r>
      <w:proofErr w:type="spellEnd"/>
    </w:p>
    <w:p w:rsidR="00691A2C" w:rsidRDefault="00691A2C" w:rsidP="00691A2C">
      <w:pPr>
        <w:pStyle w:val="MCQAnswerBL"/>
      </w:pPr>
      <w:r>
        <w:tab/>
      </w:r>
      <w:proofErr w:type="spellStart"/>
      <w:r w:rsidRPr="00691A2C">
        <w:rPr>
          <w:i/>
        </w:rPr>
        <w:t>E</w:t>
      </w:r>
      <w:r w:rsidRPr="00691A2C">
        <w:rPr>
          <w:i/>
          <w:iCs/>
        </w:rPr>
        <w:t>uronote</w:t>
      </w:r>
      <w:proofErr w:type="spellEnd"/>
      <w:r w:rsidRPr="00691A2C">
        <w:t xml:space="preserve"> facilities </w:t>
      </w:r>
      <w:proofErr w:type="gramStart"/>
      <w:r w:rsidRPr="00691A2C">
        <w:t>were provided</w:t>
      </w:r>
      <w:proofErr w:type="gramEnd"/>
      <w:r w:rsidRPr="00691A2C">
        <w:t xml:space="preserve"> by international investment and commercial banks. The </w:t>
      </w:r>
      <w:proofErr w:type="spellStart"/>
      <w:r w:rsidRPr="00691A2C">
        <w:t>euronote</w:t>
      </w:r>
      <w:proofErr w:type="spellEnd"/>
      <w:r w:rsidRPr="00691A2C">
        <w:t xml:space="preserve"> was a substantially cheaper source of short-term funds than were syndicated loans because the notes </w:t>
      </w:r>
      <w:proofErr w:type="gramStart"/>
      <w:r w:rsidRPr="00691A2C">
        <w:t>were placed</w:t>
      </w:r>
      <w:proofErr w:type="gramEnd"/>
      <w:r w:rsidRPr="00691A2C">
        <w:t xml:space="preserve"> directly with the investor public, and the securitized and underwritten form allowed the ready establishment of liquid secondary markets. The banks received substantial fees initially for their under</w:t>
      </w:r>
      <w:r>
        <w:t>writing and placement services.</w:t>
      </w:r>
    </w:p>
    <w:p w:rsidR="00756C26" w:rsidRDefault="00756C26" w:rsidP="00400538">
      <w:pPr>
        <w:pStyle w:val="MCQList2"/>
      </w:pPr>
      <w:r>
        <w:t>c.</w:t>
      </w:r>
      <w:r>
        <w:tab/>
        <w:t>Euro-commercial paper</w:t>
      </w:r>
    </w:p>
    <w:p w:rsidR="00691A2C" w:rsidRDefault="00691A2C" w:rsidP="00691A2C">
      <w:pPr>
        <w:pStyle w:val="MCQAnswerBL"/>
      </w:pPr>
      <w:r>
        <w:rPr>
          <w:i/>
          <w:iCs/>
        </w:rPr>
        <w:tab/>
      </w:r>
      <w:r w:rsidRPr="00691A2C">
        <w:rPr>
          <w:i/>
          <w:iCs/>
        </w:rPr>
        <w:t>Euro-commercial paper (ECP)</w:t>
      </w:r>
      <w:r w:rsidRPr="00691A2C">
        <w:t xml:space="preserve"> is a short-term debt obligation of a corporation or bank. Maturities are typically one, three, and six months. The paper </w:t>
      </w:r>
      <w:proofErr w:type="gramStart"/>
      <w:r w:rsidRPr="00691A2C">
        <w:t>is sold</w:t>
      </w:r>
      <w:proofErr w:type="gramEnd"/>
      <w:r w:rsidRPr="00691A2C">
        <w:t xml:space="preserve"> normally at a discount or occasionally with a stated coupon.  By selling ECP directly to investors, the “m</w:t>
      </w:r>
      <w:bookmarkStart w:id="0" w:name="_GoBack"/>
      <w:bookmarkEnd w:id="0"/>
      <w:r w:rsidRPr="00691A2C">
        <w:t xml:space="preserve">iddle man” </w:t>
      </w:r>
      <w:proofErr w:type="gramStart"/>
      <w:r w:rsidRPr="00691A2C">
        <w:t>is eliminated</w:t>
      </w:r>
      <w:proofErr w:type="gramEnd"/>
      <w:r w:rsidRPr="00691A2C">
        <w:t>, reducing the cost of borrowing.</w:t>
      </w:r>
    </w:p>
    <w:p w:rsidR="00756C26" w:rsidRDefault="00756C26" w:rsidP="00400538">
      <w:pPr>
        <w:pStyle w:val="MCQList2"/>
      </w:pPr>
      <w:r>
        <w:t>d.</w:t>
      </w:r>
      <w:r>
        <w:tab/>
        <w:t>Euro medium-term notes</w:t>
      </w:r>
    </w:p>
    <w:p w:rsidR="00691A2C" w:rsidRDefault="00691A2C" w:rsidP="00691A2C">
      <w:pPr>
        <w:pStyle w:val="MCQAnswerBL"/>
      </w:pPr>
      <w:r>
        <w:rPr>
          <w:i/>
          <w:iCs/>
        </w:rPr>
        <w:tab/>
      </w:r>
      <w:r w:rsidRPr="00691A2C">
        <w:rPr>
          <w:i/>
          <w:iCs/>
        </w:rPr>
        <w:t>Euro-Medium-Term-Notes’ (EMTNs)</w:t>
      </w:r>
      <w:r w:rsidRPr="00691A2C">
        <w:t xml:space="preserve"> have three unique characteristics. </w:t>
      </w:r>
      <w:r w:rsidR="00DB08EE">
        <w:t>(</w:t>
      </w:r>
      <w:r w:rsidRPr="00691A2C">
        <w:t xml:space="preserve">1) </w:t>
      </w:r>
      <w:proofErr w:type="gramStart"/>
      <w:r w:rsidRPr="00691A2C">
        <w:t>the</w:t>
      </w:r>
      <w:proofErr w:type="gramEnd"/>
      <w:r w:rsidRPr="00691A2C">
        <w:t xml:space="preserve"> EMTN is a facility, allowing continuous issuance over a period of time, unlike a bond issue which </w:t>
      </w:r>
      <w:r w:rsidR="00DB08EE">
        <w:t>is essentially sold all at once.</w:t>
      </w:r>
      <w:r w:rsidRPr="00691A2C">
        <w:t xml:space="preserve"> </w:t>
      </w:r>
      <w:r w:rsidR="00DB08EE">
        <w:t>(2) B</w:t>
      </w:r>
      <w:r w:rsidRPr="00691A2C">
        <w:t xml:space="preserve">ecause EMTNs </w:t>
      </w:r>
      <w:proofErr w:type="gramStart"/>
      <w:r w:rsidRPr="00691A2C">
        <w:t>are sold</w:t>
      </w:r>
      <w:proofErr w:type="gramEnd"/>
      <w:r w:rsidRPr="00691A2C">
        <w:t xml:space="preserve"> continuously, in order to make debt service (coupon redemption) manageable, coupons are paid on set calendar dates reg</w:t>
      </w:r>
      <w:r w:rsidR="00DB08EE">
        <w:t>ardless of the date of issuance.</w:t>
      </w:r>
      <w:r w:rsidRPr="00691A2C">
        <w:t xml:space="preserve"> </w:t>
      </w:r>
      <w:r w:rsidR="00DB08EE">
        <w:t>(</w:t>
      </w:r>
      <w:r w:rsidRPr="00691A2C">
        <w:t xml:space="preserve">3) EMTNs </w:t>
      </w:r>
      <w:proofErr w:type="gramStart"/>
      <w:r w:rsidRPr="00691A2C">
        <w:t>are issued</w:t>
      </w:r>
      <w:proofErr w:type="gramEnd"/>
      <w:r w:rsidRPr="00691A2C">
        <w:t xml:space="preserve"> in relatively small denominations, from $2 million to $5 million, making medium-term debt acquisition much more flexible than the large minimums customarily needed in the international bond markets.</w:t>
      </w:r>
    </w:p>
    <w:p w:rsidR="00756C26" w:rsidRDefault="00756C26" w:rsidP="00400538">
      <w:pPr>
        <w:pStyle w:val="MCQList2"/>
      </w:pPr>
      <w:r>
        <w:t>e.</w:t>
      </w:r>
      <w:r>
        <w:tab/>
        <w:t>International bonds</w:t>
      </w:r>
    </w:p>
    <w:p w:rsidR="00691A2C" w:rsidRDefault="00691A2C" w:rsidP="00691A2C">
      <w:pPr>
        <w:pStyle w:val="MCQAnswerBL"/>
      </w:pPr>
      <w:r>
        <w:tab/>
      </w:r>
      <w:r w:rsidRPr="00691A2C">
        <w:t xml:space="preserve">The </w:t>
      </w:r>
      <w:r w:rsidRPr="00691A2C">
        <w:rPr>
          <w:i/>
          <w:iCs/>
        </w:rPr>
        <w:t>international bond</w:t>
      </w:r>
      <w:r w:rsidRPr="00691A2C">
        <w:t xml:space="preserve"> </w:t>
      </w:r>
      <w:proofErr w:type="gramStart"/>
      <w:r w:rsidRPr="00691A2C">
        <w:t>market are</w:t>
      </w:r>
      <w:proofErr w:type="gramEnd"/>
      <w:r w:rsidRPr="00691A2C">
        <w:t xml:space="preserve"> unfettered by the usual controls and regulations governing domestic capital markets.  The international bond market rivals the international banking market in terms of the quantity and cost of funds provi</w:t>
      </w:r>
      <w:r>
        <w:t>ded to international borrowers.</w:t>
      </w:r>
    </w:p>
    <w:p w:rsidR="002672AF" w:rsidRDefault="00824419">
      <w:pPr>
        <w:pStyle w:val="MCQList1"/>
        <w:keepNext w:val="0"/>
        <w:keepLines w:val="0"/>
        <w:spacing w:line="240" w:lineRule="exact"/>
        <w:ind w:left="446" w:hanging="446"/>
      </w:pPr>
      <w:proofErr w:type="gramStart"/>
      <w:r>
        <w:t>2</w:t>
      </w:r>
      <w:r w:rsidR="00756C26">
        <w:t>3</w:t>
      </w:r>
      <w:r>
        <w:t>.</w:t>
      </w:r>
      <w:r>
        <w:tab/>
      </w:r>
      <w:r>
        <w:rPr>
          <w:b/>
        </w:rPr>
        <w:t>Euro versus Foreign Bonds.</w:t>
      </w:r>
      <w:proofErr w:type="gramEnd"/>
      <w:r>
        <w:t xml:space="preserve"> What is the difference between a “</w:t>
      </w:r>
      <w:proofErr w:type="spellStart"/>
      <w:r>
        <w:t>eurobond</w:t>
      </w:r>
      <w:proofErr w:type="spellEnd"/>
      <w:r>
        <w:t>” and a “foreign bond” and why do two types of international bonds exist?</w:t>
      </w:r>
    </w:p>
    <w:p w:rsidR="002672AF" w:rsidRDefault="00824419" w:rsidP="00A87D08">
      <w:pPr>
        <w:pStyle w:val="MCQAnswer"/>
      </w:pPr>
      <w:r>
        <w:t xml:space="preserve">A </w:t>
      </w:r>
      <w:proofErr w:type="spellStart"/>
      <w:proofErr w:type="gramStart"/>
      <w:r w:rsidR="00400538">
        <w:rPr>
          <w:i/>
        </w:rPr>
        <w:t>e</w:t>
      </w:r>
      <w:r>
        <w:rPr>
          <w:i/>
        </w:rPr>
        <w:t>urobond</w:t>
      </w:r>
      <w:proofErr w:type="spellEnd"/>
      <w:proofErr w:type="gramEnd"/>
      <w:r>
        <w:t xml:space="preserve"> is underwritten by an international syndicate of banks and other securities firms and is sold exclusively in countries other than the country in whose currency the issue is denominated. For example, a bond issued by a firm resident in the United States, denominated in U.S. dollars, but sold to investors in Europe and Japan (not to investors in the United States), is a </w:t>
      </w:r>
      <w:proofErr w:type="spellStart"/>
      <w:r w:rsidR="00400538">
        <w:t>e</w:t>
      </w:r>
      <w:r>
        <w:t>urobond</w:t>
      </w:r>
      <w:proofErr w:type="spellEnd"/>
      <w:r>
        <w:t xml:space="preserve">. </w:t>
      </w:r>
      <w:proofErr w:type="gramStart"/>
      <w:r>
        <w:t>Eurobonds are issued by MNEs, large domestic corporations, sovereign governments, governmental enterprises, and international institutions</w:t>
      </w:r>
      <w:proofErr w:type="gramEnd"/>
      <w:r>
        <w:t xml:space="preserve">. They </w:t>
      </w:r>
      <w:proofErr w:type="gramStart"/>
      <w:r>
        <w:t>are offered</w:t>
      </w:r>
      <w:proofErr w:type="gramEnd"/>
      <w:r>
        <w:t xml:space="preserve"> simultaneously in a number of different national capital markets, but not in the capital market or to residents of the country in whose currency the bond is denominated. </w:t>
      </w:r>
    </w:p>
    <w:p w:rsidR="002672AF" w:rsidRDefault="00824419" w:rsidP="00A87D08">
      <w:pPr>
        <w:pStyle w:val="MCQAnswer"/>
      </w:pPr>
      <w:r>
        <w:t xml:space="preserve">A </w:t>
      </w:r>
      <w:proofErr w:type="gramStart"/>
      <w:r>
        <w:rPr>
          <w:i/>
        </w:rPr>
        <w:t>foreign bond</w:t>
      </w:r>
      <w:r>
        <w:t xml:space="preserve"> is underwritten by a syndicate composed of members from a single country, sold principally within that country, and denominated in the currency of that country</w:t>
      </w:r>
      <w:proofErr w:type="gramEnd"/>
      <w:r>
        <w:t>. The issuer, however, is from another country. A bond issued by a firm resident in Sweden, denominated in dollars, and sold in the United States to U.S. investors by U.S. investment bankers, is a foreign bond. Foreign bonds have nicknames: foreign bonds sold in the United States are “Yankee bonds”; foreign bonds sold in Japan are “Samurai bonds”; and foreign bonds sold in the United Kingdom are “Bulldogs.”</w:t>
      </w:r>
    </w:p>
    <w:p w:rsidR="00824419" w:rsidRDefault="00824419" w:rsidP="00A87D08">
      <w:pPr>
        <w:pStyle w:val="MCQAnswer"/>
      </w:pPr>
      <w:r>
        <w:t xml:space="preserve">The distinction between </w:t>
      </w:r>
      <w:proofErr w:type="spellStart"/>
      <w:r w:rsidR="00400538">
        <w:t>e</w:t>
      </w:r>
      <w:r>
        <w:t>urobonds</w:t>
      </w:r>
      <w:proofErr w:type="spellEnd"/>
      <w:r>
        <w:t xml:space="preserve"> and foreign bonds </w:t>
      </w:r>
      <w:proofErr w:type="gramStart"/>
      <w:r>
        <w:t>is based</w:t>
      </w:r>
      <w:proofErr w:type="gramEnd"/>
      <w:r>
        <w:t xml:space="preserve"> on whether the borrower is a domestic </w:t>
      </w:r>
      <w:r>
        <w:rPr>
          <w:spacing w:val="-2"/>
        </w:rPr>
        <w:t>or a foreign resident, and whether the issue is denominated in the local currency or a foreign currency.</w:t>
      </w:r>
      <w:r>
        <w:t xml:space="preserve"> Both types of bonds offer the borrower a variety of different maturities, repayment structures, and currencies of denomination.</w:t>
      </w:r>
    </w:p>
    <w:sectPr w:rsidR="00824419" w:rsidSect="001D6301">
      <w:headerReference w:type="even" r:id="rId10"/>
      <w:headerReference w:type="default" r:id="rId11"/>
      <w:footerReference w:type="even" r:id="rId12"/>
      <w:footerReference w:type="default" r:id="rId13"/>
      <w:footerReference w:type="first" r:id="rId14"/>
      <w:pgSz w:w="12240" w:h="15840"/>
      <w:pgMar w:top="1008" w:right="1008" w:bottom="1008" w:left="1800" w:header="1008" w:footer="720" w:gutter="0"/>
      <w:pgNumType w:start="77"/>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03ADC" w:rsidRDefault="00803ADC">
      <w:r>
        <w:separator/>
      </w:r>
    </w:p>
  </w:endnote>
  <w:endnote w:type="continuationSeparator" w:id="0">
    <w:p w:rsidR="00803ADC" w:rsidRDefault="00803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E10002FF" w:usb1="4000ACFF" w:usb2="00000009" w:usb3="00000000" w:csb0="0000019F" w:csb1="00000000"/>
  </w:font>
  <w:font w:name="Arial Narrow">
    <w:panose1 w:val="020B0506020202030204"/>
    <w:charset w:val="00"/>
    <w:family w:val="swiss"/>
    <w:pitch w:val="variable"/>
    <w:sig w:usb0="00000287" w:usb1="00000800" w:usb2="00000000" w:usb3="00000000" w:csb0="0000009F" w:csb1="00000000"/>
  </w:font>
  <w:font w:name="TimesTen-Roman">
    <w:panose1 w:val="00000000000000000000"/>
    <w:charset w:val="00"/>
    <w:family w:val="roman"/>
    <w:notTrueType/>
    <w:pitch w:val="default"/>
    <w:sig w:usb0="00000003" w:usb1="00000000" w:usb2="00000000" w:usb3="00000000" w:csb0="00000001"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2AF" w:rsidRDefault="00824419">
    <w:pPr>
      <w:pStyle w:val="Footer"/>
      <w:pBdr>
        <w:top w:val="single" w:sz="4" w:space="1" w:color="auto"/>
      </w:pBdr>
      <w:spacing w:before="360"/>
      <w:jc w:val="center"/>
      <w:rPr>
        <w:rFonts w:ascii="Times" w:hAnsi="Times"/>
        <w:sz w:val="18"/>
      </w:rPr>
    </w:pPr>
    <w:r>
      <w:rPr>
        <w:rFonts w:ascii="Times" w:hAnsi="Times"/>
        <w:sz w:val="18"/>
      </w:rPr>
      <w:t>© 201</w:t>
    </w:r>
    <w:r w:rsidR="0089081A">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2AF" w:rsidRDefault="00824419">
    <w:pPr>
      <w:pStyle w:val="Footer"/>
      <w:pBdr>
        <w:top w:val="single" w:sz="4" w:space="1" w:color="auto"/>
      </w:pBdr>
      <w:spacing w:before="360"/>
      <w:jc w:val="center"/>
      <w:rPr>
        <w:rFonts w:ascii="Times" w:hAnsi="Times"/>
        <w:sz w:val="18"/>
      </w:rPr>
    </w:pPr>
    <w:r>
      <w:rPr>
        <w:rFonts w:ascii="Times" w:hAnsi="Times"/>
        <w:sz w:val="18"/>
      </w:rPr>
      <w:t>© 201</w:t>
    </w:r>
    <w:r w:rsidR="0089081A">
      <w:rPr>
        <w:rFonts w:ascii="Times" w:hAnsi="Times"/>
        <w:sz w:val="18"/>
      </w:rPr>
      <w:t>5</w:t>
    </w:r>
    <w:r>
      <w:rPr>
        <w:rFonts w:ascii="Times" w:hAnsi="Times"/>
        <w:sz w:val="18"/>
      </w:rPr>
      <w:t xml:space="preserve"> Pearson Education, Inc.</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2AF" w:rsidRDefault="00824419">
    <w:pPr>
      <w:pStyle w:val="Footer"/>
      <w:pBdr>
        <w:top w:val="single" w:sz="4" w:space="1" w:color="auto"/>
      </w:pBdr>
      <w:spacing w:before="360"/>
      <w:jc w:val="center"/>
      <w:rPr>
        <w:rFonts w:ascii="Times" w:hAnsi="Times"/>
        <w:sz w:val="18"/>
      </w:rPr>
    </w:pPr>
    <w:r>
      <w:rPr>
        <w:rFonts w:ascii="Times" w:hAnsi="Times"/>
        <w:sz w:val="18"/>
      </w:rPr>
      <w:t>© 201</w:t>
    </w:r>
    <w:r w:rsidR="0089081A">
      <w:rPr>
        <w:rFonts w:ascii="Times" w:hAnsi="Times"/>
        <w:sz w:val="18"/>
      </w:rPr>
      <w:t>5</w:t>
    </w:r>
    <w:r>
      <w:rPr>
        <w:rFonts w:ascii="Times" w:hAnsi="Times"/>
        <w:sz w:val="18"/>
      </w:rPr>
      <w:t xml:space="preserve"> Pearson Education, Inc.</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03ADC" w:rsidRDefault="00803ADC">
      <w:r>
        <w:separator/>
      </w:r>
    </w:p>
  </w:footnote>
  <w:footnote w:type="continuationSeparator" w:id="0">
    <w:p w:rsidR="00803ADC" w:rsidRDefault="00803A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2AF" w:rsidRDefault="00824419">
    <w:pPr>
      <w:pStyle w:val="VersoHeader"/>
    </w:pPr>
    <w:r>
      <w:rPr>
        <w:rStyle w:val="PageNumber"/>
      </w:rPr>
      <w:fldChar w:fldCharType="begin"/>
    </w:r>
    <w:r>
      <w:rPr>
        <w:rStyle w:val="PageNumber"/>
      </w:rPr>
      <w:instrText xml:space="preserve"> PAGE </w:instrText>
    </w:r>
    <w:r>
      <w:rPr>
        <w:rStyle w:val="PageNumber"/>
      </w:rPr>
      <w:fldChar w:fldCharType="separate"/>
    </w:r>
    <w:r w:rsidR="00DB08EE">
      <w:rPr>
        <w:rStyle w:val="PageNumber"/>
        <w:noProof/>
      </w:rPr>
      <w:t>86</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6C6BFA">
      <w:t>if</w:t>
    </w:r>
    <w:r>
      <w:t>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72AF" w:rsidRDefault="00824419">
    <w:pPr>
      <w:pStyle w:val="RectoHeader"/>
    </w:pPr>
    <w:r>
      <w:t>Chapter 13</w:t>
    </w:r>
    <w:r>
      <w:t> </w:t>
    </w:r>
    <w:r w:rsidR="006C6BFA">
      <w:t>Raising</w:t>
    </w:r>
    <w:r>
      <w:t xml:space="preserve"> Equity and Debt Globally</w:t>
    </w:r>
    <w:r>
      <w:t> </w:t>
    </w:r>
    <w:r>
      <w:t> </w:t>
    </w:r>
    <w:r>
      <w:rPr>
        <w:rStyle w:val="PageNumber"/>
      </w:rPr>
      <w:fldChar w:fldCharType="begin"/>
    </w:r>
    <w:r>
      <w:rPr>
        <w:rStyle w:val="PageNumber"/>
      </w:rPr>
      <w:instrText xml:space="preserve"> PAGE </w:instrText>
    </w:r>
    <w:r>
      <w:rPr>
        <w:rStyle w:val="PageNumber"/>
      </w:rPr>
      <w:fldChar w:fldCharType="separate"/>
    </w:r>
    <w:r w:rsidR="00DB08EE">
      <w:rPr>
        <w:rStyle w:val="PageNumber"/>
      </w:rPr>
      <w:t>85</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2494B070"/>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B4EEAEF2"/>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8DA6680"/>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4B2E9DAC"/>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6F8601C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14DC8860"/>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5A4AC2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15001EBA"/>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5E14A06E"/>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pStyle w:val="MCA"/>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1F666CE"/>
    <w:multiLevelType w:val="hybridMultilevel"/>
    <w:tmpl w:val="C2AE2706"/>
    <w:lvl w:ilvl="0" w:tplc="7CD2096C">
      <w:start w:val="1"/>
      <w:numFmt w:val="upperLetter"/>
      <w:pStyle w:val="OutlineA"/>
      <w:lvlText w:val="%1."/>
      <w:lvlJc w:val="left"/>
      <w:pPr>
        <w:ind w:left="1530" w:hanging="360"/>
      </w:pPr>
      <w:rPr>
        <w:rFonts w:hint="default"/>
      </w:rPr>
    </w:lvl>
    <w:lvl w:ilvl="1" w:tplc="04090019">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2">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3">
    <w:nsid w:val="17F4101E"/>
    <w:multiLevelType w:val="hybridMultilevel"/>
    <w:tmpl w:val="10447CA4"/>
    <w:lvl w:ilvl="0" w:tplc="D22C58C0">
      <w:start w:val="1"/>
      <w:numFmt w:val="lowerLetter"/>
      <w:lvlText w:val="%1."/>
      <w:lvlJc w:val="left"/>
      <w:pPr>
        <w:ind w:left="810" w:hanging="360"/>
      </w:pPr>
      <w:rPr>
        <w:rFonts w:cs="Times New Roman" w:hint="default"/>
      </w:rPr>
    </w:lvl>
    <w:lvl w:ilvl="1" w:tplc="04090019" w:tentative="1">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abstractNum w:abstractNumId="14">
    <w:nsid w:val="2BC6104B"/>
    <w:multiLevelType w:val="hybridMultilevel"/>
    <w:tmpl w:val="6EA082BE"/>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5">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3131F61"/>
    <w:multiLevelType w:val="hybridMultilevel"/>
    <w:tmpl w:val="04581360"/>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8">
    <w:nsid w:val="529F6FFB"/>
    <w:multiLevelType w:val="hybridMultilevel"/>
    <w:tmpl w:val="4B5214FE"/>
    <w:lvl w:ilvl="0" w:tplc="8BAE1A32">
      <w:start w:val="1"/>
      <w:numFmt w:val="lowerLetter"/>
      <w:lvlText w:val="%1."/>
      <w:lvlJc w:val="left"/>
      <w:pPr>
        <w:ind w:left="810" w:hanging="360"/>
      </w:pPr>
      <w:rPr>
        <w:rFonts w:cs="Times New Roman" w:hint="default"/>
      </w:rPr>
    </w:lvl>
    <w:lvl w:ilvl="1" w:tplc="04090019" w:tentative="1">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abstractNum w:abstractNumId="19">
    <w:nsid w:val="65564E49"/>
    <w:multiLevelType w:val="hybridMultilevel"/>
    <w:tmpl w:val="0CE04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A55172E"/>
    <w:multiLevelType w:val="multilevel"/>
    <w:tmpl w:val="1136A33C"/>
    <w:lvl w:ilvl="0">
      <w:start w:val="1"/>
      <w:numFmt w:val="none"/>
      <w:pStyle w:val="awTB01questionHead"/>
      <w:suff w:val="nothing"/>
      <w:lvlText w:val="%1"/>
      <w:lvlJc w:val="left"/>
      <w:rPr>
        <w:rFonts w:cs="Times New Roman" w:hint="default"/>
      </w:rPr>
    </w:lvl>
    <w:lvl w:ilvl="1">
      <w:start w:val="1"/>
      <w:numFmt w:val="decimal"/>
      <w:pStyle w:val="awTB02question"/>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color w:val="00000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21">
    <w:nsid w:val="6DAB7696"/>
    <w:multiLevelType w:val="hybridMultilevel"/>
    <w:tmpl w:val="725E1CBC"/>
    <w:lvl w:ilvl="0" w:tplc="B726DC76">
      <w:start w:val="5"/>
      <w:numFmt w:val="bullet"/>
      <w:lvlText w:val=""/>
      <w:lvlJc w:val="left"/>
      <w:pPr>
        <w:ind w:left="1530" w:hanging="360"/>
      </w:pPr>
      <w:rPr>
        <w:rFonts w:ascii="Symbol" w:eastAsia="Times New Roman" w:hAnsi="Symbol" w:hint="default"/>
      </w:rPr>
    </w:lvl>
    <w:lvl w:ilvl="1" w:tplc="04090003" w:tentative="1">
      <w:start w:val="1"/>
      <w:numFmt w:val="bullet"/>
      <w:lvlText w:val="o"/>
      <w:lvlJc w:val="left"/>
      <w:pPr>
        <w:ind w:left="2164" w:hanging="360"/>
      </w:pPr>
      <w:rPr>
        <w:rFonts w:ascii="Courier New" w:hAnsi="Courier New" w:hint="default"/>
      </w:rPr>
    </w:lvl>
    <w:lvl w:ilvl="2" w:tplc="04090005" w:tentative="1">
      <w:start w:val="1"/>
      <w:numFmt w:val="bullet"/>
      <w:lvlText w:val=""/>
      <w:lvlJc w:val="left"/>
      <w:pPr>
        <w:ind w:left="2884" w:hanging="360"/>
      </w:pPr>
      <w:rPr>
        <w:rFonts w:ascii="Wingdings" w:hAnsi="Wingdings" w:hint="default"/>
      </w:rPr>
    </w:lvl>
    <w:lvl w:ilvl="3" w:tplc="04090001" w:tentative="1">
      <w:start w:val="1"/>
      <w:numFmt w:val="bullet"/>
      <w:lvlText w:val=""/>
      <w:lvlJc w:val="left"/>
      <w:pPr>
        <w:ind w:left="3604" w:hanging="360"/>
      </w:pPr>
      <w:rPr>
        <w:rFonts w:ascii="Symbol" w:hAnsi="Symbol" w:hint="default"/>
      </w:rPr>
    </w:lvl>
    <w:lvl w:ilvl="4" w:tplc="04090003" w:tentative="1">
      <w:start w:val="1"/>
      <w:numFmt w:val="bullet"/>
      <w:lvlText w:val="o"/>
      <w:lvlJc w:val="left"/>
      <w:pPr>
        <w:ind w:left="4324" w:hanging="360"/>
      </w:pPr>
      <w:rPr>
        <w:rFonts w:ascii="Courier New" w:hAnsi="Courier New" w:hint="default"/>
      </w:rPr>
    </w:lvl>
    <w:lvl w:ilvl="5" w:tplc="04090005" w:tentative="1">
      <w:start w:val="1"/>
      <w:numFmt w:val="bullet"/>
      <w:lvlText w:val=""/>
      <w:lvlJc w:val="left"/>
      <w:pPr>
        <w:ind w:left="5044" w:hanging="360"/>
      </w:pPr>
      <w:rPr>
        <w:rFonts w:ascii="Wingdings" w:hAnsi="Wingdings" w:hint="default"/>
      </w:rPr>
    </w:lvl>
    <w:lvl w:ilvl="6" w:tplc="04090001" w:tentative="1">
      <w:start w:val="1"/>
      <w:numFmt w:val="bullet"/>
      <w:lvlText w:val=""/>
      <w:lvlJc w:val="left"/>
      <w:pPr>
        <w:ind w:left="5764" w:hanging="360"/>
      </w:pPr>
      <w:rPr>
        <w:rFonts w:ascii="Symbol" w:hAnsi="Symbol" w:hint="default"/>
      </w:rPr>
    </w:lvl>
    <w:lvl w:ilvl="7" w:tplc="04090003" w:tentative="1">
      <w:start w:val="1"/>
      <w:numFmt w:val="bullet"/>
      <w:lvlText w:val="o"/>
      <w:lvlJc w:val="left"/>
      <w:pPr>
        <w:ind w:left="6484" w:hanging="360"/>
      </w:pPr>
      <w:rPr>
        <w:rFonts w:ascii="Courier New" w:hAnsi="Courier New" w:hint="default"/>
      </w:rPr>
    </w:lvl>
    <w:lvl w:ilvl="8" w:tplc="04090005" w:tentative="1">
      <w:start w:val="1"/>
      <w:numFmt w:val="bullet"/>
      <w:lvlText w:val=""/>
      <w:lvlJc w:val="left"/>
      <w:pPr>
        <w:ind w:left="7204" w:hanging="360"/>
      </w:pPr>
      <w:rPr>
        <w:rFonts w:ascii="Wingdings" w:hAnsi="Wingdings" w:hint="default"/>
      </w:rPr>
    </w:lvl>
  </w:abstractNum>
  <w:abstractNum w:abstractNumId="22">
    <w:nsid w:val="70803C3A"/>
    <w:multiLevelType w:val="multilevel"/>
    <w:tmpl w:val="AFB09CF2"/>
    <w:lvl w:ilvl="0">
      <w:start w:val="1"/>
      <w:numFmt w:val="decimal"/>
      <w:lvlText w:val="%1."/>
      <w:lvlJc w:val="left"/>
      <w:pPr>
        <w:tabs>
          <w:tab w:val="num" w:pos="360"/>
        </w:tabs>
      </w:pPr>
      <w:rPr>
        <w:rFonts w:cs="Times New Roman" w:hint="default"/>
      </w:rPr>
    </w:lvl>
    <w:lvl w:ilvl="1">
      <w:start w:val="1"/>
      <w:numFmt w:val="lowerLetter"/>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3">
    <w:nsid w:val="739605D5"/>
    <w:multiLevelType w:val="hybridMultilevel"/>
    <w:tmpl w:val="CFDCD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25">
    <w:nsid w:val="7F44220D"/>
    <w:multiLevelType w:val="hybridMultilevel"/>
    <w:tmpl w:val="759A1CCC"/>
    <w:lvl w:ilvl="0" w:tplc="ADF042F8">
      <w:start w:val="1"/>
      <w:numFmt w:val="lowerLetter"/>
      <w:lvlText w:val="%1."/>
      <w:lvlJc w:val="left"/>
      <w:pPr>
        <w:ind w:left="825" w:hanging="375"/>
      </w:pPr>
      <w:rPr>
        <w:rFonts w:cs="Times New Roman" w:hint="default"/>
      </w:rPr>
    </w:lvl>
    <w:lvl w:ilvl="1" w:tplc="04090019" w:tentative="1">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num w:numId="1">
    <w:abstractNumId w:val="9"/>
  </w:num>
  <w:num w:numId="2">
    <w:abstractNumId w:val="22"/>
  </w:num>
  <w:num w:numId="3">
    <w:abstractNumId w:val="9"/>
  </w:num>
  <w:num w:numId="4">
    <w:abstractNumId w:val="20"/>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0"/>
  </w:num>
  <w:num w:numId="15">
    <w:abstractNumId w:val="20"/>
  </w:num>
  <w:num w:numId="16">
    <w:abstractNumId w:val="20"/>
  </w:num>
  <w:num w:numId="17">
    <w:abstractNumId w:val="20"/>
  </w:num>
  <w:num w:numId="18">
    <w:abstractNumId w:val="20"/>
  </w:num>
  <w:num w:numId="19">
    <w:abstractNumId w:val="20"/>
  </w:num>
  <w:num w:numId="20">
    <w:abstractNumId w:val="9"/>
  </w:num>
  <w:num w:numId="21">
    <w:abstractNumId w:val="22"/>
  </w:num>
  <w:num w:numId="22">
    <w:abstractNumId w:val="17"/>
  </w:num>
  <w:num w:numId="23">
    <w:abstractNumId w:val="18"/>
  </w:num>
  <w:num w:numId="24">
    <w:abstractNumId w:val="14"/>
  </w:num>
  <w:num w:numId="25">
    <w:abstractNumId w:val="25"/>
  </w:num>
  <w:num w:numId="26">
    <w:abstractNumId w:val="13"/>
  </w:num>
  <w:num w:numId="27">
    <w:abstractNumId w:val="19"/>
  </w:num>
  <w:num w:numId="28">
    <w:abstractNumId w:val="21"/>
  </w:num>
  <w:num w:numId="29">
    <w:abstractNumId w:val="23"/>
  </w:num>
  <w:num w:numId="30">
    <w:abstractNumId w:val="15"/>
  </w:num>
  <w:num w:numId="31">
    <w:abstractNumId w:val="16"/>
  </w:num>
  <w:num w:numId="32">
    <w:abstractNumId w:val="11"/>
  </w:num>
  <w:num w:numId="33">
    <w:abstractNumId w:val="12"/>
  </w:num>
  <w:num w:numId="34">
    <w:abstractNumId w:val="24"/>
  </w:num>
  <w:num w:numId="35">
    <w:abstractNumId w:val="11"/>
    <w:lvlOverride w:ilvl="0">
      <w:startOverride w:val="1"/>
    </w:lvlOverride>
  </w:num>
  <w:num w:numId="36">
    <w:abstractNumId w:val="11"/>
    <w:lvlOverride w:ilvl="0">
      <w:startOverride w:val="1"/>
    </w:lvlOverride>
  </w:num>
  <w:num w:numId="37">
    <w:abstractNumId w:val="12"/>
    <w:lvlOverride w:ilvl="0">
      <w:startOverride w:val="1"/>
    </w:lvlOverride>
  </w:num>
  <w:num w:numId="38">
    <w:abstractNumId w:val="11"/>
    <w:lvlOverride w:ilvl="0">
      <w:startOverride w:val="1"/>
    </w:lvlOverride>
  </w:num>
  <w:num w:numId="39">
    <w:abstractNumId w:val="11"/>
    <w:lvlOverride w:ilvl="0">
      <w:startOverride w:val="1"/>
    </w:lvlOverride>
  </w:num>
  <w:num w:numId="40">
    <w:abstractNumId w:val="12"/>
    <w:lvlOverride w:ilvl="0">
      <w:startOverride w:val="1"/>
    </w:lvlOverride>
  </w:num>
  <w:num w:numId="41">
    <w:abstractNumId w:val="12"/>
    <w:lvlOverride w:ilvl="0">
      <w:startOverride w:val="1"/>
    </w:lvlOverride>
  </w:num>
  <w:num w:numId="42">
    <w:abstractNumId w:val="12"/>
    <w:lvlOverride w:ilvl="0">
      <w:startOverride w:val="1"/>
    </w:lvlOverride>
  </w:num>
  <w:num w:numId="43">
    <w:abstractNumId w:val="12"/>
    <w:lvlOverride w:ilvl="0">
      <w:startOverride w:val="1"/>
    </w:lvlOverride>
  </w:num>
  <w:num w:numId="44">
    <w:abstractNumId w:val="12"/>
    <w:lvlOverride w:ilvl="0">
      <w:startOverride w:val="1"/>
    </w:lvlOverride>
  </w:num>
  <w:num w:numId="45">
    <w:abstractNumId w:val="12"/>
    <w:lvlOverride w:ilvl="0">
      <w:startOverride w:val="1"/>
    </w:lvlOverride>
  </w:num>
  <w:num w:numId="46">
    <w:abstractNumId w:val="12"/>
    <w:lvlOverride w:ilvl="0">
      <w:startOverride w:val="1"/>
    </w:lvlOverride>
  </w:num>
  <w:num w:numId="47">
    <w:abstractNumId w:val="12"/>
    <w:lvlOverride w:ilvl="0">
      <w:startOverride w:val="1"/>
    </w:lvlOverride>
  </w:num>
  <w:num w:numId="48">
    <w:abstractNumId w:val="1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13"/>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23"/>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235EE9"/>
    <w:rsid w:val="00155538"/>
    <w:rsid w:val="00163459"/>
    <w:rsid w:val="001D6301"/>
    <w:rsid w:val="00235EE9"/>
    <w:rsid w:val="0025405E"/>
    <w:rsid w:val="002672AF"/>
    <w:rsid w:val="002F4492"/>
    <w:rsid w:val="00332668"/>
    <w:rsid w:val="00400538"/>
    <w:rsid w:val="00691A2C"/>
    <w:rsid w:val="006C6BFA"/>
    <w:rsid w:val="00756C26"/>
    <w:rsid w:val="0078614E"/>
    <w:rsid w:val="007A6AF7"/>
    <w:rsid w:val="00803ADC"/>
    <w:rsid w:val="00824419"/>
    <w:rsid w:val="0089081A"/>
    <w:rsid w:val="00A654D9"/>
    <w:rsid w:val="00A87D08"/>
    <w:rsid w:val="00C6031A"/>
    <w:rsid w:val="00D15650"/>
    <w:rsid w:val="00DB08EE"/>
    <w:rsid w:val="00E36F90"/>
    <w:rsid w:val="00EE2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0"/>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18"/>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18"/>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18"/>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60"/>
      <w:ind w:left="720" w:hanging="274"/>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MCQList2a">
    <w:name w:val="MCQ_List2(a)"/>
    <w:basedOn w:val="MCQList2"/>
    <w:pPr>
      <w:ind w:left="1228"/>
    </w:pPr>
  </w:style>
  <w:style w:type="paragraph" w:customStyle="1" w:styleId="BLFSub">
    <w:name w:val="BLF_Sub"/>
    <w:basedOn w:val="BLF"/>
    <w:pPr>
      <w:ind w:left="1017" w:hanging="297"/>
    </w:pPr>
  </w:style>
  <w:style w:type="paragraph" w:customStyle="1" w:styleId="OutlineI">
    <w:name w:val="Outline_I"/>
    <w:basedOn w:val="Normal"/>
    <w:qFormat/>
    <w:rsid w:val="00A87D08"/>
    <w:pPr>
      <w:numPr>
        <w:numId w:val="34"/>
      </w:numPr>
      <w:spacing w:before="60"/>
      <w:ind w:left="1170"/>
    </w:pPr>
    <w:rPr>
      <w:rFonts w:ascii="Times" w:eastAsiaTheme="minorHAnsi" w:hAnsi="Times" w:cs="Times"/>
      <w:sz w:val="22"/>
      <w:szCs w:val="24"/>
    </w:rPr>
  </w:style>
  <w:style w:type="paragraph" w:customStyle="1" w:styleId="OutlineA">
    <w:name w:val="Outline_A"/>
    <w:basedOn w:val="Normal"/>
    <w:qFormat/>
    <w:rsid w:val="00A87D08"/>
    <w:pPr>
      <w:numPr>
        <w:numId w:val="32"/>
      </w:numPr>
      <w:spacing w:before="60"/>
      <w:ind w:left="1526"/>
    </w:pPr>
    <w:rPr>
      <w:rFonts w:ascii="Times" w:eastAsiaTheme="minorHAnsi" w:hAnsi="Times" w:cs="Times"/>
      <w:sz w:val="22"/>
      <w:szCs w:val="24"/>
    </w:rPr>
  </w:style>
  <w:style w:type="paragraph" w:customStyle="1" w:styleId="Outlline1">
    <w:name w:val="Outlline_1"/>
    <w:basedOn w:val="Normal"/>
    <w:qFormat/>
    <w:rsid w:val="00A87D08"/>
    <w:pPr>
      <w:numPr>
        <w:numId w:val="33"/>
      </w:numPr>
      <w:spacing w:before="60"/>
    </w:pPr>
    <w:rPr>
      <w:rFonts w:ascii="Times" w:eastAsiaTheme="minorHAnsi" w:hAnsi="Times" w:cs="Times"/>
      <w:sz w:val="22"/>
      <w:szCs w:val="24"/>
    </w:rPr>
  </w:style>
  <w:style w:type="paragraph" w:customStyle="1" w:styleId="MCQAnswer">
    <w:name w:val="MCQ_Answer"/>
    <w:basedOn w:val="Normal"/>
    <w:qFormat/>
    <w:rsid w:val="00A87D08"/>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A87D08"/>
    <w:pPr>
      <w:spacing w:after="60"/>
      <w:ind w:left="810" w:hanging="364"/>
    </w:pPr>
    <w:rPr>
      <w:rFonts w:ascii="Arial Narrow" w:hAnsi="Arial Narrow"/>
      <w:sz w:val="22"/>
      <w:szCs w:val="24"/>
    </w:rPr>
  </w:style>
  <w:style w:type="paragraph" w:customStyle="1" w:styleId="LearningObjectives">
    <w:name w:val="LearningObjectives"/>
    <w:basedOn w:val="Normal"/>
    <w:qFormat/>
    <w:rsid w:val="00A87D08"/>
    <w:pPr>
      <w:spacing w:before="120" w:line="259" w:lineRule="auto"/>
      <w:ind w:left="720" w:hanging="360"/>
    </w:pPr>
    <w:rPr>
      <w:rFonts w:ascii="Times" w:eastAsiaTheme="minorHAnsi" w:hAnsi="Times" w:cs="Times"/>
      <w:sz w:val="22"/>
      <w:szCs w:val="24"/>
    </w:rPr>
  </w:style>
  <w:style w:type="character" w:styleId="CommentReference">
    <w:name w:val="annotation reference"/>
    <w:basedOn w:val="DefaultParagraphFont"/>
    <w:uiPriority w:val="99"/>
    <w:semiHidden/>
    <w:unhideWhenUsed/>
    <w:rsid w:val="00163459"/>
    <w:rPr>
      <w:sz w:val="16"/>
      <w:szCs w:val="16"/>
    </w:rPr>
  </w:style>
  <w:style w:type="paragraph" w:styleId="CommentText">
    <w:name w:val="annotation text"/>
    <w:basedOn w:val="Normal"/>
    <w:link w:val="CommentTextChar"/>
    <w:uiPriority w:val="99"/>
    <w:semiHidden/>
    <w:unhideWhenUsed/>
    <w:rsid w:val="00163459"/>
  </w:style>
  <w:style w:type="character" w:customStyle="1" w:styleId="CommentTextChar">
    <w:name w:val="Comment Text Char"/>
    <w:basedOn w:val="DefaultParagraphFont"/>
    <w:link w:val="CommentText"/>
    <w:uiPriority w:val="99"/>
    <w:semiHidden/>
    <w:rsid w:val="00163459"/>
  </w:style>
  <w:style w:type="paragraph" w:styleId="CommentSubject">
    <w:name w:val="annotation subject"/>
    <w:basedOn w:val="CommentText"/>
    <w:next w:val="CommentText"/>
    <w:link w:val="CommentSubjectChar"/>
    <w:uiPriority w:val="99"/>
    <w:semiHidden/>
    <w:unhideWhenUsed/>
    <w:rsid w:val="00163459"/>
    <w:rPr>
      <w:b/>
      <w:bCs/>
    </w:rPr>
  </w:style>
  <w:style w:type="character" w:customStyle="1" w:styleId="CommentSubjectChar">
    <w:name w:val="Comment Subject Char"/>
    <w:basedOn w:val="CommentTextChar"/>
    <w:link w:val="CommentSubject"/>
    <w:uiPriority w:val="99"/>
    <w:semiHidden/>
    <w:rsid w:val="00163459"/>
    <w:rPr>
      <w:b/>
      <w:bCs/>
    </w:rPr>
  </w:style>
  <w:style w:type="paragraph" w:styleId="Revision">
    <w:name w:val="Revision"/>
    <w:hidden/>
    <w:uiPriority w:val="99"/>
    <w:semiHidden/>
    <w:rsid w:val="0016345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0"/>
      </w:numPr>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18"/>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18"/>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18"/>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numPr>
        <w:ilvl w:val="0"/>
        <w:numId w:val="0"/>
      </w:numPr>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tabs>
        <w:tab w:val="clear" w:pos="288"/>
      </w:tabs>
      <w:spacing w:before="60"/>
      <w:ind w:left="720" w:hanging="274"/>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MCQList2a">
    <w:name w:val="MCQ_List2(a)"/>
    <w:basedOn w:val="MCQList2"/>
    <w:pPr>
      <w:ind w:left="1228"/>
    </w:pPr>
  </w:style>
  <w:style w:type="paragraph" w:customStyle="1" w:styleId="BLFSub">
    <w:name w:val="BLF_Sub"/>
    <w:basedOn w:val="BLF"/>
    <w:pPr>
      <w:ind w:left="1017" w:hanging="297"/>
    </w:pPr>
  </w:style>
  <w:style w:type="paragraph" w:customStyle="1" w:styleId="OutlineI">
    <w:name w:val="Outline_I"/>
    <w:basedOn w:val="Normal"/>
    <w:qFormat/>
    <w:rsid w:val="00A87D08"/>
    <w:pPr>
      <w:numPr>
        <w:numId w:val="34"/>
      </w:numPr>
      <w:spacing w:before="60"/>
      <w:ind w:left="1170"/>
    </w:pPr>
    <w:rPr>
      <w:rFonts w:ascii="Times" w:eastAsiaTheme="minorHAnsi" w:hAnsi="Times" w:cs="Times"/>
      <w:sz w:val="22"/>
      <w:szCs w:val="24"/>
    </w:rPr>
  </w:style>
  <w:style w:type="paragraph" w:customStyle="1" w:styleId="OutlineA">
    <w:name w:val="Outline_A"/>
    <w:basedOn w:val="Normal"/>
    <w:qFormat/>
    <w:rsid w:val="00A87D08"/>
    <w:pPr>
      <w:numPr>
        <w:numId w:val="32"/>
      </w:numPr>
      <w:spacing w:before="60"/>
      <w:ind w:left="1526"/>
    </w:pPr>
    <w:rPr>
      <w:rFonts w:ascii="Times" w:eastAsiaTheme="minorHAnsi" w:hAnsi="Times" w:cs="Times"/>
      <w:sz w:val="22"/>
      <w:szCs w:val="24"/>
    </w:rPr>
  </w:style>
  <w:style w:type="paragraph" w:customStyle="1" w:styleId="Outlline1">
    <w:name w:val="Outlline_1"/>
    <w:basedOn w:val="Normal"/>
    <w:qFormat/>
    <w:rsid w:val="00A87D08"/>
    <w:pPr>
      <w:numPr>
        <w:numId w:val="33"/>
      </w:numPr>
      <w:spacing w:before="60"/>
    </w:pPr>
    <w:rPr>
      <w:rFonts w:ascii="Times" w:eastAsiaTheme="minorHAnsi" w:hAnsi="Times" w:cs="Times"/>
      <w:sz w:val="22"/>
      <w:szCs w:val="24"/>
    </w:rPr>
  </w:style>
  <w:style w:type="paragraph" w:customStyle="1" w:styleId="MCQAnswer">
    <w:name w:val="MCQ_Answer"/>
    <w:basedOn w:val="Normal"/>
    <w:qFormat/>
    <w:rsid w:val="00A87D08"/>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A87D08"/>
    <w:pPr>
      <w:spacing w:after="60"/>
      <w:ind w:left="810" w:hanging="364"/>
    </w:pPr>
    <w:rPr>
      <w:rFonts w:ascii="Arial Narrow" w:hAnsi="Arial Narrow"/>
      <w:sz w:val="22"/>
      <w:szCs w:val="24"/>
    </w:rPr>
  </w:style>
  <w:style w:type="paragraph" w:customStyle="1" w:styleId="LearningObjectives">
    <w:name w:val="LearningObjectives"/>
    <w:basedOn w:val="Normal"/>
    <w:qFormat/>
    <w:rsid w:val="00A87D08"/>
    <w:pPr>
      <w:spacing w:before="120" w:line="259" w:lineRule="auto"/>
      <w:ind w:left="720" w:hanging="360"/>
    </w:pPr>
    <w:rPr>
      <w:rFonts w:ascii="Times" w:eastAsiaTheme="minorHAnsi" w:hAnsi="Times" w:cs="Times"/>
      <w:sz w:val="22"/>
      <w:szCs w:val="24"/>
    </w:rPr>
  </w:style>
  <w:style w:type="character" w:styleId="CommentReference">
    <w:name w:val="annotation reference"/>
    <w:basedOn w:val="DefaultParagraphFont"/>
    <w:uiPriority w:val="99"/>
    <w:semiHidden/>
    <w:unhideWhenUsed/>
    <w:rsid w:val="00163459"/>
    <w:rPr>
      <w:sz w:val="16"/>
      <w:szCs w:val="16"/>
    </w:rPr>
  </w:style>
  <w:style w:type="paragraph" w:styleId="CommentText">
    <w:name w:val="annotation text"/>
    <w:basedOn w:val="Normal"/>
    <w:link w:val="CommentTextChar"/>
    <w:uiPriority w:val="99"/>
    <w:semiHidden/>
    <w:unhideWhenUsed/>
    <w:rsid w:val="00163459"/>
  </w:style>
  <w:style w:type="character" w:customStyle="1" w:styleId="CommentTextChar">
    <w:name w:val="Comment Text Char"/>
    <w:basedOn w:val="DefaultParagraphFont"/>
    <w:link w:val="CommentText"/>
    <w:uiPriority w:val="99"/>
    <w:semiHidden/>
    <w:rsid w:val="00163459"/>
  </w:style>
  <w:style w:type="paragraph" w:styleId="CommentSubject">
    <w:name w:val="annotation subject"/>
    <w:basedOn w:val="CommentText"/>
    <w:next w:val="CommentText"/>
    <w:link w:val="CommentSubjectChar"/>
    <w:uiPriority w:val="99"/>
    <w:semiHidden/>
    <w:unhideWhenUsed/>
    <w:rsid w:val="00163459"/>
    <w:rPr>
      <w:b/>
      <w:bCs/>
    </w:rPr>
  </w:style>
  <w:style w:type="character" w:customStyle="1" w:styleId="CommentSubjectChar">
    <w:name w:val="Comment Subject Char"/>
    <w:basedOn w:val="CommentTextChar"/>
    <w:link w:val="CommentSubject"/>
    <w:uiPriority w:val="99"/>
    <w:semiHidden/>
    <w:rsid w:val="00163459"/>
    <w:rPr>
      <w:b/>
      <w:bCs/>
    </w:rPr>
  </w:style>
  <w:style w:type="paragraph" w:styleId="Revision">
    <w:name w:val="Revision"/>
    <w:hidden/>
    <w:uiPriority w:val="99"/>
    <w:semiHidden/>
    <w:rsid w:val="001634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10</Pages>
  <Words>4491</Words>
  <Characters>23734</Characters>
  <Application>Microsoft Office Word</Application>
  <DocSecurity>0</DocSecurity>
  <Lines>197</Lines>
  <Paragraphs>56</Paragraphs>
  <ScaleCrop>false</ScaleCrop>
  <HeadingPairs>
    <vt:vector size="2" baseType="variant">
      <vt:variant>
        <vt:lpstr>Title</vt:lpstr>
      </vt:variant>
      <vt:variant>
        <vt:i4>1</vt:i4>
      </vt:variant>
    </vt:vector>
  </HeadingPairs>
  <TitlesOfParts>
    <vt:vector size="1" baseType="lpstr">
      <vt:lpstr>M13_MOFF9242_03_IM_C13</vt:lpstr>
    </vt:vector>
  </TitlesOfParts>
  <Company>ITC</Company>
  <LinksUpToDate>false</LinksUpToDate>
  <CharactersWithSpaces>28169</CharactersWithSpaces>
  <SharedDoc>false</SharedDoc>
  <HLinks>
    <vt:vector size="6" baseType="variant">
      <vt:variant>
        <vt:i4>786532</vt:i4>
      </vt:variant>
      <vt:variant>
        <vt:i4>1995</vt:i4>
      </vt:variant>
      <vt:variant>
        <vt:i4>1025</vt:i4>
      </vt:variant>
      <vt:variant>
        <vt:i4>1</vt:i4>
      </vt:variant>
      <vt:variant>
        <vt:lpwstr>..\..\ART\TIFF\Exhibit_13x01.tif</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M13_MOFF9242_03_IM_C13</dc:title>
  <dc:subject/>
  <dc:creator>Administrator</dc:creator>
  <cp:keywords/>
  <dc:description/>
  <cp:lastModifiedBy>Sheryl Nelson</cp:lastModifiedBy>
  <cp:revision>13</cp:revision>
  <cp:lastPrinted>2011-08-24T17:22:00Z</cp:lastPrinted>
  <dcterms:created xsi:type="dcterms:W3CDTF">2014-07-15T14:31:00Z</dcterms:created>
  <dcterms:modified xsi:type="dcterms:W3CDTF">2014-09-29T15:33:00Z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