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385" w:rsidRPr="00FE7385" w:rsidRDefault="00FE7385" w:rsidP="00FE7385">
      <w:pPr>
        <w:spacing w:after="0" w:line="240" w:lineRule="auto"/>
        <w:rPr>
          <w:rFonts w:ascii="Times New Roman" w:eastAsia="Times New Roman" w:hAnsi="Times New Roman" w:cs="Times New Roman"/>
          <w:sz w:val="24"/>
          <w:szCs w:val="24"/>
        </w:rPr>
      </w:pPr>
    </w:p>
    <w:p w:rsidR="00BD72DF" w:rsidRDefault="00BD72DF" w:rsidP="00FE7385">
      <w:pPr>
        <w:spacing w:before="100" w:beforeAutospacing="1" w:after="100" w:afterAutospacing="1" w:line="240" w:lineRule="auto"/>
        <w:rPr>
          <w:rFonts w:asciiTheme="majorHAnsi" w:eastAsia="Times New Roman" w:hAnsiTheme="majorHAnsi" w:cstheme="majorHAnsi"/>
          <w:b/>
          <w:bCs/>
          <w:sz w:val="40"/>
          <w:szCs w:val="24"/>
        </w:rPr>
      </w:pPr>
    </w:p>
    <w:p w:rsidR="00BD72DF" w:rsidRDefault="00BD72DF" w:rsidP="00FE7385">
      <w:pPr>
        <w:spacing w:before="100" w:beforeAutospacing="1" w:after="100" w:afterAutospacing="1" w:line="240" w:lineRule="auto"/>
        <w:rPr>
          <w:rFonts w:asciiTheme="majorHAnsi" w:eastAsia="Times New Roman" w:hAnsiTheme="majorHAnsi" w:cstheme="majorHAnsi"/>
          <w:b/>
          <w:bCs/>
          <w:sz w:val="40"/>
          <w:szCs w:val="24"/>
        </w:rPr>
      </w:pPr>
    </w:p>
    <w:p w:rsidR="00BD72DF" w:rsidRDefault="00FE7385" w:rsidP="00FE7385">
      <w:pPr>
        <w:spacing w:before="100" w:beforeAutospacing="1" w:after="100" w:afterAutospacing="1" w:line="240" w:lineRule="auto"/>
        <w:rPr>
          <w:rFonts w:asciiTheme="majorHAnsi" w:eastAsia="Times New Roman" w:hAnsiTheme="majorHAnsi" w:cstheme="majorHAnsi"/>
          <w:b/>
          <w:bCs/>
          <w:sz w:val="40"/>
          <w:szCs w:val="24"/>
        </w:rPr>
      </w:pPr>
      <w:r w:rsidRPr="00BD72DF">
        <w:rPr>
          <w:rFonts w:asciiTheme="majorHAnsi" w:eastAsia="Times New Roman" w:hAnsiTheme="majorHAnsi" w:cstheme="majorHAnsi"/>
          <w:b/>
          <w:bCs/>
          <w:sz w:val="40"/>
          <w:szCs w:val="24"/>
        </w:rPr>
        <w:t>Certificate of Higher Education Skills for the Workplace (Health &amp; Social Care</w:t>
      </w:r>
      <w:proofErr w:type="gramStart"/>
      <w:r w:rsidRPr="00BD72DF">
        <w:rPr>
          <w:rFonts w:asciiTheme="majorHAnsi" w:eastAsia="Times New Roman" w:hAnsiTheme="majorHAnsi" w:cstheme="majorHAnsi"/>
          <w:b/>
          <w:bCs/>
          <w:sz w:val="40"/>
          <w:szCs w:val="24"/>
        </w:rPr>
        <w:t>)</w:t>
      </w:r>
      <w:proofErr w:type="gramEnd"/>
      <w:r w:rsidRPr="00BD72DF">
        <w:rPr>
          <w:rFonts w:asciiTheme="majorHAnsi" w:eastAsia="Times New Roman" w:hAnsiTheme="majorHAnsi" w:cstheme="majorHAnsi"/>
          <w:sz w:val="40"/>
          <w:szCs w:val="24"/>
        </w:rPr>
        <w:br/>
      </w:r>
      <w:r w:rsidRPr="00BD72DF">
        <w:rPr>
          <w:rFonts w:asciiTheme="majorHAnsi" w:eastAsia="Times New Roman" w:hAnsiTheme="majorHAnsi" w:cstheme="majorHAnsi"/>
          <w:b/>
          <w:bCs/>
          <w:sz w:val="40"/>
          <w:szCs w:val="24"/>
        </w:rPr>
        <w:t>Module:</w:t>
      </w:r>
      <w:r w:rsidRPr="00BD72DF">
        <w:rPr>
          <w:rFonts w:asciiTheme="majorHAnsi" w:eastAsia="Times New Roman" w:hAnsiTheme="majorHAnsi" w:cstheme="majorHAnsi"/>
          <w:sz w:val="40"/>
          <w:szCs w:val="24"/>
        </w:rPr>
        <w:t xml:space="preserve"> Psychology in Health and Social Care (LCHS4010)</w:t>
      </w:r>
      <w:r w:rsidRPr="00BD72DF">
        <w:rPr>
          <w:rFonts w:asciiTheme="majorHAnsi" w:eastAsia="Times New Roman" w:hAnsiTheme="majorHAnsi" w:cstheme="majorHAnsi"/>
          <w:sz w:val="40"/>
          <w:szCs w:val="24"/>
        </w:rPr>
        <w:br/>
      </w:r>
      <w:r w:rsidRPr="00BD72DF">
        <w:rPr>
          <w:rFonts w:asciiTheme="majorHAnsi" w:eastAsia="Times New Roman" w:hAnsiTheme="majorHAnsi" w:cstheme="majorHAnsi"/>
          <w:b/>
          <w:bCs/>
          <w:sz w:val="40"/>
          <w:szCs w:val="24"/>
        </w:rPr>
        <w:t>Assignment Title:</w:t>
      </w:r>
      <w:r w:rsidRPr="00BD72DF">
        <w:rPr>
          <w:rFonts w:asciiTheme="majorHAnsi" w:eastAsia="Times New Roman" w:hAnsiTheme="majorHAnsi" w:cstheme="majorHAnsi"/>
          <w:sz w:val="40"/>
          <w:szCs w:val="24"/>
        </w:rPr>
        <w:t xml:space="preserve"> Assignment 2 – Written Task (Booklet)</w:t>
      </w:r>
      <w:r w:rsidRPr="00BD72DF">
        <w:rPr>
          <w:rFonts w:asciiTheme="majorHAnsi" w:eastAsia="Times New Roman" w:hAnsiTheme="majorHAnsi" w:cstheme="majorHAnsi"/>
          <w:sz w:val="40"/>
          <w:szCs w:val="24"/>
        </w:rPr>
        <w:br/>
      </w:r>
      <w:r w:rsidRPr="00BD72DF">
        <w:rPr>
          <w:rFonts w:asciiTheme="majorHAnsi" w:eastAsia="Times New Roman" w:hAnsiTheme="majorHAnsi" w:cstheme="majorHAnsi"/>
          <w:sz w:val="40"/>
          <w:szCs w:val="24"/>
        </w:rPr>
        <w:br/>
      </w:r>
    </w:p>
    <w:p w:rsidR="00BD72DF" w:rsidRDefault="00BD72DF" w:rsidP="00FE7385">
      <w:pPr>
        <w:spacing w:before="100" w:beforeAutospacing="1" w:after="100" w:afterAutospacing="1" w:line="240" w:lineRule="auto"/>
        <w:rPr>
          <w:rFonts w:asciiTheme="majorHAnsi" w:eastAsia="Times New Roman" w:hAnsiTheme="majorHAnsi" w:cstheme="majorHAnsi"/>
          <w:b/>
          <w:bCs/>
          <w:sz w:val="40"/>
          <w:szCs w:val="24"/>
        </w:rPr>
      </w:pPr>
    </w:p>
    <w:p w:rsidR="00FE7385" w:rsidRPr="00BD72DF" w:rsidRDefault="00FE7385" w:rsidP="00FE7385">
      <w:pPr>
        <w:spacing w:before="100" w:beforeAutospacing="1" w:after="100" w:afterAutospacing="1" w:line="240" w:lineRule="auto"/>
        <w:rPr>
          <w:rFonts w:asciiTheme="majorHAnsi" w:eastAsia="Times New Roman" w:hAnsiTheme="majorHAnsi" w:cstheme="majorHAnsi"/>
          <w:sz w:val="40"/>
          <w:szCs w:val="24"/>
        </w:rPr>
      </w:pPr>
      <w:r w:rsidRPr="00BD72DF">
        <w:rPr>
          <w:rFonts w:asciiTheme="majorHAnsi" w:eastAsia="Times New Roman" w:hAnsiTheme="majorHAnsi" w:cstheme="majorHAnsi"/>
          <w:b/>
          <w:bCs/>
          <w:sz w:val="40"/>
          <w:szCs w:val="24"/>
        </w:rPr>
        <w:t>Student Name:</w:t>
      </w:r>
      <w:r w:rsidR="00BD72DF" w:rsidRPr="00BD72DF">
        <w:rPr>
          <w:rFonts w:asciiTheme="majorHAnsi" w:eastAsia="Times New Roman" w:hAnsiTheme="majorHAnsi" w:cstheme="majorHAnsi"/>
          <w:sz w:val="40"/>
          <w:szCs w:val="24"/>
        </w:rPr>
        <w:t xml:space="preserve"> Lisdalia Biague</w:t>
      </w:r>
      <w:r w:rsidRPr="00BD72DF">
        <w:rPr>
          <w:rFonts w:asciiTheme="majorHAnsi" w:eastAsia="Times New Roman" w:hAnsiTheme="majorHAnsi" w:cstheme="majorHAnsi"/>
          <w:sz w:val="40"/>
          <w:szCs w:val="24"/>
        </w:rPr>
        <w:br/>
      </w:r>
      <w:r w:rsidRPr="00BD72DF">
        <w:rPr>
          <w:rFonts w:asciiTheme="majorHAnsi" w:eastAsia="Times New Roman" w:hAnsiTheme="majorHAnsi" w:cstheme="majorHAnsi"/>
          <w:b/>
          <w:bCs/>
          <w:sz w:val="40"/>
          <w:szCs w:val="24"/>
        </w:rPr>
        <w:t>Student Number:</w:t>
      </w:r>
      <w:r w:rsidR="00BD72DF" w:rsidRPr="00BD72DF">
        <w:rPr>
          <w:rFonts w:asciiTheme="majorHAnsi" w:eastAsia="Times New Roman" w:hAnsiTheme="majorHAnsi" w:cstheme="majorHAnsi"/>
          <w:sz w:val="40"/>
          <w:szCs w:val="24"/>
        </w:rPr>
        <w:t xml:space="preserve"> 2425890</w:t>
      </w:r>
      <w:r w:rsidRPr="00BD72DF">
        <w:rPr>
          <w:rFonts w:asciiTheme="majorHAnsi" w:eastAsia="Times New Roman" w:hAnsiTheme="majorHAnsi" w:cstheme="majorHAnsi"/>
          <w:sz w:val="40"/>
          <w:szCs w:val="24"/>
        </w:rPr>
        <w:br/>
      </w:r>
    </w:p>
    <w:p w:rsidR="00FE7385" w:rsidRPr="00FE7385" w:rsidRDefault="00FE7385" w:rsidP="00FE7385">
      <w:pPr>
        <w:spacing w:after="0" w:line="240" w:lineRule="auto"/>
        <w:rPr>
          <w:rFonts w:ascii="Times New Roman" w:eastAsia="Times New Roman" w:hAnsi="Times New Roman" w:cs="Times New Roman"/>
          <w:sz w:val="24"/>
          <w:szCs w:val="24"/>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BD72DF" w:rsidRDefault="00BD72DF" w:rsidP="00FE7385">
      <w:pPr>
        <w:spacing w:before="100" w:beforeAutospacing="1" w:after="100" w:afterAutospacing="1" w:line="240" w:lineRule="auto"/>
        <w:outlineLvl w:val="1"/>
        <w:rPr>
          <w:rFonts w:ascii="Times New Roman" w:eastAsia="Times New Roman" w:hAnsi="Times New Roman" w:cs="Times New Roman"/>
          <w:b/>
          <w:bCs/>
          <w:sz w:val="36"/>
          <w:szCs w:val="36"/>
        </w:rPr>
      </w:pPr>
      <w:bookmarkStart w:id="0" w:name="_GoBack"/>
      <w:bookmarkEnd w:id="0"/>
    </w:p>
    <w:p w:rsidR="00BD72DF" w:rsidRDefault="00BD72DF"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sdt>
      <w:sdtPr>
        <w:id w:val="691350794"/>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rsidR="00C90EE7" w:rsidRDefault="00C90EE7">
          <w:pPr>
            <w:pStyle w:val="TOCHeading"/>
          </w:pPr>
          <w:r>
            <w:t>Table of Contents</w:t>
          </w:r>
        </w:p>
        <w:p w:rsidR="00C90EE7" w:rsidRPr="00C90EE7" w:rsidRDefault="00C90EE7">
          <w:pPr>
            <w:pStyle w:val="TOC1"/>
            <w:tabs>
              <w:tab w:val="right" w:leader="dot" w:pos="9350"/>
            </w:tabs>
            <w:rPr>
              <w:rFonts w:asciiTheme="majorHAnsi" w:hAnsiTheme="majorHAnsi" w:cstheme="majorHAnsi"/>
              <w:noProof/>
              <w:sz w:val="28"/>
            </w:rPr>
          </w:pPr>
          <w:r>
            <w:rPr>
              <w:b/>
              <w:bCs/>
              <w:noProof/>
            </w:rPr>
            <w:fldChar w:fldCharType="begin"/>
          </w:r>
          <w:r>
            <w:rPr>
              <w:b/>
              <w:bCs/>
              <w:noProof/>
            </w:rPr>
            <w:instrText xml:space="preserve"> TOC \o "1-3" \h \z \u </w:instrText>
          </w:r>
          <w:r>
            <w:rPr>
              <w:b/>
              <w:bCs/>
              <w:noProof/>
            </w:rPr>
            <w:fldChar w:fldCharType="separate"/>
          </w:r>
        </w:p>
        <w:p w:rsidR="00C90EE7" w:rsidRPr="00C90EE7" w:rsidRDefault="00C90EE7" w:rsidP="00C90EE7">
          <w:pPr>
            <w:pStyle w:val="TOC1"/>
            <w:tabs>
              <w:tab w:val="right" w:leader="dot" w:pos="9350"/>
            </w:tabs>
            <w:rPr>
              <w:rFonts w:asciiTheme="majorHAnsi" w:hAnsiTheme="majorHAnsi" w:cstheme="majorHAnsi"/>
              <w:noProof/>
              <w:sz w:val="28"/>
            </w:rPr>
          </w:pPr>
          <w:hyperlink w:anchor="_Toc216733261" w:history="1">
            <w:r w:rsidRPr="00C90EE7">
              <w:rPr>
                <w:rStyle w:val="Hyperlink"/>
                <w:rFonts w:asciiTheme="majorHAnsi" w:eastAsia="Times New Roman" w:hAnsiTheme="majorHAnsi" w:cstheme="majorHAnsi"/>
                <w:b/>
                <w:noProof/>
                <w:sz w:val="28"/>
              </w:rPr>
              <w:t>Introduction</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_Toc216733261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3</w:t>
            </w:r>
            <w:r w:rsidRPr="00C90EE7">
              <w:rPr>
                <w:rFonts w:asciiTheme="majorHAnsi" w:hAnsiTheme="majorHAnsi" w:cstheme="majorHAnsi"/>
                <w:noProof/>
                <w:webHidden/>
                <w:sz w:val="28"/>
              </w:rPr>
              <w:fldChar w:fldCharType="end"/>
            </w:r>
          </w:hyperlink>
        </w:p>
        <w:p w:rsidR="00C90EE7" w:rsidRPr="00C90EE7" w:rsidRDefault="00C90EE7">
          <w:pPr>
            <w:pStyle w:val="TOC1"/>
            <w:tabs>
              <w:tab w:val="right" w:leader="dot" w:pos="9350"/>
            </w:tabs>
            <w:rPr>
              <w:rFonts w:asciiTheme="majorHAnsi" w:hAnsiTheme="majorHAnsi" w:cstheme="majorHAnsi"/>
              <w:noProof/>
              <w:sz w:val="28"/>
            </w:rPr>
          </w:pPr>
          <w:hyperlink w:anchor="_Toc216733263" w:history="1">
            <w:r w:rsidRPr="00C90EE7">
              <w:rPr>
                <w:rStyle w:val="Hyperlink"/>
                <w:rFonts w:asciiTheme="majorHAnsi" w:eastAsia="Times New Roman" w:hAnsiTheme="majorHAnsi" w:cstheme="majorHAnsi"/>
                <w:b/>
                <w:noProof/>
                <w:sz w:val="28"/>
              </w:rPr>
              <w:t>Nature and Nurture in Adolescent Development</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_Toc216733263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3</w:t>
            </w:r>
            <w:r w:rsidRPr="00C90EE7">
              <w:rPr>
                <w:rFonts w:asciiTheme="majorHAnsi" w:hAnsiTheme="majorHAnsi" w:cstheme="majorHAnsi"/>
                <w:noProof/>
                <w:webHidden/>
                <w:sz w:val="28"/>
              </w:rPr>
              <w:fldChar w:fldCharType="end"/>
            </w:r>
          </w:hyperlink>
        </w:p>
        <w:p w:rsidR="00C90EE7" w:rsidRPr="00C90EE7" w:rsidRDefault="00C90EE7" w:rsidP="00C90EE7">
          <w:pPr>
            <w:pStyle w:val="TOC1"/>
            <w:tabs>
              <w:tab w:val="right" w:leader="dot" w:pos="9350"/>
            </w:tabs>
            <w:rPr>
              <w:rFonts w:asciiTheme="majorHAnsi" w:hAnsiTheme="majorHAnsi" w:cstheme="majorHAnsi"/>
              <w:noProof/>
              <w:sz w:val="28"/>
            </w:rPr>
          </w:pPr>
          <w:hyperlink w:anchor="_Toc216733264" w:history="1">
            <w:r w:rsidRPr="00C90EE7">
              <w:rPr>
                <w:rStyle w:val="Hyperlink"/>
                <w:rFonts w:asciiTheme="majorHAnsi" w:eastAsia="Times New Roman" w:hAnsiTheme="majorHAnsi" w:cstheme="majorHAnsi"/>
                <w:b/>
                <w:noProof/>
                <w:sz w:val="28"/>
              </w:rPr>
              <w:t>Theory One: Erikson’s Psychosocial Theory of Development</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_Toc216733264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4</w:t>
            </w:r>
            <w:r w:rsidRPr="00C90EE7">
              <w:rPr>
                <w:rFonts w:asciiTheme="majorHAnsi" w:hAnsiTheme="majorHAnsi" w:cstheme="majorHAnsi"/>
                <w:noProof/>
                <w:webHidden/>
                <w:sz w:val="28"/>
              </w:rPr>
              <w:fldChar w:fldCharType="end"/>
            </w:r>
          </w:hyperlink>
        </w:p>
        <w:p w:rsidR="00C90EE7" w:rsidRPr="00C90EE7" w:rsidRDefault="00C90EE7" w:rsidP="00C90EE7">
          <w:pPr>
            <w:pStyle w:val="TOC1"/>
            <w:tabs>
              <w:tab w:val="right" w:leader="dot" w:pos="9350"/>
            </w:tabs>
            <w:rPr>
              <w:rFonts w:asciiTheme="majorHAnsi" w:hAnsiTheme="majorHAnsi" w:cstheme="majorHAnsi"/>
              <w:noProof/>
              <w:sz w:val="28"/>
            </w:rPr>
          </w:pPr>
          <w:hyperlink w:anchor="_Toc216733268" w:history="1">
            <w:r w:rsidRPr="00C90EE7">
              <w:rPr>
                <w:rStyle w:val="Hyperlink"/>
                <w:rFonts w:asciiTheme="majorHAnsi" w:eastAsia="Times New Roman" w:hAnsiTheme="majorHAnsi" w:cstheme="majorHAnsi"/>
                <w:b/>
                <w:noProof/>
                <w:sz w:val="28"/>
              </w:rPr>
              <w:t>Critical Evaluation of Erikson’s Theory</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_Toc216733268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5</w:t>
            </w:r>
            <w:r w:rsidRPr="00C90EE7">
              <w:rPr>
                <w:rFonts w:asciiTheme="majorHAnsi" w:hAnsiTheme="majorHAnsi" w:cstheme="majorHAnsi"/>
                <w:noProof/>
                <w:webHidden/>
                <w:sz w:val="28"/>
              </w:rPr>
              <w:fldChar w:fldCharType="end"/>
            </w:r>
          </w:hyperlink>
        </w:p>
        <w:p w:rsidR="00C90EE7" w:rsidRPr="00C90EE7" w:rsidRDefault="00C90EE7" w:rsidP="00C90EE7">
          <w:pPr>
            <w:pStyle w:val="TOC1"/>
            <w:tabs>
              <w:tab w:val="right" w:leader="dot" w:pos="9350"/>
            </w:tabs>
            <w:rPr>
              <w:rFonts w:asciiTheme="majorHAnsi" w:hAnsiTheme="majorHAnsi" w:cstheme="majorHAnsi"/>
              <w:noProof/>
              <w:sz w:val="28"/>
            </w:rPr>
          </w:pPr>
          <w:hyperlink w:anchor="_Toc216733272" w:history="1">
            <w:r w:rsidRPr="00C90EE7">
              <w:rPr>
                <w:rStyle w:val="Hyperlink"/>
                <w:rFonts w:asciiTheme="majorHAnsi" w:eastAsia="Times New Roman" w:hAnsiTheme="majorHAnsi" w:cstheme="majorHAnsi"/>
                <w:b/>
                <w:noProof/>
                <w:sz w:val="28"/>
              </w:rPr>
              <w:t>Application of Erikson’s Theory in Health and Social Care</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_Toc216733272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5</w:t>
            </w:r>
            <w:r w:rsidRPr="00C90EE7">
              <w:rPr>
                <w:rFonts w:asciiTheme="majorHAnsi" w:hAnsiTheme="majorHAnsi" w:cstheme="majorHAnsi"/>
                <w:noProof/>
                <w:webHidden/>
                <w:sz w:val="28"/>
              </w:rPr>
              <w:fldChar w:fldCharType="end"/>
            </w:r>
          </w:hyperlink>
        </w:p>
        <w:p w:rsidR="00C90EE7" w:rsidRPr="00C90EE7" w:rsidRDefault="00C90EE7" w:rsidP="00C90EE7">
          <w:pPr>
            <w:pStyle w:val="TOC1"/>
            <w:tabs>
              <w:tab w:val="right" w:leader="dot" w:pos="9350"/>
            </w:tabs>
            <w:rPr>
              <w:rFonts w:asciiTheme="majorHAnsi" w:hAnsiTheme="majorHAnsi" w:cstheme="majorHAnsi"/>
              <w:noProof/>
              <w:sz w:val="28"/>
            </w:rPr>
          </w:pPr>
          <w:hyperlink w:anchor="_Toc216733275" w:history="1">
            <w:r w:rsidRPr="00C90EE7">
              <w:rPr>
                <w:rStyle w:val="Hyperlink"/>
                <w:rFonts w:asciiTheme="majorHAnsi" w:eastAsia="Times New Roman" w:hAnsiTheme="majorHAnsi" w:cstheme="majorHAnsi"/>
                <w:b/>
                <w:noProof/>
                <w:sz w:val="28"/>
              </w:rPr>
              <w:t>Theory Two: Bronfenbrenner’s Ecological Systems Theory</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_Toc216733275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6</w:t>
            </w:r>
            <w:r w:rsidRPr="00C90EE7">
              <w:rPr>
                <w:rFonts w:asciiTheme="majorHAnsi" w:hAnsiTheme="majorHAnsi" w:cstheme="majorHAnsi"/>
                <w:noProof/>
                <w:webHidden/>
                <w:sz w:val="28"/>
              </w:rPr>
              <w:fldChar w:fldCharType="end"/>
            </w:r>
          </w:hyperlink>
        </w:p>
        <w:p w:rsidR="00C90EE7" w:rsidRPr="00C90EE7" w:rsidRDefault="00C90EE7">
          <w:pPr>
            <w:pStyle w:val="TOC1"/>
            <w:tabs>
              <w:tab w:val="right" w:leader="dot" w:pos="9350"/>
            </w:tabs>
            <w:rPr>
              <w:rFonts w:asciiTheme="majorHAnsi" w:hAnsiTheme="majorHAnsi" w:cstheme="majorHAnsi"/>
              <w:noProof/>
              <w:sz w:val="28"/>
            </w:rPr>
          </w:pPr>
          <w:hyperlink w:anchor="_Toc216733279" w:history="1">
            <w:r w:rsidRPr="00C90EE7">
              <w:rPr>
                <w:rStyle w:val="Hyperlink"/>
                <w:rFonts w:asciiTheme="majorHAnsi" w:eastAsia="Times New Roman" w:hAnsiTheme="majorHAnsi" w:cstheme="majorHAnsi"/>
                <w:b/>
                <w:noProof/>
                <w:sz w:val="28"/>
              </w:rPr>
              <w:t>Critical Evaluation of Bronfenbrenner’s Theory</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_Toc216733279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6</w:t>
            </w:r>
            <w:r w:rsidRPr="00C90EE7">
              <w:rPr>
                <w:rFonts w:asciiTheme="majorHAnsi" w:hAnsiTheme="majorHAnsi" w:cstheme="majorHAnsi"/>
                <w:noProof/>
                <w:webHidden/>
                <w:sz w:val="28"/>
              </w:rPr>
              <w:fldChar w:fldCharType="end"/>
            </w:r>
          </w:hyperlink>
        </w:p>
        <w:p w:rsidR="00C90EE7" w:rsidRPr="00C90EE7" w:rsidRDefault="00C90EE7" w:rsidP="00C90EE7">
          <w:pPr>
            <w:pStyle w:val="TOC2"/>
            <w:tabs>
              <w:tab w:val="right" w:leader="dot" w:pos="9350"/>
            </w:tabs>
            <w:ind w:left="0"/>
            <w:rPr>
              <w:rFonts w:asciiTheme="majorHAnsi" w:hAnsiTheme="majorHAnsi" w:cstheme="majorHAnsi"/>
              <w:noProof/>
              <w:sz w:val="28"/>
            </w:rPr>
          </w:pPr>
          <w:hyperlink w:anchor="_Toc216733283" w:history="1">
            <w:r w:rsidRPr="00C90EE7">
              <w:rPr>
                <w:rStyle w:val="Hyperlink"/>
                <w:rFonts w:asciiTheme="majorHAnsi" w:eastAsia="Times New Roman" w:hAnsiTheme="majorHAnsi" w:cstheme="majorHAnsi"/>
                <w:b/>
                <w:noProof/>
                <w:sz w:val="28"/>
              </w:rPr>
              <w:t>Application of Bronfenbrenner’s Theory in Health and Social Care</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_Toc216733283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7</w:t>
            </w:r>
            <w:r w:rsidRPr="00C90EE7">
              <w:rPr>
                <w:rFonts w:asciiTheme="majorHAnsi" w:hAnsiTheme="majorHAnsi" w:cstheme="majorHAnsi"/>
                <w:noProof/>
                <w:webHidden/>
                <w:sz w:val="28"/>
              </w:rPr>
              <w:fldChar w:fldCharType="end"/>
            </w:r>
          </w:hyperlink>
        </w:p>
        <w:p w:rsidR="00C90EE7" w:rsidRPr="00C90EE7" w:rsidRDefault="00C90EE7" w:rsidP="00C90EE7">
          <w:pPr>
            <w:pStyle w:val="TOC1"/>
            <w:tabs>
              <w:tab w:val="right" w:leader="dot" w:pos="9350"/>
            </w:tabs>
            <w:rPr>
              <w:rFonts w:asciiTheme="majorHAnsi" w:hAnsiTheme="majorHAnsi" w:cstheme="majorHAnsi"/>
              <w:noProof/>
              <w:sz w:val="28"/>
            </w:rPr>
          </w:pPr>
          <w:hyperlink w:anchor="_Toc216733286" w:history="1">
            <w:r w:rsidRPr="00C90EE7">
              <w:rPr>
                <w:rStyle w:val="Hyperlink"/>
                <w:rFonts w:asciiTheme="majorHAnsi" w:eastAsia="Times New Roman" w:hAnsiTheme="majorHAnsi" w:cstheme="majorHAnsi"/>
                <w:b/>
                <w:noProof/>
                <w:sz w:val="28"/>
              </w:rPr>
              <w:t>Conclusion</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_Toc216733286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7</w:t>
            </w:r>
            <w:r w:rsidRPr="00C90EE7">
              <w:rPr>
                <w:rFonts w:asciiTheme="majorHAnsi" w:hAnsiTheme="majorHAnsi" w:cstheme="majorHAnsi"/>
                <w:noProof/>
                <w:webHidden/>
                <w:sz w:val="28"/>
              </w:rPr>
              <w:fldChar w:fldCharType="end"/>
            </w:r>
          </w:hyperlink>
        </w:p>
        <w:p w:rsidR="00C90EE7" w:rsidRDefault="00C90EE7">
          <w:pPr>
            <w:pStyle w:val="TOC1"/>
            <w:tabs>
              <w:tab w:val="right" w:leader="dot" w:pos="9350"/>
            </w:tabs>
            <w:rPr>
              <w:noProof/>
            </w:rPr>
          </w:pPr>
          <w:hyperlink w:anchor="_Toc216733290" w:history="1">
            <w:r w:rsidRPr="00C90EE7">
              <w:rPr>
                <w:rStyle w:val="Hyperlink"/>
                <w:rFonts w:asciiTheme="majorHAnsi" w:eastAsia="Times New Roman" w:hAnsiTheme="majorHAnsi" w:cstheme="majorHAnsi"/>
                <w:b/>
                <w:noProof/>
                <w:sz w:val="28"/>
              </w:rPr>
              <w:t>Reference List</w:t>
            </w:r>
            <w:r w:rsidRPr="00C90EE7">
              <w:rPr>
                <w:rFonts w:asciiTheme="majorHAnsi" w:hAnsiTheme="majorHAnsi" w:cstheme="majorHAnsi"/>
                <w:noProof/>
                <w:webHidden/>
                <w:sz w:val="28"/>
              </w:rPr>
              <w:tab/>
            </w:r>
            <w:r w:rsidRPr="00C90EE7">
              <w:rPr>
                <w:rFonts w:asciiTheme="majorHAnsi" w:hAnsiTheme="majorHAnsi" w:cstheme="majorHAnsi"/>
                <w:noProof/>
                <w:webHidden/>
                <w:sz w:val="28"/>
              </w:rPr>
              <w:fldChar w:fldCharType="begin"/>
            </w:r>
            <w:r w:rsidRPr="00C90EE7">
              <w:rPr>
                <w:rFonts w:asciiTheme="majorHAnsi" w:hAnsiTheme="majorHAnsi" w:cstheme="majorHAnsi"/>
                <w:noProof/>
                <w:webHidden/>
                <w:sz w:val="28"/>
              </w:rPr>
              <w:instrText xml:space="preserve"> PAGEREF _Toc216733290 \h </w:instrText>
            </w:r>
            <w:r w:rsidRPr="00C90EE7">
              <w:rPr>
                <w:rFonts w:asciiTheme="majorHAnsi" w:hAnsiTheme="majorHAnsi" w:cstheme="majorHAnsi"/>
                <w:noProof/>
                <w:webHidden/>
                <w:sz w:val="28"/>
              </w:rPr>
            </w:r>
            <w:r w:rsidRPr="00C90EE7">
              <w:rPr>
                <w:rFonts w:asciiTheme="majorHAnsi" w:hAnsiTheme="majorHAnsi" w:cstheme="majorHAnsi"/>
                <w:noProof/>
                <w:webHidden/>
                <w:sz w:val="28"/>
              </w:rPr>
              <w:fldChar w:fldCharType="separate"/>
            </w:r>
            <w:r w:rsidRPr="00C90EE7">
              <w:rPr>
                <w:rFonts w:asciiTheme="majorHAnsi" w:hAnsiTheme="majorHAnsi" w:cstheme="majorHAnsi"/>
                <w:noProof/>
                <w:webHidden/>
                <w:sz w:val="28"/>
              </w:rPr>
              <w:t>8</w:t>
            </w:r>
            <w:r w:rsidRPr="00C90EE7">
              <w:rPr>
                <w:rFonts w:asciiTheme="majorHAnsi" w:hAnsiTheme="majorHAnsi" w:cstheme="majorHAnsi"/>
                <w:noProof/>
                <w:webHidden/>
                <w:sz w:val="28"/>
              </w:rPr>
              <w:fldChar w:fldCharType="end"/>
            </w:r>
          </w:hyperlink>
        </w:p>
        <w:p w:rsidR="00C90EE7" w:rsidRDefault="00C90EE7">
          <w:r>
            <w:rPr>
              <w:b/>
              <w:bCs/>
              <w:noProof/>
            </w:rPr>
            <w:fldChar w:fldCharType="end"/>
          </w:r>
        </w:p>
      </w:sdtContent>
    </w:sdt>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C90EE7" w:rsidRDefault="00C90EE7" w:rsidP="00FE7385">
      <w:pPr>
        <w:spacing w:before="100" w:beforeAutospacing="1" w:after="100" w:afterAutospacing="1" w:line="240" w:lineRule="auto"/>
        <w:outlineLvl w:val="1"/>
        <w:rPr>
          <w:rFonts w:ascii="Times New Roman" w:eastAsia="Times New Roman" w:hAnsi="Times New Roman" w:cs="Times New Roman"/>
          <w:b/>
          <w:bCs/>
          <w:sz w:val="36"/>
          <w:szCs w:val="36"/>
        </w:rPr>
      </w:pPr>
    </w:p>
    <w:p w:rsidR="00BD72DF" w:rsidRPr="00FE7385" w:rsidRDefault="00BD72DF" w:rsidP="00BD72DF">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 w:name="_Toc216733261"/>
      <w:bookmarkStart w:id="2" w:name="_Toc216733260"/>
      <w:r w:rsidRPr="00FE7385">
        <w:rPr>
          <w:rFonts w:ascii="Times New Roman" w:eastAsia="Times New Roman" w:hAnsi="Times New Roman" w:cs="Times New Roman"/>
          <w:b/>
          <w:bCs/>
          <w:kern w:val="36"/>
          <w:sz w:val="48"/>
          <w:szCs w:val="48"/>
        </w:rPr>
        <w:lastRenderedPageBreak/>
        <w:t>Understanding Developmental Psychology in Adolescence: A Guide for New Health and Social Care Professionals</w:t>
      </w:r>
      <w:bookmarkEnd w:id="2"/>
    </w:p>
    <w:p w:rsidR="00FE7385" w:rsidRPr="00C90EE7" w:rsidRDefault="00FE7385" w:rsidP="00C90EE7">
      <w:pPr>
        <w:pStyle w:val="Heading1"/>
        <w:rPr>
          <w:rFonts w:eastAsia="Times New Roman"/>
          <w:b/>
        </w:rPr>
      </w:pPr>
      <w:r w:rsidRPr="00C90EE7">
        <w:rPr>
          <w:rFonts w:eastAsia="Times New Roman"/>
          <w:b/>
        </w:rPr>
        <w:t>Introduction</w:t>
      </w:r>
      <w:bookmarkEnd w:id="1"/>
    </w:p>
    <w:p w:rsidR="00FE7385" w:rsidRPr="00C90EE7" w:rsidRDefault="00FE7385" w:rsidP="00C90EE7">
      <w:pPr>
        <w:spacing w:before="100" w:beforeAutospacing="1" w:after="100" w:afterAutospacing="1" w:line="360" w:lineRule="auto"/>
        <w:jc w:val="both"/>
        <w:rPr>
          <w:rFonts w:ascii="Arial" w:eastAsia="Times New Roman" w:hAnsi="Arial" w:cs="Arial"/>
          <w:sz w:val="22"/>
          <w:szCs w:val="24"/>
        </w:rPr>
      </w:pPr>
      <w:r w:rsidRPr="00C90EE7">
        <w:rPr>
          <w:rFonts w:ascii="Arial" w:eastAsia="Times New Roman" w:hAnsi="Arial" w:cs="Arial"/>
          <w:sz w:val="22"/>
          <w:szCs w:val="24"/>
        </w:rPr>
        <w:t xml:space="preserve">Health and social care practice cannot afford to be without developmental psychology, especially where it involves children and young people. It gives practitioners insight on how people develop, change and adjust through different stages of life. Such knowledge assists professionals to </w:t>
      </w:r>
      <w:proofErr w:type="spellStart"/>
      <w:r w:rsidRPr="00C90EE7">
        <w:rPr>
          <w:rFonts w:ascii="Arial" w:eastAsia="Times New Roman" w:hAnsi="Arial" w:cs="Arial"/>
          <w:sz w:val="22"/>
          <w:szCs w:val="24"/>
        </w:rPr>
        <w:t>recognise</w:t>
      </w:r>
      <w:proofErr w:type="spellEnd"/>
      <w:r w:rsidRPr="00C90EE7">
        <w:rPr>
          <w:rFonts w:ascii="Arial" w:eastAsia="Times New Roman" w:hAnsi="Arial" w:cs="Arial"/>
          <w:sz w:val="22"/>
          <w:szCs w:val="24"/>
        </w:rPr>
        <w:t xml:space="preserve"> normal and abnormal development, to appropriately respond to emotional and </w:t>
      </w:r>
      <w:proofErr w:type="spellStart"/>
      <w:r w:rsidRPr="00C90EE7">
        <w:rPr>
          <w:rFonts w:ascii="Arial" w:eastAsia="Times New Roman" w:hAnsi="Arial" w:cs="Arial"/>
          <w:sz w:val="22"/>
          <w:szCs w:val="24"/>
        </w:rPr>
        <w:t>behavioural</w:t>
      </w:r>
      <w:proofErr w:type="spellEnd"/>
      <w:r w:rsidRPr="00C90EE7">
        <w:rPr>
          <w:rFonts w:ascii="Arial" w:eastAsia="Times New Roman" w:hAnsi="Arial" w:cs="Arial"/>
          <w:sz w:val="22"/>
          <w:szCs w:val="24"/>
        </w:rPr>
        <w:t xml:space="preserve"> needs, and to facilitate positive outcomes for young people and their families. For new healthcare professionals, having a clear foundation in developmental psychology is essential to delivering safe, effective, and person-</w:t>
      </w:r>
      <w:proofErr w:type="spellStart"/>
      <w:r w:rsidRPr="00C90EE7">
        <w:rPr>
          <w:rFonts w:ascii="Arial" w:eastAsia="Times New Roman" w:hAnsi="Arial" w:cs="Arial"/>
          <w:sz w:val="22"/>
          <w:szCs w:val="24"/>
        </w:rPr>
        <w:t>centred</w:t>
      </w:r>
      <w:proofErr w:type="spellEnd"/>
      <w:r w:rsidRPr="00C90EE7">
        <w:rPr>
          <w:rFonts w:ascii="Arial" w:eastAsia="Times New Roman" w:hAnsi="Arial" w:cs="Arial"/>
          <w:sz w:val="22"/>
          <w:szCs w:val="24"/>
        </w:rPr>
        <w:t xml:space="preserve"> care.</w:t>
      </w:r>
    </w:p>
    <w:p w:rsidR="00FE7385" w:rsidRPr="00C90EE7" w:rsidRDefault="00FE7385" w:rsidP="00C90EE7">
      <w:pPr>
        <w:spacing w:before="100" w:beforeAutospacing="1" w:after="100" w:afterAutospacing="1" w:line="360" w:lineRule="auto"/>
        <w:jc w:val="both"/>
        <w:rPr>
          <w:rFonts w:ascii="Arial" w:eastAsia="Times New Roman" w:hAnsi="Arial" w:cs="Arial"/>
          <w:sz w:val="22"/>
          <w:szCs w:val="24"/>
        </w:rPr>
      </w:pPr>
      <w:r w:rsidRPr="00C90EE7">
        <w:rPr>
          <w:rFonts w:ascii="Arial" w:eastAsia="Times New Roman" w:hAnsi="Arial" w:cs="Arial"/>
          <w:sz w:val="22"/>
          <w:szCs w:val="24"/>
        </w:rPr>
        <w:t xml:space="preserve">Children and young people frequently access health and social care services for reasons such as physical health concerns, mental health difficulties, safeguarding issues, and social support needs. Without an understanding of developmental processes, professionals may misinterpret </w:t>
      </w:r>
      <w:proofErr w:type="spellStart"/>
      <w:r w:rsidRPr="00C90EE7">
        <w:rPr>
          <w:rFonts w:ascii="Arial" w:eastAsia="Times New Roman" w:hAnsi="Arial" w:cs="Arial"/>
          <w:sz w:val="22"/>
          <w:szCs w:val="24"/>
        </w:rPr>
        <w:t>behaviours</w:t>
      </w:r>
      <w:proofErr w:type="spellEnd"/>
      <w:r w:rsidRPr="00C90EE7">
        <w:rPr>
          <w:rFonts w:ascii="Arial" w:eastAsia="Times New Roman" w:hAnsi="Arial" w:cs="Arial"/>
          <w:sz w:val="22"/>
          <w:szCs w:val="24"/>
        </w:rPr>
        <w:t xml:space="preserve"> or apply inappropriate interventions. Developmental psychology helps practitioners understand why adolescents behave in certain ways and how best to support them in line with their developmental capacity. Adolescence is also a period in which young people seek greater independence while still requiring appropriate guidance and support from adults and services.</w:t>
      </w:r>
    </w:p>
    <w:p w:rsidR="00A87F74" w:rsidRPr="00C90EE7" w:rsidRDefault="00A87F74" w:rsidP="00C90EE7">
      <w:pPr>
        <w:spacing w:before="100" w:beforeAutospacing="1" w:after="100" w:afterAutospacing="1" w:line="360" w:lineRule="auto"/>
        <w:jc w:val="both"/>
        <w:outlineLvl w:val="1"/>
        <w:rPr>
          <w:rFonts w:ascii="Arial" w:eastAsia="Times New Roman" w:hAnsi="Arial" w:cs="Arial"/>
          <w:sz w:val="22"/>
          <w:szCs w:val="24"/>
        </w:rPr>
      </w:pPr>
      <w:bookmarkStart w:id="3" w:name="_Toc216733262"/>
      <w:r w:rsidRPr="00C90EE7">
        <w:rPr>
          <w:rFonts w:ascii="Arial" w:eastAsia="Times New Roman" w:hAnsi="Arial" w:cs="Arial"/>
          <w:sz w:val="22"/>
          <w:szCs w:val="24"/>
        </w:rPr>
        <w:t xml:space="preserve">The booklet beings by considering the nature versus nurture debate, noting that it is never completely one or the other which influences adolescent development but rather a combination of both biological and environmental factors. It next reviews two prominent developmental psychology theories of adolescence: Erikson's Psychosocial Theory and Bronfenbrenner's Ecological Systems Theory. Finally, the booklet provides a critical reflection on these theories and their application in health and social care practice, but also includes practical examples to assist new professionals working with young people and </w:t>
      </w:r>
      <w:proofErr w:type="spellStart"/>
      <w:r w:rsidRPr="00C90EE7">
        <w:rPr>
          <w:rFonts w:ascii="Arial" w:eastAsia="Times New Roman" w:hAnsi="Arial" w:cs="Arial"/>
          <w:sz w:val="22"/>
          <w:szCs w:val="24"/>
        </w:rPr>
        <w:t>carers</w:t>
      </w:r>
      <w:proofErr w:type="spellEnd"/>
      <w:r w:rsidRPr="00C90EE7">
        <w:rPr>
          <w:rFonts w:ascii="Arial" w:eastAsia="Times New Roman" w:hAnsi="Arial" w:cs="Arial"/>
          <w:sz w:val="22"/>
          <w:szCs w:val="24"/>
        </w:rPr>
        <w:t>.</w:t>
      </w:r>
      <w:bookmarkEnd w:id="3"/>
    </w:p>
    <w:p w:rsidR="00FE7385" w:rsidRPr="00C90EE7" w:rsidRDefault="00FE7385" w:rsidP="00C90EE7">
      <w:pPr>
        <w:pStyle w:val="Heading1"/>
        <w:rPr>
          <w:rFonts w:eastAsia="Times New Roman"/>
          <w:b/>
        </w:rPr>
      </w:pPr>
      <w:bookmarkStart w:id="4" w:name="_Toc216733263"/>
      <w:r w:rsidRPr="00C90EE7">
        <w:rPr>
          <w:rFonts w:eastAsia="Times New Roman"/>
          <w:b/>
        </w:rPr>
        <w:lastRenderedPageBreak/>
        <w:t>Nature and Nurture in Adolescent Development</w:t>
      </w:r>
      <w:bookmarkEnd w:id="4"/>
    </w:p>
    <w:p w:rsidR="00C90EE7" w:rsidRPr="00C90EE7" w:rsidRDefault="00C90EE7" w:rsidP="00C90EE7">
      <w:pPr>
        <w:spacing w:before="100" w:beforeAutospacing="1" w:after="100" w:afterAutospacing="1" w:line="360" w:lineRule="auto"/>
        <w:jc w:val="both"/>
        <w:rPr>
          <w:rFonts w:ascii="Arial" w:eastAsia="Times New Roman" w:hAnsi="Arial" w:cs="Arial"/>
          <w:sz w:val="22"/>
          <w:szCs w:val="24"/>
        </w:rPr>
      </w:pPr>
      <w:r w:rsidRPr="00C90EE7">
        <w:rPr>
          <w:rFonts w:ascii="Arial" w:eastAsia="Times New Roman" w:hAnsi="Arial" w:cs="Arial"/>
          <w:sz w:val="22"/>
          <w:szCs w:val="24"/>
        </w:rPr>
        <w:t xml:space="preserve">The nature-nurture debate is a vital one in developmental psychology and relevant to adolescent psychotherapy. Nature refers to biological factors, such as genetics, brain function, hormones and physical development; while nurture refers to the wide variety of environmental factors that influence </w:t>
      </w:r>
      <w:proofErr w:type="spellStart"/>
      <w:r w:rsidRPr="00C90EE7">
        <w:rPr>
          <w:rFonts w:ascii="Arial" w:eastAsia="Times New Roman" w:hAnsi="Arial" w:cs="Arial"/>
          <w:sz w:val="22"/>
          <w:szCs w:val="24"/>
        </w:rPr>
        <w:t>behaviour</w:t>
      </w:r>
      <w:proofErr w:type="spellEnd"/>
      <w:r w:rsidRPr="00C90EE7">
        <w:rPr>
          <w:rFonts w:ascii="Arial" w:eastAsia="Times New Roman" w:hAnsi="Arial" w:cs="Arial"/>
          <w:sz w:val="22"/>
          <w:szCs w:val="24"/>
        </w:rPr>
        <w:t>. Modern psychology accepts that development is not a question of either-or, but rather one about the ongoing interplay between nature and nurture.</w:t>
      </w:r>
    </w:p>
    <w:p w:rsidR="00C90EE7" w:rsidRPr="00C90EE7" w:rsidRDefault="00C90EE7" w:rsidP="00C90EE7">
      <w:pPr>
        <w:spacing w:before="100" w:beforeAutospacing="1" w:after="100" w:afterAutospacing="1" w:line="360" w:lineRule="auto"/>
        <w:jc w:val="both"/>
        <w:rPr>
          <w:rFonts w:ascii="Arial" w:eastAsia="Times New Roman" w:hAnsi="Arial" w:cs="Arial"/>
          <w:sz w:val="22"/>
          <w:szCs w:val="24"/>
        </w:rPr>
      </w:pPr>
      <w:r w:rsidRPr="00C90EE7">
        <w:rPr>
          <w:rFonts w:ascii="Arial" w:eastAsia="Times New Roman" w:hAnsi="Arial" w:cs="Arial"/>
          <w:sz w:val="22"/>
          <w:szCs w:val="24"/>
        </w:rPr>
        <w:t>During childhood the biological changes are relatively less important. Puberty initiates hormonal changes, which in turn cause physical growth, sexual maturation and emotional regulation. Meanwhile, the continued development of brains — particularly those of the prefrontal cortex — affects decision-making, impulse control and risk assessment. These biological rhythms might explain why some teenagers are moody or take risks.</w:t>
      </w:r>
    </w:p>
    <w:p w:rsidR="00A87F74" w:rsidRPr="00C90EE7" w:rsidRDefault="00A87F74" w:rsidP="00C90EE7">
      <w:pPr>
        <w:spacing w:before="100" w:beforeAutospacing="1" w:after="100" w:afterAutospacing="1" w:line="360" w:lineRule="auto"/>
        <w:jc w:val="both"/>
        <w:rPr>
          <w:rFonts w:ascii="Arial" w:eastAsia="Times New Roman" w:hAnsi="Arial" w:cs="Arial"/>
          <w:sz w:val="22"/>
          <w:szCs w:val="24"/>
        </w:rPr>
      </w:pPr>
      <w:r w:rsidRPr="00C90EE7">
        <w:rPr>
          <w:rFonts w:ascii="Arial" w:eastAsia="Times New Roman" w:hAnsi="Arial" w:cs="Arial"/>
          <w:sz w:val="22"/>
          <w:szCs w:val="24"/>
        </w:rPr>
        <w:t>But external factors are just as significant. Family support, parenting styles, peer relations, school contexts and exposure to social media also impact how adolescents manage their process of natural change. For instance, a family supportive atmosphere may mitigate the stress effect, while negative peers influence may heighten risky behaviors. In the health and social care field, appreciation of the interplay between biological susceptibility and environment means that professionals can take a holistic view when assessing the needs and capabilities of young people.</w:t>
      </w:r>
    </w:p>
    <w:p w:rsidR="00FE7385" w:rsidRPr="00C90EE7" w:rsidRDefault="00FE7385" w:rsidP="00C90EE7">
      <w:pPr>
        <w:pStyle w:val="Heading1"/>
        <w:rPr>
          <w:rFonts w:eastAsia="Times New Roman"/>
          <w:b/>
        </w:rPr>
      </w:pPr>
      <w:bookmarkStart w:id="5" w:name="_Toc216733264"/>
      <w:r w:rsidRPr="00C90EE7">
        <w:rPr>
          <w:rFonts w:eastAsia="Times New Roman"/>
          <w:b/>
        </w:rPr>
        <w:t>Theory One: Erikson’s Psychosocial Theory of Development</w:t>
      </w:r>
      <w:bookmarkEnd w:id="5"/>
    </w:p>
    <w:p w:rsidR="00991DF8" w:rsidRPr="00C90EE7" w:rsidRDefault="00991DF8" w:rsidP="00C90EE7">
      <w:pPr>
        <w:spacing w:before="100" w:beforeAutospacing="1" w:after="100" w:afterAutospacing="1" w:line="360" w:lineRule="auto"/>
        <w:jc w:val="both"/>
        <w:outlineLvl w:val="1"/>
        <w:rPr>
          <w:rFonts w:ascii="Arial" w:eastAsia="Times New Roman" w:hAnsi="Arial" w:cs="Arial"/>
          <w:sz w:val="22"/>
          <w:szCs w:val="24"/>
        </w:rPr>
      </w:pPr>
      <w:bookmarkStart w:id="6" w:name="_Toc216733265"/>
      <w:r w:rsidRPr="00C90EE7">
        <w:rPr>
          <w:rFonts w:ascii="Arial" w:eastAsia="Times New Roman" w:hAnsi="Arial" w:cs="Arial"/>
          <w:sz w:val="22"/>
          <w:szCs w:val="24"/>
        </w:rPr>
        <w:t>Psychosocial theory of Erik Erikson explains that people from birth through to old age go through eight developmental stages, each marked by a particular psychological conflict. Adolescence (12-18) is identified with Identity vs Confusion. Erikson claims that the chief psychic task of adolescence is to achieve a firm and coherent sense of self.</w:t>
      </w:r>
      <w:bookmarkEnd w:id="6"/>
    </w:p>
    <w:p w:rsidR="00991DF8" w:rsidRPr="00C90EE7" w:rsidRDefault="00991DF8" w:rsidP="00C90EE7">
      <w:pPr>
        <w:spacing w:before="100" w:beforeAutospacing="1" w:after="100" w:afterAutospacing="1" w:line="360" w:lineRule="auto"/>
        <w:jc w:val="both"/>
        <w:outlineLvl w:val="1"/>
        <w:rPr>
          <w:rFonts w:ascii="Arial" w:eastAsia="Times New Roman" w:hAnsi="Arial" w:cs="Arial"/>
          <w:sz w:val="22"/>
          <w:szCs w:val="24"/>
        </w:rPr>
      </w:pPr>
      <w:bookmarkStart w:id="7" w:name="_Toc216733266"/>
      <w:r w:rsidRPr="00C90EE7">
        <w:rPr>
          <w:rFonts w:ascii="Arial" w:eastAsia="Times New Roman" w:hAnsi="Arial" w:cs="Arial"/>
          <w:sz w:val="22"/>
          <w:szCs w:val="24"/>
        </w:rPr>
        <w:t xml:space="preserve">Adolescents in this stage try out many kinds of roles, values, beliefs and possibilities for the future. A positive outcome of this stage is a strong sense of identity, whereas failure to successfully complete this stage can result in identity confusion, low self-esteem, and an inability to fit in with one's social role. Erikson stressed the importance of social relationships, especially </w:t>
      </w:r>
      <w:r w:rsidRPr="00C90EE7">
        <w:rPr>
          <w:rFonts w:ascii="Arial" w:eastAsia="Times New Roman" w:hAnsi="Arial" w:cs="Arial"/>
          <w:sz w:val="22"/>
          <w:szCs w:val="24"/>
        </w:rPr>
        <w:lastRenderedPageBreak/>
        <w:t>those in the peer group, family members, and society at large that played a critical role in identity development.</w:t>
      </w:r>
      <w:bookmarkEnd w:id="7"/>
    </w:p>
    <w:p w:rsidR="00991DF8" w:rsidRPr="00C90EE7" w:rsidRDefault="00991DF8" w:rsidP="00C90EE7">
      <w:pPr>
        <w:spacing w:before="100" w:beforeAutospacing="1" w:after="100" w:afterAutospacing="1" w:line="360" w:lineRule="auto"/>
        <w:jc w:val="both"/>
        <w:outlineLvl w:val="1"/>
        <w:rPr>
          <w:rFonts w:ascii="Arial" w:eastAsia="Times New Roman" w:hAnsi="Arial" w:cs="Arial"/>
          <w:sz w:val="22"/>
          <w:szCs w:val="24"/>
        </w:rPr>
      </w:pPr>
      <w:bookmarkStart w:id="8" w:name="_Toc216733267"/>
      <w:r w:rsidRPr="00C90EE7">
        <w:rPr>
          <w:rFonts w:ascii="Arial" w:eastAsia="Times New Roman" w:hAnsi="Arial" w:cs="Arial"/>
          <w:sz w:val="22"/>
          <w:szCs w:val="24"/>
        </w:rPr>
        <w:t xml:space="preserve">With regard to children and young people, the theory of Erikson pinpoints the need for giving teenagers opportunity to discuss their identity in a </w:t>
      </w:r>
      <w:proofErr w:type="spellStart"/>
      <w:r w:rsidRPr="00C90EE7">
        <w:rPr>
          <w:rFonts w:ascii="Arial" w:eastAsia="Times New Roman" w:hAnsi="Arial" w:cs="Arial"/>
          <w:sz w:val="22"/>
          <w:szCs w:val="24"/>
        </w:rPr>
        <w:t>non-judgemental</w:t>
      </w:r>
      <w:proofErr w:type="spellEnd"/>
      <w:r w:rsidRPr="00C90EE7">
        <w:rPr>
          <w:rFonts w:ascii="Arial" w:eastAsia="Times New Roman" w:hAnsi="Arial" w:cs="Arial"/>
          <w:sz w:val="22"/>
          <w:szCs w:val="24"/>
        </w:rPr>
        <w:t xml:space="preserve"> environment. Health and social care professionals commonly meet with young people who are trying to work out what kind of person they want to be, how their gender fits them and how they align the values of their culture against where they see themselves in the future. Learning about Erikson's theory helps family workers interpret these tasks as normal aspect of growing up rather than problem </w:t>
      </w:r>
      <w:proofErr w:type="spellStart"/>
      <w:r w:rsidRPr="00C90EE7">
        <w:rPr>
          <w:rFonts w:ascii="Arial" w:eastAsia="Times New Roman" w:hAnsi="Arial" w:cs="Arial"/>
          <w:sz w:val="22"/>
          <w:szCs w:val="24"/>
        </w:rPr>
        <w:t>behaviour</w:t>
      </w:r>
      <w:proofErr w:type="spellEnd"/>
      <w:r w:rsidRPr="00C90EE7">
        <w:rPr>
          <w:rFonts w:ascii="Arial" w:eastAsia="Times New Roman" w:hAnsi="Arial" w:cs="Arial"/>
          <w:sz w:val="22"/>
          <w:szCs w:val="24"/>
        </w:rPr>
        <w:t>.</w:t>
      </w:r>
      <w:bookmarkEnd w:id="8"/>
    </w:p>
    <w:p w:rsidR="00FE7385" w:rsidRPr="00C90EE7" w:rsidRDefault="00FE7385" w:rsidP="00C90EE7">
      <w:pPr>
        <w:pStyle w:val="Heading1"/>
        <w:rPr>
          <w:rFonts w:eastAsia="Times New Roman"/>
          <w:b/>
        </w:rPr>
      </w:pPr>
      <w:bookmarkStart w:id="9" w:name="_Toc216733268"/>
      <w:r w:rsidRPr="00C90EE7">
        <w:rPr>
          <w:rFonts w:eastAsia="Times New Roman"/>
          <w:b/>
        </w:rPr>
        <w:t>Critical Evaluation of Erikson’s Theory</w:t>
      </w:r>
      <w:bookmarkEnd w:id="9"/>
    </w:p>
    <w:p w:rsidR="00D015FB" w:rsidRPr="00C90EE7" w:rsidRDefault="00D015FB" w:rsidP="00C90EE7">
      <w:pPr>
        <w:spacing w:before="100" w:beforeAutospacing="1" w:after="100" w:afterAutospacing="1" w:line="360" w:lineRule="auto"/>
        <w:jc w:val="both"/>
        <w:outlineLvl w:val="1"/>
        <w:rPr>
          <w:rFonts w:ascii="Arial" w:eastAsia="Times New Roman" w:hAnsi="Arial" w:cs="Arial"/>
          <w:sz w:val="22"/>
          <w:szCs w:val="24"/>
        </w:rPr>
      </w:pPr>
      <w:bookmarkStart w:id="10" w:name="_Toc216733269"/>
      <w:r w:rsidRPr="00C90EE7">
        <w:rPr>
          <w:rFonts w:ascii="Arial" w:eastAsia="Times New Roman" w:hAnsi="Arial" w:cs="Arial"/>
          <w:sz w:val="22"/>
          <w:szCs w:val="24"/>
        </w:rPr>
        <w:t>The focus on social and emotional development presented in Erikson’s psychosocial theory is one of the aspects that make it very applicable to health and social care practice. The theory takes into account the influence of culture, relationship and social expectation, therefore fit for many adolescents. The model is also conceptually straightforward, so that it can be easily accessible and usable for practicing clinicians.</w:t>
      </w:r>
      <w:bookmarkEnd w:id="10"/>
    </w:p>
    <w:p w:rsidR="00D015FB" w:rsidRPr="00C90EE7" w:rsidRDefault="00D015FB" w:rsidP="00C90EE7">
      <w:pPr>
        <w:spacing w:before="100" w:beforeAutospacing="1" w:after="100" w:afterAutospacing="1" w:line="360" w:lineRule="auto"/>
        <w:jc w:val="both"/>
        <w:outlineLvl w:val="1"/>
        <w:rPr>
          <w:rFonts w:ascii="Arial" w:eastAsia="Times New Roman" w:hAnsi="Arial" w:cs="Arial"/>
          <w:sz w:val="22"/>
          <w:szCs w:val="24"/>
        </w:rPr>
      </w:pPr>
      <w:bookmarkStart w:id="11" w:name="_Toc216733270"/>
      <w:r w:rsidRPr="00C90EE7">
        <w:rPr>
          <w:rFonts w:ascii="Arial" w:eastAsia="Times New Roman" w:hAnsi="Arial" w:cs="Arial"/>
          <w:sz w:val="22"/>
          <w:szCs w:val="24"/>
        </w:rPr>
        <w:t>However, the theory has limitations. Some criticize that Erikson's stages are too inflexible and do not represent the diverse experiences of young people from different cultural or class backgrounds. Identity formation can extend even into the adult years, indicating that adolescence might not be as distinct a phase of life as Erikson believed. Furthermore, the model remains predominantly descriptive and few facts have been accumulated to provide evidence of temporal specificity in every phase.</w:t>
      </w:r>
      <w:bookmarkEnd w:id="11"/>
    </w:p>
    <w:p w:rsidR="00D015FB" w:rsidRPr="00C90EE7" w:rsidRDefault="00D015FB" w:rsidP="00C90EE7">
      <w:pPr>
        <w:spacing w:before="100" w:beforeAutospacing="1" w:after="100" w:afterAutospacing="1" w:line="360" w:lineRule="auto"/>
        <w:jc w:val="both"/>
        <w:outlineLvl w:val="1"/>
        <w:rPr>
          <w:rFonts w:ascii="Arial" w:eastAsia="Times New Roman" w:hAnsi="Arial" w:cs="Arial"/>
          <w:sz w:val="22"/>
          <w:szCs w:val="24"/>
        </w:rPr>
      </w:pPr>
      <w:bookmarkStart w:id="12" w:name="_Toc216733271"/>
      <w:r w:rsidRPr="00C90EE7">
        <w:rPr>
          <w:rFonts w:ascii="Arial" w:eastAsia="Times New Roman" w:hAnsi="Arial" w:cs="Arial"/>
          <w:sz w:val="22"/>
          <w:szCs w:val="24"/>
        </w:rPr>
        <w:t>However, Erikson’s theory still offers a useful framework in health and social care. It is a strengths-based approach that encourages professionals to consider identity exploration as developmentally typical rather than pathological.</w:t>
      </w:r>
      <w:bookmarkEnd w:id="12"/>
    </w:p>
    <w:p w:rsidR="00FE7385" w:rsidRPr="00C90EE7" w:rsidRDefault="00FE7385" w:rsidP="00C90EE7">
      <w:pPr>
        <w:pStyle w:val="Heading1"/>
        <w:rPr>
          <w:rFonts w:eastAsia="Times New Roman"/>
          <w:b/>
        </w:rPr>
      </w:pPr>
      <w:bookmarkStart w:id="13" w:name="_Toc216733272"/>
      <w:r w:rsidRPr="00C90EE7">
        <w:rPr>
          <w:rFonts w:eastAsia="Times New Roman"/>
          <w:b/>
        </w:rPr>
        <w:t>Application of Erikson’s Theory in Health and Social Care</w:t>
      </w:r>
      <w:bookmarkEnd w:id="13"/>
    </w:p>
    <w:p w:rsidR="00C90EE7" w:rsidRPr="00C90EE7" w:rsidRDefault="00D015FB" w:rsidP="00C90EE7">
      <w:pPr>
        <w:spacing w:before="100" w:beforeAutospacing="1" w:after="100" w:afterAutospacing="1" w:line="360" w:lineRule="auto"/>
        <w:jc w:val="both"/>
        <w:outlineLvl w:val="1"/>
        <w:rPr>
          <w:rFonts w:ascii="Arial" w:eastAsia="Times New Roman" w:hAnsi="Arial" w:cs="Arial"/>
          <w:sz w:val="22"/>
          <w:szCs w:val="24"/>
        </w:rPr>
      </w:pPr>
      <w:bookmarkStart w:id="14" w:name="_Toc216733273"/>
      <w:r w:rsidRPr="00C90EE7">
        <w:rPr>
          <w:rFonts w:ascii="Arial" w:eastAsia="Times New Roman" w:hAnsi="Arial" w:cs="Arial"/>
          <w:sz w:val="22"/>
          <w:szCs w:val="24"/>
        </w:rPr>
        <w:t xml:space="preserve">Practically, Erikson’s theory can be used by health professionals to foster the emotional and psychological health of adolescents. For instance, a school nurse who is providing care to a 15-year-old who is anxious about peer acceptance can be enlightened by Erikson's model as she considers that this anxiety may very well belong as identity development. The nurse helps the </w:t>
      </w:r>
      <w:r w:rsidRPr="00C90EE7">
        <w:rPr>
          <w:rFonts w:ascii="Arial" w:eastAsia="Times New Roman" w:hAnsi="Arial" w:cs="Arial"/>
          <w:sz w:val="22"/>
          <w:szCs w:val="24"/>
        </w:rPr>
        <w:lastRenderedPageBreak/>
        <w:t xml:space="preserve">client develop a positive identity by offering encourage- </w:t>
      </w:r>
      <w:proofErr w:type="spellStart"/>
      <w:r w:rsidRPr="00C90EE7">
        <w:rPr>
          <w:rFonts w:ascii="Arial" w:eastAsia="Times New Roman" w:hAnsi="Arial" w:cs="Arial"/>
          <w:sz w:val="22"/>
          <w:szCs w:val="24"/>
        </w:rPr>
        <w:t>ment</w:t>
      </w:r>
      <w:proofErr w:type="spellEnd"/>
      <w:r w:rsidRPr="00C90EE7">
        <w:rPr>
          <w:rFonts w:ascii="Arial" w:eastAsia="Times New Roman" w:hAnsi="Arial" w:cs="Arial"/>
          <w:sz w:val="22"/>
          <w:szCs w:val="24"/>
        </w:rPr>
        <w:t>, facilitating expression, and referring to counseling as appropriate.</w:t>
      </w:r>
      <w:bookmarkEnd w:id="14"/>
    </w:p>
    <w:p w:rsidR="00D015FB" w:rsidRPr="00C90EE7" w:rsidRDefault="00D015FB" w:rsidP="00C90EE7">
      <w:pPr>
        <w:spacing w:before="100" w:beforeAutospacing="1" w:after="100" w:afterAutospacing="1" w:line="360" w:lineRule="auto"/>
        <w:jc w:val="both"/>
        <w:outlineLvl w:val="1"/>
        <w:rPr>
          <w:rFonts w:ascii="Arial" w:eastAsia="Times New Roman" w:hAnsi="Arial" w:cs="Arial"/>
          <w:sz w:val="22"/>
          <w:szCs w:val="24"/>
        </w:rPr>
      </w:pPr>
      <w:bookmarkStart w:id="15" w:name="_Toc216733274"/>
      <w:r w:rsidRPr="00C90EE7">
        <w:rPr>
          <w:rFonts w:ascii="Arial" w:eastAsia="Times New Roman" w:hAnsi="Arial" w:cs="Arial"/>
          <w:sz w:val="22"/>
          <w:szCs w:val="24"/>
        </w:rPr>
        <w:t>Equally, anyone working with looked-after children from a social work background can use this theory to stress the importance of stability, positive role models and opportunities for choice and free will. When adolescents are encouraged to be involved in decision-making regarding their care, it empowers them and minimizes confusion about roles.</w:t>
      </w:r>
      <w:bookmarkEnd w:id="15"/>
    </w:p>
    <w:p w:rsidR="00FE7385" w:rsidRPr="00C90EE7" w:rsidRDefault="00FE7385" w:rsidP="00C90EE7">
      <w:pPr>
        <w:pStyle w:val="Heading1"/>
        <w:rPr>
          <w:rFonts w:eastAsia="Times New Roman"/>
          <w:b/>
        </w:rPr>
      </w:pPr>
      <w:bookmarkStart w:id="16" w:name="_Toc216733275"/>
      <w:r w:rsidRPr="00C90EE7">
        <w:rPr>
          <w:rFonts w:eastAsia="Times New Roman"/>
          <w:b/>
        </w:rPr>
        <w:t>Theory Two: Bronfenbrenner’s Ecological Systems Theory</w:t>
      </w:r>
      <w:bookmarkEnd w:id="16"/>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17" w:name="_Toc216733276"/>
      <w:r w:rsidRPr="00C90EE7">
        <w:rPr>
          <w:rFonts w:ascii="Arial" w:eastAsia="Times New Roman" w:hAnsi="Arial" w:cs="Arial"/>
          <w:sz w:val="22"/>
          <w:szCs w:val="24"/>
        </w:rPr>
        <w:t xml:space="preserve">An ecological perspective to the development of individuals is provided by Bronfenbrenner's Ecological Systems Theory describing how an individual relates to the various environmental systems in which they are contained. Five systems are found in the theory: microsystem, mesosystem, </w:t>
      </w:r>
      <w:proofErr w:type="spellStart"/>
      <w:r w:rsidRPr="00C90EE7">
        <w:rPr>
          <w:rFonts w:ascii="Arial" w:eastAsia="Times New Roman" w:hAnsi="Arial" w:cs="Arial"/>
          <w:sz w:val="22"/>
          <w:szCs w:val="24"/>
        </w:rPr>
        <w:t>exosystem</w:t>
      </w:r>
      <w:proofErr w:type="spellEnd"/>
      <w:r w:rsidRPr="00C90EE7">
        <w:rPr>
          <w:rFonts w:ascii="Arial" w:eastAsia="Times New Roman" w:hAnsi="Arial" w:cs="Arial"/>
          <w:sz w:val="22"/>
          <w:szCs w:val="24"/>
        </w:rPr>
        <w:t xml:space="preserve">, </w:t>
      </w:r>
      <w:proofErr w:type="spellStart"/>
      <w:r w:rsidRPr="00C90EE7">
        <w:rPr>
          <w:rFonts w:ascii="Arial" w:eastAsia="Times New Roman" w:hAnsi="Arial" w:cs="Arial"/>
          <w:sz w:val="22"/>
          <w:szCs w:val="24"/>
        </w:rPr>
        <w:t>macrosystem</w:t>
      </w:r>
      <w:proofErr w:type="spellEnd"/>
      <w:r w:rsidRPr="00C90EE7">
        <w:rPr>
          <w:rFonts w:ascii="Arial" w:eastAsia="Times New Roman" w:hAnsi="Arial" w:cs="Arial"/>
          <w:sz w:val="22"/>
          <w:szCs w:val="24"/>
        </w:rPr>
        <w:t xml:space="preserve"> and chronosystem. Both systems influence adolescent development in unique ways.</w:t>
      </w:r>
      <w:bookmarkEnd w:id="17"/>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18" w:name="_Toc216733277"/>
      <w:r w:rsidRPr="00C90EE7">
        <w:rPr>
          <w:rFonts w:ascii="Arial" w:eastAsia="Times New Roman" w:hAnsi="Arial" w:cs="Arial"/>
          <w:sz w:val="22"/>
          <w:szCs w:val="24"/>
        </w:rPr>
        <w:t xml:space="preserve">In adolescents, the microsystem involves direct context for instance yardstick of family school mates and health services. The mesosystem is defined as the system property that describes the relationship between these contexts and interactions among contexts, for example parents talking to teachers. The </w:t>
      </w:r>
      <w:proofErr w:type="spellStart"/>
      <w:r w:rsidRPr="00C90EE7">
        <w:rPr>
          <w:rFonts w:ascii="Arial" w:eastAsia="Times New Roman" w:hAnsi="Arial" w:cs="Arial"/>
          <w:sz w:val="22"/>
          <w:szCs w:val="24"/>
        </w:rPr>
        <w:t>exosystem</w:t>
      </w:r>
      <w:proofErr w:type="spellEnd"/>
      <w:r w:rsidRPr="00C90EE7">
        <w:rPr>
          <w:rFonts w:ascii="Arial" w:eastAsia="Times New Roman" w:hAnsi="Arial" w:cs="Arial"/>
          <w:sz w:val="22"/>
          <w:szCs w:val="24"/>
        </w:rPr>
        <w:t xml:space="preserve"> involves indirect influences, like their parents’ job or community services. The </w:t>
      </w:r>
      <w:proofErr w:type="spellStart"/>
      <w:r w:rsidRPr="00C90EE7">
        <w:rPr>
          <w:rFonts w:ascii="Arial" w:eastAsia="Times New Roman" w:hAnsi="Arial" w:cs="Arial"/>
          <w:sz w:val="22"/>
          <w:szCs w:val="24"/>
        </w:rPr>
        <w:t>macrosystem</w:t>
      </w:r>
      <w:proofErr w:type="spellEnd"/>
      <w:r w:rsidRPr="00C90EE7">
        <w:rPr>
          <w:rFonts w:ascii="Arial" w:eastAsia="Times New Roman" w:hAnsi="Arial" w:cs="Arial"/>
          <w:sz w:val="22"/>
          <w:szCs w:val="24"/>
        </w:rPr>
        <w:t xml:space="preserve"> includes cultural values, laws, and social norms while the chronosystem considers the change over time including life events and historical events.</w:t>
      </w:r>
      <w:bookmarkEnd w:id="18"/>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19" w:name="_Toc216733278"/>
      <w:r w:rsidRPr="00C90EE7">
        <w:rPr>
          <w:rFonts w:ascii="Arial" w:eastAsia="Times New Roman" w:hAnsi="Arial" w:cs="Arial"/>
          <w:sz w:val="22"/>
          <w:szCs w:val="24"/>
        </w:rPr>
        <w:t xml:space="preserve">This theory has particular relevance to health and social care because it acknowledges that young people's </w:t>
      </w:r>
      <w:proofErr w:type="spellStart"/>
      <w:r w:rsidRPr="00C90EE7">
        <w:rPr>
          <w:rFonts w:ascii="Arial" w:eastAsia="Times New Roman" w:hAnsi="Arial" w:cs="Arial"/>
          <w:sz w:val="22"/>
          <w:szCs w:val="24"/>
        </w:rPr>
        <w:t>behaviour</w:t>
      </w:r>
      <w:proofErr w:type="spellEnd"/>
      <w:r w:rsidRPr="00C90EE7">
        <w:rPr>
          <w:rFonts w:ascii="Arial" w:eastAsia="Times New Roman" w:hAnsi="Arial" w:cs="Arial"/>
          <w:sz w:val="22"/>
          <w:szCs w:val="24"/>
        </w:rPr>
        <w:t xml:space="preserve"> and well-being cannot be understood without an appreciation of their social context.</w:t>
      </w:r>
      <w:bookmarkEnd w:id="19"/>
    </w:p>
    <w:p w:rsidR="00FE7385" w:rsidRPr="00C90EE7" w:rsidRDefault="00FE7385" w:rsidP="00C90EE7">
      <w:pPr>
        <w:pStyle w:val="Heading1"/>
        <w:rPr>
          <w:rFonts w:eastAsia="Times New Roman"/>
          <w:b/>
        </w:rPr>
      </w:pPr>
      <w:bookmarkStart w:id="20" w:name="_Toc216733279"/>
      <w:r w:rsidRPr="00C90EE7">
        <w:rPr>
          <w:rFonts w:eastAsia="Times New Roman"/>
          <w:b/>
        </w:rPr>
        <w:t>Critical Evaluation of Bronfenbrenner’s Theory</w:t>
      </w:r>
      <w:bookmarkEnd w:id="20"/>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21" w:name="_Toc216733280"/>
      <w:r w:rsidRPr="00C90EE7">
        <w:rPr>
          <w:rFonts w:ascii="Arial" w:eastAsia="Times New Roman" w:hAnsi="Arial" w:cs="Arial"/>
          <w:sz w:val="22"/>
          <w:szCs w:val="24"/>
        </w:rPr>
        <w:t xml:space="preserve">One of the most important aspects of Bronfenbrenner's model is that it is holistic and individuals are at the </w:t>
      </w:r>
      <w:proofErr w:type="spellStart"/>
      <w:r w:rsidRPr="00C90EE7">
        <w:rPr>
          <w:rFonts w:ascii="Arial" w:eastAsia="Times New Roman" w:hAnsi="Arial" w:cs="Arial"/>
          <w:sz w:val="22"/>
          <w:szCs w:val="24"/>
        </w:rPr>
        <w:t>centre</w:t>
      </w:r>
      <w:proofErr w:type="spellEnd"/>
      <w:r w:rsidRPr="00C90EE7">
        <w:rPr>
          <w:rFonts w:ascii="Arial" w:eastAsia="Times New Roman" w:hAnsi="Arial" w:cs="Arial"/>
          <w:sz w:val="22"/>
          <w:szCs w:val="24"/>
        </w:rPr>
        <w:t xml:space="preserve">. It is in keeping with the principles of health and social care in terms of professionals thinking about the context of a young </w:t>
      </w:r>
      <w:r w:rsidR="00C90EE7" w:rsidRPr="00C90EE7">
        <w:rPr>
          <w:rFonts w:ascii="Arial" w:eastAsia="Times New Roman" w:hAnsi="Arial" w:cs="Arial"/>
          <w:sz w:val="22"/>
          <w:szCs w:val="24"/>
        </w:rPr>
        <w:t>person’s</w:t>
      </w:r>
      <w:r w:rsidRPr="00C90EE7">
        <w:rPr>
          <w:rFonts w:ascii="Arial" w:eastAsia="Times New Roman" w:hAnsi="Arial" w:cs="Arial"/>
          <w:sz w:val="22"/>
          <w:szCs w:val="24"/>
        </w:rPr>
        <w:t xml:space="preserve"> life. The theory is supportive of multi-agency working and </w:t>
      </w:r>
      <w:proofErr w:type="spellStart"/>
      <w:r w:rsidRPr="00C90EE7">
        <w:rPr>
          <w:rFonts w:ascii="Arial" w:eastAsia="Times New Roman" w:hAnsi="Arial" w:cs="Arial"/>
          <w:sz w:val="22"/>
          <w:szCs w:val="24"/>
        </w:rPr>
        <w:t>emphasised</w:t>
      </w:r>
      <w:proofErr w:type="spellEnd"/>
      <w:r w:rsidRPr="00C90EE7">
        <w:rPr>
          <w:rFonts w:ascii="Arial" w:eastAsia="Times New Roman" w:hAnsi="Arial" w:cs="Arial"/>
          <w:sz w:val="22"/>
          <w:szCs w:val="24"/>
        </w:rPr>
        <w:t xml:space="preserve"> the need to work in partnership.</w:t>
      </w:r>
      <w:bookmarkEnd w:id="21"/>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22" w:name="_Toc216733281"/>
      <w:r w:rsidRPr="00C90EE7">
        <w:rPr>
          <w:rFonts w:ascii="Arial" w:eastAsia="Times New Roman" w:hAnsi="Arial" w:cs="Arial"/>
          <w:sz w:val="22"/>
          <w:szCs w:val="24"/>
        </w:rPr>
        <w:lastRenderedPageBreak/>
        <w:t>Yet, the theory has been criticized as conceptually difficult to apply. It doesn't specify who has how much say-so, or how power struggles between the systems should be resolved. It is also more concerned with environmental aspects rather than individual biological systems.</w:t>
      </w:r>
      <w:bookmarkEnd w:id="22"/>
    </w:p>
    <w:p w:rsidR="00A936ED" w:rsidRPr="00C90EE7" w:rsidRDefault="00C90EE7" w:rsidP="00C90EE7">
      <w:pPr>
        <w:spacing w:before="100" w:beforeAutospacing="1" w:after="100" w:afterAutospacing="1" w:line="360" w:lineRule="auto"/>
        <w:jc w:val="both"/>
        <w:outlineLvl w:val="1"/>
        <w:rPr>
          <w:rFonts w:ascii="Arial" w:eastAsia="Times New Roman" w:hAnsi="Arial" w:cs="Arial"/>
          <w:sz w:val="22"/>
          <w:szCs w:val="24"/>
        </w:rPr>
      </w:pPr>
      <w:bookmarkStart w:id="23" w:name="_Toc216733282"/>
      <w:r w:rsidRPr="00C90EE7">
        <w:rPr>
          <w:rFonts w:ascii="Arial" w:eastAsia="Times New Roman" w:hAnsi="Arial" w:cs="Arial"/>
          <w:sz w:val="22"/>
          <w:szCs w:val="24"/>
        </w:rPr>
        <w:t>Notwithstanding</w:t>
      </w:r>
      <w:r w:rsidR="00A936ED" w:rsidRPr="00C90EE7">
        <w:rPr>
          <w:rFonts w:ascii="Arial" w:eastAsia="Times New Roman" w:hAnsi="Arial" w:cs="Arial"/>
          <w:sz w:val="22"/>
          <w:szCs w:val="24"/>
        </w:rPr>
        <w:t xml:space="preserve"> these limitations, the ecological perspective is particularly useful for informing holistic health and social care assessment and intervention.</w:t>
      </w:r>
      <w:bookmarkEnd w:id="23"/>
    </w:p>
    <w:p w:rsidR="00FE7385" w:rsidRPr="00C90EE7" w:rsidRDefault="00FE7385" w:rsidP="00C90EE7">
      <w:pPr>
        <w:pStyle w:val="Heading1"/>
        <w:rPr>
          <w:rFonts w:eastAsia="Times New Roman"/>
          <w:b/>
        </w:rPr>
      </w:pPr>
      <w:bookmarkStart w:id="24" w:name="_Toc216733283"/>
      <w:r w:rsidRPr="00C90EE7">
        <w:rPr>
          <w:rFonts w:eastAsia="Times New Roman"/>
          <w:b/>
        </w:rPr>
        <w:t>Application of Bronfenbrenner’s Theory in Health and Social Care</w:t>
      </w:r>
      <w:bookmarkEnd w:id="24"/>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25" w:name="_Toc216733284"/>
      <w:r w:rsidRPr="00C90EE7">
        <w:rPr>
          <w:rFonts w:ascii="Arial" w:eastAsia="Times New Roman" w:hAnsi="Arial" w:cs="Arial"/>
          <w:sz w:val="22"/>
          <w:szCs w:val="24"/>
        </w:rPr>
        <w:t>In health and social care environments, assessments and care planning may be driven by Bronfenbrenner's theory. For instance, a professional working with a depressed teen may explore family dynamics, school stress, bully-victim dynamics with friends and stereotypes from his/her culture. Interventions may involve family therapy, school-related support and community resources.</w:t>
      </w:r>
      <w:bookmarkEnd w:id="25"/>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26" w:name="_Toc216733285"/>
      <w:r w:rsidRPr="00C90EE7">
        <w:rPr>
          <w:rFonts w:ascii="Arial" w:eastAsia="Times New Roman" w:hAnsi="Arial" w:cs="Arial"/>
          <w:sz w:val="22"/>
          <w:szCs w:val="24"/>
        </w:rPr>
        <w:t xml:space="preserve">For example, consider a 16-year-old referred to social services because of chronic truancy and academic failure. The therapist, from an ecological perspective finds school problems parent stress about being unemployed and little community help. The whole network of these causal effects is interlinked and without disconnecting all the elements, but through addressing them - rather than just the young person's </w:t>
      </w:r>
      <w:proofErr w:type="spellStart"/>
      <w:r w:rsidRPr="00C90EE7">
        <w:rPr>
          <w:rFonts w:ascii="Arial" w:eastAsia="Times New Roman" w:hAnsi="Arial" w:cs="Arial"/>
          <w:sz w:val="22"/>
          <w:szCs w:val="24"/>
        </w:rPr>
        <w:t>behaviour</w:t>
      </w:r>
      <w:proofErr w:type="spellEnd"/>
      <w:r w:rsidRPr="00C90EE7">
        <w:rPr>
          <w:rFonts w:ascii="Arial" w:eastAsia="Times New Roman" w:hAnsi="Arial" w:cs="Arial"/>
          <w:sz w:val="22"/>
          <w:szCs w:val="24"/>
        </w:rPr>
        <w:t>, results can be more effective and long lasting.</w:t>
      </w:r>
      <w:bookmarkEnd w:id="26"/>
    </w:p>
    <w:p w:rsidR="00FE7385" w:rsidRPr="00C90EE7" w:rsidRDefault="00FE7385" w:rsidP="00C90EE7">
      <w:pPr>
        <w:pStyle w:val="Heading1"/>
        <w:rPr>
          <w:rFonts w:eastAsia="Times New Roman"/>
          <w:b/>
        </w:rPr>
      </w:pPr>
      <w:bookmarkStart w:id="27" w:name="_Toc216733286"/>
      <w:r w:rsidRPr="00C90EE7">
        <w:rPr>
          <w:rFonts w:eastAsia="Times New Roman"/>
          <w:b/>
        </w:rPr>
        <w:t>Conclusion</w:t>
      </w:r>
      <w:bookmarkEnd w:id="27"/>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28" w:name="_Toc216733287"/>
      <w:r w:rsidRPr="00C90EE7">
        <w:rPr>
          <w:rFonts w:ascii="Arial" w:eastAsia="Times New Roman" w:hAnsi="Arial" w:cs="Arial"/>
          <w:sz w:val="22"/>
          <w:szCs w:val="24"/>
        </w:rPr>
        <w:t>It is important that new health and social care workers working with young people develop some knowledge of developmental psychology. This brochure explored which bio-psycho-social factors affect the transitions of development in this complex context of life. Because they are growing into their bodies, identities and trying to navigate social expectations, some adolescents may have issues with emotions or behaviors at times.</w:t>
      </w:r>
      <w:bookmarkEnd w:id="28"/>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29" w:name="_Toc216733288"/>
      <w:r w:rsidRPr="00C90EE7">
        <w:rPr>
          <w:rFonts w:ascii="Arial" w:eastAsia="Times New Roman" w:hAnsi="Arial" w:cs="Arial"/>
          <w:sz w:val="22"/>
          <w:szCs w:val="24"/>
        </w:rPr>
        <w:t xml:space="preserve">Adolescent emotional and social challenges are further explained by Erikson's Psychosocial Theory central to his discussion of identity development. In the real world, this means professionals should affirm their identity exploration as part of normal adolescence and support </w:t>
      </w:r>
      <w:r w:rsidRPr="00C90EE7">
        <w:rPr>
          <w:rFonts w:ascii="Arial" w:eastAsia="Times New Roman" w:hAnsi="Arial" w:cs="Arial"/>
          <w:sz w:val="22"/>
          <w:szCs w:val="24"/>
        </w:rPr>
        <w:lastRenderedPageBreak/>
        <w:t>young people through empathy, communication and empowerment. It is relevant to both emotionally supportive and strengths-based care, but apart from some limitations.</w:t>
      </w:r>
      <w:bookmarkEnd w:id="29"/>
    </w:p>
    <w:p w:rsidR="00A936ED" w:rsidRPr="00C90EE7" w:rsidRDefault="00A936ED" w:rsidP="00C90EE7">
      <w:pPr>
        <w:spacing w:before="100" w:beforeAutospacing="1" w:after="100" w:afterAutospacing="1" w:line="360" w:lineRule="auto"/>
        <w:jc w:val="both"/>
        <w:outlineLvl w:val="1"/>
        <w:rPr>
          <w:rFonts w:ascii="Arial" w:eastAsia="Times New Roman" w:hAnsi="Arial" w:cs="Arial"/>
          <w:sz w:val="22"/>
          <w:szCs w:val="24"/>
        </w:rPr>
      </w:pPr>
      <w:bookmarkStart w:id="30" w:name="_Toc216733289"/>
      <w:r w:rsidRPr="00C90EE7">
        <w:rPr>
          <w:rFonts w:ascii="Arial" w:eastAsia="Times New Roman" w:hAnsi="Arial" w:cs="Arial"/>
          <w:sz w:val="22"/>
          <w:szCs w:val="24"/>
        </w:rPr>
        <w:t xml:space="preserve">Furthermore, Bronfenbrenner's Ecological Systems Theory incorporates social and environmental effects on adolescent development. Health and social care professionals should </w:t>
      </w:r>
      <w:proofErr w:type="spellStart"/>
      <w:r w:rsidRPr="00C90EE7">
        <w:rPr>
          <w:rFonts w:ascii="Arial" w:eastAsia="Times New Roman" w:hAnsi="Arial" w:cs="Arial"/>
          <w:sz w:val="22"/>
          <w:szCs w:val="24"/>
        </w:rPr>
        <w:t>prioritise</w:t>
      </w:r>
      <w:proofErr w:type="spellEnd"/>
      <w:r w:rsidRPr="00C90EE7">
        <w:rPr>
          <w:rFonts w:ascii="Arial" w:eastAsia="Times New Roman" w:hAnsi="Arial" w:cs="Arial"/>
          <w:sz w:val="22"/>
          <w:szCs w:val="24"/>
        </w:rPr>
        <w:t xml:space="preserve"> holistic assessments and work with other agencies. These beliefs promote adolescent development and positive results for young people and those who care for them.</w:t>
      </w:r>
      <w:bookmarkEnd w:id="30"/>
    </w:p>
    <w:p w:rsidR="00FE7385" w:rsidRPr="00C90EE7" w:rsidRDefault="00FE7385" w:rsidP="00C90EE7">
      <w:pPr>
        <w:pStyle w:val="Heading1"/>
        <w:rPr>
          <w:rFonts w:eastAsia="Times New Roman"/>
          <w:b/>
        </w:rPr>
      </w:pPr>
      <w:bookmarkStart w:id="31" w:name="_Toc216733290"/>
      <w:r w:rsidRPr="00C90EE7">
        <w:rPr>
          <w:rFonts w:eastAsia="Times New Roman"/>
          <w:b/>
        </w:rPr>
        <w:t>Reference List</w:t>
      </w:r>
      <w:bookmarkEnd w:id="31"/>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Bandura, A. (2018) </w:t>
      </w:r>
      <w:r w:rsidRPr="00C90EE7">
        <w:rPr>
          <w:rFonts w:ascii="Arial" w:eastAsia="Times New Roman" w:hAnsi="Arial" w:cs="Arial"/>
          <w:i/>
          <w:iCs/>
          <w:sz w:val="22"/>
          <w:szCs w:val="24"/>
        </w:rPr>
        <w:t>Toward a Psychology of Human Agency</w:t>
      </w:r>
      <w:r w:rsidRPr="00C90EE7">
        <w:rPr>
          <w:rFonts w:ascii="Arial" w:eastAsia="Times New Roman" w:hAnsi="Arial" w:cs="Arial"/>
          <w:sz w:val="22"/>
          <w:szCs w:val="24"/>
        </w:rPr>
        <w:t>. Washington DC: American Psychological Association.</w:t>
      </w:r>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Bronfenbrenner, U. (1979) </w:t>
      </w:r>
      <w:proofErr w:type="gramStart"/>
      <w:r w:rsidRPr="00C90EE7">
        <w:rPr>
          <w:rFonts w:ascii="Arial" w:eastAsia="Times New Roman" w:hAnsi="Arial" w:cs="Arial"/>
          <w:i/>
          <w:iCs/>
          <w:sz w:val="22"/>
          <w:szCs w:val="24"/>
        </w:rPr>
        <w:t>The</w:t>
      </w:r>
      <w:proofErr w:type="gramEnd"/>
      <w:r w:rsidRPr="00C90EE7">
        <w:rPr>
          <w:rFonts w:ascii="Arial" w:eastAsia="Times New Roman" w:hAnsi="Arial" w:cs="Arial"/>
          <w:i/>
          <w:iCs/>
          <w:sz w:val="22"/>
          <w:szCs w:val="24"/>
        </w:rPr>
        <w:t xml:space="preserve"> Ecology of Human Development</w:t>
      </w:r>
      <w:r w:rsidRPr="00C90EE7">
        <w:rPr>
          <w:rFonts w:ascii="Arial" w:eastAsia="Times New Roman" w:hAnsi="Arial" w:cs="Arial"/>
          <w:sz w:val="22"/>
          <w:szCs w:val="24"/>
        </w:rPr>
        <w:t>. Cambridge, MA: Harvard University Press.</w:t>
      </w:r>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Bronfenbrenner, U. and Morris, P. (2006) ‘The bioecological model of human development’, in Damon, W. and Lerner, R. (eds.) </w:t>
      </w:r>
      <w:r w:rsidRPr="00C90EE7">
        <w:rPr>
          <w:rFonts w:ascii="Arial" w:eastAsia="Times New Roman" w:hAnsi="Arial" w:cs="Arial"/>
          <w:i/>
          <w:iCs/>
          <w:sz w:val="22"/>
          <w:szCs w:val="24"/>
        </w:rPr>
        <w:t>Handbook of Child Psychology</w:t>
      </w:r>
      <w:r w:rsidRPr="00C90EE7">
        <w:rPr>
          <w:rFonts w:ascii="Arial" w:eastAsia="Times New Roman" w:hAnsi="Arial" w:cs="Arial"/>
          <w:sz w:val="22"/>
          <w:szCs w:val="24"/>
        </w:rPr>
        <w:t>. New York: Wiley.</w:t>
      </w:r>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Erikson, E.H. (1968) </w:t>
      </w:r>
      <w:r w:rsidRPr="00C90EE7">
        <w:rPr>
          <w:rFonts w:ascii="Arial" w:eastAsia="Times New Roman" w:hAnsi="Arial" w:cs="Arial"/>
          <w:i/>
          <w:iCs/>
          <w:sz w:val="22"/>
          <w:szCs w:val="24"/>
        </w:rPr>
        <w:t>Identity: Youth and Crisis</w:t>
      </w:r>
      <w:r w:rsidRPr="00C90EE7">
        <w:rPr>
          <w:rFonts w:ascii="Arial" w:eastAsia="Times New Roman" w:hAnsi="Arial" w:cs="Arial"/>
          <w:sz w:val="22"/>
          <w:szCs w:val="24"/>
        </w:rPr>
        <w:t>. New York: Norton.</w:t>
      </w:r>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McLeod, S. (2023) ‘Erik Erikson’s stages of psychosocial development’, </w:t>
      </w:r>
      <w:r w:rsidRPr="00C90EE7">
        <w:rPr>
          <w:rFonts w:ascii="Arial" w:eastAsia="Times New Roman" w:hAnsi="Arial" w:cs="Arial"/>
          <w:i/>
          <w:iCs/>
          <w:sz w:val="22"/>
          <w:szCs w:val="24"/>
        </w:rPr>
        <w:t>Simply Psychology</w:t>
      </w:r>
      <w:r w:rsidRPr="00C90EE7">
        <w:rPr>
          <w:rFonts w:ascii="Arial" w:eastAsia="Times New Roman" w:hAnsi="Arial" w:cs="Arial"/>
          <w:sz w:val="22"/>
          <w:szCs w:val="24"/>
        </w:rPr>
        <w:t>.</w:t>
      </w:r>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Sawyer, S. et al. (2018) ‘Adolescence: a foundation for future health’, </w:t>
      </w:r>
      <w:r w:rsidRPr="00C90EE7">
        <w:rPr>
          <w:rFonts w:ascii="Arial" w:eastAsia="Times New Roman" w:hAnsi="Arial" w:cs="Arial"/>
          <w:i/>
          <w:iCs/>
          <w:sz w:val="22"/>
          <w:szCs w:val="24"/>
        </w:rPr>
        <w:t>The Lancet</w:t>
      </w:r>
      <w:r w:rsidRPr="00C90EE7">
        <w:rPr>
          <w:rFonts w:ascii="Arial" w:eastAsia="Times New Roman" w:hAnsi="Arial" w:cs="Arial"/>
          <w:sz w:val="22"/>
          <w:szCs w:val="24"/>
        </w:rPr>
        <w:t>, 379(9826), pp. 1630–1640.</w:t>
      </w:r>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Steinberg, L. (2020) </w:t>
      </w:r>
      <w:r w:rsidRPr="00C90EE7">
        <w:rPr>
          <w:rFonts w:ascii="Arial" w:eastAsia="Times New Roman" w:hAnsi="Arial" w:cs="Arial"/>
          <w:i/>
          <w:iCs/>
          <w:sz w:val="22"/>
          <w:szCs w:val="24"/>
        </w:rPr>
        <w:t>Adolescence</w:t>
      </w:r>
      <w:r w:rsidRPr="00C90EE7">
        <w:rPr>
          <w:rFonts w:ascii="Arial" w:eastAsia="Times New Roman" w:hAnsi="Arial" w:cs="Arial"/>
          <w:sz w:val="22"/>
          <w:szCs w:val="24"/>
        </w:rPr>
        <w:t xml:space="preserve">. 12th </w:t>
      </w:r>
      <w:proofErr w:type="spellStart"/>
      <w:r w:rsidRPr="00C90EE7">
        <w:rPr>
          <w:rFonts w:ascii="Arial" w:eastAsia="Times New Roman" w:hAnsi="Arial" w:cs="Arial"/>
          <w:sz w:val="22"/>
          <w:szCs w:val="24"/>
        </w:rPr>
        <w:t>edn</w:t>
      </w:r>
      <w:proofErr w:type="spellEnd"/>
      <w:r w:rsidRPr="00C90EE7">
        <w:rPr>
          <w:rFonts w:ascii="Arial" w:eastAsia="Times New Roman" w:hAnsi="Arial" w:cs="Arial"/>
          <w:sz w:val="22"/>
          <w:szCs w:val="24"/>
        </w:rPr>
        <w:t>. New York: McGraw-Hill.</w:t>
      </w:r>
    </w:p>
    <w:p w:rsidR="00FE7385" w:rsidRPr="00C90EE7" w:rsidRDefault="00FE7385" w:rsidP="00C90EE7">
      <w:pPr>
        <w:spacing w:before="100" w:beforeAutospacing="1" w:after="100" w:afterAutospacing="1" w:line="360" w:lineRule="auto"/>
        <w:rPr>
          <w:rFonts w:ascii="Arial" w:eastAsia="Times New Roman" w:hAnsi="Arial" w:cs="Arial"/>
          <w:sz w:val="22"/>
          <w:szCs w:val="24"/>
        </w:rPr>
      </w:pPr>
      <w:r w:rsidRPr="00C90EE7">
        <w:rPr>
          <w:rFonts w:ascii="Arial" w:eastAsia="Times New Roman" w:hAnsi="Arial" w:cs="Arial"/>
          <w:sz w:val="22"/>
          <w:szCs w:val="24"/>
        </w:rPr>
        <w:t xml:space="preserve">World Health Organization (2022) </w:t>
      </w:r>
      <w:r w:rsidRPr="00C90EE7">
        <w:rPr>
          <w:rFonts w:ascii="Arial" w:eastAsia="Times New Roman" w:hAnsi="Arial" w:cs="Arial"/>
          <w:i/>
          <w:iCs/>
          <w:sz w:val="22"/>
          <w:szCs w:val="24"/>
        </w:rPr>
        <w:t>Adolescent mental health</w:t>
      </w:r>
      <w:r w:rsidRPr="00C90EE7">
        <w:rPr>
          <w:rFonts w:ascii="Arial" w:eastAsia="Times New Roman" w:hAnsi="Arial" w:cs="Arial"/>
          <w:sz w:val="22"/>
          <w:szCs w:val="24"/>
        </w:rPr>
        <w:t>. Geneva: WHO.</w:t>
      </w:r>
    </w:p>
    <w:p w:rsidR="00991DF8" w:rsidRDefault="00991DF8"/>
    <w:sectPr w:rsidR="00991D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385"/>
    <w:rsid w:val="002811DC"/>
    <w:rsid w:val="00314965"/>
    <w:rsid w:val="00991DF8"/>
    <w:rsid w:val="00A87F74"/>
    <w:rsid w:val="00A936ED"/>
    <w:rsid w:val="00BD72DF"/>
    <w:rsid w:val="00C90EE7"/>
    <w:rsid w:val="00D015FB"/>
    <w:rsid w:val="00FE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E5D9E9-28C7-424F-88EB-51172F95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EE7"/>
  </w:style>
  <w:style w:type="paragraph" w:styleId="Heading1">
    <w:name w:val="heading 1"/>
    <w:basedOn w:val="Normal"/>
    <w:next w:val="Normal"/>
    <w:link w:val="Heading1Char"/>
    <w:uiPriority w:val="9"/>
    <w:qFormat/>
    <w:rsid w:val="00C90EE7"/>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C90EE7"/>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C90EE7"/>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C90EE7"/>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C90EE7"/>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C90EE7"/>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C90EE7"/>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C90EE7"/>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C90EE7"/>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EE7"/>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C90EE7"/>
    <w:rPr>
      <w:rFonts w:asciiTheme="majorHAnsi" w:eastAsiaTheme="majorEastAsia" w:hAnsiTheme="majorHAnsi" w:cstheme="majorBidi"/>
      <w:color w:val="ED7D31" w:themeColor="accent2"/>
      <w:sz w:val="36"/>
      <w:szCs w:val="36"/>
    </w:rPr>
  </w:style>
  <w:style w:type="paragraph" w:styleId="NormalWeb">
    <w:name w:val="Normal (Web)"/>
    <w:basedOn w:val="Normal"/>
    <w:uiPriority w:val="99"/>
    <w:semiHidden/>
    <w:unhideWhenUsed/>
    <w:rsid w:val="00FE73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0EE7"/>
    <w:rPr>
      <w:b/>
      <w:bCs/>
    </w:rPr>
  </w:style>
  <w:style w:type="character" w:styleId="Emphasis">
    <w:name w:val="Emphasis"/>
    <w:basedOn w:val="DefaultParagraphFont"/>
    <w:uiPriority w:val="20"/>
    <w:qFormat/>
    <w:rsid w:val="00C90EE7"/>
    <w:rPr>
      <w:i/>
      <w:iCs/>
      <w:color w:val="000000" w:themeColor="text1"/>
    </w:rPr>
  </w:style>
  <w:style w:type="character" w:customStyle="1" w:styleId="Heading3Char">
    <w:name w:val="Heading 3 Char"/>
    <w:basedOn w:val="DefaultParagraphFont"/>
    <w:link w:val="Heading3"/>
    <w:uiPriority w:val="9"/>
    <w:semiHidden/>
    <w:rsid w:val="00C90EE7"/>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C90EE7"/>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C90EE7"/>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C90EE7"/>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C90EE7"/>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C90EE7"/>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C90EE7"/>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C90EE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90EE7"/>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C90EE7"/>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C90EE7"/>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C90EE7"/>
    <w:rPr>
      <w:caps/>
      <w:color w:val="404040" w:themeColor="text1" w:themeTint="BF"/>
      <w:spacing w:val="20"/>
      <w:sz w:val="28"/>
      <w:szCs w:val="28"/>
    </w:rPr>
  </w:style>
  <w:style w:type="paragraph" w:styleId="NoSpacing">
    <w:name w:val="No Spacing"/>
    <w:uiPriority w:val="1"/>
    <w:qFormat/>
    <w:rsid w:val="00C90EE7"/>
    <w:pPr>
      <w:spacing w:after="0" w:line="240" w:lineRule="auto"/>
    </w:pPr>
  </w:style>
  <w:style w:type="paragraph" w:styleId="Quote">
    <w:name w:val="Quote"/>
    <w:basedOn w:val="Normal"/>
    <w:next w:val="Normal"/>
    <w:link w:val="QuoteChar"/>
    <w:uiPriority w:val="29"/>
    <w:qFormat/>
    <w:rsid w:val="00C90EE7"/>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C90EE7"/>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C90EE7"/>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C90EE7"/>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C90EE7"/>
    <w:rPr>
      <w:i/>
      <w:iCs/>
      <w:color w:val="595959" w:themeColor="text1" w:themeTint="A6"/>
    </w:rPr>
  </w:style>
  <w:style w:type="character" w:styleId="IntenseEmphasis">
    <w:name w:val="Intense Emphasis"/>
    <w:basedOn w:val="DefaultParagraphFont"/>
    <w:uiPriority w:val="21"/>
    <w:qFormat/>
    <w:rsid w:val="00C90EE7"/>
    <w:rPr>
      <w:b/>
      <w:bCs/>
      <w:i/>
      <w:iCs/>
      <w:caps w:val="0"/>
      <w:smallCaps w:val="0"/>
      <w:strike w:val="0"/>
      <w:dstrike w:val="0"/>
      <w:color w:val="ED7D31" w:themeColor="accent2"/>
    </w:rPr>
  </w:style>
  <w:style w:type="character" w:styleId="SubtleReference">
    <w:name w:val="Subtle Reference"/>
    <w:basedOn w:val="DefaultParagraphFont"/>
    <w:uiPriority w:val="31"/>
    <w:qFormat/>
    <w:rsid w:val="00C90EE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90EE7"/>
    <w:rPr>
      <w:b/>
      <w:bCs/>
      <w:caps w:val="0"/>
      <w:smallCaps/>
      <w:color w:val="auto"/>
      <w:spacing w:val="0"/>
      <w:u w:val="single"/>
    </w:rPr>
  </w:style>
  <w:style w:type="character" w:styleId="BookTitle">
    <w:name w:val="Book Title"/>
    <w:basedOn w:val="DefaultParagraphFont"/>
    <w:uiPriority w:val="33"/>
    <w:qFormat/>
    <w:rsid w:val="00C90EE7"/>
    <w:rPr>
      <w:b/>
      <w:bCs/>
      <w:caps w:val="0"/>
      <w:smallCaps/>
      <w:spacing w:val="0"/>
    </w:rPr>
  </w:style>
  <w:style w:type="paragraph" w:styleId="TOCHeading">
    <w:name w:val="TOC Heading"/>
    <w:basedOn w:val="Heading1"/>
    <w:next w:val="Normal"/>
    <w:uiPriority w:val="39"/>
    <w:unhideWhenUsed/>
    <w:qFormat/>
    <w:rsid w:val="00C90EE7"/>
    <w:pPr>
      <w:outlineLvl w:val="9"/>
    </w:pPr>
  </w:style>
  <w:style w:type="paragraph" w:styleId="TOC1">
    <w:name w:val="toc 1"/>
    <w:basedOn w:val="Normal"/>
    <w:next w:val="Normal"/>
    <w:autoRedefine/>
    <w:uiPriority w:val="39"/>
    <w:unhideWhenUsed/>
    <w:rsid w:val="00C90EE7"/>
    <w:pPr>
      <w:spacing w:after="100"/>
    </w:pPr>
  </w:style>
  <w:style w:type="paragraph" w:styleId="TOC2">
    <w:name w:val="toc 2"/>
    <w:basedOn w:val="Normal"/>
    <w:next w:val="Normal"/>
    <w:autoRedefine/>
    <w:uiPriority w:val="39"/>
    <w:unhideWhenUsed/>
    <w:rsid w:val="00C90EE7"/>
    <w:pPr>
      <w:spacing w:after="100"/>
      <w:ind w:left="210"/>
    </w:pPr>
  </w:style>
  <w:style w:type="character" w:styleId="Hyperlink">
    <w:name w:val="Hyperlink"/>
    <w:basedOn w:val="DefaultParagraphFont"/>
    <w:uiPriority w:val="99"/>
    <w:unhideWhenUsed/>
    <w:rsid w:val="00C90E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41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B7B76-4A92-48F9-92F8-A037FCEA5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8</Pages>
  <Words>2011</Words>
  <Characters>11465</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2025-12-15T13:38:00Z</dcterms:created>
  <dcterms:modified xsi:type="dcterms:W3CDTF">2025-12-15T17:30:00Z</dcterms:modified>
</cp:coreProperties>
</file>