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291F0B" w14:textId="77777777" w:rsidR="00047DC5" w:rsidRDefault="00047DC5" w:rsidP="00047DC5">
      <w:pPr>
        <w:spacing w:line="360" w:lineRule="auto"/>
        <w:jc w:val="center"/>
      </w:pPr>
      <w:r>
        <w:rPr>
          <w:rFonts w:ascii="Arial" w:hAnsi="Arial" w:cs="Arial"/>
          <w:noProof/>
        </w:rPr>
        <w:drawing>
          <wp:inline distT="0" distB="0" distL="0" distR="0" wp14:anchorId="109BD2E5" wp14:editId="44F662E6">
            <wp:extent cx="2491740" cy="975363"/>
            <wp:effectExtent l="0" t="0" r="3810" b="0"/>
            <wp:docPr id="1541179807"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491740" cy="975363"/>
                    </a:xfrm>
                    <a:prstGeom prst="rect">
                      <a:avLst/>
                    </a:prstGeom>
                    <a:noFill/>
                    <a:ln>
                      <a:noFill/>
                      <a:prstDash/>
                    </a:ln>
                  </pic:spPr>
                </pic:pic>
              </a:graphicData>
            </a:graphic>
          </wp:inline>
        </w:drawing>
      </w:r>
    </w:p>
    <w:p w14:paraId="2D98E587" w14:textId="77777777" w:rsidR="00047DC5" w:rsidRDefault="00047DC5" w:rsidP="00047DC5">
      <w:pPr>
        <w:spacing w:line="360" w:lineRule="auto"/>
        <w:jc w:val="center"/>
        <w:rPr>
          <w:rFonts w:ascii="Arial" w:hAnsi="Arial" w:cs="Arial"/>
          <w:b/>
        </w:rPr>
      </w:pPr>
    </w:p>
    <w:p w14:paraId="5DAA41AF" w14:textId="77777777" w:rsidR="00047DC5" w:rsidRDefault="00047DC5" w:rsidP="00047DC5">
      <w:pPr>
        <w:spacing w:line="360" w:lineRule="auto"/>
        <w:jc w:val="center"/>
      </w:pPr>
      <w:r>
        <w:rPr>
          <w:rFonts w:ascii="Arial" w:hAnsi="Arial" w:cs="Arial"/>
          <w:b/>
        </w:rPr>
        <w:t>Assignment Title:</w:t>
      </w:r>
    </w:p>
    <w:p w14:paraId="67A6C803" w14:textId="77777777" w:rsidR="00047DC5" w:rsidRDefault="00047DC5" w:rsidP="00047DC5">
      <w:pPr>
        <w:spacing w:line="360" w:lineRule="auto"/>
        <w:jc w:val="center"/>
      </w:pPr>
      <w:r>
        <w:rPr>
          <w:rFonts w:ascii="Arial" w:hAnsi="Arial" w:cs="Arial"/>
          <w:b/>
          <w:bCs/>
        </w:rPr>
        <w:t xml:space="preserve">An Empirical Analysis of the Impact of Changes in UK Immigration Rules on Human Capital Sustainability </w:t>
      </w:r>
      <w:r>
        <w:rPr>
          <w:rFonts w:ascii="Arial" w:hAnsi="Arial" w:cs="Arial"/>
          <w:b/>
          <w:bCs/>
          <w:color w:val="000000"/>
        </w:rPr>
        <w:t>among Migrant Healthcare Support Workers.</w:t>
      </w:r>
    </w:p>
    <w:p w14:paraId="04541B72" w14:textId="77777777" w:rsidR="00047DC5" w:rsidRDefault="00047DC5" w:rsidP="00047DC5">
      <w:pPr>
        <w:spacing w:line="360" w:lineRule="auto"/>
        <w:jc w:val="center"/>
        <w:rPr>
          <w:rFonts w:ascii="Arial" w:hAnsi="Arial" w:cs="Arial"/>
          <w:b/>
          <w:lang w:val="en-GB"/>
        </w:rPr>
      </w:pPr>
    </w:p>
    <w:p w14:paraId="29AD9DA9" w14:textId="77777777" w:rsidR="00047DC5" w:rsidRDefault="00047DC5" w:rsidP="00047DC5">
      <w:pPr>
        <w:spacing w:line="360" w:lineRule="auto"/>
        <w:jc w:val="center"/>
        <w:rPr>
          <w:rFonts w:ascii="Arial" w:hAnsi="Arial" w:cs="Arial"/>
          <w:b/>
          <w:lang w:val="en-GB"/>
        </w:rPr>
      </w:pPr>
      <w:r>
        <w:rPr>
          <w:rFonts w:ascii="Arial" w:hAnsi="Arial" w:cs="Arial"/>
          <w:b/>
          <w:lang w:val="en-GB"/>
        </w:rPr>
        <w:t>Prepared By</w:t>
      </w:r>
    </w:p>
    <w:p w14:paraId="04862D8C" w14:textId="77777777" w:rsidR="00047DC5" w:rsidRDefault="00047DC5" w:rsidP="00047DC5">
      <w:pPr>
        <w:spacing w:line="360" w:lineRule="auto"/>
        <w:jc w:val="center"/>
        <w:rPr>
          <w:rFonts w:ascii="Arial" w:hAnsi="Arial" w:cs="Arial"/>
          <w:b/>
          <w:lang w:val="en-GB"/>
        </w:rPr>
      </w:pPr>
      <w:r>
        <w:rPr>
          <w:rFonts w:ascii="Arial" w:hAnsi="Arial" w:cs="Arial"/>
          <w:b/>
          <w:lang w:val="en-GB"/>
        </w:rPr>
        <w:t>Fazle Rabby Nahi</w:t>
      </w:r>
    </w:p>
    <w:p w14:paraId="2A8DFC79" w14:textId="77777777" w:rsidR="00047DC5" w:rsidRDefault="00047DC5" w:rsidP="00047DC5">
      <w:pPr>
        <w:spacing w:line="360" w:lineRule="auto"/>
        <w:jc w:val="center"/>
        <w:rPr>
          <w:rFonts w:ascii="Arial" w:hAnsi="Arial" w:cs="Arial"/>
          <w:b/>
          <w:lang w:val="en-GB"/>
        </w:rPr>
      </w:pPr>
      <w:r>
        <w:rPr>
          <w:rFonts w:ascii="Arial" w:hAnsi="Arial" w:cs="Arial"/>
          <w:b/>
          <w:lang w:val="en-GB"/>
        </w:rPr>
        <w:t>Student ID: 2515592</w:t>
      </w:r>
    </w:p>
    <w:p w14:paraId="241B72AB" w14:textId="77777777" w:rsidR="00047DC5" w:rsidRDefault="00047DC5" w:rsidP="00047DC5">
      <w:pPr>
        <w:spacing w:line="360" w:lineRule="auto"/>
        <w:jc w:val="center"/>
        <w:rPr>
          <w:rFonts w:ascii="Arial" w:hAnsi="Arial" w:cs="Arial"/>
          <w:b/>
          <w:bCs/>
          <w:lang w:val="en-GB"/>
        </w:rPr>
      </w:pPr>
    </w:p>
    <w:p w14:paraId="4C0AD340" w14:textId="77777777" w:rsidR="00047DC5" w:rsidRDefault="00047DC5" w:rsidP="00047DC5">
      <w:pPr>
        <w:spacing w:line="360" w:lineRule="auto"/>
        <w:jc w:val="center"/>
        <w:rPr>
          <w:rFonts w:ascii="Arial" w:hAnsi="Arial" w:cs="Arial"/>
          <w:b/>
          <w:bCs/>
        </w:rPr>
      </w:pPr>
      <w:r>
        <w:rPr>
          <w:rFonts w:ascii="Arial" w:hAnsi="Arial" w:cs="Arial"/>
          <w:b/>
          <w:bCs/>
        </w:rPr>
        <w:t>Master of Business Administration</w:t>
      </w:r>
    </w:p>
    <w:p w14:paraId="565722E1" w14:textId="77777777" w:rsidR="00047DC5" w:rsidRDefault="00047DC5" w:rsidP="00047DC5">
      <w:pPr>
        <w:spacing w:line="360" w:lineRule="auto"/>
        <w:jc w:val="center"/>
      </w:pPr>
      <w:r>
        <w:rPr>
          <w:rFonts w:ascii="Arial" w:hAnsi="Arial" w:cs="Arial"/>
          <w:b/>
        </w:rPr>
        <w:t>Lecturer Name</w:t>
      </w:r>
      <w:r>
        <w:rPr>
          <w:rFonts w:ascii="Arial" w:hAnsi="Arial" w:cs="Arial"/>
          <w:b/>
          <w:lang w:val="en-GB"/>
        </w:rPr>
        <w:t xml:space="preserve">: </w:t>
      </w:r>
      <w:r>
        <w:rPr>
          <w:rFonts w:ascii="Arial" w:hAnsi="Arial" w:cs="Arial"/>
          <w:b/>
        </w:rPr>
        <w:t xml:space="preserve">Masud Ibrahim and </w:t>
      </w:r>
      <w:r>
        <w:rPr>
          <w:rFonts w:ascii="Arial" w:hAnsi="Arial" w:cs="Arial"/>
          <w:b/>
          <w:bCs/>
        </w:rPr>
        <w:t>Vasilios Tavlaridis</w:t>
      </w:r>
    </w:p>
    <w:p w14:paraId="67E1E967" w14:textId="77777777" w:rsidR="00047DC5" w:rsidRDefault="00047DC5" w:rsidP="00047DC5">
      <w:pPr>
        <w:spacing w:line="360" w:lineRule="auto"/>
        <w:jc w:val="center"/>
      </w:pPr>
      <w:r>
        <w:rPr>
          <w:rFonts w:ascii="Arial" w:hAnsi="Arial" w:cs="Arial"/>
          <w:b/>
          <w:bCs/>
        </w:rPr>
        <w:t xml:space="preserve">Supervisor: Mazen </w:t>
      </w:r>
      <w:proofErr w:type="spellStart"/>
      <w:r>
        <w:rPr>
          <w:rFonts w:ascii="Arial" w:hAnsi="Arial" w:cs="Arial"/>
          <w:b/>
          <w:bCs/>
        </w:rPr>
        <w:t>Joureih</w:t>
      </w:r>
      <w:proofErr w:type="spellEnd"/>
    </w:p>
    <w:p w14:paraId="60C40230" w14:textId="77777777" w:rsidR="00047DC5" w:rsidRDefault="00047DC5" w:rsidP="00047DC5">
      <w:pPr>
        <w:spacing w:line="360" w:lineRule="auto"/>
        <w:jc w:val="center"/>
      </w:pPr>
      <w:r>
        <w:rPr>
          <w:rFonts w:ascii="Arial" w:hAnsi="Arial" w:cs="Arial"/>
          <w:b/>
          <w:bCs/>
        </w:rPr>
        <w:t>Module: Dissertation</w:t>
      </w:r>
    </w:p>
    <w:p w14:paraId="5A94C93F" w14:textId="77777777" w:rsidR="00047DC5" w:rsidRDefault="00047DC5" w:rsidP="00047DC5">
      <w:pPr>
        <w:spacing w:line="360" w:lineRule="auto"/>
        <w:jc w:val="center"/>
      </w:pPr>
      <w:r>
        <w:rPr>
          <w:rFonts w:ascii="Arial" w:hAnsi="Arial" w:cs="Arial"/>
          <w:b/>
          <w:bCs/>
          <w:lang w:val="en-GB"/>
        </w:rPr>
        <w:t xml:space="preserve">Module Code: </w:t>
      </w:r>
      <w:r>
        <w:rPr>
          <w:rFonts w:ascii="Arial" w:hAnsi="Arial" w:cs="Arial"/>
          <w:b/>
          <w:bCs/>
        </w:rPr>
        <w:t>LCMB7035</w:t>
      </w:r>
    </w:p>
    <w:p w14:paraId="18F95F9D" w14:textId="77777777" w:rsidR="00047DC5" w:rsidRDefault="00047DC5" w:rsidP="00047DC5">
      <w:pPr>
        <w:spacing w:line="360" w:lineRule="auto"/>
        <w:jc w:val="center"/>
        <w:rPr>
          <w:rFonts w:ascii="Arial" w:hAnsi="Arial" w:cs="Arial"/>
          <w:b/>
          <w:lang w:val="en-GB"/>
        </w:rPr>
      </w:pPr>
    </w:p>
    <w:p w14:paraId="31D5C8D4" w14:textId="77777777" w:rsidR="00047DC5" w:rsidRDefault="00047DC5" w:rsidP="00047DC5">
      <w:pPr>
        <w:spacing w:line="360" w:lineRule="auto"/>
        <w:jc w:val="center"/>
        <w:rPr>
          <w:rFonts w:ascii="Arial" w:hAnsi="Arial" w:cs="Arial"/>
          <w:b/>
        </w:rPr>
      </w:pPr>
    </w:p>
    <w:p w14:paraId="718628BB" w14:textId="77777777" w:rsidR="00047DC5" w:rsidRDefault="00047DC5" w:rsidP="00047DC5">
      <w:pPr>
        <w:spacing w:line="360" w:lineRule="auto"/>
        <w:jc w:val="center"/>
      </w:pPr>
      <w:r>
        <w:rPr>
          <w:rFonts w:ascii="Arial" w:hAnsi="Arial" w:cs="Arial"/>
          <w:b/>
          <w:lang w:val="en-GB"/>
        </w:rPr>
        <w:t>Date of Submission:</w:t>
      </w:r>
      <w:r>
        <w:rPr>
          <w:rFonts w:ascii="Arial" w:hAnsi="Arial" w:cs="Arial"/>
          <w:bCs/>
          <w:lang w:val="en-GB"/>
        </w:rPr>
        <w:t xml:space="preserve"> </w:t>
      </w:r>
      <w:r>
        <w:rPr>
          <w:rFonts w:ascii="Arial" w:hAnsi="Arial" w:cs="Arial"/>
          <w:b/>
          <w:bCs/>
        </w:rPr>
        <w:t>27/08/2026</w:t>
      </w:r>
    </w:p>
    <w:p w14:paraId="42D58538" w14:textId="77777777" w:rsidR="00047DC5" w:rsidRDefault="00047DC5" w:rsidP="00047DC5">
      <w:pPr>
        <w:pageBreakBefore/>
        <w:rPr>
          <w:rFonts w:ascii="Arial" w:hAnsi="Arial" w:cs="Arial"/>
          <w:b/>
          <w:bCs/>
        </w:rPr>
      </w:pPr>
    </w:p>
    <w:p w14:paraId="146495C8" w14:textId="77777777" w:rsidR="00047DC5" w:rsidRDefault="00047DC5" w:rsidP="00047DC5">
      <w:pPr>
        <w:spacing w:line="360" w:lineRule="auto"/>
        <w:jc w:val="both"/>
        <w:rPr>
          <w:rFonts w:ascii="Arial" w:hAnsi="Arial" w:cs="Arial"/>
          <w:b/>
          <w:bCs/>
        </w:rPr>
      </w:pPr>
      <w:r>
        <w:rPr>
          <w:rFonts w:ascii="Arial" w:hAnsi="Arial" w:cs="Arial"/>
          <w:b/>
          <w:bCs/>
        </w:rPr>
        <w:t>Declaration</w:t>
      </w:r>
    </w:p>
    <w:p w14:paraId="71D2C45D" w14:textId="77777777" w:rsidR="00047DC5" w:rsidRDefault="00047DC5" w:rsidP="00047DC5">
      <w:pPr>
        <w:spacing w:line="360" w:lineRule="auto"/>
        <w:jc w:val="both"/>
        <w:rPr>
          <w:rFonts w:ascii="Arial" w:hAnsi="Arial" w:cs="Arial"/>
        </w:rPr>
      </w:pPr>
      <w:r>
        <w:rPr>
          <w:rFonts w:ascii="Arial" w:hAnsi="Arial" w:cs="Arial"/>
        </w:rPr>
        <w:t>I, Fazle Rabby Nahi,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3DC41228" w14:textId="77777777" w:rsidR="00047DC5" w:rsidRDefault="00047DC5" w:rsidP="00047DC5">
      <w:pPr>
        <w:spacing w:line="360" w:lineRule="auto"/>
        <w:jc w:val="both"/>
        <w:rPr>
          <w:rFonts w:ascii="Arial" w:hAnsi="Arial" w:cs="Arial"/>
        </w:rPr>
      </w:pPr>
      <w:r>
        <w:rPr>
          <w:rFonts w:ascii="Arial" w:hAnsi="Arial" w:cs="Arial"/>
        </w:rPr>
        <w:t>Signature: Fazle Rabby Nahi</w:t>
      </w:r>
    </w:p>
    <w:p w14:paraId="25F95170" w14:textId="77777777" w:rsidR="00047DC5" w:rsidRDefault="00047DC5" w:rsidP="00047DC5">
      <w:pPr>
        <w:spacing w:line="360" w:lineRule="auto"/>
        <w:jc w:val="both"/>
        <w:rPr>
          <w:rFonts w:ascii="Arial" w:hAnsi="Arial" w:cs="Arial"/>
        </w:rPr>
      </w:pPr>
      <w:r>
        <w:rPr>
          <w:rFonts w:ascii="Arial" w:hAnsi="Arial" w:cs="Arial"/>
        </w:rPr>
        <w:t>Date: 27/08/2026</w:t>
      </w:r>
    </w:p>
    <w:p w14:paraId="68B60569" w14:textId="77777777" w:rsidR="00047DC5" w:rsidRDefault="00047DC5" w:rsidP="00047DC5">
      <w:pPr>
        <w:spacing w:line="360" w:lineRule="auto"/>
        <w:jc w:val="both"/>
        <w:rPr>
          <w:rFonts w:ascii="Arial" w:hAnsi="Arial" w:cs="Arial"/>
          <w:b/>
          <w:bCs/>
        </w:rPr>
      </w:pPr>
    </w:p>
    <w:p w14:paraId="29FA712D" w14:textId="77777777" w:rsidR="00047DC5" w:rsidRDefault="00047DC5" w:rsidP="00047DC5">
      <w:pPr>
        <w:pageBreakBefore/>
        <w:rPr>
          <w:rFonts w:ascii="Arial" w:hAnsi="Arial" w:cs="Arial"/>
          <w:b/>
          <w:bCs/>
        </w:rPr>
      </w:pPr>
    </w:p>
    <w:p w14:paraId="07D491A2" w14:textId="77777777" w:rsidR="00047DC5" w:rsidRDefault="00047DC5" w:rsidP="00047DC5">
      <w:pPr>
        <w:spacing w:line="360" w:lineRule="auto"/>
        <w:jc w:val="both"/>
        <w:rPr>
          <w:rFonts w:ascii="Arial" w:hAnsi="Arial" w:cs="Arial"/>
          <w:b/>
          <w:bCs/>
        </w:rPr>
      </w:pPr>
      <w:r>
        <w:rPr>
          <w:rFonts w:ascii="Arial" w:hAnsi="Arial" w:cs="Arial"/>
          <w:b/>
          <w:bCs/>
        </w:rPr>
        <w:t>Acknowledgement</w:t>
      </w:r>
    </w:p>
    <w:p w14:paraId="00E3B5DE" w14:textId="77777777" w:rsidR="00047DC5" w:rsidRDefault="00047DC5" w:rsidP="00047DC5">
      <w:pPr>
        <w:spacing w:line="360" w:lineRule="auto"/>
        <w:jc w:val="both"/>
        <w:rPr>
          <w:rFonts w:ascii="Arial" w:hAnsi="Arial" w:cs="Arial"/>
        </w:rPr>
      </w:pPr>
      <w:r>
        <w:rPr>
          <w:rFonts w:ascii="Arial" w:hAnsi="Arial" w:cs="Arial"/>
        </w:rPr>
        <w:t>I would like to express my sincere gratitude to my supervisor, Dr Mazen Joureih, for his invaluable guidance, encouragement, and constructive feedback throughout this research journey. His insightful comments and thoughtful suggestions have significantly shaped the direction and quality of this dissertation.</w:t>
      </w:r>
    </w:p>
    <w:p w14:paraId="3AC4BA19" w14:textId="77777777" w:rsidR="00047DC5" w:rsidRDefault="00047DC5" w:rsidP="00047DC5">
      <w:pPr>
        <w:spacing w:line="360" w:lineRule="auto"/>
        <w:jc w:val="both"/>
        <w:rPr>
          <w:rFonts w:ascii="Arial" w:hAnsi="Arial" w:cs="Arial"/>
        </w:rPr>
      </w:pPr>
      <w:r>
        <w:rPr>
          <w:rFonts w:ascii="Arial" w:hAnsi="Arial" w:cs="Arial"/>
        </w:rPr>
        <w:t>I am also grateful to my lecturers, Masud Ibrahim and Vasilios Tavlaridis, for their support and for providing the foundational knowledge that made this research possible.</w:t>
      </w:r>
    </w:p>
    <w:p w14:paraId="2824309E" w14:textId="77777777" w:rsidR="00047DC5" w:rsidRDefault="00047DC5" w:rsidP="00047DC5">
      <w:pPr>
        <w:spacing w:line="360" w:lineRule="auto"/>
        <w:jc w:val="both"/>
        <w:rPr>
          <w:rFonts w:ascii="Arial" w:hAnsi="Arial" w:cs="Arial"/>
        </w:rPr>
      </w:pPr>
      <w:r>
        <w:rPr>
          <w:rFonts w:ascii="Arial" w:hAnsi="Arial" w:cs="Arial"/>
        </w:rPr>
        <w:t xml:space="preserve">Special thanks to my family and friends for their unwavering support, patience, and understanding during this challenging </w:t>
      </w:r>
      <w:proofErr w:type="spellStart"/>
      <w:r>
        <w:rPr>
          <w:rFonts w:ascii="Arial" w:hAnsi="Arial" w:cs="Arial"/>
        </w:rPr>
        <w:t>endeavour</w:t>
      </w:r>
      <w:proofErr w:type="spellEnd"/>
      <w:r>
        <w:rPr>
          <w:rFonts w:ascii="Arial" w:hAnsi="Arial" w:cs="Arial"/>
        </w:rPr>
        <w:t>. Their encouragement has been a constant source of motivation.</w:t>
      </w:r>
    </w:p>
    <w:p w14:paraId="0F69F30B" w14:textId="77777777" w:rsidR="00047DC5" w:rsidRDefault="00047DC5" w:rsidP="00047DC5">
      <w:pPr>
        <w:spacing w:line="360" w:lineRule="auto"/>
        <w:jc w:val="both"/>
        <w:rPr>
          <w:rFonts w:ascii="Arial" w:hAnsi="Arial" w:cs="Arial"/>
        </w:rPr>
      </w:pPr>
      <w:r>
        <w:rPr>
          <w:rFonts w:ascii="Arial" w:hAnsi="Arial" w:cs="Arial"/>
        </w:rPr>
        <w:t xml:space="preserve">Lastly, I thank all the </w:t>
      </w:r>
      <w:proofErr w:type="spellStart"/>
      <w:r>
        <w:rPr>
          <w:rFonts w:ascii="Arial" w:hAnsi="Arial" w:cs="Arial"/>
        </w:rPr>
        <w:t>organisations</w:t>
      </w:r>
      <w:proofErr w:type="spellEnd"/>
      <w:r>
        <w:rPr>
          <w:rFonts w:ascii="Arial" w:hAnsi="Arial" w:cs="Arial"/>
        </w:rPr>
        <w:t xml:space="preserve"> whose data made this research possible, particularly the Home Office, Office for National Statistics, Skills for Care, and the Nursing and Midwifery Council.</w:t>
      </w:r>
    </w:p>
    <w:p w14:paraId="3A8BB6BC" w14:textId="77777777" w:rsidR="0012182B" w:rsidRDefault="0012182B">
      <w:pPr>
        <w:suppressAutoHyphens w:val="0"/>
        <w:autoSpaceDN/>
        <w:spacing w:line="278" w:lineRule="auto"/>
        <w:rPr>
          <w:rFonts w:ascii="Arial" w:hAnsi="Arial" w:cs="Arial"/>
        </w:rPr>
      </w:pPr>
      <w:r>
        <w:rPr>
          <w:rFonts w:ascii="Arial" w:hAnsi="Arial" w:cs="Arial"/>
        </w:rPr>
        <w:br w:type="page"/>
      </w:r>
    </w:p>
    <w:p w14:paraId="56FC2C83" w14:textId="23F9A06A" w:rsidR="00047DC5" w:rsidRDefault="00047DC5" w:rsidP="00047DC5">
      <w:pPr>
        <w:spacing w:line="360" w:lineRule="auto"/>
        <w:jc w:val="both"/>
        <w:rPr>
          <w:rFonts w:ascii="Arial" w:hAnsi="Arial" w:cs="Arial"/>
          <w:b/>
          <w:bCs/>
        </w:rPr>
      </w:pPr>
      <w:r>
        <w:rPr>
          <w:rFonts w:ascii="Arial" w:hAnsi="Arial" w:cs="Arial"/>
          <w:b/>
          <w:bCs/>
        </w:rPr>
        <w:lastRenderedPageBreak/>
        <w:t>Abstract</w:t>
      </w:r>
    </w:p>
    <w:p w14:paraId="234475B5" w14:textId="77777777" w:rsidR="00047DC5" w:rsidRDefault="00047DC5" w:rsidP="00047DC5">
      <w:pPr>
        <w:spacing w:line="360" w:lineRule="auto"/>
        <w:jc w:val="both"/>
        <w:rPr>
          <w:rFonts w:ascii="Arial" w:hAnsi="Arial" w:cs="Arial"/>
        </w:rPr>
      </w:pPr>
      <w:r>
        <w:rPr>
          <w:rFonts w:ascii="Arial" w:hAnsi="Arial" w:cs="Arial"/>
        </w:rPr>
        <w:t xml:space="preserve">This study empirically evaluates the impact of UK immigration rule changes (2020–2026) on human capital sustainability among migrant healthcare support workers. Using a positivist, secondary quantitative research design, the study analyses Home Office visa statistics, ONS migration data, NMC register data, and Skills for Care workforce data. The findings reveal an 81% decline in Health and Care Worker visas and a 33% increase in internationally educated nurses leaving the NMC register. However, regression analysis indicates that the model explains only 38.5% of the variance in visa grant rates (R² = 0.3848) and is not statistically significant (F=1.2509, p=0.4896), likely due to the small sample size and multicollinearity among policy variables. Correlation analysis provides stronger evidence, with all four policy variables negatively correlated with visa grants, particularly </w:t>
      </w:r>
      <w:proofErr w:type="spellStart"/>
      <w:r>
        <w:rPr>
          <w:rFonts w:ascii="Arial" w:hAnsi="Arial" w:cs="Arial"/>
        </w:rPr>
        <w:t>Dependant</w:t>
      </w:r>
      <w:proofErr w:type="spellEnd"/>
      <w:r>
        <w:rPr>
          <w:rFonts w:ascii="Arial" w:hAnsi="Arial" w:cs="Arial"/>
        </w:rPr>
        <w:t xml:space="preserve"> Restriction (r=-0.62). The study concludes that restrictive immigration policies have significantly undermined workforce sustainability, with significant social and economic consequences. Recommendations include reconsidering the closure of overseas recruitment, restoring </w:t>
      </w:r>
      <w:proofErr w:type="spellStart"/>
      <w:r>
        <w:rPr>
          <w:rFonts w:ascii="Arial" w:hAnsi="Arial" w:cs="Arial"/>
        </w:rPr>
        <w:t>dependant</w:t>
      </w:r>
      <w:proofErr w:type="spellEnd"/>
      <w:r>
        <w:rPr>
          <w:rFonts w:ascii="Arial" w:hAnsi="Arial" w:cs="Arial"/>
        </w:rPr>
        <w:t xml:space="preserve"> rights, providing clear pathways to settlement, and investing in domestic training and retention strategies.</w:t>
      </w:r>
    </w:p>
    <w:p w14:paraId="14646B9C" w14:textId="77777777" w:rsidR="00047DC5" w:rsidRDefault="00047DC5" w:rsidP="00047DC5">
      <w:pPr>
        <w:spacing w:line="360" w:lineRule="auto"/>
        <w:jc w:val="both"/>
      </w:pPr>
      <w:r>
        <w:rPr>
          <w:rFonts w:ascii="Arial" w:hAnsi="Arial" w:cs="Arial"/>
          <w:b/>
          <w:bCs/>
        </w:rPr>
        <w:t>Keywords:</w:t>
      </w:r>
      <w:r>
        <w:rPr>
          <w:rFonts w:ascii="Arial" w:hAnsi="Arial" w:cs="Arial"/>
        </w:rPr>
        <w:t> Immigration policy, human capital sustainability (HCS), healthcare support workers, migrant workforce, triple bottom line (TBL), conservation of resources theory (COR).</w:t>
      </w:r>
    </w:p>
    <w:p w14:paraId="6B8104C1" w14:textId="77777777" w:rsidR="00047DC5" w:rsidRDefault="00047DC5" w:rsidP="00047DC5">
      <w:pPr>
        <w:spacing w:line="360" w:lineRule="auto"/>
        <w:jc w:val="both"/>
        <w:rPr>
          <w:rFonts w:ascii="Arial" w:hAnsi="Arial" w:cs="Arial"/>
        </w:rPr>
      </w:pPr>
    </w:p>
    <w:p w14:paraId="4FA04C16" w14:textId="77777777" w:rsidR="00047DC5" w:rsidRDefault="00047DC5" w:rsidP="00047DC5">
      <w:pPr>
        <w:spacing w:line="360" w:lineRule="auto"/>
        <w:jc w:val="both"/>
        <w:rPr>
          <w:rFonts w:ascii="Arial" w:hAnsi="Arial" w:cs="Arial"/>
        </w:rPr>
      </w:pPr>
    </w:p>
    <w:p w14:paraId="5393B817" w14:textId="77777777" w:rsidR="00047DC5" w:rsidRDefault="00047DC5" w:rsidP="00047DC5">
      <w:pPr>
        <w:spacing w:line="360" w:lineRule="auto"/>
        <w:jc w:val="center"/>
        <w:rPr>
          <w:rFonts w:ascii="Arial" w:hAnsi="Arial" w:cs="Arial"/>
          <w:bCs/>
          <w:lang w:val="en-GB"/>
        </w:rPr>
      </w:pPr>
    </w:p>
    <w:p w14:paraId="650A2ADC" w14:textId="77777777" w:rsidR="00047DC5" w:rsidRDefault="00047DC5" w:rsidP="00047DC5">
      <w:pPr>
        <w:pageBreakBefore/>
        <w:spacing w:line="360" w:lineRule="auto"/>
        <w:jc w:val="both"/>
      </w:pPr>
    </w:p>
    <w:p w14:paraId="521B3853" w14:textId="77777777" w:rsidR="00047DC5" w:rsidRDefault="00047DC5" w:rsidP="00047DC5">
      <w:pPr>
        <w:pStyle w:val="TOCHeading"/>
        <w:spacing w:line="360" w:lineRule="auto"/>
        <w:jc w:val="both"/>
        <w:outlineLvl w:val="9"/>
      </w:pPr>
      <w:r>
        <w:rPr>
          <w:rFonts w:ascii="Arial" w:hAnsi="Arial" w:cs="Arial"/>
          <w:sz w:val="24"/>
          <w:szCs w:val="24"/>
        </w:rPr>
        <w:t>Contents</w:t>
      </w:r>
    </w:p>
    <w:p w14:paraId="794CB266" w14:textId="77777777" w:rsidR="00047DC5" w:rsidRDefault="00047DC5" w:rsidP="00047DC5">
      <w:pPr>
        <w:pStyle w:val="TOC1"/>
        <w:tabs>
          <w:tab w:val="right" w:leader="dot" w:pos="9350"/>
        </w:tabs>
      </w:pPr>
      <w:r>
        <w:rPr>
          <w:rFonts w:ascii="Aptos Display" w:eastAsia="Times New Roman" w:hAnsi="Aptos Display"/>
          <w:color w:val="0F4761"/>
          <w:kern w:val="0"/>
          <w:sz w:val="32"/>
          <w:szCs w:val="32"/>
        </w:rPr>
        <w:fldChar w:fldCharType="begin"/>
      </w:r>
      <w:r>
        <w:instrText xml:space="preserve"> TOC \o "1-3" \u \h </w:instrText>
      </w:r>
      <w:r>
        <w:rPr>
          <w:rFonts w:ascii="Aptos Display" w:eastAsia="Times New Roman" w:hAnsi="Aptos Display"/>
          <w:color w:val="0F4761"/>
          <w:kern w:val="0"/>
          <w:sz w:val="32"/>
          <w:szCs w:val="32"/>
        </w:rPr>
        <w:fldChar w:fldCharType="separate"/>
      </w:r>
      <w:hyperlink w:anchor="_Toc238549757" w:history="1">
        <w:r>
          <w:rPr>
            <w:rStyle w:val="Hyperlink"/>
          </w:rPr>
          <w:t>Chapter 1: Introduction</w:t>
        </w:r>
        <w:r>
          <w:tab/>
          <w:t>10</w:t>
        </w:r>
      </w:hyperlink>
    </w:p>
    <w:p w14:paraId="0E64E2A0" w14:textId="77777777" w:rsidR="00047DC5" w:rsidRDefault="00047DC5" w:rsidP="00047DC5">
      <w:pPr>
        <w:pStyle w:val="TOC2"/>
        <w:tabs>
          <w:tab w:val="right" w:leader="dot" w:pos="9350"/>
        </w:tabs>
      </w:pPr>
      <w:hyperlink w:anchor="_Toc238549758" w:history="1">
        <w:r>
          <w:rPr>
            <w:rStyle w:val="Hyperlink"/>
          </w:rPr>
          <w:t>1.1 Background</w:t>
        </w:r>
        <w:r>
          <w:tab/>
          <w:t>10</w:t>
        </w:r>
      </w:hyperlink>
    </w:p>
    <w:p w14:paraId="4F56D96F" w14:textId="77777777" w:rsidR="00047DC5" w:rsidRDefault="00047DC5" w:rsidP="00047DC5">
      <w:pPr>
        <w:pStyle w:val="TOC2"/>
        <w:tabs>
          <w:tab w:val="right" w:leader="dot" w:pos="9350"/>
        </w:tabs>
      </w:pPr>
      <w:hyperlink w:anchor="_Toc238549759" w:history="1">
        <w:r>
          <w:rPr>
            <w:rStyle w:val="Hyperlink"/>
          </w:rPr>
          <w:t>1.2 Research Problem</w:t>
        </w:r>
        <w:r>
          <w:tab/>
          <w:t>11</w:t>
        </w:r>
      </w:hyperlink>
    </w:p>
    <w:p w14:paraId="51E051D6" w14:textId="77777777" w:rsidR="00047DC5" w:rsidRDefault="00047DC5" w:rsidP="00047DC5">
      <w:pPr>
        <w:pStyle w:val="TOC3"/>
        <w:tabs>
          <w:tab w:val="right" w:leader="dot" w:pos="9350"/>
        </w:tabs>
      </w:pPr>
      <w:hyperlink w:anchor="_Toc238549760" w:history="1">
        <w:r>
          <w:rPr>
            <w:rStyle w:val="Hyperlink"/>
          </w:rPr>
          <w:t>1.2.1 Articulation of the Research Gap</w:t>
        </w:r>
        <w:r>
          <w:tab/>
          <w:t>12</w:t>
        </w:r>
      </w:hyperlink>
    </w:p>
    <w:p w14:paraId="25B068C5" w14:textId="77777777" w:rsidR="00047DC5" w:rsidRDefault="00047DC5" w:rsidP="00047DC5">
      <w:pPr>
        <w:pStyle w:val="TOC2"/>
        <w:tabs>
          <w:tab w:val="right" w:leader="dot" w:pos="9350"/>
        </w:tabs>
      </w:pPr>
      <w:hyperlink w:anchor="_Toc238549761" w:history="1">
        <w:r>
          <w:rPr>
            <w:rStyle w:val="Hyperlink"/>
          </w:rPr>
          <w:t>1.3 Research Aim</w:t>
        </w:r>
        <w:r>
          <w:tab/>
          <w:t>13</w:t>
        </w:r>
      </w:hyperlink>
    </w:p>
    <w:p w14:paraId="7BB001DD" w14:textId="77777777" w:rsidR="00047DC5" w:rsidRDefault="00047DC5" w:rsidP="00047DC5">
      <w:pPr>
        <w:pStyle w:val="TOC2"/>
        <w:tabs>
          <w:tab w:val="right" w:leader="dot" w:pos="9350"/>
        </w:tabs>
      </w:pPr>
      <w:hyperlink w:anchor="_Toc238549762" w:history="1">
        <w:r>
          <w:rPr>
            <w:rStyle w:val="Hyperlink"/>
          </w:rPr>
          <w:t>1.4 Research Objectives</w:t>
        </w:r>
        <w:r>
          <w:tab/>
          <w:t>13</w:t>
        </w:r>
      </w:hyperlink>
    </w:p>
    <w:p w14:paraId="2A44733F" w14:textId="77777777" w:rsidR="00047DC5" w:rsidRDefault="00047DC5" w:rsidP="00047DC5">
      <w:pPr>
        <w:pStyle w:val="TOC2"/>
        <w:tabs>
          <w:tab w:val="right" w:leader="dot" w:pos="9350"/>
        </w:tabs>
      </w:pPr>
      <w:hyperlink w:anchor="_Toc238549763" w:history="1">
        <w:r>
          <w:rPr>
            <w:rStyle w:val="Hyperlink"/>
          </w:rPr>
          <w:t>1.5 Research Questions</w:t>
        </w:r>
        <w:r>
          <w:tab/>
          <w:t>14</w:t>
        </w:r>
      </w:hyperlink>
    </w:p>
    <w:p w14:paraId="1F060A63" w14:textId="77777777" w:rsidR="00047DC5" w:rsidRDefault="00047DC5" w:rsidP="00047DC5">
      <w:pPr>
        <w:pStyle w:val="TOC2"/>
        <w:tabs>
          <w:tab w:val="right" w:leader="dot" w:pos="9350"/>
        </w:tabs>
      </w:pPr>
      <w:hyperlink w:anchor="_Toc238549764" w:history="1">
        <w:r>
          <w:rPr>
            <w:rStyle w:val="Hyperlink"/>
          </w:rPr>
          <w:t>1.6 Significance of the Study</w:t>
        </w:r>
        <w:r>
          <w:tab/>
          <w:t>14</w:t>
        </w:r>
      </w:hyperlink>
    </w:p>
    <w:p w14:paraId="45C92AEB" w14:textId="77777777" w:rsidR="00047DC5" w:rsidRDefault="00047DC5" w:rsidP="00047DC5">
      <w:pPr>
        <w:pStyle w:val="TOC2"/>
        <w:tabs>
          <w:tab w:val="right" w:leader="dot" w:pos="9350"/>
        </w:tabs>
      </w:pPr>
      <w:hyperlink w:anchor="_Toc238549765" w:history="1">
        <w:r>
          <w:rPr>
            <w:rStyle w:val="Hyperlink"/>
          </w:rPr>
          <w:t>1.7 Brief Research Methodology</w:t>
        </w:r>
        <w:r>
          <w:tab/>
          <w:t>15</w:t>
        </w:r>
      </w:hyperlink>
    </w:p>
    <w:p w14:paraId="518040A1" w14:textId="77777777" w:rsidR="00047DC5" w:rsidRDefault="00047DC5" w:rsidP="00047DC5">
      <w:pPr>
        <w:pStyle w:val="TOC2"/>
        <w:tabs>
          <w:tab w:val="right" w:leader="dot" w:pos="9350"/>
        </w:tabs>
      </w:pPr>
      <w:hyperlink w:anchor="_Toc238549766" w:history="1">
        <w:r>
          <w:rPr>
            <w:rStyle w:val="Hyperlink"/>
          </w:rPr>
          <w:t>1.8 Structure of the Dissertation</w:t>
        </w:r>
        <w:r>
          <w:tab/>
          <w:t>15</w:t>
        </w:r>
      </w:hyperlink>
    </w:p>
    <w:p w14:paraId="403C305D" w14:textId="77777777" w:rsidR="00047DC5" w:rsidRDefault="00047DC5" w:rsidP="00047DC5">
      <w:pPr>
        <w:pStyle w:val="TOC1"/>
        <w:tabs>
          <w:tab w:val="right" w:leader="dot" w:pos="9350"/>
        </w:tabs>
      </w:pPr>
      <w:hyperlink w:anchor="_Toc238549767" w:history="1">
        <w:r>
          <w:rPr>
            <w:rStyle w:val="Hyperlink"/>
          </w:rPr>
          <w:t>Chapter 2: Literature Review</w:t>
        </w:r>
        <w:r>
          <w:tab/>
          <w:t>17</w:t>
        </w:r>
      </w:hyperlink>
    </w:p>
    <w:p w14:paraId="60182B63" w14:textId="77777777" w:rsidR="00047DC5" w:rsidRDefault="00047DC5" w:rsidP="00047DC5">
      <w:pPr>
        <w:pStyle w:val="TOC2"/>
        <w:tabs>
          <w:tab w:val="right" w:leader="dot" w:pos="9350"/>
        </w:tabs>
      </w:pPr>
      <w:hyperlink w:anchor="_Toc238549768" w:history="1">
        <w:r>
          <w:rPr>
            <w:rStyle w:val="Hyperlink"/>
          </w:rPr>
          <w:t>2.1 Introduction</w:t>
        </w:r>
        <w:r>
          <w:tab/>
          <w:t>17</w:t>
        </w:r>
      </w:hyperlink>
    </w:p>
    <w:p w14:paraId="1A45595F" w14:textId="77777777" w:rsidR="00047DC5" w:rsidRDefault="00047DC5" w:rsidP="00047DC5">
      <w:pPr>
        <w:pStyle w:val="TOC2"/>
        <w:tabs>
          <w:tab w:val="right" w:leader="dot" w:pos="9350"/>
        </w:tabs>
      </w:pPr>
      <w:hyperlink w:anchor="_Toc238549769" w:history="1">
        <w:r>
          <w:rPr>
            <w:rStyle w:val="Hyperlink"/>
          </w:rPr>
          <w:t>2.2 Human Capital Theory</w:t>
        </w:r>
        <w:r>
          <w:tab/>
          <w:t>18</w:t>
        </w:r>
      </w:hyperlink>
    </w:p>
    <w:p w14:paraId="71825445" w14:textId="77777777" w:rsidR="00047DC5" w:rsidRDefault="00047DC5" w:rsidP="00047DC5">
      <w:pPr>
        <w:pStyle w:val="TOC3"/>
        <w:tabs>
          <w:tab w:val="right" w:leader="dot" w:pos="9350"/>
        </w:tabs>
      </w:pPr>
      <w:hyperlink w:anchor="_Toc238549770" w:history="1">
        <w:r>
          <w:rPr>
            <w:rStyle w:val="Hyperlink"/>
          </w:rPr>
          <w:t>2.2.1 Origins and Core Concepts</w:t>
        </w:r>
        <w:r>
          <w:tab/>
          <w:t>18</w:t>
        </w:r>
      </w:hyperlink>
    </w:p>
    <w:p w14:paraId="2FE7D533" w14:textId="77777777" w:rsidR="00047DC5" w:rsidRDefault="00047DC5" w:rsidP="00047DC5">
      <w:pPr>
        <w:pStyle w:val="TOC3"/>
        <w:tabs>
          <w:tab w:val="right" w:leader="dot" w:pos="9350"/>
        </w:tabs>
      </w:pPr>
      <w:hyperlink w:anchor="_Toc238549771" w:history="1">
        <w:r>
          <w:rPr>
            <w:rStyle w:val="Hyperlink"/>
          </w:rPr>
          <w:t>2.2.2 Application to Healthcare Workforce Dynamics</w:t>
        </w:r>
        <w:r>
          <w:tab/>
          <w:t>18</w:t>
        </w:r>
      </w:hyperlink>
    </w:p>
    <w:p w14:paraId="6BEAE25C" w14:textId="77777777" w:rsidR="00047DC5" w:rsidRDefault="00047DC5" w:rsidP="00047DC5">
      <w:pPr>
        <w:pStyle w:val="TOC3"/>
        <w:tabs>
          <w:tab w:val="right" w:leader="dot" w:pos="9350"/>
        </w:tabs>
      </w:pPr>
      <w:hyperlink w:anchor="_Toc238549772" w:history="1">
        <w:r>
          <w:rPr>
            <w:rStyle w:val="Hyperlink"/>
          </w:rPr>
          <w:t>2.2.3 Specific Human Capital in the NHS Context</w:t>
        </w:r>
        <w:r>
          <w:tab/>
          <w:t>19</w:t>
        </w:r>
      </w:hyperlink>
    </w:p>
    <w:p w14:paraId="2CFAE5A6" w14:textId="77777777" w:rsidR="00047DC5" w:rsidRDefault="00047DC5" w:rsidP="00047DC5">
      <w:pPr>
        <w:pStyle w:val="TOC3"/>
        <w:tabs>
          <w:tab w:val="right" w:leader="dot" w:pos="9350"/>
        </w:tabs>
      </w:pPr>
      <w:hyperlink w:anchor="_Toc238549773" w:history="1">
        <w:r>
          <w:rPr>
            <w:rStyle w:val="Hyperlink"/>
          </w:rPr>
          <w:t>2.2.4 Human Capital and Immigration Policy</w:t>
        </w:r>
        <w:r>
          <w:tab/>
          <w:t>20</w:t>
        </w:r>
      </w:hyperlink>
    </w:p>
    <w:p w14:paraId="3048DF75" w14:textId="77777777" w:rsidR="00047DC5" w:rsidRDefault="00047DC5" w:rsidP="00047DC5">
      <w:pPr>
        <w:pStyle w:val="TOC2"/>
        <w:tabs>
          <w:tab w:val="right" w:leader="dot" w:pos="9350"/>
        </w:tabs>
      </w:pPr>
      <w:hyperlink w:anchor="_Toc238549774" w:history="1">
        <w:r>
          <w:rPr>
            <w:rStyle w:val="Hyperlink"/>
          </w:rPr>
          <w:t>2.3 Triple Bottom Line (TBL) Framework</w:t>
        </w:r>
        <w:r>
          <w:tab/>
          <w:t>21</w:t>
        </w:r>
      </w:hyperlink>
    </w:p>
    <w:p w14:paraId="76B15049" w14:textId="77777777" w:rsidR="00047DC5" w:rsidRDefault="00047DC5" w:rsidP="00047DC5">
      <w:pPr>
        <w:pStyle w:val="TOC3"/>
        <w:tabs>
          <w:tab w:val="right" w:leader="dot" w:pos="9350"/>
        </w:tabs>
      </w:pPr>
      <w:hyperlink w:anchor="_Toc238549775" w:history="1">
        <w:r>
          <w:rPr>
            <w:rStyle w:val="Hyperlink"/>
          </w:rPr>
          <w:t>2.3.1 Origins and Conceptual Foundations</w:t>
        </w:r>
        <w:r>
          <w:tab/>
          <w:t>21</w:t>
        </w:r>
      </w:hyperlink>
    </w:p>
    <w:p w14:paraId="0B61F6FC" w14:textId="77777777" w:rsidR="00047DC5" w:rsidRDefault="00047DC5" w:rsidP="00047DC5">
      <w:pPr>
        <w:pStyle w:val="TOC3"/>
        <w:tabs>
          <w:tab w:val="right" w:leader="dot" w:pos="9350"/>
        </w:tabs>
      </w:pPr>
      <w:hyperlink w:anchor="_Toc238549776" w:history="1">
        <w:r>
          <w:rPr>
            <w:rStyle w:val="Hyperlink"/>
          </w:rPr>
          <w:t>2.3.2 Adaptation for Healthcare Workforce Analysis</w:t>
        </w:r>
        <w:r>
          <w:tab/>
          <w:t>21</w:t>
        </w:r>
      </w:hyperlink>
    </w:p>
    <w:p w14:paraId="484CDBC4" w14:textId="77777777" w:rsidR="00047DC5" w:rsidRDefault="00047DC5" w:rsidP="00047DC5">
      <w:pPr>
        <w:pStyle w:val="TOC3"/>
        <w:tabs>
          <w:tab w:val="right" w:leader="dot" w:pos="9350"/>
        </w:tabs>
      </w:pPr>
      <w:hyperlink w:anchor="_Toc238549777" w:history="1">
        <w:r>
          <w:rPr>
            <w:rStyle w:val="Hyperlink"/>
          </w:rPr>
          <w:t>2.3.3 Operationalising TBL for Quantitative Analysis</w:t>
        </w:r>
        <w:r>
          <w:tab/>
          <w:t>22</w:t>
        </w:r>
      </w:hyperlink>
    </w:p>
    <w:p w14:paraId="4797CD36" w14:textId="77777777" w:rsidR="00047DC5" w:rsidRDefault="00047DC5" w:rsidP="00047DC5">
      <w:pPr>
        <w:pStyle w:val="TOC2"/>
        <w:tabs>
          <w:tab w:val="right" w:leader="dot" w:pos="9350"/>
        </w:tabs>
      </w:pPr>
      <w:hyperlink w:anchor="_Toc238549778" w:history="1">
        <w:r>
          <w:rPr>
            <w:rStyle w:val="Hyperlink"/>
          </w:rPr>
          <w:t>2.4 Conservation of Resources (COR) Theory</w:t>
        </w:r>
        <w:r>
          <w:tab/>
          <w:t>23</w:t>
        </w:r>
      </w:hyperlink>
    </w:p>
    <w:p w14:paraId="25A876BF" w14:textId="77777777" w:rsidR="00047DC5" w:rsidRDefault="00047DC5" w:rsidP="00047DC5">
      <w:pPr>
        <w:pStyle w:val="TOC3"/>
        <w:tabs>
          <w:tab w:val="right" w:leader="dot" w:pos="9350"/>
        </w:tabs>
      </w:pPr>
      <w:hyperlink w:anchor="_Toc238549779" w:history="1">
        <w:r>
          <w:rPr>
            <w:rStyle w:val="Hyperlink"/>
          </w:rPr>
          <w:t>2.4.1 Origins and Core Propositions</w:t>
        </w:r>
        <w:r>
          <w:tab/>
          <w:t>23</w:t>
        </w:r>
      </w:hyperlink>
    </w:p>
    <w:p w14:paraId="4AE046F7" w14:textId="77777777" w:rsidR="00047DC5" w:rsidRDefault="00047DC5" w:rsidP="00047DC5">
      <w:pPr>
        <w:pStyle w:val="TOC3"/>
        <w:tabs>
          <w:tab w:val="right" w:leader="dot" w:pos="9350"/>
        </w:tabs>
      </w:pPr>
      <w:hyperlink w:anchor="_Toc238549780" w:history="1">
        <w:r>
          <w:rPr>
            <w:rStyle w:val="Hyperlink"/>
          </w:rPr>
          <w:t>2.4.2 Application to Migrant Worker Experiences</w:t>
        </w:r>
        <w:r>
          <w:tab/>
          <w:t>24</w:t>
        </w:r>
      </w:hyperlink>
    </w:p>
    <w:p w14:paraId="190F59CF" w14:textId="77777777" w:rsidR="00047DC5" w:rsidRDefault="00047DC5" w:rsidP="00047DC5">
      <w:pPr>
        <w:pStyle w:val="TOC3"/>
        <w:tabs>
          <w:tab w:val="right" w:leader="dot" w:pos="9350"/>
        </w:tabs>
      </w:pPr>
      <w:hyperlink w:anchor="_Toc238549781" w:history="1">
        <w:r>
          <w:rPr>
            <w:rStyle w:val="Hyperlink"/>
          </w:rPr>
          <w:t>2.4.3 Empirical Evidence on Resource Threats and Workforce Withdrawal</w:t>
        </w:r>
        <w:r>
          <w:tab/>
          <w:t>24</w:t>
        </w:r>
      </w:hyperlink>
    </w:p>
    <w:p w14:paraId="7CF51923" w14:textId="77777777" w:rsidR="00047DC5" w:rsidRDefault="00047DC5" w:rsidP="00047DC5">
      <w:pPr>
        <w:pStyle w:val="TOC3"/>
        <w:tabs>
          <w:tab w:val="right" w:leader="dot" w:pos="9350"/>
        </w:tabs>
      </w:pPr>
      <w:hyperlink w:anchor="_Toc238549782" w:history="1">
        <w:r>
          <w:rPr>
            <w:rStyle w:val="Hyperlink"/>
          </w:rPr>
          <w:t>2.4.4 The 'Temporariness' Trap</w:t>
        </w:r>
        <w:r>
          <w:tab/>
          <w:t>25</w:t>
        </w:r>
      </w:hyperlink>
    </w:p>
    <w:p w14:paraId="61D243BB" w14:textId="77777777" w:rsidR="00047DC5" w:rsidRDefault="00047DC5" w:rsidP="00047DC5">
      <w:pPr>
        <w:pStyle w:val="TOC2"/>
        <w:tabs>
          <w:tab w:val="right" w:leader="dot" w:pos="9350"/>
        </w:tabs>
      </w:pPr>
      <w:hyperlink w:anchor="_Toc238549783" w:history="1">
        <w:r>
          <w:rPr>
            <w:rStyle w:val="Hyperlink"/>
          </w:rPr>
          <w:t>2.5 Integration of Theories: A Unified Analytical Framework</w:t>
        </w:r>
        <w:r>
          <w:tab/>
          <w:t>25</w:t>
        </w:r>
      </w:hyperlink>
    </w:p>
    <w:p w14:paraId="5A7D4C0D" w14:textId="77777777" w:rsidR="00047DC5" w:rsidRDefault="00047DC5" w:rsidP="00047DC5">
      <w:pPr>
        <w:pStyle w:val="TOC2"/>
        <w:tabs>
          <w:tab w:val="right" w:leader="dot" w:pos="9350"/>
        </w:tabs>
      </w:pPr>
      <w:hyperlink w:anchor="_Toc238549784" w:history="1">
        <w:r>
          <w:rPr>
            <w:rStyle w:val="Hyperlink"/>
          </w:rPr>
          <w:t>2.6 UK Immigration Policy Context (2020–2026)</w:t>
        </w:r>
        <w:r>
          <w:tab/>
          <w:t>27</w:t>
        </w:r>
      </w:hyperlink>
    </w:p>
    <w:p w14:paraId="13DB76E0" w14:textId="77777777" w:rsidR="00047DC5" w:rsidRDefault="00047DC5" w:rsidP="00047DC5">
      <w:pPr>
        <w:pStyle w:val="TOC3"/>
        <w:tabs>
          <w:tab w:val="right" w:leader="dot" w:pos="9350"/>
        </w:tabs>
      </w:pPr>
      <w:hyperlink w:anchor="_Toc238549785" w:history="1">
        <w:r>
          <w:rPr>
            <w:rStyle w:val="Hyperlink"/>
          </w:rPr>
          <w:t>2.6.1 Historical Context and 2024 Turning Point</w:t>
        </w:r>
        <w:r>
          <w:tab/>
          <w:t>27</w:t>
        </w:r>
      </w:hyperlink>
    </w:p>
    <w:p w14:paraId="656C3548" w14:textId="77777777" w:rsidR="00047DC5" w:rsidRDefault="00047DC5" w:rsidP="00047DC5">
      <w:pPr>
        <w:pStyle w:val="TOC3"/>
        <w:tabs>
          <w:tab w:val="right" w:leader="dot" w:pos="9350"/>
        </w:tabs>
      </w:pPr>
      <w:hyperlink w:anchor="_Toc238549786" w:history="1">
        <w:r>
          <w:rPr>
            <w:rStyle w:val="Hyperlink"/>
          </w:rPr>
          <w:t>2.6.2 The July 2025 Reforms and Impact on Migration Flows</w:t>
        </w:r>
        <w:r>
          <w:tab/>
          <w:t>27</w:t>
        </w:r>
      </w:hyperlink>
    </w:p>
    <w:p w14:paraId="0344F70F" w14:textId="77777777" w:rsidR="00047DC5" w:rsidRDefault="00047DC5" w:rsidP="00047DC5">
      <w:pPr>
        <w:pStyle w:val="TOC2"/>
        <w:tabs>
          <w:tab w:val="right" w:leader="dot" w:pos="9350"/>
        </w:tabs>
      </w:pPr>
      <w:hyperlink w:anchor="_Toc238549787" w:history="1">
        <w:r>
          <w:rPr>
            <w:rStyle w:val="Hyperlink"/>
          </w:rPr>
          <w:t>2.7 Migrant Healthcare Support Workers: Role, Challenges, and Sustainability</w:t>
        </w:r>
        <w:r>
          <w:tab/>
          <w:t>28</w:t>
        </w:r>
      </w:hyperlink>
    </w:p>
    <w:p w14:paraId="07C69D25" w14:textId="77777777" w:rsidR="00047DC5" w:rsidRDefault="00047DC5" w:rsidP="00047DC5">
      <w:pPr>
        <w:pStyle w:val="TOC3"/>
        <w:tabs>
          <w:tab w:val="right" w:leader="dot" w:pos="9350"/>
        </w:tabs>
      </w:pPr>
      <w:hyperlink w:anchor="_Toc238549788" w:history="1">
        <w:r>
          <w:rPr>
            <w:rStyle w:val="Hyperlink"/>
          </w:rPr>
          <w:t>2.7.1 The Scale of the Workforce</w:t>
        </w:r>
        <w:r>
          <w:tab/>
          <w:t>28</w:t>
        </w:r>
      </w:hyperlink>
    </w:p>
    <w:p w14:paraId="69874BBD" w14:textId="77777777" w:rsidR="00047DC5" w:rsidRDefault="00047DC5" w:rsidP="00047DC5">
      <w:pPr>
        <w:pStyle w:val="TOC3"/>
        <w:tabs>
          <w:tab w:val="right" w:leader="dot" w:pos="9350"/>
        </w:tabs>
      </w:pPr>
      <w:hyperlink w:anchor="_Toc238549789" w:history="1">
        <w:r>
          <w:rPr>
            <w:rStyle w:val="Hyperlink"/>
          </w:rPr>
          <w:t>2.7.2 Workforce Challenges: Vacancies, Turnover, and Training</w:t>
        </w:r>
        <w:r>
          <w:tab/>
          <w:t>29</w:t>
        </w:r>
      </w:hyperlink>
    </w:p>
    <w:p w14:paraId="06718472" w14:textId="77777777" w:rsidR="00047DC5" w:rsidRDefault="00047DC5" w:rsidP="00047DC5">
      <w:pPr>
        <w:pStyle w:val="TOC3"/>
        <w:tabs>
          <w:tab w:val="right" w:leader="dot" w:pos="9350"/>
        </w:tabs>
      </w:pPr>
      <w:hyperlink w:anchor="_Toc238549790" w:history="1">
        <w:r>
          <w:rPr>
            <w:rStyle w:val="Hyperlink"/>
          </w:rPr>
          <w:t>2.7.3 The Retention Crisis: Evidence from Internationally Educated Nurses</w:t>
        </w:r>
        <w:r>
          <w:tab/>
          <w:t>29</w:t>
        </w:r>
      </w:hyperlink>
    </w:p>
    <w:p w14:paraId="4BF2B818" w14:textId="77777777" w:rsidR="00047DC5" w:rsidRDefault="00047DC5" w:rsidP="00047DC5">
      <w:pPr>
        <w:pStyle w:val="TOC3"/>
        <w:tabs>
          <w:tab w:val="right" w:leader="dot" w:pos="9350"/>
        </w:tabs>
      </w:pPr>
      <w:hyperlink w:anchor="_Toc238549791" w:history="1">
        <w:r>
          <w:rPr>
            <w:rStyle w:val="Hyperlink"/>
          </w:rPr>
          <w:t>2.7.4 The Impact of Immigration Changes on Social Care</w:t>
        </w:r>
        <w:r>
          <w:tab/>
          <w:t>30</w:t>
        </w:r>
      </w:hyperlink>
    </w:p>
    <w:p w14:paraId="398D50C7" w14:textId="77777777" w:rsidR="00047DC5" w:rsidRDefault="00047DC5" w:rsidP="00047DC5">
      <w:pPr>
        <w:pStyle w:val="TOC2"/>
        <w:tabs>
          <w:tab w:val="right" w:leader="dot" w:pos="9350"/>
        </w:tabs>
      </w:pPr>
      <w:hyperlink w:anchor="_Toc238549792" w:history="1">
        <w:r>
          <w:rPr>
            <w:rStyle w:val="Hyperlink"/>
          </w:rPr>
          <w:t>2.8 HR Strategies for Workforce Sustainability</w:t>
        </w:r>
        <w:r>
          <w:tab/>
          <w:t>31</w:t>
        </w:r>
      </w:hyperlink>
    </w:p>
    <w:p w14:paraId="7D60B6E2" w14:textId="77777777" w:rsidR="00047DC5" w:rsidRDefault="00047DC5" w:rsidP="00047DC5">
      <w:pPr>
        <w:pStyle w:val="TOC3"/>
        <w:tabs>
          <w:tab w:val="right" w:leader="dot" w:pos="9350"/>
        </w:tabs>
      </w:pPr>
      <w:hyperlink w:anchor="_Toc238549793" w:history="1">
        <w:r>
          <w:rPr>
            <w:rStyle w:val="Hyperlink"/>
          </w:rPr>
          <w:t>2.8.1 Retention Strategies for Migrant Healthcare Workers</w:t>
        </w:r>
        <w:r>
          <w:tab/>
          <w:t>31</w:t>
        </w:r>
      </w:hyperlink>
    </w:p>
    <w:p w14:paraId="0254FF15" w14:textId="77777777" w:rsidR="00047DC5" w:rsidRDefault="00047DC5" w:rsidP="00047DC5">
      <w:pPr>
        <w:pStyle w:val="TOC3"/>
        <w:tabs>
          <w:tab w:val="right" w:leader="dot" w:pos="9350"/>
        </w:tabs>
      </w:pPr>
      <w:hyperlink w:anchor="_Toc238549794" w:history="1">
        <w:r>
          <w:rPr>
            <w:rStyle w:val="Hyperlink"/>
          </w:rPr>
          <w:t>2.8.2 Domestic Upskilling and Workforce Development</w:t>
        </w:r>
        <w:r>
          <w:tab/>
          <w:t>32</w:t>
        </w:r>
      </w:hyperlink>
    </w:p>
    <w:p w14:paraId="11CA693A" w14:textId="77777777" w:rsidR="00047DC5" w:rsidRDefault="00047DC5" w:rsidP="00047DC5">
      <w:pPr>
        <w:pStyle w:val="TOC3"/>
        <w:tabs>
          <w:tab w:val="right" w:leader="dot" w:pos="9350"/>
        </w:tabs>
      </w:pPr>
      <w:hyperlink w:anchor="_Toc238549795" w:history="1">
        <w:r>
          <w:rPr>
            <w:rStyle w:val="Hyperlink"/>
          </w:rPr>
          <w:t>2.8.3 Organisational Strategies for Workforce Sustainability</w:t>
        </w:r>
        <w:r>
          <w:tab/>
          <w:t>33</w:t>
        </w:r>
      </w:hyperlink>
    </w:p>
    <w:p w14:paraId="1D338A13" w14:textId="77777777" w:rsidR="00047DC5" w:rsidRDefault="00047DC5" w:rsidP="00047DC5">
      <w:pPr>
        <w:pStyle w:val="TOC3"/>
        <w:tabs>
          <w:tab w:val="right" w:leader="dot" w:pos="9350"/>
        </w:tabs>
      </w:pPr>
      <w:hyperlink w:anchor="_Toc238549796" w:history="1">
        <w:r>
          <w:rPr>
            <w:rStyle w:val="Hyperlink"/>
          </w:rPr>
          <w:t>2.8.4 Evidence on the Effectiveness of HR Strategies</w:t>
        </w:r>
        <w:r>
          <w:tab/>
          <w:t>33</w:t>
        </w:r>
      </w:hyperlink>
    </w:p>
    <w:p w14:paraId="5D44C7A1" w14:textId="77777777" w:rsidR="00047DC5" w:rsidRDefault="00047DC5" w:rsidP="00047DC5">
      <w:pPr>
        <w:pStyle w:val="TOC2"/>
        <w:tabs>
          <w:tab w:val="right" w:leader="dot" w:pos="9350"/>
        </w:tabs>
      </w:pPr>
      <w:hyperlink w:anchor="_Toc238549797" w:history="1">
        <w:r>
          <w:rPr>
            <w:rStyle w:val="Hyperlink"/>
          </w:rPr>
          <w:t>2.9 Research Gaps and Conceptual Framework</w:t>
        </w:r>
        <w:r>
          <w:tab/>
          <w:t>34</w:t>
        </w:r>
      </w:hyperlink>
    </w:p>
    <w:p w14:paraId="32AB4554" w14:textId="77777777" w:rsidR="00047DC5" w:rsidRDefault="00047DC5" w:rsidP="00047DC5">
      <w:pPr>
        <w:pStyle w:val="TOC3"/>
        <w:tabs>
          <w:tab w:val="right" w:leader="dot" w:pos="9350"/>
        </w:tabs>
      </w:pPr>
      <w:hyperlink w:anchor="_Toc238549798" w:history="1">
        <w:r>
          <w:rPr>
            <w:rStyle w:val="Hyperlink"/>
          </w:rPr>
          <w:t>2.9.1 Identification of Research Gaps</w:t>
        </w:r>
        <w:r>
          <w:tab/>
          <w:t>34</w:t>
        </w:r>
      </w:hyperlink>
    </w:p>
    <w:p w14:paraId="6F8F792F" w14:textId="77777777" w:rsidR="00047DC5" w:rsidRDefault="00047DC5" w:rsidP="00047DC5">
      <w:pPr>
        <w:pStyle w:val="TOC3"/>
        <w:tabs>
          <w:tab w:val="right" w:leader="dot" w:pos="9350"/>
        </w:tabs>
      </w:pPr>
      <w:hyperlink w:anchor="_Toc238549799" w:history="1">
        <w:r>
          <w:rPr>
            <w:rStyle w:val="Hyperlink"/>
          </w:rPr>
          <w:t>2.9.2 Contribution to Knowledge: Addressing the Research Gaps</w:t>
        </w:r>
        <w:r>
          <w:tab/>
          <w:t>34</w:t>
        </w:r>
      </w:hyperlink>
    </w:p>
    <w:p w14:paraId="6E28FFD3" w14:textId="77777777" w:rsidR="00047DC5" w:rsidRDefault="00047DC5" w:rsidP="00047DC5">
      <w:pPr>
        <w:pStyle w:val="TOC3"/>
        <w:tabs>
          <w:tab w:val="right" w:leader="dot" w:pos="9350"/>
        </w:tabs>
      </w:pPr>
      <w:hyperlink w:anchor="_Toc238549800" w:history="1">
        <w:r>
          <w:rPr>
            <w:rStyle w:val="Hyperlink"/>
          </w:rPr>
          <w:t>2.9.3 Conceptual Framework</w:t>
        </w:r>
        <w:r>
          <w:tab/>
          <w:t>37</w:t>
        </w:r>
      </w:hyperlink>
    </w:p>
    <w:p w14:paraId="35EB3651" w14:textId="77777777" w:rsidR="00047DC5" w:rsidRDefault="00047DC5" w:rsidP="00047DC5">
      <w:pPr>
        <w:pStyle w:val="TOC2"/>
        <w:tabs>
          <w:tab w:val="right" w:leader="dot" w:pos="9350"/>
        </w:tabs>
      </w:pPr>
      <w:hyperlink w:anchor="_Toc238549801" w:history="1">
        <w:r>
          <w:rPr>
            <w:rStyle w:val="Hyperlink"/>
          </w:rPr>
          <w:t>2.10 Chapter Summary</w:t>
        </w:r>
        <w:r>
          <w:tab/>
          <w:t>39</w:t>
        </w:r>
      </w:hyperlink>
    </w:p>
    <w:p w14:paraId="1B8F9439" w14:textId="77777777" w:rsidR="00047DC5" w:rsidRDefault="00047DC5" w:rsidP="00047DC5">
      <w:pPr>
        <w:pStyle w:val="TOC1"/>
        <w:tabs>
          <w:tab w:val="right" w:leader="dot" w:pos="9350"/>
        </w:tabs>
      </w:pPr>
      <w:hyperlink w:anchor="_Toc238549802" w:history="1">
        <w:r>
          <w:rPr>
            <w:rStyle w:val="Hyperlink"/>
          </w:rPr>
          <w:t>Chapter 3: Research Methodology</w:t>
        </w:r>
        <w:r>
          <w:tab/>
          <w:t>41</w:t>
        </w:r>
      </w:hyperlink>
    </w:p>
    <w:p w14:paraId="6E361D87" w14:textId="77777777" w:rsidR="00047DC5" w:rsidRDefault="00047DC5" w:rsidP="00047DC5">
      <w:pPr>
        <w:pStyle w:val="TOC2"/>
        <w:tabs>
          <w:tab w:val="right" w:leader="dot" w:pos="9350"/>
        </w:tabs>
      </w:pPr>
      <w:hyperlink w:anchor="_Toc238549803" w:history="1">
        <w:r>
          <w:rPr>
            <w:rStyle w:val="Hyperlink"/>
          </w:rPr>
          <w:t>3.1 Introduction</w:t>
        </w:r>
        <w:r>
          <w:tab/>
          <w:t>41</w:t>
        </w:r>
      </w:hyperlink>
    </w:p>
    <w:p w14:paraId="2D17C78B" w14:textId="77777777" w:rsidR="00047DC5" w:rsidRDefault="00047DC5" w:rsidP="00047DC5">
      <w:pPr>
        <w:pStyle w:val="TOC2"/>
        <w:tabs>
          <w:tab w:val="right" w:leader="dot" w:pos="9350"/>
        </w:tabs>
      </w:pPr>
      <w:hyperlink w:anchor="_Toc238549804" w:history="1">
        <w:r>
          <w:rPr>
            <w:rStyle w:val="Hyperlink"/>
          </w:rPr>
          <w:t>3.2 Research Philosophy</w:t>
        </w:r>
        <w:r>
          <w:tab/>
          <w:t>41</w:t>
        </w:r>
      </w:hyperlink>
    </w:p>
    <w:p w14:paraId="044EF0F2" w14:textId="77777777" w:rsidR="00047DC5" w:rsidRDefault="00047DC5" w:rsidP="00047DC5">
      <w:pPr>
        <w:pStyle w:val="TOC3"/>
        <w:tabs>
          <w:tab w:val="right" w:leader="dot" w:pos="9350"/>
        </w:tabs>
      </w:pPr>
      <w:hyperlink w:anchor="_Toc238549805" w:history="1">
        <w:r>
          <w:rPr>
            <w:rStyle w:val="Hyperlink"/>
          </w:rPr>
          <w:t>3.2.1 Understanding Research Philosophy</w:t>
        </w:r>
        <w:r>
          <w:tab/>
          <w:t>41</w:t>
        </w:r>
      </w:hyperlink>
    </w:p>
    <w:p w14:paraId="637E3866" w14:textId="77777777" w:rsidR="00047DC5" w:rsidRDefault="00047DC5" w:rsidP="00047DC5">
      <w:pPr>
        <w:pStyle w:val="TOC3"/>
        <w:tabs>
          <w:tab w:val="right" w:leader="dot" w:pos="9350"/>
        </w:tabs>
      </w:pPr>
      <w:hyperlink w:anchor="_Toc238549806" w:history="1">
        <w:r>
          <w:rPr>
            <w:rStyle w:val="Hyperlink"/>
          </w:rPr>
          <w:t>3.2.2 Positivism</w:t>
        </w:r>
        <w:r>
          <w:tab/>
          <w:t>42</w:t>
        </w:r>
      </w:hyperlink>
    </w:p>
    <w:p w14:paraId="7C467BA4" w14:textId="77777777" w:rsidR="00047DC5" w:rsidRDefault="00047DC5" w:rsidP="00047DC5">
      <w:pPr>
        <w:pStyle w:val="TOC3"/>
        <w:tabs>
          <w:tab w:val="right" w:leader="dot" w:pos="9350"/>
        </w:tabs>
      </w:pPr>
      <w:hyperlink w:anchor="_Toc238549807" w:history="1">
        <w:r>
          <w:rPr>
            <w:rStyle w:val="Hyperlink"/>
          </w:rPr>
          <w:t>3.2.3 Justification: Why Positivism Over Other Philosophies?</w:t>
        </w:r>
        <w:r>
          <w:tab/>
          <w:t>43</w:t>
        </w:r>
      </w:hyperlink>
    </w:p>
    <w:p w14:paraId="37023392" w14:textId="77777777" w:rsidR="00047DC5" w:rsidRDefault="00047DC5" w:rsidP="00047DC5">
      <w:pPr>
        <w:pStyle w:val="TOC2"/>
        <w:tabs>
          <w:tab w:val="right" w:leader="dot" w:pos="9350"/>
        </w:tabs>
      </w:pPr>
      <w:hyperlink w:anchor="_Toc238549808" w:history="1">
        <w:r>
          <w:rPr>
            <w:rStyle w:val="Hyperlink"/>
          </w:rPr>
          <w:t>3.3 Research Design</w:t>
        </w:r>
        <w:r>
          <w:tab/>
          <w:t>44</w:t>
        </w:r>
      </w:hyperlink>
    </w:p>
    <w:p w14:paraId="6A813E94" w14:textId="77777777" w:rsidR="00047DC5" w:rsidRDefault="00047DC5" w:rsidP="00047DC5">
      <w:pPr>
        <w:pStyle w:val="TOC3"/>
        <w:tabs>
          <w:tab w:val="right" w:leader="dot" w:pos="9350"/>
        </w:tabs>
      </w:pPr>
      <w:hyperlink w:anchor="_Toc238549809" w:history="1">
        <w:r>
          <w:rPr>
            <w:rStyle w:val="Hyperlink"/>
          </w:rPr>
          <w:t>3.3.1 Overview of Research Design</w:t>
        </w:r>
        <w:r>
          <w:tab/>
          <w:t>44</w:t>
        </w:r>
      </w:hyperlink>
    </w:p>
    <w:p w14:paraId="7B4AAC19" w14:textId="77777777" w:rsidR="00047DC5" w:rsidRDefault="00047DC5" w:rsidP="00047DC5">
      <w:pPr>
        <w:pStyle w:val="TOC3"/>
        <w:tabs>
          <w:tab w:val="right" w:leader="dot" w:pos="9350"/>
        </w:tabs>
      </w:pPr>
      <w:hyperlink w:anchor="_Toc238549810" w:history="1">
        <w:r>
          <w:rPr>
            <w:rStyle w:val="Hyperlink"/>
          </w:rPr>
          <w:t>3.3.2 Justification for Secondary Quantitative Design</w:t>
        </w:r>
        <w:r>
          <w:tab/>
          <w:t>45</w:t>
        </w:r>
      </w:hyperlink>
    </w:p>
    <w:p w14:paraId="7AB93057" w14:textId="77777777" w:rsidR="00047DC5" w:rsidRDefault="00047DC5" w:rsidP="00047DC5">
      <w:pPr>
        <w:pStyle w:val="TOC3"/>
        <w:tabs>
          <w:tab w:val="right" w:leader="dot" w:pos="9350"/>
        </w:tabs>
      </w:pPr>
      <w:hyperlink w:anchor="_Toc238549811" w:history="1">
        <w:r>
          <w:rPr>
            <w:rStyle w:val="Hyperlink"/>
          </w:rPr>
          <w:t>3.3.3 Justification for Documentary Research Techniques</w:t>
        </w:r>
        <w:r>
          <w:tab/>
          <w:t>46</w:t>
        </w:r>
      </w:hyperlink>
    </w:p>
    <w:p w14:paraId="2D808426" w14:textId="77777777" w:rsidR="00047DC5" w:rsidRDefault="00047DC5" w:rsidP="00047DC5">
      <w:pPr>
        <w:pStyle w:val="TOC2"/>
        <w:tabs>
          <w:tab w:val="right" w:leader="dot" w:pos="9350"/>
        </w:tabs>
      </w:pPr>
      <w:hyperlink w:anchor="_Toc238549812" w:history="1">
        <w:r>
          <w:rPr>
            <w:rStyle w:val="Hyperlink"/>
          </w:rPr>
          <w:t>3.4 Research Approach</w:t>
        </w:r>
        <w:r>
          <w:tab/>
          <w:t>47</w:t>
        </w:r>
      </w:hyperlink>
    </w:p>
    <w:p w14:paraId="365A7A1A" w14:textId="77777777" w:rsidR="00047DC5" w:rsidRDefault="00047DC5" w:rsidP="00047DC5">
      <w:pPr>
        <w:pStyle w:val="TOC3"/>
        <w:tabs>
          <w:tab w:val="right" w:leader="dot" w:pos="9350"/>
        </w:tabs>
      </w:pPr>
      <w:hyperlink w:anchor="_Toc238549813" w:history="1">
        <w:r>
          <w:rPr>
            <w:rStyle w:val="Hyperlink"/>
          </w:rPr>
          <w:t>3.4.1 Overview of Research Approach</w:t>
        </w:r>
        <w:r>
          <w:tab/>
          <w:t>47</w:t>
        </w:r>
      </w:hyperlink>
    </w:p>
    <w:p w14:paraId="480AF82F" w14:textId="77777777" w:rsidR="00047DC5" w:rsidRDefault="00047DC5" w:rsidP="00047DC5">
      <w:pPr>
        <w:pStyle w:val="TOC3"/>
        <w:tabs>
          <w:tab w:val="right" w:leader="dot" w:pos="9350"/>
        </w:tabs>
      </w:pPr>
      <w:hyperlink w:anchor="_Toc238549814" w:history="1">
        <w:r>
          <w:rPr>
            <w:rStyle w:val="Hyperlink"/>
          </w:rPr>
          <w:t>3.4.2 Justification for Deductive, Quantitative Approach</w:t>
        </w:r>
        <w:r>
          <w:tab/>
          <w:t>47</w:t>
        </w:r>
      </w:hyperlink>
    </w:p>
    <w:p w14:paraId="67DFFA83" w14:textId="77777777" w:rsidR="00047DC5" w:rsidRDefault="00047DC5" w:rsidP="00047DC5">
      <w:pPr>
        <w:pStyle w:val="TOC3"/>
        <w:tabs>
          <w:tab w:val="right" w:leader="dot" w:pos="9350"/>
        </w:tabs>
      </w:pPr>
      <w:hyperlink w:anchor="_Toc238549815" w:history="1">
        <w:r>
          <w:rPr>
            <w:rStyle w:val="Hyperlink"/>
          </w:rPr>
          <w:t>3.4.3 Why Not an Inductive, Qualitative Approach?</w:t>
        </w:r>
        <w:r>
          <w:tab/>
          <w:t>48</w:t>
        </w:r>
      </w:hyperlink>
    </w:p>
    <w:p w14:paraId="169A72D2" w14:textId="77777777" w:rsidR="00047DC5" w:rsidRDefault="00047DC5" w:rsidP="00047DC5">
      <w:pPr>
        <w:pStyle w:val="TOC2"/>
        <w:tabs>
          <w:tab w:val="right" w:leader="dot" w:pos="9350"/>
        </w:tabs>
      </w:pPr>
      <w:hyperlink w:anchor="_Toc238549816" w:history="1">
        <w:r>
          <w:rPr>
            <w:rStyle w:val="Hyperlink"/>
          </w:rPr>
          <w:t>3.5 Data Collection</w:t>
        </w:r>
        <w:r>
          <w:tab/>
          <w:t>48</w:t>
        </w:r>
      </w:hyperlink>
    </w:p>
    <w:p w14:paraId="3E33A619" w14:textId="77777777" w:rsidR="00047DC5" w:rsidRDefault="00047DC5" w:rsidP="00047DC5">
      <w:pPr>
        <w:pStyle w:val="TOC3"/>
        <w:tabs>
          <w:tab w:val="right" w:leader="dot" w:pos="9350"/>
        </w:tabs>
      </w:pPr>
      <w:hyperlink w:anchor="_Toc238549817" w:history="1">
        <w:r>
          <w:rPr>
            <w:rStyle w:val="Hyperlink"/>
          </w:rPr>
          <w:t>3.5.1 Sources of Secondary Data</w:t>
        </w:r>
        <w:r>
          <w:tab/>
          <w:t>48</w:t>
        </w:r>
      </w:hyperlink>
    </w:p>
    <w:p w14:paraId="5E77F5AE" w14:textId="77777777" w:rsidR="00047DC5" w:rsidRDefault="00047DC5" w:rsidP="00047DC5">
      <w:pPr>
        <w:pStyle w:val="TOC3"/>
        <w:tabs>
          <w:tab w:val="right" w:leader="dot" w:pos="9350"/>
        </w:tabs>
      </w:pPr>
      <w:hyperlink w:anchor="_Toc238549818" w:history="1">
        <w:r>
          <w:rPr>
            <w:rStyle w:val="Hyperlink"/>
          </w:rPr>
          <w:t>3.5.2 Justification for Data Source Selection</w:t>
        </w:r>
        <w:r>
          <w:tab/>
          <w:t>50</w:t>
        </w:r>
      </w:hyperlink>
    </w:p>
    <w:p w14:paraId="3B1903EE" w14:textId="77777777" w:rsidR="00047DC5" w:rsidRDefault="00047DC5" w:rsidP="00047DC5">
      <w:pPr>
        <w:pStyle w:val="TOC2"/>
        <w:tabs>
          <w:tab w:val="right" w:leader="dot" w:pos="9350"/>
        </w:tabs>
      </w:pPr>
      <w:hyperlink w:anchor="_Toc238549819" w:history="1">
        <w:r>
          <w:rPr>
            <w:rStyle w:val="Hyperlink"/>
          </w:rPr>
          <w:t>3.6 Data Analysis</w:t>
        </w:r>
        <w:r>
          <w:tab/>
          <w:t>51</w:t>
        </w:r>
      </w:hyperlink>
    </w:p>
    <w:p w14:paraId="49B894A2" w14:textId="77777777" w:rsidR="00047DC5" w:rsidRDefault="00047DC5" w:rsidP="00047DC5">
      <w:pPr>
        <w:pStyle w:val="TOC3"/>
        <w:tabs>
          <w:tab w:val="right" w:leader="dot" w:pos="9350"/>
        </w:tabs>
      </w:pPr>
      <w:hyperlink w:anchor="_Toc238549820" w:history="1">
        <w:r>
          <w:rPr>
            <w:rStyle w:val="Hyperlink"/>
          </w:rPr>
          <w:t>3.6.1 Overview of Analytical Approach</w:t>
        </w:r>
        <w:r>
          <w:tab/>
          <w:t>51</w:t>
        </w:r>
      </w:hyperlink>
    </w:p>
    <w:p w14:paraId="492AD627" w14:textId="77777777" w:rsidR="00047DC5" w:rsidRDefault="00047DC5" w:rsidP="00047DC5">
      <w:pPr>
        <w:pStyle w:val="TOC3"/>
        <w:tabs>
          <w:tab w:val="right" w:leader="dot" w:pos="9350"/>
        </w:tabs>
      </w:pPr>
      <w:hyperlink w:anchor="_Toc238549821" w:history="1">
        <w:r>
          <w:rPr>
            <w:rStyle w:val="Hyperlink"/>
          </w:rPr>
          <w:t>3.6.2 Descriptive Statistics</w:t>
        </w:r>
        <w:r>
          <w:tab/>
          <w:t>51</w:t>
        </w:r>
      </w:hyperlink>
    </w:p>
    <w:p w14:paraId="0B668511" w14:textId="77777777" w:rsidR="00047DC5" w:rsidRDefault="00047DC5" w:rsidP="00047DC5">
      <w:pPr>
        <w:pStyle w:val="TOC3"/>
        <w:tabs>
          <w:tab w:val="right" w:leader="dot" w:pos="9350"/>
        </w:tabs>
      </w:pPr>
      <w:hyperlink w:anchor="_Toc238549822" w:history="1">
        <w:r>
          <w:rPr>
            <w:rStyle w:val="Hyperlink"/>
          </w:rPr>
          <w:t>3.6.3 Inferential Statistics (Multiple Regression)</w:t>
        </w:r>
        <w:r>
          <w:tab/>
          <w:t>51</w:t>
        </w:r>
      </w:hyperlink>
    </w:p>
    <w:p w14:paraId="770B8A0E" w14:textId="77777777" w:rsidR="00047DC5" w:rsidRDefault="00047DC5" w:rsidP="00047DC5">
      <w:pPr>
        <w:pStyle w:val="TOC3"/>
        <w:tabs>
          <w:tab w:val="right" w:leader="dot" w:pos="9350"/>
        </w:tabs>
      </w:pPr>
      <w:hyperlink w:anchor="_Toc238549823" w:history="1">
        <w:r>
          <w:rPr>
            <w:rStyle w:val="Hyperlink"/>
          </w:rPr>
          <w:t>3.6.4 Document Analysis</w:t>
        </w:r>
        <w:r>
          <w:tab/>
          <w:t>54</w:t>
        </w:r>
      </w:hyperlink>
    </w:p>
    <w:p w14:paraId="10BC33B9" w14:textId="77777777" w:rsidR="00047DC5" w:rsidRDefault="00047DC5" w:rsidP="00047DC5">
      <w:pPr>
        <w:pStyle w:val="TOC2"/>
        <w:tabs>
          <w:tab w:val="right" w:leader="dot" w:pos="9350"/>
        </w:tabs>
      </w:pPr>
      <w:hyperlink w:anchor="_Toc238549824" w:history="1">
        <w:r>
          <w:rPr>
            <w:rStyle w:val="Hyperlink"/>
          </w:rPr>
          <w:t>3.7 Ethical Considerations</w:t>
        </w:r>
        <w:r>
          <w:tab/>
          <w:t>54</w:t>
        </w:r>
      </w:hyperlink>
    </w:p>
    <w:p w14:paraId="1F1904C5" w14:textId="77777777" w:rsidR="00047DC5" w:rsidRDefault="00047DC5" w:rsidP="00047DC5">
      <w:pPr>
        <w:pStyle w:val="TOC3"/>
        <w:tabs>
          <w:tab w:val="right" w:leader="dot" w:pos="9350"/>
        </w:tabs>
      </w:pPr>
      <w:hyperlink w:anchor="_Toc238549825" w:history="1">
        <w:r>
          <w:rPr>
            <w:rStyle w:val="Hyperlink"/>
          </w:rPr>
          <w:t>3.7.1 Ethical Principles</w:t>
        </w:r>
        <w:r>
          <w:tab/>
          <w:t>54</w:t>
        </w:r>
      </w:hyperlink>
    </w:p>
    <w:p w14:paraId="1DD8B4C3" w14:textId="77777777" w:rsidR="00047DC5" w:rsidRDefault="00047DC5" w:rsidP="00047DC5">
      <w:pPr>
        <w:pStyle w:val="TOC3"/>
        <w:tabs>
          <w:tab w:val="right" w:leader="dot" w:pos="9350"/>
        </w:tabs>
      </w:pPr>
      <w:hyperlink w:anchor="_Toc238549826" w:history="1">
        <w:r>
          <w:rPr>
            <w:rStyle w:val="Hyperlink"/>
          </w:rPr>
          <w:t>3.7.2 Institutional Approval</w:t>
        </w:r>
        <w:r>
          <w:tab/>
          <w:t>55</w:t>
        </w:r>
      </w:hyperlink>
    </w:p>
    <w:p w14:paraId="1D9B635A" w14:textId="77777777" w:rsidR="00047DC5" w:rsidRDefault="00047DC5" w:rsidP="00047DC5">
      <w:pPr>
        <w:pStyle w:val="TOC3"/>
        <w:tabs>
          <w:tab w:val="right" w:leader="dot" w:pos="9350"/>
        </w:tabs>
      </w:pPr>
      <w:hyperlink w:anchor="_Toc238549827" w:history="1">
        <w:r>
          <w:rPr>
            <w:rStyle w:val="Hyperlink"/>
          </w:rPr>
          <w:t>3.8 Limitations and Mitigations</w:t>
        </w:r>
        <w:r>
          <w:tab/>
          <w:t>55</w:t>
        </w:r>
      </w:hyperlink>
    </w:p>
    <w:p w14:paraId="6D3F243F" w14:textId="77777777" w:rsidR="00047DC5" w:rsidRDefault="00047DC5" w:rsidP="00047DC5">
      <w:pPr>
        <w:pStyle w:val="TOC3"/>
        <w:tabs>
          <w:tab w:val="right" w:leader="dot" w:pos="9350"/>
        </w:tabs>
      </w:pPr>
      <w:hyperlink w:anchor="_Toc238549828" w:history="1">
        <w:r>
          <w:rPr>
            <w:rStyle w:val="Hyperlink"/>
          </w:rPr>
          <w:t>3.9 Chapter Summary</w:t>
        </w:r>
        <w:r>
          <w:tab/>
          <w:t>56</w:t>
        </w:r>
      </w:hyperlink>
    </w:p>
    <w:p w14:paraId="2A5E79B4" w14:textId="77777777" w:rsidR="00047DC5" w:rsidRDefault="00047DC5" w:rsidP="00047DC5">
      <w:pPr>
        <w:pStyle w:val="TOC1"/>
        <w:tabs>
          <w:tab w:val="right" w:leader="dot" w:pos="9350"/>
        </w:tabs>
      </w:pPr>
      <w:hyperlink w:anchor="_Toc238549829" w:history="1">
        <w:r>
          <w:rPr>
            <w:rStyle w:val="Hyperlink"/>
          </w:rPr>
          <w:t>Chapter 4: Findings / Results, Analysis and Discussion</w:t>
        </w:r>
        <w:r>
          <w:tab/>
          <w:t>58</w:t>
        </w:r>
      </w:hyperlink>
    </w:p>
    <w:p w14:paraId="056FA8C3" w14:textId="77777777" w:rsidR="00047DC5" w:rsidRDefault="00047DC5" w:rsidP="00047DC5">
      <w:pPr>
        <w:pStyle w:val="TOC2"/>
        <w:tabs>
          <w:tab w:val="right" w:leader="dot" w:pos="9350"/>
        </w:tabs>
      </w:pPr>
      <w:hyperlink w:anchor="_Toc238549830" w:history="1">
        <w:r>
          <w:rPr>
            <w:rStyle w:val="Hyperlink"/>
          </w:rPr>
          <w:t>4.1 Introduction</w:t>
        </w:r>
        <w:r>
          <w:tab/>
          <w:t>58</w:t>
        </w:r>
      </w:hyperlink>
    </w:p>
    <w:p w14:paraId="27AA076D" w14:textId="77777777" w:rsidR="00047DC5" w:rsidRDefault="00047DC5" w:rsidP="00047DC5">
      <w:pPr>
        <w:pStyle w:val="TOC2"/>
        <w:tabs>
          <w:tab w:val="right" w:leader="dot" w:pos="9350"/>
        </w:tabs>
      </w:pPr>
      <w:hyperlink w:anchor="_Toc238549831" w:history="1">
        <w:r>
          <w:rPr>
            <w:rStyle w:val="Hyperlink"/>
          </w:rPr>
          <w:t>4.2 Presentation of Findings</w:t>
        </w:r>
        <w:r>
          <w:tab/>
          <w:t>58</w:t>
        </w:r>
      </w:hyperlink>
    </w:p>
    <w:p w14:paraId="40EB981F" w14:textId="77777777" w:rsidR="00047DC5" w:rsidRDefault="00047DC5" w:rsidP="00047DC5">
      <w:pPr>
        <w:pStyle w:val="TOC3"/>
        <w:tabs>
          <w:tab w:val="right" w:leader="dot" w:pos="9350"/>
        </w:tabs>
      </w:pPr>
      <w:hyperlink w:anchor="_Toc238549832" w:history="1">
        <w:r>
          <w:rPr>
            <w:rStyle w:val="Hyperlink"/>
          </w:rPr>
          <w:t>4.2.1 Research Question 1: Key Drivers for Policy Changes</w:t>
        </w:r>
        <w:r>
          <w:tab/>
          <w:t>58</w:t>
        </w:r>
      </w:hyperlink>
    </w:p>
    <w:p w14:paraId="2937A798" w14:textId="77777777" w:rsidR="00047DC5" w:rsidRDefault="00047DC5" w:rsidP="00047DC5">
      <w:pPr>
        <w:pStyle w:val="TOC3"/>
        <w:tabs>
          <w:tab w:val="right" w:leader="dot" w:pos="9350"/>
        </w:tabs>
      </w:pPr>
      <w:hyperlink w:anchor="_Toc238549833" w:history="1">
        <w:r>
          <w:rPr>
            <w:rStyle w:val="Hyperlink"/>
          </w:rPr>
          <w:t>4.2.2 Research Question 2: Determinants of Human Capital Sustainability</w:t>
        </w:r>
        <w:r>
          <w:tab/>
          <w:t>59</w:t>
        </w:r>
      </w:hyperlink>
    </w:p>
    <w:p w14:paraId="57252CE3" w14:textId="77777777" w:rsidR="00047DC5" w:rsidRDefault="00047DC5" w:rsidP="00047DC5">
      <w:pPr>
        <w:pStyle w:val="TOC3"/>
        <w:tabs>
          <w:tab w:val="right" w:leader="dot" w:pos="9350"/>
        </w:tabs>
      </w:pPr>
      <w:hyperlink w:anchor="_Toc238549834" w:history="1">
        <w:r>
          <w:rPr>
            <w:rStyle w:val="Hyperlink"/>
          </w:rPr>
          <w:t>4.2.3 Research Question 3: Impact of Immigration Rule Changes on Sustainability</w:t>
        </w:r>
        <w:r>
          <w:tab/>
          <w:t>60</w:t>
        </w:r>
      </w:hyperlink>
    </w:p>
    <w:p w14:paraId="4837E2EC" w14:textId="77777777" w:rsidR="00047DC5" w:rsidRDefault="00047DC5" w:rsidP="00047DC5">
      <w:pPr>
        <w:pStyle w:val="TOC3"/>
        <w:tabs>
          <w:tab w:val="right" w:leader="dot" w:pos="9350"/>
        </w:tabs>
      </w:pPr>
      <w:hyperlink w:anchor="_Toc238549835" w:history="1">
        <w:r>
          <w:rPr>
            <w:rStyle w:val="Hyperlink"/>
          </w:rPr>
          <w:t>4.2.4 Research Question 4: HR Strategies for Workforce Sustainability</w:t>
        </w:r>
        <w:r>
          <w:tab/>
          <w:t>64</w:t>
        </w:r>
      </w:hyperlink>
    </w:p>
    <w:p w14:paraId="23094523" w14:textId="77777777" w:rsidR="00047DC5" w:rsidRDefault="00047DC5" w:rsidP="00047DC5">
      <w:pPr>
        <w:pStyle w:val="TOC2"/>
        <w:tabs>
          <w:tab w:val="right" w:leader="dot" w:pos="9350"/>
        </w:tabs>
      </w:pPr>
      <w:hyperlink w:anchor="_Toc238549836" w:history="1">
        <w:r>
          <w:rPr>
            <w:rStyle w:val="Hyperlink"/>
          </w:rPr>
          <w:t>4.3 Analysis of Results</w:t>
        </w:r>
        <w:r>
          <w:tab/>
          <w:t>66</w:t>
        </w:r>
      </w:hyperlink>
    </w:p>
    <w:p w14:paraId="35AE1B8B" w14:textId="77777777" w:rsidR="00047DC5" w:rsidRDefault="00047DC5" w:rsidP="00047DC5">
      <w:pPr>
        <w:pStyle w:val="TOC3"/>
        <w:tabs>
          <w:tab w:val="right" w:leader="dot" w:pos="9350"/>
        </w:tabs>
      </w:pPr>
      <w:hyperlink w:anchor="_Toc238549837" w:history="1">
        <w:r>
          <w:rPr>
            <w:rStyle w:val="Hyperlink"/>
          </w:rPr>
          <w:t>4.3.1 Statistical Analysis</w:t>
        </w:r>
        <w:r>
          <w:tab/>
          <w:t>66</w:t>
        </w:r>
      </w:hyperlink>
    </w:p>
    <w:p w14:paraId="73637670" w14:textId="77777777" w:rsidR="00047DC5" w:rsidRDefault="00047DC5" w:rsidP="00047DC5">
      <w:pPr>
        <w:pStyle w:val="TOC3"/>
        <w:tabs>
          <w:tab w:val="right" w:leader="dot" w:pos="9350"/>
        </w:tabs>
      </w:pPr>
      <w:hyperlink w:anchor="_Toc238549838" w:history="1">
        <w:r>
          <w:rPr>
            <w:rStyle w:val="Hyperlink"/>
          </w:rPr>
          <w:t>4.3.2 Trend Analysis</w:t>
        </w:r>
        <w:r>
          <w:tab/>
          <w:t>66</w:t>
        </w:r>
      </w:hyperlink>
    </w:p>
    <w:p w14:paraId="49C3A9D0" w14:textId="77777777" w:rsidR="00047DC5" w:rsidRDefault="00047DC5" w:rsidP="00047DC5">
      <w:pPr>
        <w:pStyle w:val="TOC2"/>
        <w:tabs>
          <w:tab w:val="right" w:leader="dot" w:pos="9350"/>
        </w:tabs>
      </w:pPr>
      <w:hyperlink w:anchor="_Toc238549839" w:history="1">
        <w:r>
          <w:rPr>
            <w:rStyle w:val="Hyperlink"/>
          </w:rPr>
          <w:t>4.4 Discussion of Results</w:t>
        </w:r>
        <w:r>
          <w:tab/>
          <w:t>66</w:t>
        </w:r>
      </w:hyperlink>
    </w:p>
    <w:p w14:paraId="7256659A" w14:textId="77777777" w:rsidR="00047DC5" w:rsidRDefault="00047DC5" w:rsidP="00047DC5">
      <w:pPr>
        <w:pStyle w:val="TOC3"/>
        <w:tabs>
          <w:tab w:val="right" w:leader="dot" w:pos="9350"/>
        </w:tabs>
      </w:pPr>
      <w:hyperlink w:anchor="_Toc238549840" w:history="1">
        <w:r>
          <w:rPr>
            <w:rStyle w:val="Hyperlink"/>
          </w:rPr>
          <w:t>4.4.1 Discussion in Relation to Research Questions</w:t>
        </w:r>
        <w:r>
          <w:tab/>
          <w:t>66</w:t>
        </w:r>
      </w:hyperlink>
    </w:p>
    <w:p w14:paraId="7784CB5D" w14:textId="77777777" w:rsidR="00047DC5" w:rsidRDefault="00047DC5" w:rsidP="00047DC5">
      <w:pPr>
        <w:pStyle w:val="TOC3"/>
        <w:tabs>
          <w:tab w:val="right" w:leader="dot" w:pos="9350"/>
        </w:tabs>
      </w:pPr>
      <w:hyperlink w:anchor="_Toc238549841" w:history="1">
        <w:r>
          <w:rPr>
            <w:rStyle w:val="Hyperlink"/>
          </w:rPr>
          <w:t>4.4.2 Linking Results Back to Literature</w:t>
        </w:r>
        <w:r>
          <w:tab/>
          <w:t>67</w:t>
        </w:r>
      </w:hyperlink>
    </w:p>
    <w:p w14:paraId="3C7AA9E5" w14:textId="77777777" w:rsidR="00047DC5" w:rsidRDefault="00047DC5" w:rsidP="00047DC5">
      <w:pPr>
        <w:pStyle w:val="TOC1"/>
        <w:tabs>
          <w:tab w:val="right" w:leader="dot" w:pos="9350"/>
        </w:tabs>
      </w:pPr>
      <w:hyperlink w:anchor="_Toc238549842" w:history="1">
        <w:r>
          <w:rPr>
            <w:rStyle w:val="Hyperlink"/>
          </w:rPr>
          <w:t>Chapter 5: Conclusions and Recommendations</w:t>
        </w:r>
        <w:r>
          <w:tab/>
          <w:t>69</w:t>
        </w:r>
      </w:hyperlink>
    </w:p>
    <w:p w14:paraId="48D47A73" w14:textId="77777777" w:rsidR="00047DC5" w:rsidRDefault="00047DC5" w:rsidP="00047DC5">
      <w:pPr>
        <w:pStyle w:val="TOC2"/>
        <w:tabs>
          <w:tab w:val="right" w:leader="dot" w:pos="9350"/>
        </w:tabs>
      </w:pPr>
      <w:hyperlink w:anchor="_Toc238549843" w:history="1">
        <w:r>
          <w:rPr>
            <w:rStyle w:val="Hyperlink"/>
          </w:rPr>
          <w:t>5.1 Introduction</w:t>
        </w:r>
        <w:r>
          <w:tab/>
          <w:t>69</w:t>
        </w:r>
      </w:hyperlink>
    </w:p>
    <w:p w14:paraId="1A6A79D4" w14:textId="77777777" w:rsidR="00047DC5" w:rsidRDefault="00047DC5" w:rsidP="00047DC5">
      <w:pPr>
        <w:pStyle w:val="TOC2"/>
        <w:tabs>
          <w:tab w:val="right" w:leader="dot" w:pos="9350"/>
        </w:tabs>
      </w:pPr>
      <w:hyperlink w:anchor="_Toc238549844" w:history="1">
        <w:r>
          <w:rPr>
            <w:rStyle w:val="Hyperlink"/>
          </w:rPr>
          <w:t>5.2 Summary of Main Findings</w:t>
        </w:r>
        <w:r>
          <w:tab/>
          <w:t>69</w:t>
        </w:r>
      </w:hyperlink>
    </w:p>
    <w:p w14:paraId="01D06AA6" w14:textId="77777777" w:rsidR="00047DC5" w:rsidRDefault="00047DC5" w:rsidP="00047DC5">
      <w:pPr>
        <w:pStyle w:val="TOC2"/>
        <w:tabs>
          <w:tab w:val="right" w:leader="dot" w:pos="9350"/>
        </w:tabs>
      </w:pPr>
      <w:hyperlink w:anchor="_Toc238549845" w:history="1">
        <w:r>
          <w:rPr>
            <w:rStyle w:val="Hyperlink"/>
          </w:rPr>
          <w:t>5.3 Conclusion Based on the Research Questions</w:t>
        </w:r>
        <w:r>
          <w:tab/>
          <w:t>70</w:t>
        </w:r>
      </w:hyperlink>
    </w:p>
    <w:p w14:paraId="3398115C" w14:textId="77777777" w:rsidR="00047DC5" w:rsidRDefault="00047DC5" w:rsidP="00047DC5">
      <w:pPr>
        <w:pStyle w:val="TOC2"/>
        <w:tabs>
          <w:tab w:val="right" w:leader="dot" w:pos="9350"/>
        </w:tabs>
      </w:pPr>
      <w:hyperlink w:anchor="_Toc238549846" w:history="1">
        <w:r>
          <w:rPr>
            <w:rStyle w:val="Hyperlink"/>
          </w:rPr>
          <w:t>5.4 Recommendations</w:t>
        </w:r>
        <w:r>
          <w:tab/>
          <w:t>71</w:t>
        </w:r>
      </w:hyperlink>
    </w:p>
    <w:p w14:paraId="6BDED2F5" w14:textId="77777777" w:rsidR="00047DC5" w:rsidRDefault="00047DC5" w:rsidP="00047DC5">
      <w:pPr>
        <w:pStyle w:val="TOC3"/>
        <w:tabs>
          <w:tab w:val="right" w:leader="dot" w:pos="9350"/>
        </w:tabs>
      </w:pPr>
      <w:hyperlink w:anchor="_Toc238549847" w:history="1">
        <w:r>
          <w:rPr>
            <w:rStyle w:val="Hyperlink"/>
          </w:rPr>
          <w:t>5.4.1 Practical Recommendations</w:t>
        </w:r>
        <w:r>
          <w:tab/>
          <w:t>71</w:t>
        </w:r>
      </w:hyperlink>
    </w:p>
    <w:p w14:paraId="5E4FFE5B" w14:textId="77777777" w:rsidR="00047DC5" w:rsidRDefault="00047DC5" w:rsidP="00047DC5">
      <w:pPr>
        <w:pStyle w:val="TOC3"/>
        <w:tabs>
          <w:tab w:val="right" w:leader="dot" w:pos="9350"/>
        </w:tabs>
      </w:pPr>
      <w:hyperlink w:anchor="_Toc238549848" w:history="1">
        <w:r>
          <w:rPr>
            <w:rStyle w:val="Hyperlink"/>
          </w:rPr>
          <w:t>5.4.2 Theoretical Recommendation</w:t>
        </w:r>
        <w:r>
          <w:tab/>
          <w:t>74</w:t>
        </w:r>
      </w:hyperlink>
    </w:p>
    <w:p w14:paraId="3DDDE4EA" w14:textId="77777777" w:rsidR="00047DC5" w:rsidRDefault="00047DC5" w:rsidP="00047DC5">
      <w:pPr>
        <w:pStyle w:val="TOC3"/>
        <w:tabs>
          <w:tab w:val="right" w:leader="dot" w:pos="9350"/>
        </w:tabs>
      </w:pPr>
      <w:hyperlink w:anchor="_Toc238549849" w:history="1">
        <w:r>
          <w:rPr>
            <w:rStyle w:val="Hyperlink"/>
          </w:rPr>
          <w:t>5.5 Limitations of Research</w:t>
        </w:r>
        <w:r>
          <w:tab/>
          <w:t>75</w:t>
        </w:r>
      </w:hyperlink>
    </w:p>
    <w:p w14:paraId="04A3C884" w14:textId="77777777" w:rsidR="00047DC5" w:rsidRDefault="00047DC5" w:rsidP="00047DC5">
      <w:pPr>
        <w:pStyle w:val="TOC2"/>
        <w:tabs>
          <w:tab w:val="right" w:leader="dot" w:pos="9350"/>
        </w:tabs>
      </w:pPr>
      <w:hyperlink w:anchor="_Toc238549850" w:history="1">
        <w:r>
          <w:rPr>
            <w:rStyle w:val="Hyperlink"/>
          </w:rPr>
          <w:t>5.6 Recommendations for Future Work</w:t>
        </w:r>
        <w:r>
          <w:tab/>
          <w:t>75</w:t>
        </w:r>
      </w:hyperlink>
    </w:p>
    <w:p w14:paraId="1A502BD3" w14:textId="77777777" w:rsidR="00047DC5" w:rsidRDefault="00047DC5" w:rsidP="00047DC5">
      <w:pPr>
        <w:pStyle w:val="TOC2"/>
        <w:tabs>
          <w:tab w:val="right" w:leader="dot" w:pos="9350"/>
        </w:tabs>
      </w:pPr>
      <w:hyperlink w:anchor="_Toc238549851" w:history="1">
        <w:r>
          <w:rPr>
            <w:rStyle w:val="Hyperlink"/>
          </w:rPr>
          <w:t>5.7 Final Reflection</w:t>
        </w:r>
        <w:r>
          <w:tab/>
          <w:t>76</w:t>
        </w:r>
      </w:hyperlink>
    </w:p>
    <w:p w14:paraId="10ADF627" w14:textId="77777777" w:rsidR="00047DC5" w:rsidRDefault="00047DC5" w:rsidP="00047DC5">
      <w:pPr>
        <w:pStyle w:val="TOC1"/>
        <w:tabs>
          <w:tab w:val="right" w:leader="dot" w:pos="9350"/>
        </w:tabs>
      </w:pPr>
      <w:hyperlink w:anchor="_Toc238549852" w:history="1">
        <w:r>
          <w:rPr>
            <w:rStyle w:val="Hyperlink"/>
          </w:rPr>
          <w:t>6. References</w:t>
        </w:r>
        <w:r>
          <w:tab/>
          <w:t>77</w:t>
        </w:r>
      </w:hyperlink>
    </w:p>
    <w:p w14:paraId="7CC8E7FE" w14:textId="77777777" w:rsidR="00047DC5" w:rsidRDefault="00047DC5" w:rsidP="00047DC5">
      <w:pPr>
        <w:pStyle w:val="TOC1"/>
        <w:tabs>
          <w:tab w:val="right" w:leader="dot" w:pos="9350"/>
        </w:tabs>
      </w:pPr>
      <w:hyperlink w:anchor="_Toc238549853" w:history="1">
        <w:r>
          <w:rPr>
            <w:rStyle w:val="Hyperlink"/>
          </w:rPr>
          <w:t>Appendix</w:t>
        </w:r>
        <w:r>
          <w:tab/>
          <w:t>83</w:t>
        </w:r>
      </w:hyperlink>
    </w:p>
    <w:p w14:paraId="4278F375" w14:textId="77777777" w:rsidR="00047DC5" w:rsidRDefault="00047DC5" w:rsidP="00047DC5">
      <w:pPr>
        <w:spacing w:line="360" w:lineRule="auto"/>
        <w:jc w:val="both"/>
      </w:pPr>
      <w:r>
        <w:fldChar w:fldCharType="end"/>
      </w:r>
    </w:p>
    <w:p w14:paraId="3520B6D5" w14:textId="77777777" w:rsidR="00047DC5" w:rsidRDefault="00047DC5" w:rsidP="00047DC5">
      <w:pPr>
        <w:pStyle w:val="TableofFigures"/>
        <w:tabs>
          <w:tab w:val="right" w:leader="dot" w:pos="9350"/>
        </w:tabs>
        <w:rPr>
          <w:rFonts w:ascii="Arial" w:hAnsi="Arial" w:cs="Arial"/>
        </w:rPr>
      </w:pPr>
    </w:p>
    <w:p w14:paraId="4312CF5D" w14:textId="77777777" w:rsidR="00047DC5" w:rsidRDefault="00047DC5" w:rsidP="00047DC5">
      <w:pPr>
        <w:pageBreakBefore/>
        <w:rPr>
          <w:rFonts w:ascii="Aptos Display" w:hAnsi="Aptos Display" w:cs="Arial"/>
          <w:b/>
          <w:bCs/>
          <w:lang w:val="en-GB"/>
        </w:rPr>
      </w:pPr>
    </w:p>
    <w:p w14:paraId="43A9EF49" w14:textId="77777777" w:rsidR="00047DC5" w:rsidRDefault="00047DC5" w:rsidP="00047DC5">
      <w:pPr>
        <w:spacing w:line="360" w:lineRule="auto"/>
        <w:jc w:val="both"/>
      </w:pPr>
      <w:r>
        <w:rPr>
          <w:rFonts w:ascii="Aptos Display" w:hAnsi="Aptos Display" w:cs="Arial"/>
          <w:b/>
          <w:bCs/>
          <w:lang w:val="en-GB"/>
        </w:rPr>
        <w:t xml:space="preserve">Contents of </w:t>
      </w:r>
      <w:r>
        <w:rPr>
          <w:rFonts w:ascii="Aptos Display" w:hAnsi="Aptos Display" w:cs="Arial"/>
          <w:b/>
          <w:bCs/>
        </w:rPr>
        <w:t>Figures</w:t>
      </w:r>
    </w:p>
    <w:p w14:paraId="694DAED1" w14:textId="77777777" w:rsidR="00047DC5" w:rsidRDefault="00047DC5" w:rsidP="00047DC5">
      <w:pPr>
        <w:pStyle w:val="TableofFigures"/>
        <w:tabs>
          <w:tab w:val="right" w:leader="dot" w:pos="9350"/>
        </w:tabs>
      </w:pPr>
      <w:r>
        <w:t>Figure 1</w:t>
      </w:r>
      <w:r>
        <w:tab/>
        <w:t>34</w:t>
      </w:r>
    </w:p>
    <w:p w14:paraId="643865F5" w14:textId="77777777" w:rsidR="00047DC5" w:rsidRDefault="00047DC5" w:rsidP="00047DC5">
      <w:pPr>
        <w:pStyle w:val="TableofFigures"/>
        <w:tabs>
          <w:tab w:val="right" w:leader="dot" w:pos="9350"/>
        </w:tabs>
      </w:pPr>
      <w:r>
        <w:t>Figure 2</w:t>
      </w:r>
      <w:r>
        <w:tab/>
        <w:t>56</w:t>
      </w:r>
    </w:p>
    <w:p w14:paraId="62AC66A2" w14:textId="77777777" w:rsidR="00047DC5" w:rsidRDefault="00047DC5" w:rsidP="00047DC5">
      <w:pPr>
        <w:pStyle w:val="TableofFigures"/>
        <w:tabs>
          <w:tab w:val="right" w:leader="dot" w:pos="9350"/>
        </w:tabs>
      </w:pPr>
      <w:r>
        <w:t>Figure 3</w:t>
      </w:r>
      <w:r>
        <w:tab/>
        <w:t>57</w:t>
      </w:r>
    </w:p>
    <w:p w14:paraId="0AEA2DA5" w14:textId="77777777" w:rsidR="00047DC5" w:rsidRDefault="00047DC5" w:rsidP="00047DC5">
      <w:pPr>
        <w:pStyle w:val="TableofFigures"/>
        <w:tabs>
          <w:tab w:val="right" w:leader="dot" w:pos="9350"/>
        </w:tabs>
      </w:pPr>
      <w:r>
        <w:t>Figure 4</w:t>
      </w:r>
      <w:r>
        <w:tab/>
        <w:t>78</w:t>
      </w:r>
    </w:p>
    <w:p w14:paraId="54E5CFC8" w14:textId="77777777" w:rsidR="00047DC5" w:rsidRDefault="00047DC5" w:rsidP="00047DC5">
      <w:pPr>
        <w:pStyle w:val="TableofFigures"/>
        <w:tabs>
          <w:tab w:val="right" w:leader="dot" w:pos="9350"/>
        </w:tabs>
      </w:pPr>
      <w:r>
        <w:t>Figure 5</w:t>
      </w:r>
      <w:r>
        <w:tab/>
        <w:t>79</w:t>
      </w:r>
    </w:p>
    <w:p w14:paraId="0F611861" w14:textId="77777777" w:rsidR="00047DC5" w:rsidRDefault="00047DC5" w:rsidP="00047DC5">
      <w:pPr>
        <w:pStyle w:val="TableofFigures"/>
        <w:tabs>
          <w:tab w:val="right" w:leader="dot" w:pos="9350"/>
        </w:tabs>
      </w:pPr>
      <w:r>
        <w:t>Figure 6</w:t>
      </w:r>
      <w:r>
        <w:tab/>
        <w:t>81</w:t>
      </w:r>
    </w:p>
    <w:p w14:paraId="1AF10A39" w14:textId="77777777" w:rsidR="00047DC5" w:rsidRDefault="00047DC5" w:rsidP="00047DC5">
      <w:pPr>
        <w:pStyle w:val="TableofFigures"/>
        <w:tabs>
          <w:tab w:val="right" w:leader="dot" w:pos="9350"/>
        </w:tabs>
      </w:pPr>
      <w:r>
        <w:t>Figure 7</w:t>
      </w:r>
      <w:r>
        <w:tab/>
        <w:t>84</w:t>
      </w:r>
    </w:p>
    <w:p w14:paraId="2C21DD0A" w14:textId="77777777" w:rsidR="00047DC5" w:rsidRDefault="00047DC5" w:rsidP="00047DC5"/>
    <w:p w14:paraId="2A29822E" w14:textId="77777777" w:rsidR="00047DC5" w:rsidRDefault="00047DC5" w:rsidP="00047DC5">
      <w:pPr>
        <w:rPr>
          <w:b/>
          <w:bCs/>
          <w:lang w:val="en-GB"/>
        </w:rPr>
      </w:pPr>
      <w:r>
        <w:rPr>
          <w:b/>
          <w:bCs/>
          <w:lang w:val="en-GB"/>
        </w:rPr>
        <w:t>Contents of Tables</w:t>
      </w:r>
    </w:p>
    <w:p w14:paraId="1573E55F" w14:textId="77777777" w:rsidR="00047DC5" w:rsidRDefault="00047DC5" w:rsidP="00047DC5">
      <w:pPr>
        <w:pStyle w:val="TableofFigures"/>
        <w:tabs>
          <w:tab w:val="right" w:leader="dot" w:pos="9350"/>
        </w:tabs>
      </w:pPr>
      <w:hyperlink w:anchor="_Toc238206085" w:history="1">
        <w:r>
          <w:rPr>
            <w:rStyle w:val="Hyperlink"/>
          </w:rPr>
          <w:t>Table 1Integration of Theories.</w:t>
        </w:r>
        <w:r>
          <w:tab/>
          <w:t>23</w:t>
        </w:r>
      </w:hyperlink>
    </w:p>
    <w:p w14:paraId="1A332C01" w14:textId="77777777" w:rsidR="00047DC5" w:rsidRDefault="00047DC5" w:rsidP="00047DC5">
      <w:pPr>
        <w:pStyle w:val="TableofFigures"/>
        <w:tabs>
          <w:tab w:val="right" w:leader="dot" w:pos="9350"/>
        </w:tabs>
      </w:pPr>
      <w:hyperlink w:anchor="_Toc238206086" w:history="1">
        <w:r>
          <w:rPr>
            <w:rStyle w:val="Hyperlink"/>
          </w:rPr>
          <w:t>Table 2 Summary of Contributions.</w:t>
        </w:r>
        <w:r>
          <w:tab/>
          <w:t>34</w:t>
        </w:r>
      </w:hyperlink>
    </w:p>
    <w:p w14:paraId="382BE892" w14:textId="77777777" w:rsidR="00047DC5" w:rsidRDefault="00047DC5" w:rsidP="00047DC5">
      <w:pPr>
        <w:pStyle w:val="TableofFigures"/>
        <w:tabs>
          <w:tab w:val="right" w:leader="dot" w:pos="9350"/>
        </w:tabs>
      </w:pPr>
      <w:hyperlink w:anchor="_Toc238206087" w:history="1">
        <w:r>
          <w:rPr>
            <w:rStyle w:val="Hyperlink"/>
          </w:rPr>
          <w:t>Table 3 Summary of Data Extracted.</w:t>
        </w:r>
        <w:r>
          <w:tab/>
          <w:t>46</w:t>
        </w:r>
      </w:hyperlink>
    </w:p>
    <w:p w14:paraId="07860A73" w14:textId="77777777" w:rsidR="00047DC5" w:rsidRDefault="00047DC5" w:rsidP="00047DC5">
      <w:pPr>
        <w:pStyle w:val="TableofFigures"/>
        <w:tabs>
          <w:tab w:val="right" w:leader="dot" w:pos="9350"/>
        </w:tabs>
      </w:pPr>
      <w:hyperlink w:anchor="_Toc238206088" w:history="1">
        <w:r>
          <w:rPr>
            <w:rStyle w:val="Hyperlink"/>
          </w:rPr>
          <w:t xml:space="preserve">Table 4 The variables were </w:t>
        </w:r>
        <w:proofErr w:type="spellStart"/>
        <w:r>
          <w:rPr>
            <w:rStyle w:val="Hyperlink"/>
          </w:rPr>
          <w:t>operationalised</w:t>
        </w:r>
        <w:proofErr w:type="spellEnd"/>
        <w:r>
          <w:rPr>
            <w:rStyle w:val="Hyperlink"/>
          </w:rPr>
          <w:t xml:space="preserve"> as follows:</w:t>
        </w:r>
        <w:r>
          <w:tab/>
          <w:t>48</w:t>
        </w:r>
      </w:hyperlink>
    </w:p>
    <w:p w14:paraId="3C4B9659" w14:textId="77777777" w:rsidR="00047DC5" w:rsidRDefault="00047DC5" w:rsidP="00047DC5">
      <w:pPr>
        <w:pStyle w:val="TableofFigures"/>
        <w:tabs>
          <w:tab w:val="right" w:leader="dot" w:pos="9350"/>
        </w:tabs>
      </w:pPr>
      <w:hyperlink w:anchor="_Toc238206089" w:history="1">
        <w:r>
          <w:rPr>
            <w:rStyle w:val="Hyperlink"/>
          </w:rPr>
          <w:t>Table 5 Adult Social Care Workforce Indicators</w:t>
        </w:r>
        <w:r>
          <w:tab/>
          <w:t>55</w:t>
        </w:r>
      </w:hyperlink>
    </w:p>
    <w:p w14:paraId="3AD3B37E" w14:textId="77777777" w:rsidR="00047DC5" w:rsidRDefault="00047DC5" w:rsidP="00047DC5">
      <w:pPr>
        <w:pStyle w:val="TableofFigures"/>
        <w:tabs>
          <w:tab w:val="right" w:leader="dot" w:pos="9350"/>
        </w:tabs>
      </w:pPr>
      <w:hyperlink w:anchor="_Toc238206090" w:history="1">
        <w:r>
          <w:rPr>
            <w:rStyle w:val="Hyperlink"/>
          </w:rPr>
          <w:t>Table 6 Health and Care Worker Visa Grants.</w:t>
        </w:r>
        <w:r>
          <w:tab/>
          <w:t>56</w:t>
        </w:r>
      </w:hyperlink>
    </w:p>
    <w:p w14:paraId="6699B679" w14:textId="77777777" w:rsidR="00047DC5" w:rsidRDefault="00047DC5" w:rsidP="00047DC5">
      <w:pPr>
        <w:pStyle w:val="TableofFigures"/>
        <w:tabs>
          <w:tab w:val="right" w:leader="dot" w:pos="9350"/>
        </w:tabs>
      </w:pPr>
      <w:hyperlink w:anchor="_Toc238206091" w:history="1">
        <w:r>
          <w:rPr>
            <w:rStyle w:val="Hyperlink"/>
          </w:rPr>
          <w:t>Table 7 Multiple Regression Results.</w:t>
        </w:r>
        <w:r>
          <w:tab/>
          <w:t>59</w:t>
        </w:r>
      </w:hyperlink>
    </w:p>
    <w:p w14:paraId="31FA27A9" w14:textId="77777777" w:rsidR="00047DC5" w:rsidRDefault="00047DC5" w:rsidP="00047DC5">
      <w:pPr>
        <w:pStyle w:val="TableofFigures"/>
        <w:tabs>
          <w:tab w:val="right" w:leader="dot" w:pos="9350"/>
        </w:tabs>
      </w:pPr>
      <w:hyperlink w:anchor="_Toc238206092" w:history="1">
        <w:r>
          <w:rPr>
            <w:rStyle w:val="Hyperlink"/>
          </w:rPr>
          <w:t>Table 8 Training Instances and Turnover Rates.</w:t>
        </w:r>
        <w:r>
          <w:tab/>
          <w:t>60</w:t>
        </w:r>
      </w:hyperlink>
    </w:p>
    <w:p w14:paraId="64D040DB" w14:textId="77777777" w:rsidR="00047DC5" w:rsidRDefault="00047DC5" w:rsidP="00047DC5">
      <w:pPr>
        <w:pStyle w:val="TableofFigures"/>
        <w:tabs>
          <w:tab w:val="right" w:leader="dot" w:pos="9350"/>
        </w:tabs>
      </w:pPr>
      <w:hyperlink w:anchor="_Toc238206093" w:history="1">
        <w:r>
          <w:rPr>
            <w:rStyle w:val="Hyperlink"/>
          </w:rPr>
          <w:t>Table 9 Summary of Chapter 4</w:t>
        </w:r>
        <w:r>
          <w:tab/>
          <w:t>64</w:t>
        </w:r>
      </w:hyperlink>
    </w:p>
    <w:p w14:paraId="2454EFD2" w14:textId="77777777" w:rsidR="00047DC5" w:rsidRDefault="00047DC5" w:rsidP="00047DC5">
      <w:pPr>
        <w:pStyle w:val="TableofFigures"/>
        <w:tabs>
          <w:tab w:val="right" w:leader="dot" w:pos="9350"/>
        </w:tabs>
      </w:pPr>
      <w:hyperlink w:anchor="_Toc238206094" w:history="1">
        <w:r>
          <w:rPr>
            <w:rStyle w:val="Hyperlink"/>
          </w:rPr>
          <w:t>Table 10 Health and Care Worker Visa Grants (2020–2026).</w:t>
        </w:r>
        <w:r>
          <w:tab/>
          <w:t>78</w:t>
        </w:r>
      </w:hyperlink>
    </w:p>
    <w:p w14:paraId="69811218" w14:textId="77777777" w:rsidR="00047DC5" w:rsidRDefault="00047DC5" w:rsidP="00047DC5">
      <w:pPr>
        <w:pStyle w:val="TableofFigures"/>
        <w:tabs>
          <w:tab w:val="right" w:leader="dot" w:pos="9350"/>
        </w:tabs>
      </w:pPr>
      <w:hyperlink w:anchor="_Toc238206095" w:history="1">
        <w:r>
          <w:rPr>
            <w:rStyle w:val="Hyperlink"/>
          </w:rPr>
          <w:t>Table 11Results of Descriptive Statistics.</w:t>
        </w:r>
        <w:r>
          <w:tab/>
          <w:t>78</w:t>
        </w:r>
      </w:hyperlink>
    </w:p>
    <w:p w14:paraId="17A01583" w14:textId="77777777" w:rsidR="00047DC5" w:rsidRDefault="00047DC5" w:rsidP="00047DC5">
      <w:pPr>
        <w:pStyle w:val="TableofFigures"/>
        <w:tabs>
          <w:tab w:val="right" w:leader="dot" w:pos="9350"/>
        </w:tabs>
      </w:pPr>
      <w:hyperlink w:anchor="_Toc238206096" w:history="1">
        <w:r>
          <w:rPr>
            <w:rStyle w:val="Hyperlink"/>
          </w:rPr>
          <w:t>Table 12 Health and Care Worker Average Visa Grants (2020–2026).</w:t>
        </w:r>
        <w:r>
          <w:tab/>
          <w:t>79</w:t>
        </w:r>
      </w:hyperlink>
    </w:p>
    <w:p w14:paraId="7366008D" w14:textId="77777777" w:rsidR="00047DC5" w:rsidRDefault="00047DC5" w:rsidP="00047DC5">
      <w:pPr>
        <w:pStyle w:val="TableofFigures"/>
        <w:tabs>
          <w:tab w:val="right" w:leader="dot" w:pos="9350"/>
        </w:tabs>
      </w:pPr>
      <w:hyperlink w:anchor="_Toc238206097" w:history="1">
        <w:r>
          <w:rPr>
            <w:rStyle w:val="Hyperlink"/>
          </w:rPr>
          <w:t>Table 13 Results of Correlation.</w:t>
        </w:r>
        <w:r>
          <w:tab/>
          <w:t>80</w:t>
        </w:r>
      </w:hyperlink>
    </w:p>
    <w:p w14:paraId="2B3029BE" w14:textId="77777777" w:rsidR="00047DC5" w:rsidRDefault="00047DC5" w:rsidP="00047DC5">
      <w:pPr>
        <w:pStyle w:val="TableofFigures"/>
        <w:tabs>
          <w:tab w:val="right" w:leader="dot" w:pos="9350"/>
        </w:tabs>
      </w:pPr>
      <w:hyperlink w:anchor="_Toc238206098" w:history="1">
        <w:r>
          <w:rPr>
            <w:rStyle w:val="Hyperlink"/>
          </w:rPr>
          <w:t>Table 14 Correlation Matrix.</w:t>
        </w:r>
        <w:r>
          <w:tab/>
          <w:t>81</w:t>
        </w:r>
      </w:hyperlink>
    </w:p>
    <w:p w14:paraId="71BE3610" w14:textId="77777777" w:rsidR="00047DC5" w:rsidRDefault="00047DC5" w:rsidP="00047DC5">
      <w:pPr>
        <w:pStyle w:val="TableofFigures"/>
        <w:tabs>
          <w:tab w:val="right" w:leader="dot" w:pos="9350"/>
        </w:tabs>
      </w:pPr>
      <w:hyperlink w:anchor="_Toc238206099" w:history="1">
        <w:r>
          <w:rPr>
            <w:rStyle w:val="Hyperlink"/>
          </w:rPr>
          <w:t>Table 15 Regression Statistics.</w:t>
        </w:r>
        <w:r>
          <w:tab/>
          <w:t>83</w:t>
        </w:r>
      </w:hyperlink>
    </w:p>
    <w:p w14:paraId="292CEE10" w14:textId="77777777" w:rsidR="00047DC5" w:rsidRDefault="00047DC5" w:rsidP="00047DC5"/>
    <w:p w14:paraId="3BB5A52B" w14:textId="77777777" w:rsidR="00047DC5" w:rsidRDefault="00047DC5" w:rsidP="00047DC5">
      <w:pPr>
        <w:suppressAutoHyphens w:val="0"/>
        <w:autoSpaceDN/>
        <w:spacing w:line="278" w:lineRule="auto"/>
        <w:rPr>
          <w:rFonts w:asciiTheme="majorHAnsi" w:eastAsiaTheme="majorEastAsia" w:hAnsiTheme="majorHAnsi" w:cstheme="majorBidi"/>
          <w:color w:val="0F4761" w:themeColor="accent1" w:themeShade="BF"/>
          <w:kern w:val="2"/>
          <w:sz w:val="40"/>
          <w:szCs w:val="40"/>
          <w14:ligatures w14:val="standardContextual"/>
        </w:rPr>
      </w:pPr>
      <w:bookmarkStart w:id="0" w:name="_Toc238549757"/>
      <w:r>
        <w:br w:type="page"/>
      </w:r>
    </w:p>
    <w:p w14:paraId="428E35CB" w14:textId="77777777" w:rsidR="00047DC5" w:rsidRDefault="00047DC5" w:rsidP="00047DC5">
      <w:pPr>
        <w:pStyle w:val="Heading1"/>
      </w:pPr>
      <w:r>
        <w:lastRenderedPageBreak/>
        <w:t>Chapter 1: Introduction</w:t>
      </w:r>
      <w:bookmarkEnd w:id="0"/>
    </w:p>
    <w:p w14:paraId="64B2780C" w14:textId="77777777" w:rsidR="00047DC5" w:rsidRDefault="00047DC5" w:rsidP="00047DC5">
      <w:pPr>
        <w:pStyle w:val="Heading2"/>
      </w:pPr>
      <w:bookmarkStart w:id="1" w:name="_Toc238549758"/>
      <w:r>
        <w:t>1.1 Background</w:t>
      </w:r>
      <w:bookmarkEnd w:id="1"/>
    </w:p>
    <w:p w14:paraId="2DB45341" w14:textId="77777777" w:rsidR="00047DC5" w:rsidRDefault="00047DC5" w:rsidP="00047DC5">
      <w:pPr>
        <w:spacing w:line="360" w:lineRule="auto"/>
        <w:jc w:val="both"/>
        <w:rPr>
          <w:rFonts w:ascii="Arial" w:hAnsi="Arial" w:cs="Arial"/>
        </w:rPr>
      </w:pPr>
      <w:r>
        <w:rPr>
          <w:rFonts w:ascii="Arial" w:hAnsi="Arial" w:cs="Arial"/>
        </w:rPr>
        <w:t xml:space="preserve">The United Kingdom's healthcare system is navigating a period of profound transition. Workforce planning, once a relatively stable administrative function, has become a strategic imperative as the National Health Service (NHS) and the adult social care sector confront unprecedented staffing challenges. Human resources are widely </w:t>
      </w:r>
      <w:proofErr w:type="spellStart"/>
      <w:r>
        <w:rPr>
          <w:rFonts w:ascii="Arial" w:hAnsi="Arial" w:cs="Arial"/>
        </w:rPr>
        <w:t>recognised</w:t>
      </w:r>
      <w:proofErr w:type="spellEnd"/>
      <w:r>
        <w:rPr>
          <w:rFonts w:ascii="Arial" w:hAnsi="Arial" w:cs="Arial"/>
        </w:rPr>
        <w:t xml:space="preserve"> as the most important asset of any healthcare system, because they integrate physical resources, technology and clinical interventions to deliver effective patient care (</w:t>
      </w:r>
      <w:proofErr w:type="spellStart"/>
      <w:r>
        <w:rPr>
          <w:rFonts w:ascii="Arial" w:hAnsi="Arial" w:cs="Arial"/>
        </w:rPr>
        <w:t>Kabene</w:t>
      </w:r>
      <w:proofErr w:type="spellEnd"/>
      <w:r>
        <w:rPr>
          <w:rFonts w:ascii="Arial" w:hAnsi="Arial" w:cs="Arial"/>
        </w:rPr>
        <w:t xml:space="preserve"> et al., 2006). However, the sustainability of this human capital – defined as the maintenance and development of knowledge, skills and capabilities over time – is increasingly threatened by the sector's historical dependence on overseas recruitment to address chronic domestic workforce shortages (</w:t>
      </w:r>
      <w:proofErr w:type="spellStart"/>
      <w:r>
        <w:rPr>
          <w:rFonts w:ascii="Arial" w:hAnsi="Arial" w:cs="Arial"/>
        </w:rPr>
        <w:t>Slaus</w:t>
      </w:r>
      <w:proofErr w:type="spellEnd"/>
      <w:r>
        <w:rPr>
          <w:rFonts w:ascii="Arial" w:hAnsi="Arial" w:cs="Arial"/>
        </w:rPr>
        <w:t xml:space="preserve"> and Jacobs, 2011).</w:t>
      </w:r>
    </w:p>
    <w:p w14:paraId="79EAB7DB" w14:textId="77777777" w:rsidR="00047DC5" w:rsidRDefault="00047DC5" w:rsidP="00047DC5">
      <w:pPr>
        <w:spacing w:line="360" w:lineRule="auto"/>
        <w:jc w:val="both"/>
        <w:rPr>
          <w:rFonts w:ascii="Arial" w:hAnsi="Arial" w:cs="Arial"/>
        </w:rPr>
      </w:pPr>
      <w:r>
        <w:rPr>
          <w:rFonts w:ascii="Arial" w:hAnsi="Arial" w:cs="Arial"/>
        </w:rPr>
        <w:t xml:space="preserve">The historical reliance on overseas recruitment has intensified since the introduction of the Health and Care Worker visa in 2021, which was designed to address critical workforce shortages in the NHS and social care sectors. Between 2021 and 2023, the number of Health and Care Worker visas issued increased dramatically, from 31,800 to 145,823 (Home Office, 2024). However, this reliance has raised ethical concerns, particularly regarding the UK's recruitment from countries on the World Health </w:t>
      </w:r>
      <w:proofErr w:type="spellStart"/>
      <w:r>
        <w:rPr>
          <w:rFonts w:ascii="Arial" w:hAnsi="Arial" w:cs="Arial"/>
        </w:rPr>
        <w:t>Organisation's</w:t>
      </w:r>
      <w:proofErr w:type="spellEnd"/>
      <w:r>
        <w:rPr>
          <w:rFonts w:ascii="Arial" w:hAnsi="Arial" w:cs="Arial"/>
        </w:rPr>
        <w:t xml:space="preserve"> 'red list' – nations with critical health workforce shortages themselves. Over 20,000 clinical staff from these countries were added to the NHS workforce between 2023 and 2024 (Nuffield Trust, 2025). While this recruitment fills immediate gaps, it raises questions about global health equity and the long</w:t>
      </w:r>
      <w:r>
        <w:rPr>
          <w:rFonts w:ascii="Arial" w:hAnsi="Arial" w:cs="Arial"/>
        </w:rPr>
        <w:noBreakHyphen/>
        <w:t xml:space="preserve">term sustainability of the UK's reliance on migrant </w:t>
      </w:r>
      <w:proofErr w:type="spellStart"/>
      <w:r>
        <w:rPr>
          <w:rFonts w:ascii="Arial" w:hAnsi="Arial" w:cs="Arial"/>
        </w:rPr>
        <w:t>labour</w:t>
      </w:r>
      <w:proofErr w:type="spellEnd"/>
      <w:r>
        <w:rPr>
          <w:rFonts w:ascii="Arial" w:hAnsi="Arial" w:cs="Arial"/>
        </w:rPr>
        <w:t xml:space="preserve"> (Anderson et al., 2021).</w:t>
      </w:r>
    </w:p>
    <w:p w14:paraId="3C9C4532" w14:textId="77777777" w:rsidR="00047DC5" w:rsidRDefault="00047DC5" w:rsidP="00047DC5">
      <w:pPr>
        <w:spacing w:line="360" w:lineRule="auto"/>
        <w:jc w:val="both"/>
        <w:rPr>
          <w:rFonts w:ascii="Arial" w:hAnsi="Arial" w:cs="Arial"/>
        </w:rPr>
      </w:pPr>
      <w:r>
        <w:rPr>
          <w:rFonts w:ascii="Arial" w:hAnsi="Arial" w:cs="Arial"/>
        </w:rPr>
        <w:t xml:space="preserve">The scale of the challenge is substantial. As of late 2024, NHS England alone reported over 100,000 vacant posts, with healthcare support worker vacancies ranking among the highest across all staff groups (POST, 2025). The adult social care sector faces even greater pressure, with an estimated 131,000 vacancies in 2023/24, a figure that does not include positions filled by temporary staff (POST, 2025). Skills for Care (2024) estimated that the sector loses approximately 390,000 staff annually, a turnover rate exceeding </w:t>
      </w:r>
      <w:r>
        <w:rPr>
          <w:rFonts w:ascii="Arial" w:hAnsi="Arial" w:cs="Arial"/>
        </w:rPr>
        <w:lastRenderedPageBreak/>
        <w:t>30%. International recruitment has partially filled these gaps: between 2021 and 2024, over 80,000 Care Worker visas were issued to non</w:t>
      </w:r>
      <w:r>
        <w:rPr>
          <w:rFonts w:ascii="Arial" w:hAnsi="Arial" w:cs="Arial"/>
        </w:rPr>
        <w:noBreakHyphen/>
        <w:t>UK nationals. However, the 2025 rule changes abruptly raised the skill threshold from RQF Level 3 to Level 6 – roughly equivalent to a bachelor's degree. Most experienced healthcare support workers do not hold a degree. The Home Office's own impact assessment acknowledged a potential "substitution effect" whereby employers would be unable to replace departing migrant workers (Home Office, 2025b).</w:t>
      </w:r>
    </w:p>
    <w:p w14:paraId="521753B9" w14:textId="77777777" w:rsidR="00047DC5" w:rsidRDefault="00047DC5" w:rsidP="00047DC5">
      <w:pPr>
        <w:spacing w:line="360" w:lineRule="auto"/>
        <w:jc w:val="both"/>
      </w:pPr>
      <w:r>
        <w:rPr>
          <w:rFonts w:ascii="Arial" w:hAnsi="Arial" w:cs="Arial"/>
        </w:rPr>
        <w:t>The policy context has shifted dramatically. Between June 2019 and June 2023, net migration to the UK reached a record 906,000 (Office for National Statistics, 2024). In response, the government published the </w:t>
      </w:r>
      <w:r>
        <w:rPr>
          <w:rFonts w:ascii="Arial" w:hAnsi="Arial" w:cs="Arial"/>
          <w:i/>
          <w:iCs/>
        </w:rPr>
        <w:t>Restoring Control over the Immigration System</w:t>
      </w:r>
      <w:r>
        <w:rPr>
          <w:rFonts w:ascii="Arial" w:hAnsi="Arial" w:cs="Arial"/>
        </w:rPr>
        <w:t> White Paper (Home Office, 2025a), proposing reforms to reduce migration and promote a higher</w:t>
      </w:r>
      <w:r>
        <w:rPr>
          <w:rFonts w:ascii="Arial" w:hAnsi="Arial" w:cs="Arial"/>
        </w:rPr>
        <w:noBreakHyphen/>
        <w:t xml:space="preserve">skilled workforce. Key changes include raising the skills threshold for Skilled Worker and Health and Care visas from RQF Level 3 to RQF Level 6, increasing salary thresholds, restricting </w:t>
      </w:r>
      <w:proofErr w:type="spellStart"/>
      <w:r>
        <w:rPr>
          <w:rFonts w:ascii="Arial" w:hAnsi="Arial" w:cs="Arial"/>
        </w:rPr>
        <w:t>dependant</w:t>
      </w:r>
      <w:proofErr w:type="spellEnd"/>
      <w:r>
        <w:rPr>
          <w:rFonts w:ascii="Arial" w:hAnsi="Arial" w:cs="Arial"/>
        </w:rPr>
        <w:t xml:space="preserve"> visas for care workers, and closing overseas recruitment for care workers under SOC codes 6135 and 6136 from 22 July 2025 (Home Office, 2025b; </w:t>
      </w:r>
      <w:proofErr w:type="spellStart"/>
      <w:r>
        <w:rPr>
          <w:rFonts w:ascii="Arial" w:hAnsi="Arial" w:cs="Arial"/>
        </w:rPr>
        <w:t>Seraphus</w:t>
      </w:r>
      <w:proofErr w:type="spellEnd"/>
      <w:r>
        <w:rPr>
          <w:rFonts w:ascii="Arial" w:hAnsi="Arial" w:cs="Arial"/>
        </w:rPr>
        <w:t>, 2026).</w:t>
      </w:r>
    </w:p>
    <w:p w14:paraId="63F3C1C3" w14:textId="77777777" w:rsidR="00047DC5" w:rsidRDefault="00047DC5" w:rsidP="00047DC5">
      <w:pPr>
        <w:spacing w:line="360" w:lineRule="auto"/>
        <w:jc w:val="both"/>
        <w:rPr>
          <w:rFonts w:ascii="Arial" w:hAnsi="Arial" w:cs="Arial"/>
        </w:rPr>
      </w:pPr>
      <w:r>
        <w:rPr>
          <w:rFonts w:ascii="Arial" w:hAnsi="Arial" w:cs="Arial"/>
        </w:rPr>
        <w:t>These changes represent the most significant overhaul of the UK's legal migration model in 50 years (Home Office, 2025a; 2025b). For the healthcare sector, the implications are far</w:t>
      </w:r>
      <w:r>
        <w:rPr>
          <w:rFonts w:ascii="Arial" w:hAnsi="Arial" w:cs="Arial"/>
        </w:rPr>
        <w:noBreakHyphen/>
        <w:t>reaching. Healthcare Support Workers (HCSWs) – comprising approximately 40% of the NHS workforce and a substantial proportion of the adult social care workforce – are particularly affected. They deliver frontline care, yet they have historically received little investment in training or career progression (Anderson et al., 2021). According to Skills for Care (2024), HCSWs receive only 5% of training budgets, despite comprising a substantial proportion of the workforce. Recent restrictions on Care Worker visas may further reduce the availability and retention of migrant staff, creating a pressing quantitative question: can the UK healthcare system maintain a sustainable, skilled workforce under these new immigration rules?</w:t>
      </w:r>
    </w:p>
    <w:p w14:paraId="195D42B7" w14:textId="77777777" w:rsidR="00047DC5" w:rsidRDefault="00047DC5" w:rsidP="00047DC5">
      <w:pPr>
        <w:pStyle w:val="Heading2"/>
      </w:pPr>
      <w:bookmarkStart w:id="2" w:name="_Toc238549759"/>
      <w:r>
        <w:t>1.2 Research Problem</w:t>
      </w:r>
      <w:bookmarkEnd w:id="2"/>
    </w:p>
    <w:p w14:paraId="29D51709" w14:textId="77777777" w:rsidR="00047DC5" w:rsidRDefault="00047DC5" w:rsidP="00047DC5">
      <w:pPr>
        <w:spacing w:line="360" w:lineRule="auto"/>
        <w:jc w:val="both"/>
        <w:rPr>
          <w:rFonts w:ascii="Arial" w:hAnsi="Arial" w:cs="Arial"/>
        </w:rPr>
      </w:pPr>
      <w:r>
        <w:rPr>
          <w:rFonts w:ascii="Arial" w:hAnsi="Arial" w:cs="Arial"/>
        </w:rPr>
        <w:t xml:space="preserve">The central problem this study addresses is the potential erosion of human capital sustainability among migrant healthcare support workers in the UK, driven by restrictive </w:t>
      </w:r>
      <w:r>
        <w:rPr>
          <w:rFonts w:ascii="Arial" w:hAnsi="Arial" w:cs="Arial"/>
        </w:rPr>
        <w:lastRenderedPageBreak/>
        <w:t>immigration policy changes implemented between 2020 and 2026. While policymakers have framed these reforms as necessary to reduce net migration and promote a higher</w:t>
      </w:r>
      <w:r>
        <w:rPr>
          <w:rFonts w:ascii="Arial" w:hAnsi="Arial" w:cs="Arial"/>
        </w:rPr>
        <w:noBreakHyphen/>
        <w:t>skilled workforce, there is limited empirical evidence on their actual impact on workforce retention, stability, and long</w:t>
      </w:r>
      <w:r>
        <w:rPr>
          <w:rFonts w:ascii="Arial" w:hAnsi="Arial" w:cs="Arial"/>
        </w:rPr>
        <w:noBreakHyphen/>
        <w:t>term sustainability. The problem is compounded by the sector's historical reliance on international recruitment and the under</w:t>
      </w:r>
      <w:r>
        <w:rPr>
          <w:rFonts w:ascii="Arial" w:hAnsi="Arial" w:cs="Arial"/>
        </w:rPr>
        <w:noBreakHyphen/>
        <w:t>researched status of healthcare support workers compared to doctors and nurses (Anderson et al., 2021).</w:t>
      </w:r>
    </w:p>
    <w:p w14:paraId="6EE182B8" w14:textId="77777777" w:rsidR="00047DC5" w:rsidRDefault="00047DC5" w:rsidP="00047DC5">
      <w:pPr>
        <w:spacing w:line="360" w:lineRule="auto"/>
        <w:jc w:val="both"/>
        <w:rPr>
          <w:rFonts w:ascii="Arial" w:hAnsi="Arial" w:cs="Arial"/>
        </w:rPr>
      </w:pPr>
      <w:r>
        <w:rPr>
          <w:rFonts w:ascii="Arial" w:hAnsi="Arial" w:cs="Arial"/>
        </w:rPr>
        <w:t xml:space="preserve">Three interrelated theoretical concerns underpin this problem. First, Human Capital Theory suggests that migrant workers possess specific knowledge of NHS protocols, local patient populations, and team dynamics – knowledge that is costly to replace and retrain (Becker, 1964; </w:t>
      </w:r>
      <w:proofErr w:type="spellStart"/>
      <w:r>
        <w:rPr>
          <w:rFonts w:ascii="Arial" w:hAnsi="Arial" w:cs="Arial"/>
        </w:rPr>
        <w:t>Slaus</w:t>
      </w:r>
      <w:proofErr w:type="spellEnd"/>
      <w:r>
        <w:rPr>
          <w:rFonts w:ascii="Arial" w:hAnsi="Arial" w:cs="Arial"/>
        </w:rPr>
        <w:t xml:space="preserve"> and Jacobs, 2011). Second, Conservation of Resources (COR) Theory predicts that workers facing resource threats – such as restrictions on </w:t>
      </w:r>
      <w:proofErr w:type="spellStart"/>
      <w:r>
        <w:rPr>
          <w:rFonts w:ascii="Arial" w:hAnsi="Arial" w:cs="Arial"/>
        </w:rPr>
        <w:t>dependant</w:t>
      </w:r>
      <w:proofErr w:type="spellEnd"/>
      <w:r>
        <w:rPr>
          <w:rFonts w:ascii="Arial" w:hAnsi="Arial" w:cs="Arial"/>
        </w:rPr>
        <w:t xml:space="preserve"> visas and closed pathways to settlement – will experience stress and withdraw from the workforce (Lee, 2015; </w:t>
      </w:r>
      <w:proofErr w:type="spellStart"/>
      <w:r>
        <w:rPr>
          <w:rFonts w:ascii="Arial" w:hAnsi="Arial" w:cs="Arial"/>
        </w:rPr>
        <w:t>Hobfoll</w:t>
      </w:r>
      <w:proofErr w:type="spellEnd"/>
      <w:r>
        <w:rPr>
          <w:rFonts w:ascii="Arial" w:hAnsi="Arial" w:cs="Arial"/>
        </w:rPr>
        <w:t>, 1989). Third, the Triple Bottom Line (TBL) framework highlights the trade</w:t>
      </w:r>
      <w:r>
        <w:rPr>
          <w:rFonts w:ascii="Arial" w:hAnsi="Arial" w:cs="Arial"/>
        </w:rPr>
        <w:noBreakHyphen/>
        <w:t>offs between social sustainability (family unity, fair treatment, career progression) and economic sustainability (workforce stability, cost</w:t>
      </w:r>
      <w:r>
        <w:rPr>
          <w:rFonts w:ascii="Arial" w:hAnsi="Arial" w:cs="Arial"/>
        </w:rPr>
        <w:noBreakHyphen/>
        <w:t>effective recruitment) (</w:t>
      </w:r>
      <w:proofErr w:type="spellStart"/>
      <w:r>
        <w:rPr>
          <w:rFonts w:ascii="Arial" w:hAnsi="Arial" w:cs="Arial"/>
        </w:rPr>
        <w:t>Alhaddi</w:t>
      </w:r>
      <w:proofErr w:type="spellEnd"/>
      <w:r>
        <w:rPr>
          <w:rFonts w:ascii="Arial" w:hAnsi="Arial" w:cs="Arial"/>
        </w:rPr>
        <w:t>, 2015). This study integrates these three frameworks to provide a comprehensive quantitative evaluation of policy impact.</w:t>
      </w:r>
    </w:p>
    <w:p w14:paraId="5C60AD80" w14:textId="77777777" w:rsidR="00047DC5" w:rsidRDefault="00047DC5" w:rsidP="00047DC5">
      <w:pPr>
        <w:spacing w:line="360" w:lineRule="auto"/>
        <w:jc w:val="both"/>
        <w:rPr>
          <w:rFonts w:ascii="Arial" w:hAnsi="Arial" w:cs="Arial"/>
        </w:rPr>
      </w:pPr>
      <w:r>
        <w:rPr>
          <w:rFonts w:ascii="Arial" w:hAnsi="Arial" w:cs="Arial"/>
        </w:rPr>
        <w:t xml:space="preserve">The urgency of this research is underscored by recent workforce data. The closure of overseas recruitment for care workers from July 2025 has effectively ended new international inflows into these critical roles (Home Office, 2025b). Existing visa holders can continue working and extend or switch visas </w:t>
      </w:r>
      <w:proofErr w:type="gramStart"/>
      <w:r>
        <w:rPr>
          <w:rFonts w:ascii="Arial" w:hAnsi="Arial" w:cs="Arial"/>
        </w:rPr>
        <w:t>in</w:t>
      </w:r>
      <w:r>
        <w:rPr>
          <w:rFonts w:ascii="Arial" w:hAnsi="Arial" w:cs="Arial"/>
        </w:rPr>
        <w:noBreakHyphen/>
        <w:t>country</w:t>
      </w:r>
      <w:proofErr w:type="gramEnd"/>
      <w:r>
        <w:rPr>
          <w:rFonts w:ascii="Arial" w:hAnsi="Arial" w:cs="Arial"/>
        </w:rPr>
        <w:t xml:space="preserve"> until 2028, but no new overseas entrants are being admitted (</w:t>
      </w:r>
      <w:proofErr w:type="spellStart"/>
      <w:r>
        <w:rPr>
          <w:rFonts w:ascii="Arial" w:hAnsi="Arial" w:cs="Arial"/>
        </w:rPr>
        <w:t>Seraphus</w:t>
      </w:r>
      <w:proofErr w:type="spellEnd"/>
      <w:r>
        <w:rPr>
          <w:rFonts w:ascii="Arial" w:hAnsi="Arial" w:cs="Arial"/>
        </w:rPr>
        <w:t>, 2026). This creates a "stock" problem – the existing workforce will age, retire, or move on, and there will be no new migrant workers to replace them. Without a robust domestic recruitment and retention strategy, the workforce gap will widen, threatening the sustainability of healthcare services.</w:t>
      </w:r>
    </w:p>
    <w:p w14:paraId="03ECEDA2" w14:textId="77777777" w:rsidR="00047DC5" w:rsidRDefault="00047DC5" w:rsidP="00047DC5">
      <w:pPr>
        <w:pStyle w:val="Heading3"/>
      </w:pPr>
      <w:bookmarkStart w:id="3" w:name="_Toc238549760"/>
      <w:r>
        <w:t>1.2.1 Articulation of the Research Gap</w:t>
      </w:r>
      <w:bookmarkEnd w:id="3"/>
    </w:p>
    <w:p w14:paraId="33650312" w14:textId="77777777" w:rsidR="00047DC5" w:rsidRDefault="00047DC5" w:rsidP="00047DC5">
      <w:pPr>
        <w:spacing w:line="360" w:lineRule="auto"/>
        <w:jc w:val="both"/>
        <w:rPr>
          <w:rFonts w:ascii="Arial" w:hAnsi="Arial" w:cs="Arial"/>
        </w:rPr>
      </w:pPr>
      <w:r>
        <w:rPr>
          <w:rFonts w:ascii="Arial" w:hAnsi="Arial" w:cs="Arial"/>
        </w:rPr>
        <w:t xml:space="preserve">The existing literature on migration and healthcare workforce sustainability leaves three critical gaps that this study addresses. First, the majority of existing research focuses on highly skilled professionals – doctors and nurses – while healthcare support workers, who </w:t>
      </w:r>
      <w:r>
        <w:rPr>
          <w:rFonts w:ascii="Arial" w:hAnsi="Arial" w:cs="Arial"/>
        </w:rPr>
        <w:lastRenderedPageBreak/>
        <w:t>comprise 40% of the NHS workforce, remain significantly under</w:t>
      </w:r>
      <w:r>
        <w:rPr>
          <w:rFonts w:ascii="Arial" w:hAnsi="Arial" w:cs="Arial"/>
        </w:rPr>
        <w:noBreakHyphen/>
        <w:t xml:space="preserve">researched ( Anderson et al., 2021; Hatton, 2005; Stewart and Mulvey, 2014; Davda, Gallagher and Radford, 2018); second, much of the evidence predates the major immigration reforms introduced after 2020, leaving a critical gap in understanding the impact of the Health and Care Worker visa expansions and subsequent restrictions (Home Office, 2025a); and third, while policymakers have </w:t>
      </w:r>
      <w:proofErr w:type="spellStart"/>
      <w:r>
        <w:rPr>
          <w:rFonts w:ascii="Arial" w:hAnsi="Arial" w:cs="Arial"/>
        </w:rPr>
        <w:t>emphasised</w:t>
      </w:r>
      <w:proofErr w:type="spellEnd"/>
      <w:r>
        <w:rPr>
          <w:rFonts w:ascii="Arial" w:hAnsi="Arial" w:cs="Arial"/>
        </w:rPr>
        <w:t xml:space="preserve"> domestic workforce development as a substitute for international recruitment (NHS England, 2023), there is limited quantitative evidence on whether domestic upskilling initiatives can effectively replace migrant </w:t>
      </w:r>
      <w:proofErr w:type="spellStart"/>
      <w:r>
        <w:rPr>
          <w:rFonts w:ascii="Arial" w:hAnsi="Arial" w:cs="Arial"/>
        </w:rPr>
        <w:t>labour</w:t>
      </w:r>
      <w:proofErr w:type="spellEnd"/>
      <w:r>
        <w:rPr>
          <w:rFonts w:ascii="Arial" w:hAnsi="Arial" w:cs="Arial"/>
        </w:rPr>
        <w:t>, creating a fundamental tension between policy ambition and empirical uncertainty. This study directly addresses these gaps by providing the first empirical, quantitative evaluation of the post</w:t>
      </w:r>
      <w:r>
        <w:rPr>
          <w:rFonts w:ascii="Arial" w:hAnsi="Arial" w:cs="Arial"/>
        </w:rPr>
        <w:noBreakHyphen/>
        <w:t>2020 immigration rule changes on human capital sustainability specifically among migrant healthcare support workers, using official Home Office, ONS, and Skills for Care data to test the predicted relationships between policy changes, resource threats, and workforce outcomes. By addressing these gaps, this study provides timely empirical evidence to inform healthcare workforce planning and immigration policy evaluation.</w:t>
      </w:r>
    </w:p>
    <w:p w14:paraId="45338B40" w14:textId="77777777" w:rsidR="00047DC5" w:rsidRDefault="00047DC5" w:rsidP="00047DC5">
      <w:pPr>
        <w:pStyle w:val="Heading2"/>
      </w:pPr>
      <w:bookmarkStart w:id="4" w:name="_Toc238549761"/>
      <w:r>
        <w:t>1.3 Research Aim</w:t>
      </w:r>
      <w:bookmarkEnd w:id="4"/>
    </w:p>
    <w:p w14:paraId="6571FB8D" w14:textId="77777777" w:rsidR="00047DC5" w:rsidRDefault="00047DC5" w:rsidP="00047DC5">
      <w:pPr>
        <w:spacing w:line="360" w:lineRule="auto"/>
        <w:jc w:val="both"/>
        <w:rPr>
          <w:rFonts w:ascii="Arial" w:hAnsi="Arial" w:cs="Arial"/>
        </w:rPr>
      </w:pPr>
      <w:r>
        <w:rPr>
          <w:rFonts w:ascii="Arial" w:hAnsi="Arial" w:cs="Arial"/>
        </w:rPr>
        <w:t>To critically evaluate the impact of UK immigration rule changes implemented between 2020 and 2026 on the long</w:t>
      </w:r>
      <w:r>
        <w:rPr>
          <w:rFonts w:ascii="Arial" w:hAnsi="Arial" w:cs="Arial"/>
        </w:rPr>
        <w:noBreakHyphen/>
        <w:t>term sustainability of human capital among migrant healthcare support workers, using an adapted Triple Bottom Line (TBL) framework focused on social and economic sustainability.</w:t>
      </w:r>
    </w:p>
    <w:p w14:paraId="60CC403D" w14:textId="77777777" w:rsidR="00047DC5" w:rsidRDefault="00047DC5" w:rsidP="00047DC5">
      <w:pPr>
        <w:pStyle w:val="Heading2"/>
      </w:pPr>
      <w:bookmarkStart w:id="5" w:name="_Toc238549762"/>
      <w:r>
        <w:t>1.4 Research Objectives</w:t>
      </w:r>
      <w:bookmarkEnd w:id="5"/>
    </w:p>
    <w:p w14:paraId="16C95335" w14:textId="77777777" w:rsidR="00047DC5" w:rsidRDefault="00047DC5" w:rsidP="00047DC5">
      <w:pPr>
        <w:spacing w:line="360" w:lineRule="auto"/>
        <w:jc w:val="both"/>
        <w:rPr>
          <w:rFonts w:ascii="Arial" w:hAnsi="Arial" w:cs="Arial"/>
        </w:rPr>
      </w:pPr>
      <w:r>
        <w:rPr>
          <w:rFonts w:ascii="Arial" w:hAnsi="Arial" w:cs="Arial"/>
        </w:rPr>
        <w:t>To critically evaluate the drivers for changes in UK immigration rules from 2020 to 2026.</w:t>
      </w:r>
    </w:p>
    <w:p w14:paraId="4489D313" w14:textId="77777777" w:rsidR="00047DC5" w:rsidRDefault="00047DC5" w:rsidP="00047DC5">
      <w:pPr>
        <w:spacing w:line="360" w:lineRule="auto"/>
        <w:jc w:val="both"/>
        <w:rPr>
          <w:rFonts w:ascii="Arial" w:hAnsi="Arial" w:cs="Arial"/>
        </w:rPr>
      </w:pPr>
      <w:r>
        <w:rPr>
          <w:rFonts w:ascii="Arial" w:hAnsi="Arial" w:cs="Arial"/>
        </w:rPr>
        <w:t>To identify the key determinants of human capital sustainability among healthcare support workers.</w:t>
      </w:r>
    </w:p>
    <w:p w14:paraId="767349EE" w14:textId="77777777" w:rsidR="00047DC5" w:rsidRDefault="00047DC5" w:rsidP="00047DC5">
      <w:pPr>
        <w:spacing w:line="360" w:lineRule="auto"/>
        <w:jc w:val="both"/>
        <w:rPr>
          <w:rFonts w:ascii="Arial" w:hAnsi="Arial" w:cs="Arial"/>
        </w:rPr>
      </w:pPr>
      <w:r>
        <w:rPr>
          <w:rFonts w:ascii="Arial" w:hAnsi="Arial" w:cs="Arial"/>
        </w:rPr>
        <w:t>To critically evaluate the impact of immigration rule changes on human capital sustainability among migrant healthcare support workers.</w:t>
      </w:r>
    </w:p>
    <w:p w14:paraId="3FE81AFC" w14:textId="77777777" w:rsidR="00047DC5" w:rsidRDefault="00047DC5" w:rsidP="00047DC5">
      <w:pPr>
        <w:spacing w:line="360" w:lineRule="auto"/>
        <w:jc w:val="both"/>
        <w:rPr>
          <w:rFonts w:ascii="Arial" w:hAnsi="Arial" w:cs="Arial"/>
        </w:rPr>
      </w:pPr>
      <w:r>
        <w:rPr>
          <w:rFonts w:ascii="Arial" w:hAnsi="Arial" w:cs="Arial"/>
        </w:rPr>
        <w:t>To assess HR strategies for sustaining the healthcare workforce under immigration restrictions, including domestic upskilling and retention initiatives.</w:t>
      </w:r>
    </w:p>
    <w:p w14:paraId="46600233" w14:textId="77777777" w:rsidR="00047DC5" w:rsidRDefault="00047DC5" w:rsidP="00047DC5">
      <w:pPr>
        <w:pStyle w:val="Heading2"/>
      </w:pPr>
      <w:bookmarkStart w:id="6" w:name="_Toc238549763"/>
      <w:r>
        <w:lastRenderedPageBreak/>
        <w:t>1.5 Research Questions</w:t>
      </w:r>
      <w:bookmarkEnd w:id="6"/>
    </w:p>
    <w:p w14:paraId="6C413165" w14:textId="77777777" w:rsidR="00047DC5" w:rsidRDefault="00047DC5" w:rsidP="00047DC5">
      <w:pPr>
        <w:spacing w:line="360" w:lineRule="auto"/>
        <w:jc w:val="both"/>
        <w:rPr>
          <w:rFonts w:ascii="Arial" w:hAnsi="Arial" w:cs="Arial"/>
        </w:rPr>
      </w:pPr>
      <w:r>
        <w:rPr>
          <w:rFonts w:ascii="Arial" w:hAnsi="Arial" w:cs="Arial"/>
        </w:rPr>
        <w:t>Q1: What are the key drivers for changes in UK immigration rules from 2020 to 2026?</w:t>
      </w:r>
    </w:p>
    <w:p w14:paraId="1C10EBDA" w14:textId="77777777" w:rsidR="00047DC5" w:rsidRDefault="00047DC5" w:rsidP="00047DC5">
      <w:pPr>
        <w:spacing w:line="360" w:lineRule="auto"/>
        <w:jc w:val="both"/>
        <w:rPr>
          <w:rFonts w:ascii="Arial" w:hAnsi="Arial" w:cs="Arial"/>
        </w:rPr>
      </w:pPr>
      <w:r>
        <w:rPr>
          <w:rFonts w:ascii="Arial" w:hAnsi="Arial" w:cs="Arial"/>
        </w:rPr>
        <w:t>Q2: What are the key determinants of human capital sustainability among healthcare support workers in the UK?</w:t>
      </w:r>
    </w:p>
    <w:p w14:paraId="5034BCEC" w14:textId="77777777" w:rsidR="00047DC5" w:rsidRDefault="00047DC5" w:rsidP="00047DC5">
      <w:pPr>
        <w:spacing w:line="360" w:lineRule="auto"/>
        <w:jc w:val="both"/>
        <w:rPr>
          <w:rFonts w:ascii="Arial" w:hAnsi="Arial" w:cs="Arial"/>
        </w:rPr>
      </w:pPr>
      <w:r>
        <w:rPr>
          <w:rFonts w:ascii="Arial" w:hAnsi="Arial" w:cs="Arial"/>
        </w:rPr>
        <w:t>Q3: To what extent have the changes in UK immigration rules affected human capital sustainability among migrant healthcare support workers?</w:t>
      </w:r>
    </w:p>
    <w:p w14:paraId="12408274" w14:textId="77777777" w:rsidR="00047DC5" w:rsidRDefault="00047DC5" w:rsidP="00047DC5">
      <w:pPr>
        <w:spacing w:line="360" w:lineRule="auto"/>
        <w:jc w:val="both"/>
        <w:rPr>
          <w:rFonts w:ascii="Arial" w:hAnsi="Arial" w:cs="Arial"/>
        </w:rPr>
      </w:pPr>
      <w:r>
        <w:rPr>
          <w:rFonts w:ascii="Arial" w:hAnsi="Arial" w:cs="Arial"/>
        </w:rPr>
        <w:t xml:space="preserve">Q4: How can healthcare </w:t>
      </w:r>
      <w:proofErr w:type="spellStart"/>
      <w:r>
        <w:rPr>
          <w:rFonts w:ascii="Arial" w:hAnsi="Arial" w:cs="Arial"/>
        </w:rPr>
        <w:t>organisations</w:t>
      </w:r>
      <w:proofErr w:type="spellEnd"/>
      <w:r>
        <w:rPr>
          <w:rFonts w:ascii="Arial" w:hAnsi="Arial" w:cs="Arial"/>
        </w:rPr>
        <w:t xml:space="preserve"> effectively adapt their human resource management practices to maintain a fit</w:t>
      </w:r>
      <w:r>
        <w:rPr>
          <w:rFonts w:ascii="Arial" w:hAnsi="Arial" w:cs="Arial"/>
        </w:rPr>
        <w:noBreakHyphen/>
        <w:t>for</w:t>
      </w:r>
      <w:r>
        <w:rPr>
          <w:rFonts w:ascii="Arial" w:hAnsi="Arial" w:cs="Arial"/>
        </w:rPr>
        <w:noBreakHyphen/>
        <w:t>purpose workforce despite reduced migrant availability?</w:t>
      </w:r>
    </w:p>
    <w:p w14:paraId="4FD95203" w14:textId="77777777" w:rsidR="00047DC5" w:rsidRDefault="00047DC5" w:rsidP="00047DC5">
      <w:pPr>
        <w:pStyle w:val="Heading2"/>
      </w:pPr>
      <w:bookmarkStart w:id="7" w:name="_Toc238549764"/>
      <w:r>
        <w:t>1.6 Significance of the Study</w:t>
      </w:r>
      <w:bookmarkEnd w:id="7"/>
    </w:p>
    <w:p w14:paraId="5F2C2DEE" w14:textId="77777777" w:rsidR="00047DC5" w:rsidRDefault="00047DC5" w:rsidP="00047DC5">
      <w:pPr>
        <w:spacing w:line="360" w:lineRule="auto"/>
        <w:jc w:val="both"/>
        <w:rPr>
          <w:rFonts w:ascii="Arial" w:hAnsi="Arial" w:cs="Arial"/>
        </w:rPr>
      </w:pPr>
      <w:r>
        <w:rPr>
          <w:rFonts w:ascii="Arial" w:hAnsi="Arial" w:cs="Arial"/>
        </w:rPr>
        <w:t>This study makes several important contributions to knowledge, policy, and practice by directly addressing four critical gaps in the existing literature: the neglect of healthcare support workers (HCSWs) in migration research, the lack of empirical evidence on the post</w:t>
      </w:r>
      <w:r>
        <w:rPr>
          <w:rFonts w:ascii="Arial" w:hAnsi="Arial" w:cs="Arial"/>
        </w:rPr>
        <w:noBreakHyphen/>
        <w:t xml:space="preserve">2020 immigration reforms, the absence of quantitative data on whether domestic upskilling can replace migrant </w:t>
      </w:r>
      <w:proofErr w:type="spellStart"/>
      <w:r>
        <w:rPr>
          <w:rFonts w:ascii="Arial" w:hAnsi="Arial" w:cs="Arial"/>
        </w:rPr>
        <w:t>labour</w:t>
      </w:r>
      <w:proofErr w:type="spellEnd"/>
      <w:r>
        <w:rPr>
          <w:rFonts w:ascii="Arial" w:hAnsi="Arial" w:cs="Arial"/>
        </w:rPr>
        <w:t>, and the limited UK</w:t>
      </w:r>
      <w:r>
        <w:rPr>
          <w:rFonts w:ascii="Arial" w:hAnsi="Arial" w:cs="Arial"/>
        </w:rPr>
        <w:noBreakHyphen/>
        <w:t>nation comparative analysis ( Anderson et al.,., 2021; Davda, Gallagher and Radford, 2018; Hatton, 2005; Stewart and Mulvey, 2014). Theoretically, it advances understanding by empirically testing the integrated application of Human Capital Theory, Conservation of Resources Theory, and the Triple Bottom Line framework – an approach that has not been previously applied to this workforce segment – providing a unified quantitative analytical chain that explains how policy changes lead to resource threats, worker withdrawal, loss of specific human capital, and ultimately a decline in social and economic sustainability. Empirically, it provides the first quantitative evaluation of the post</w:t>
      </w:r>
      <w:r>
        <w:rPr>
          <w:rFonts w:ascii="Arial" w:hAnsi="Arial" w:cs="Arial"/>
        </w:rPr>
        <w:noBreakHyphen/>
        <w:t>2020 immigration reforms on migrant HCSWs, using official Home Office, ONS, and Skills for Care data to measure visa grant rates, outflow profiles, and workforce turnover. For policymakers at the Home Office and Department of Health and Social Care, the findings offer evidence</w:t>
      </w:r>
      <w:r>
        <w:rPr>
          <w:rFonts w:ascii="Arial" w:hAnsi="Arial" w:cs="Arial"/>
        </w:rPr>
        <w:noBreakHyphen/>
        <w:t xml:space="preserve">based insights into the workforce implications of recent reforms – including the closure of overseas recruitment for care workers, the increase in the skill threshold, and the restriction on </w:t>
      </w:r>
      <w:proofErr w:type="spellStart"/>
      <w:r>
        <w:rPr>
          <w:rFonts w:ascii="Arial" w:hAnsi="Arial" w:cs="Arial"/>
        </w:rPr>
        <w:t>dependant</w:t>
      </w:r>
      <w:proofErr w:type="spellEnd"/>
      <w:r>
        <w:rPr>
          <w:rFonts w:ascii="Arial" w:hAnsi="Arial" w:cs="Arial"/>
        </w:rPr>
        <w:t xml:space="preserve"> visas – which can inform future policy design regarding </w:t>
      </w:r>
      <w:proofErr w:type="spellStart"/>
      <w:r>
        <w:rPr>
          <w:rFonts w:ascii="Arial" w:hAnsi="Arial" w:cs="Arial"/>
        </w:rPr>
        <w:t>dependant</w:t>
      </w:r>
      <w:proofErr w:type="spellEnd"/>
      <w:r>
        <w:rPr>
          <w:rFonts w:ascii="Arial" w:hAnsi="Arial" w:cs="Arial"/>
        </w:rPr>
        <w:t xml:space="preserve"> rights, settlement pathways, </w:t>
      </w:r>
      <w:r>
        <w:rPr>
          <w:rFonts w:ascii="Arial" w:hAnsi="Arial" w:cs="Arial"/>
        </w:rPr>
        <w:lastRenderedPageBreak/>
        <w:t xml:space="preserve">and domestic workforce investment. For NHS leaders and adult social care providers, the findings provide practical guidance on retention strategies, training investment, and workforce planning under immigration restrictions. For migrant healthcare support workers themselves, the study highlights the social and economic challenges they face, potentially informing advocacy for more supportive policies. Ultimately, the findings contribute to broader societal debates about balancing migration control with service sustainability, quantifying the </w:t>
      </w:r>
      <w:proofErr w:type="gramStart"/>
      <w:r>
        <w:rPr>
          <w:rFonts w:ascii="Arial" w:hAnsi="Arial" w:cs="Arial"/>
        </w:rPr>
        <w:t>trade</w:t>
      </w:r>
      <w:r>
        <w:rPr>
          <w:rFonts w:ascii="Arial" w:hAnsi="Arial" w:cs="Arial"/>
        </w:rPr>
        <w:noBreakHyphen/>
        <w:t>offs</w:t>
      </w:r>
      <w:proofErr w:type="gramEnd"/>
      <w:r>
        <w:rPr>
          <w:rFonts w:ascii="Arial" w:hAnsi="Arial" w:cs="Arial"/>
        </w:rPr>
        <w:t xml:space="preserve"> between social sustainability (family unity) and economic sustainability (workforce stability) and providing evidence that can inform public discourse and policy decisions.</w:t>
      </w:r>
    </w:p>
    <w:p w14:paraId="3CEAF26E" w14:textId="77777777" w:rsidR="00047DC5" w:rsidRDefault="00047DC5" w:rsidP="00047DC5">
      <w:pPr>
        <w:pStyle w:val="Heading2"/>
      </w:pPr>
      <w:bookmarkStart w:id="8" w:name="_Toc238549765"/>
      <w:r>
        <w:t>1.7 Brief Research Methodology</w:t>
      </w:r>
      <w:bookmarkEnd w:id="8"/>
    </w:p>
    <w:p w14:paraId="1C63402D" w14:textId="77777777" w:rsidR="00047DC5" w:rsidRDefault="00047DC5" w:rsidP="00047DC5">
      <w:pPr>
        <w:spacing w:line="360" w:lineRule="auto"/>
        <w:jc w:val="both"/>
        <w:rPr>
          <w:rFonts w:ascii="Arial" w:hAnsi="Arial" w:cs="Arial"/>
        </w:rPr>
      </w:pPr>
      <w:r>
        <w:rPr>
          <w:rFonts w:ascii="Arial" w:hAnsi="Arial" w:cs="Arial"/>
        </w:rPr>
        <w:t xml:space="preserve">This study adopts a positivist research philosophy, grounded in the assumption that the impact of immigration policy is an objective reality measurable through numerical data and statistical analysis. A secondary quantitative research design is employed, </w:t>
      </w:r>
      <w:proofErr w:type="spellStart"/>
      <w:r>
        <w:rPr>
          <w:rFonts w:ascii="Arial" w:hAnsi="Arial" w:cs="Arial"/>
        </w:rPr>
        <w:t>utilising</w:t>
      </w:r>
      <w:proofErr w:type="spellEnd"/>
      <w:r>
        <w:rPr>
          <w:rFonts w:ascii="Arial" w:hAnsi="Arial" w:cs="Arial"/>
        </w:rPr>
        <w:t xml:space="preserve"> publicly available datasets from the Home Office (visa grant rates, outflow profiles), the Office for National Statistics (migration trends), and Skills for Care (workforce turnover and vacancy statistics). No primary data collection – such as surveys or interviews – will be undertaken. Data will be </w:t>
      </w:r>
      <w:proofErr w:type="spellStart"/>
      <w:r>
        <w:rPr>
          <w:rFonts w:ascii="Arial" w:hAnsi="Arial" w:cs="Arial"/>
        </w:rPr>
        <w:t>analysed</w:t>
      </w:r>
      <w:proofErr w:type="spellEnd"/>
      <w:r>
        <w:rPr>
          <w:rFonts w:ascii="Arial" w:hAnsi="Arial" w:cs="Arial"/>
        </w:rPr>
        <w:t xml:space="preserve"> using descriptive statistics to track trends and multiple regression analysis to test associations between policy changes (independent variables) and human capital sustainability indicators (dependent variables). This approach is justified by the availability of robust official data and the need for objective, </w:t>
      </w:r>
      <w:proofErr w:type="spellStart"/>
      <w:r>
        <w:rPr>
          <w:rFonts w:ascii="Arial" w:hAnsi="Arial" w:cs="Arial"/>
        </w:rPr>
        <w:t>generalisable</w:t>
      </w:r>
      <w:proofErr w:type="spellEnd"/>
      <w:r>
        <w:rPr>
          <w:rFonts w:ascii="Arial" w:hAnsi="Arial" w:cs="Arial"/>
        </w:rPr>
        <w:t xml:space="preserve"> findings to inform healthcare workforce planning and immigration policy evaluation.</w:t>
      </w:r>
    </w:p>
    <w:p w14:paraId="26A1CC80" w14:textId="77777777" w:rsidR="00047DC5" w:rsidRDefault="00047DC5" w:rsidP="00047DC5">
      <w:pPr>
        <w:pStyle w:val="Heading2"/>
      </w:pPr>
      <w:bookmarkStart w:id="9" w:name="_Toc238549766"/>
      <w:r>
        <w:t>1.8 Structure of the Dissertation</w:t>
      </w:r>
      <w:bookmarkEnd w:id="9"/>
    </w:p>
    <w:p w14:paraId="282F0F49" w14:textId="77777777" w:rsidR="00047DC5" w:rsidRDefault="00047DC5" w:rsidP="00047DC5">
      <w:pPr>
        <w:spacing w:line="360" w:lineRule="auto"/>
        <w:jc w:val="both"/>
        <w:rPr>
          <w:rFonts w:ascii="Arial" w:hAnsi="Arial" w:cs="Arial"/>
        </w:rPr>
      </w:pPr>
      <w:r>
        <w:rPr>
          <w:rFonts w:ascii="Arial" w:hAnsi="Arial" w:cs="Arial"/>
        </w:rPr>
        <w:t xml:space="preserve">This dissertation is </w:t>
      </w:r>
      <w:proofErr w:type="spellStart"/>
      <w:r>
        <w:rPr>
          <w:rFonts w:ascii="Arial" w:hAnsi="Arial" w:cs="Arial"/>
        </w:rPr>
        <w:t>organised</w:t>
      </w:r>
      <w:proofErr w:type="spellEnd"/>
      <w:r>
        <w:rPr>
          <w:rFonts w:ascii="Arial" w:hAnsi="Arial" w:cs="Arial"/>
        </w:rPr>
        <w:t xml:space="preserve"> into five chapters. Chapter 1 </w:t>
      </w:r>
      <w:proofErr w:type="gramStart"/>
      <w:r>
        <w:rPr>
          <w:rFonts w:ascii="Arial" w:hAnsi="Arial" w:cs="Arial"/>
        </w:rPr>
        <w:t>has introduced</w:t>
      </w:r>
      <w:proofErr w:type="gramEnd"/>
      <w:r>
        <w:rPr>
          <w:rFonts w:ascii="Arial" w:hAnsi="Arial" w:cs="Arial"/>
        </w:rPr>
        <w:t xml:space="preserve"> </w:t>
      </w:r>
      <w:proofErr w:type="gramStart"/>
      <w:r>
        <w:rPr>
          <w:rFonts w:ascii="Arial" w:hAnsi="Arial" w:cs="Arial"/>
        </w:rPr>
        <w:t>the research</w:t>
      </w:r>
      <w:proofErr w:type="gramEnd"/>
      <w:r>
        <w:rPr>
          <w:rFonts w:ascii="Arial" w:hAnsi="Arial" w:cs="Arial"/>
        </w:rPr>
        <w:t xml:space="preserve"> context, problem, aim, objectives, and questions. Chapter 2 presents a comprehensive literature review, examining Human Capital Theory, the Triple Bottom Line framework, Conservation of Resources Theory, and the UK immigration policy context. It also identifies research gaps and presents a conceptual framework linking policy changes to workforce sustainability outcomes. Chapter 3 describes the research methodology, justifying the positivist philosophy, secondary quantitative design, data sources, and </w:t>
      </w:r>
      <w:r>
        <w:rPr>
          <w:rFonts w:ascii="Arial" w:hAnsi="Arial" w:cs="Arial"/>
        </w:rPr>
        <w:lastRenderedPageBreak/>
        <w:t>analytical techniques. It also addresses ethical considerations and acknowledges limitations. Chapter 4 presents the findings, including descriptive statistics on visa grant rates, workforce turnover, and regression analysis results. Chapter 5 concludes with a summary of key findings, practical and theoretical recommendations, and a reflection on the study's limitations and directions for future research.</w:t>
      </w:r>
    </w:p>
    <w:p w14:paraId="306A339F" w14:textId="77777777" w:rsidR="00047DC5" w:rsidRDefault="00047DC5" w:rsidP="00047DC5">
      <w:pPr>
        <w:suppressAutoHyphens w:val="0"/>
        <w:autoSpaceDN/>
        <w:spacing w:line="278" w:lineRule="auto"/>
        <w:rPr>
          <w:rFonts w:asciiTheme="majorHAnsi" w:eastAsiaTheme="majorEastAsia" w:hAnsiTheme="majorHAnsi" w:cstheme="majorBidi"/>
          <w:color w:val="0F4761" w:themeColor="accent1" w:themeShade="BF"/>
          <w:kern w:val="2"/>
          <w:sz w:val="40"/>
          <w:szCs w:val="40"/>
          <w14:ligatures w14:val="standardContextual"/>
        </w:rPr>
      </w:pPr>
      <w:bookmarkStart w:id="10" w:name="_Toc238549767"/>
      <w:r>
        <w:br w:type="page"/>
      </w:r>
    </w:p>
    <w:p w14:paraId="754B14E7" w14:textId="77777777" w:rsidR="00047DC5" w:rsidRDefault="00047DC5" w:rsidP="00047DC5">
      <w:pPr>
        <w:pStyle w:val="Heading1"/>
      </w:pPr>
      <w:r>
        <w:lastRenderedPageBreak/>
        <w:t>Chapter 2: Literature Review</w:t>
      </w:r>
      <w:bookmarkEnd w:id="10"/>
    </w:p>
    <w:p w14:paraId="5C6DE052" w14:textId="77777777" w:rsidR="00047DC5" w:rsidRDefault="00047DC5" w:rsidP="00047DC5">
      <w:pPr>
        <w:pStyle w:val="Heading2"/>
      </w:pPr>
      <w:bookmarkStart w:id="11" w:name="_Toc238549768"/>
      <w:r>
        <w:t>2.1 Introduction</w:t>
      </w:r>
      <w:bookmarkEnd w:id="11"/>
    </w:p>
    <w:p w14:paraId="7E43941C" w14:textId="77777777" w:rsidR="00047DC5" w:rsidRDefault="00047DC5" w:rsidP="00047DC5">
      <w:pPr>
        <w:spacing w:line="360" w:lineRule="auto"/>
        <w:jc w:val="both"/>
        <w:rPr>
          <w:rFonts w:ascii="Arial" w:hAnsi="Arial" w:cs="Arial"/>
        </w:rPr>
      </w:pPr>
      <w:r>
        <w:rPr>
          <w:rFonts w:ascii="Arial" w:hAnsi="Arial" w:cs="Arial"/>
        </w:rPr>
        <w:t>This chapter presents a comprehensive review of the existing literature relevant to the impact of UK immigration policy changes on human capital sustainability among migrant healthcare support workers. The review is structured to address the four research objectives of this study: (1) to critically evaluate the drivers for changes in UK immigration rules; (2) to identify the key determinants of human capital sustainability among healthcare support workers; (3) to critically evaluate the impact of immigration rule changes on human capital sustainability; and (4) to assess HR strategies for sustaining the healthcare workforce under immigration restrictions.</w:t>
      </w:r>
    </w:p>
    <w:p w14:paraId="0195ECB6" w14:textId="77777777" w:rsidR="00047DC5" w:rsidRDefault="00047DC5" w:rsidP="00047DC5">
      <w:pPr>
        <w:spacing w:line="360" w:lineRule="auto"/>
        <w:jc w:val="both"/>
        <w:rPr>
          <w:rFonts w:ascii="Arial" w:hAnsi="Arial" w:cs="Arial"/>
        </w:rPr>
      </w:pPr>
      <w:r>
        <w:rPr>
          <w:rFonts w:ascii="Arial" w:hAnsi="Arial" w:cs="Arial"/>
        </w:rPr>
        <w:t xml:space="preserve">The chapter is </w:t>
      </w:r>
      <w:proofErr w:type="spellStart"/>
      <w:r>
        <w:rPr>
          <w:rFonts w:ascii="Arial" w:hAnsi="Arial" w:cs="Arial"/>
        </w:rPr>
        <w:t>organised</w:t>
      </w:r>
      <w:proofErr w:type="spellEnd"/>
      <w:r>
        <w:rPr>
          <w:rFonts w:ascii="Arial" w:hAnsi="Arial" w:cs="Arial"/>
        </w:rPr>
        <w:t xml:space="preserve"> into ten substantive sections. Section 2.2 examines Human Capital Theory, tracing its origins, core concepts, and application to healthcare workforce dynamics. Section 2.3 explores the Triple Bottom Line framework, explaining its adaptation for quantitative analysis of social and economic sustainability. Section 2.4 reviews Conservation of Resources Theory, focusing on its explanatory power for understanding worker withdrawal </w:t>
      </w:r>
      <w:proofErr w:type="spellStart"/>
      <w:r>
        <w:rPr>
          <w:rFonts w:ascii="Arial" w:hAnsi="Arial" w:cs="Arial"/>
        </w:rPr>
        <w:t>behaviour</w:t>
      </w:r>
      <w:proofErr w:type="spellEnd"/>
      <w:r>
        <w:rPr>
          <w:rFonts w:ascii="Arial" w:hAnsi="Arial" w:cs="Arial"/>
        </w:rPr>
        <w:t xml:space="preserve"> in response to resource threats. Section 2.5 integrates these three theoretical frameworks into a coherent analytical model. Section 2.6 provides a detailed examination of UK immigration policy changes between 2020 and 2026, drawing on official government sources and policy analysis. Section 2.7 reviews the empirical literature on migrant healthcare support workers, their role, challenges, and the factors affecting their retention. Section 2.8 examines HR strategies for sustaining the healthcare workforce under immigration restrictions, including retention strategies, domestic upskilling, and </w:t>
      </w:r>
      <w:proofErr w:type="spellStart"/>
      <w:r>
        <w:rPr>
          <w:rFonts w:ascii="Arial" w:hAnsi="Arial" w:cs="Arial"/>
        </w:rPr>
        <w:t>organisational</w:t>
      </w:r>
      <w:proofErr w:type="spellEnd"/>
      <w:r>
        <w:rPr>
          <w:rFonts w:ascii="Arial" w:hAnsi="Arial" w:cs="Arial"/>
        </w:rPr>
        <w:t xml:space="preserve"> support. Section 2.9 identifies research gaps, presents the contribution to knowledge, and outlines the conceptual framework guiding this study. Section 2.10 concludes the chapter with a summary of key findings and their implications for the empirical analysis.</w:t>
      </w:r>
    </w:p>
    <w:p w14:paraId="6FA6C361" w14:textId="77777777" w:rsidR="00047DC5" w:rsidRDefault="00047DC5" w:rsidP="00047DC5">
      <w:pPr>
        <w:pStyle w:val="Heading2"/>
      </w:pPr>
      <w:bookmarkStart w:id="12" w:name="_Toc238549769"/>
      <w:r>
        <w:lastRenderedPageBreak/>
        <w:t>2.2 Human Capital Theory</w:t>
      </w:r>
      <w:bookmarkEnd w:id="12"/>
    </w:p>
    <w:p w14:paraId="6BA24218" w14:textId="77777777" w:rsidR="00047DC5" w:rsidRDefault="00047DC5" w:rsidP="00047DC5">
      <w:pPr>
        <w:pStyle w:val="Heading3"/>
      </w:pPr>
      <w:bookmarkStart w:id="13" w:name="_Toc238549770"/>
      <w:r>
        <w:t>2.2.1 Origins and Core Concepts</w:t>
      </w:r>
      <w:bookmarkEnd w:id="13"/>
    </w:p>
    <w:p w14:paraId="4ACE80A3" w14:textId="77777777" w:rsidR="00047DC5" w:rsidRDefault="00047DC5" w:rsidP="00047DC5">
      <w:pPr>
        <w:spacing w:line="360" w:lineRule="auto"/>
        <w:jc w:val="both"/>
        <w:rPr>
          <w:rFonts w:ascii="Arial" w:hAnsi="Arial" w:cs="Arial"/>
        </w:rPr>
      </w:pPr>
      <w:r>
        <w:rPr>
          <w:rFonts w:ascii="Arial" w:hAnsi="Arial" w:cs="Arial"/>
        </w:rPr>
        <w:t xml:space="preserve">Human Capital Theory, originating from the seminal work of Schultz (1961) and Becker (1964), fundamentally </w:t>
      </w:r>
      <w:proofErr w:type="spellStart"/>
      <w:r>
        <w:rPr>
          <w:rFonts w:ascii="Arial" w:hAnsi="Arial" w:cs="Arial"/>
        </w:rPr>
        <w:t>reconceptualised</w:t>
      </w:r>
      <w:proofErr w:type="spellEnd"/>
      <w:r>
        <w:rPr>
          <w:rFonts w:ascii="Arial" w:hAnsi="Arial" w:cs="Arial"/>
        </w:rPr>
        <w:t xml:space="preserve"> how economists and social scientists understand the role of individuals in economic production. The theory posits that individuals are not passive </w:t>
      </w:r>
      <w:proofErr w:type="spellStart"/>
      <w:r>
        <w:rPr>
          <w:rFonts w:ascii="Arial" w:hAnsi="Arial" w:cs="Arial"/>
        </w:rPr>
        <w:t>labour</w:t>
      </w:r>
      <w:proofErr w:type="spellEnd"/>
      <w:r>
        <w:rPr>
          <w:rFonts w:ascii="Arial" w:hAnsi="Arial" w:cs="Arial"/>
        </w:rPr>
        <w:t xml:space="preserve"> inputs but active agents who invest in their own knowledge, skills, and competencies – collectively termed 'human capital' – which yield returns in the form of higher productivity, earnings, and economic growth (Becker, 1964). This investment perspective transformed </w:t>
      </w:r>
      <w:proofErr w:type="spellStart"/>
      <w:r>
        <w:rPr>
          <w:rFonts w:ascii="Arial" w:hAnsi="Arial" w:cs="Arial"/>
        </w:rPr>
        <w:t>labour</w:t>
      </w:r>
      <w:proofErr w:type="spellEnd"/>
      <w:r>
        <w:rPr>
          <w:rFonts w:ascii="Arial" w:hAnsi="Arial" w:cs="Arial"/>
        </w:rPr>
        <w:t xml:space="preserve"> economics by treating education, training, and experience as analogous to physical capital investment: individuals and </w:t>
      </w:r>
      <w:proofErr w:type="spellStart"/>
      <w:r>
        <w:rPr>
          <w:rFonts w:ascii="Arial" w:hAnsi="Arial" w:cs="Arial"/>
        </w:rPr>
        <w:t>organisations</w:t>
      </w:r>
      <w:proofErr w:type="spellEnd"/>
      <w:r>
        <w:rPr>
          <w:rFonts w:ascii="Arial" w:hAnsi="Arial" w:cs="Arial"/>
        </w:rPr>
        <w:t xml:space="preserve"> allocate resources to human capital development with the expectation of future returns.</w:t>
      </w:r>
    </w:p>
    <w:p w14:paraId="6F29D909" w14:textId="77777777" w:rsidR="00047DC5" w:rsidRDefault="00047DC5" w:rsidP="00047DC5">
      <w:pPr>
        <w:spacing w:line="360" w:lineRule="auto"/>
        <w:jc w:val="both"/>
        <w:rPr>
          <w:rFonts w:ascii="Arial" w:hAnsi="Arial" w:cs="Arial"/>
        </w:rPr>
      </w:pPr>
      <w:r>
        <w:rPr>
          <w:rFonts w:ascii="Arial" w:hAnsi="Arial" w:cs="Arial"/>
        </w:rPr>
        <w:t xml:space="preserve">A key distinction within the theory, developed by Becker (1964), is between general human capital and specific human capital. General human capital refers to skills and knowledge that are transferable across employers and industries – such as communication skills, basic numeracy, and general work discipline. Specific human capital, by contrast, refers to skills and knowledge that are valuable only to a particular employer or within a specific </w:t>
      </w:r>
      <w:proofErr w:type="spellStart"/>
      <w:r>
        <w:rPr>
          <w:rFonts w:ascii="Arial" w:hAnsi="Arial" w:cs="Arial"/>
        </w:rPr>
        <w:t>organisational</w:t>
      </w:r>
      <w:proofErr w:type="spellEnd"/>
      <w:r>
        <w:rPr>
          <w:rFonts w:ascii="Arial" w:hAnsi="Arial" w:cs="Arial"/>
        </w:rPr>
        <w:t xml:space="preserve"> context – such as familiarity with an </w:t>
      </w:r>
      <w:proofErr w:type="spellStart"/>
      <w:r>
        <w:rPr>
          <w:rFonts w:ascii="Arial" w:hAnsi="Arial" w:cs="Arial"/>
        </w:rPr>
        <w:t>organisation's</w:t>
      </w:r>
      <w:proofErr w:type="spellEnd"/>
      <w:r>
        <w:rPr>
          <w:rFonts w:ascii="Arial" w:hAnsi="Arial" w:cs="Arial"/>
        </w:rPr>
        <w:t xml:space="preserve"> protocols, relationships with colleagues, and understanding of local operational procedures (Becker, 1964). This distinction has profound implications for </w:t>
      </w:r>
      <w:proofErr w:type="spellStart"/>
      <w:r>
        <w:rPr>
          <w:rFonts w:ascii="Arial" w:hAnsi="Arial" w:cs="Arial"/>
        </w:rPr>
        <w:t>labour</w:t>
      </w:r>
      <w:proofErr w:type="spellEnd"/>
      <w:r>
        <w:rPr>
          <w:rFonts w:ascii="Arial" w:hAnsi="Arial" w:cs="Arial"/>
        </w:rPr>
        <w:t xml:space="preserve"> mobility and workforce sustainability. Workers with high levels of specific human capital are more valuable to their current employer but may face barriers to moving to other employers, while employers have strong incentives to invest in training that develops specific human capital to retain workers and enhance productivity (</w:t>
      </w:r>
      <w:proofErr w:type="spellStart"/>
      <w:r>
        <w:rPr>
          <w:rFonts w:ascii="Arial" w:hAnsi="Arial" w:cs="Arial"/>
        </w:rPr>
        <w:t>Slaus</w:t>
      </w:r>
      <w:proofErr w:type="spellEnd"/>
      <w:r>
        <w:rPr>
          <w:rFonts w:ascii="Arial" w:hAnsi="Arial" w:cs="Arial"/>
        </w:rPr>
        <w:t xml:space="preserve"> and Jacobs, 2011).</w:t>
      </w:r>
    </w:p>
    <w:p w14:paraId="337816B8" w14:textId="77777777" w:rsidR="00047DC5" w:rsidRDefault="00047DC5" w:rsidP="00047DC5">
      <w:pPr>
        <w:pStyle w:val="Heading3"/>
      </w:pPr>
      <w:bookmarkStart w:id="14" w:name="_Toc238549771"/>
      <w:r>
        <w:t>2.2.2 Application to Healthcare Workforce Dynamics</w:t>
      </w:r>
      <w:bookmarkEnd w:id="14"/>
    </w:p>
    <w:p w14:paraId="210C72C7" w14:textId="77777777" w:rsidR="00047DC5" w:rsidRDefault="00047DC5" w:rsidP="00047DC5">
      <w:pPr>
        <w:spacing w:line="360" w:lineRule="auto"/>
        <w:jc w:val="both"/>
        <w:rPr>
          <w:rFonts w:ascii="Arial" w:hAnsi="Arial" w:cs="Arial"/>
        </w:rPr>
      </w:pPr>
      <w:r>
        <w:rPr>
          <w:rFonts w:ascii="Arial" w:hAnsi="Arial" w:cs="Arial"/>
        </w:rPr>
        <w:t xml:space="preserve">Human Capital Theory has been extensively applied to understand healthcare workforce dynamics. Within healthcare </w:t>
      </w:r>
      <w:proofErr w:type="spellStart"/>
      <w:r>
        <w:rPr>
          <w:rFonts w:ascii="Arial" w:hAnsi="Arial" w:cs="Arial"/>
        </w:rPr>
        <w:t>organisations</w:t>
      </w:r>
      <w:proofErr w:type="spellEnd"/>
      <w:r>
        <w:rPr>
          <w:rFonts w:ascii="Arial" w:hAnsi="Arial" w:cs="Arial"/>
        </w:rPr>
        <w:t>, human capital represents a critical resource because workforce quality directly influences service delivery and patient outcomes (</w:t>
      </w:r>
      <w:proofErr w:type="spellStart"/>
      <w:r>
        <w:rPr>
          <w:rFonts w:ascii="Arial" w:hAnsi="Arial" w:cs="Arial"/>
        </w:rPr>
        <w:t>Kabene</w:t>
      </w:r>
      <w:proofErr w:type="spellEnd"/>
      <w:r>
        <w:rPr>
          <w:rFonts w:ascii="Arial" w:hAnsi="Arial" w:cs="Arial"/>
        </w:rPr>
        <w:t xml:space="preserve"> et al., 2006). The sustainability of human capital is therefore essential for maintaining healthcare performance over time. Healthcare workers, particularly those in </w:t>
      </w:r>
      <w:r>
        <w:rPr>
          <w:rFonts w:ascii="Arial" w:hAnsi="Arial" w:cs="Arial"/>
        </w:rPr>
        <w:lastRenderedPageBreak/>
        <w:t>clinical roles, develop substantial specific human capital through on-the-job experience, including knowledge of clinical protocols, familiarity with electronic health records, relationships with multidisciplinary teams, and understanding of local patient populations and community needs (</w:t>
      </w:r>
      <w:proofErr w:type="spellStart"/>
      <w:r>
        <w:rPr>
          <w:rFonts w:ascii="Arial" w:hAnsi="Arial" w:cs="Arial"/>
        </w:rPr>
        <w:t>Slaus</w:t>
      </w:r>
      <w:proofErr w:type="spellEnd"/>
      <w:r>
        <w:rPr>
          <w:rFonts w:ascii="Arial" w:hAnsi="Arial" w:cs="Arial"/>
        </w:rPr>
        <w:t xml:space="preserve"> and Jacobs, 2011).</w:t>
      </w:r>
    </w:p>
    <w:p w14:paraId="759BFF47" w14:textId="77777777" w:rsidR="00047DC5" w:rsidRDefault="00047DC5" w:rsidP="00047DC5">
      <w:pPr>
        <w:spacing w:line="360" w:lineRule="auto"/>
        <w:jc w:val="both"/>
        <w:rPr>
          <w:rFonts w:ascii="Arial" w:hAnsi="Arial" w:cs="Arial"/>
        </w:rPr>
      </w:pPr>
      <w:r>
        <w:rPr>
          <w:rFonts w:ascii="Arial" w:hAnsi="Arial" w:cs="Arial"/>
        </w:rPr>
        <w:t xml:space="preserve">The theory is particularly relevant for understanding the dynamics of international migration in healthcare. Research has demonstrated that the potential for higher wages in destination countries </w:t>
      </w:r>
      <w:proofErr w:type="spellStart"/>
      <w:r>
        <w:rPr>
          <w:rFonts w:ascii="Arial" w:hAnsi="Arial" w:cs="Arial"/>
        </w:rPr>
        <w:t>incentivises</w:t>
      </w:r>
      <w:proofErr w:type="spellEnd"/>
      <w:r>
        <w:rPr>
          <w:rFonts w:ascii="Arial" w:hAnsi="Arial" w:cs="Arial"/>
        </w:rPr>
        <w:t xml:space="preserve"> individuals to invest in training and migration, but this investment is contingent on the perceived stability of the host-country </w:t>
      </w:r>
      <w:proofErr w:type="spellStart"/>
      <w:r>
        <w:rPr>
          <w:rFonts w:ascii="Arial" w:hAnsi="Arial" w:cs="Arial"/>
        </w:rPr>
        <w:t>labour</w:t>
      </w:r>
      <w:proofErr w:type="spellEnd"/>
      <w:r>
        <w:rPr>
          <w:rFonts w:ascii="Arial" w:hAnsi="Arial" w:cs="Arial"/>
        </w:rPr>
        <w:t xml:space="preserve"> market and the ability to </w:t>
      </w:r>
      <w:proofErr w:type="spellStart"/>
      <w:r>
        <w:rPr>
          <w:rFonts w:ascii="Arial" w:hAnsi="Arial" w:cs="Arial"/>
        </w:rPr>
        <w:t>realise</w:t>
      </w:r>
      <w:proofErr w:type="spellEnd"/>
      <w:r>
        <w:rPr>
          <w:rFonts w:ascii="Arial" w:hAnsi="Arial" w:cs="Arial"/>
        </w:rPr>
        <w:t xml:space="preserve"> returns on that investment (</w:t>
      </w:r>
      <w:proofErr w:type="spellStart"/>
      <w:r>
        <w:rPr>
          <w:rFonts w:ascii="Arial" w:hAnsi="Arial" w:cs="Arial"/>
        </w:rPr>
        <w:t>CGDev</w:t>
      </w:r>
      <w:proofErr w:type="spellEnd"/>
      <w:r>
        <w:rPr>
          <w:rFonts w:ascii="Arial" w:hAnsi="Arial" w:cs="Arial"/>
        </w:rPr>
        <w:t>, 2024). Becker's human capital theory suggests that increases in potential wages earned by migrant workers should lead to increases in individuals choosing to train for and enter those professions (</w:t>
      </w:r>
      <w:proofErr w:type="spellStart"/>
      <w:r>
        <w:rPr>
          <w:rFonts w:ascii="Arial" w:hAnsi="Arial" w:cs="Arial"/>
        </w:rPr>
        <w:t>CGDev</w:t>
      </w:r>
      <w:proofErr w:type="spellEnd"/>
      <w:r>
        <w:rPr>
          <w:rFonts w:ascii="Arial" w:hAnsi="Arial" w:cs="Arial"/>
        </w:rPr>
        <w:t>, 2024). This has been observed in the UK context, where the expansion of the Health and Care Worker visa route in 2022 led to a substantial increase in the number of internationally educated nurses and care workers entering the UK (Home Office, 2024; Migration Observatory, 2025).</w:t>
      </w:r>
    </w:p>
    <w:p w14:paraId="7C9D2F77" w14:textId="77777777" w:rsidR="00047DC5" w:rsidRDefault="00047DC5" w:rsidP="00047DC5">
      <w:pPr>
        <w:pStyle w:val="Heading3"/>
      </w:pPr>
      <w:bookmarkStart w:id="15" w:name="_Toc238549772"/>
      <w:r>
        <w:t>2.2.3 Specific Human Capital in the NHS Context</w:t>
      </w:r>
      <w:bookmarkEnd w:id="15"/>
    </w:p>
    <w:p w14:paraId="3532DEFE" w14:textId="77777777" w:rsidR="00047DC5" w:rsidRDefault="00047DC5" w:rsidP="00047DC5">
      <w:pPr>
        <w:spacing w:line="360" w:lineRule="auto"/>
        <w:jc w:val="both"/>
        <w:rPr>
          <w:rFonts w:ascii="Arial" w:hAnsi="Arial" w:cs="Arial"/>
        </w:rPr>
      </w:pPr>
      <w:r>
        <w:rPr>
          <w:rFonts w:ascii="Arial" w:hAnsi="Arial" w:cs="Arial"/>
        </w:rPr>
        <w:t>The concept of specific human capital is particularly salient in the NHS context. Migrant healthcare support workers develop specific knowledge through their experience in UK healthcare settings, including:</w:t>
      </w:r>
    </w:p>
    <w:p w14:paraId="7BA18C5D" w14:textId="77777777" w:rsidR="00047DC5" w:rsidRDefault="00047DC5" w:rsidP="00047DC5">
      <w:pPr>
        <w:spacing w:line="360" w:lineRule="auto"/>
        <w:jc w:val="both"/>
        <w:rPr>
          <w:rFonts w:ascii="Arial" w:hAnsi="Arial" w:cs="Arial"/>
        </w:rPr>
      </w:pPr>
      <w:r>
        <w:rPr>
          <w:rFonts w:ascii="Arial" w:hAnsi="Arial" w:cs="Arial"/>
        </w:rPr>
        <w:t>Clinical protocols and procedures: Understanding of NHS guidelines, patient safety protocols, and clinical governance frameworks.</w:t>
      </w:r>
    </w:p>
    <w:p w14:paraId="7F92C0AB" w14:textId="77777777" w:rsidR="00047DC5" w:rsidRDefault="00047DC5" w:rsidP="00047DC5">
      <w:pPr>
        <w:spacing w:line="360" w:lineRule="auto"/>
        <w:jc w:val="both"/>
        <w:rPr>
          <w:rFonts w:ascii="Arial" w:hAnsi="Arial" w:cs="Arial"/>
        </w:rPr>
      </w:pPr>
      <w:r>
        <w:rPr>
          <w:rFonts w:ascii="Arial" w:hAnsi="Arial" w:cs="Arial"/>
        </w:rPr>
        <w:t>Team dynamics: Relationships with colleagues, understanding of team roles and responsibilities, and effective communication within multidisciplinary teams.</w:t>
      </w:r>
    </w:p>
    <w:p w14:paraId="3BF66E1C" w14:textId="77777777" w:rsidR="00047DC5" w:rsidRDefault="00047DC5" w:rsidP="00047DC5">
      <w:pPr>
        <w:spacing w:line="360" w:lineRule="auto"/>
        <w:jc w:val="both"/>
        <w:rPr>
          <w:rFonts w:ascii="Arial" w:hAnsi="Arial" w:cs="Arial"/>
        </w:rPr>
      </w:pPr>
      <w:r>
        <w:rPr>
          <w:rFonts w:ascii="Arial" w:hAnsi="Arial" w:cs="Arial"/>
        </w:rPr>
        <w:t>Local patient populations: Familiarity with the demographic characteristics, health needs, and cultural contexts of the communities they serve.</w:t>
      </w:r>
    </w:p>
    <w:p w14:paraId="77EB0A1A" w14:textId="77777777" w:rsidR="00047DC5" w:rsidRDefault="00047DC5" w:rsidP="00047DC5">
      <w:pPr>
        <w:spacing w:line="360" w:lineRule="auto"/>
        <w:jc w:val="both"/>
        <w:rPr>
          <w:rFonts w:ascii="Arial" w:hAnsi="Arial" w:cs="Arial"/>
        </w:rPr>
      </w:pPr>
      <w:proofErr w:type="spellStart"/>
      <w:r>
        <w:rPr>
          <w:rFonts w:ascii="Arial" w:hAnsi="Arial" w:cs="Arial"/>
        </w:rPr>
        <w:t>Organisational</w:t>
      </w:r>
      <w:proofErr w:type="spellEnd"/>
      <w:r>
        <w:rPr>
          <w:rFonts w:ascii="Arial" w:hAnsi="Arial" w:cs="Arial"/>
        </w:rPr>
        <w:t xml:space="preserve"> culture: Understanding of NHS values, workplace norms, and informal practices that facilitate effective service delivery.</w:t>
      </w:r>
    </w:p>
    <w:p w14:paraId="0EEF70CC" w14:textId="77777777" w:rsidR="00047DC5" w:rsidRDefault="00047DC5" w:rsidP="00047DC5">
      <w:pPr>
        <w:spacing w:line="360" w:lineRule="auto"/>
        <w:jc w:val="both"/>
        <w:rPr>
          <w:rFonts w:ascii="Arial" w:hAnsi="Arial" w:cs="Arial"/>
        </w:rPr>
      </w:pPr>
      <w:r>
        <w:rPr>
          <w:rFonts w:ascii="Arial" w:hAnsi="Arial" w:cs="Arial"/>
        </w:rPr>
        <w:lastRenderedPageBreak/>
        <w:t xml:space="preserve">The loss of such specific human capital imposes high costs on healthcare </w:t>
      </w:r>
      <w:proofErr w:type="spellStart"/>
      <w:r>
        <w:rPr>
          <w:rFonts w:ascii="Arial" w:hAnsi="Arial" w:cs="Arial"/>
        </w:rPr>
        <w:t>organisations</w:t>
      </w:r>
      <w:proofErr w:type="spellEnd"/>
      <w:r>
        <w:rPr>
          <w:rFonts w:ascii="Arial" w:hAnsi="Arial" w:cs="Arial"/>
        </w:rPr>
        <w:t>. When a migrant worker leaves, the employer loses not only the worker's current contribution but also the investment made in their training and development (</w:t>
      </w:r>
      <w:proofErr w:type="spellStart"/>
      <w:r>
        <w:rPr>
          <w:rFonts w:ascii="Arial" w:hAnsi="Arial" w:cs="Arial"/>
        </w:rPr>
        <w:t>Slaus</w:t>
      </w:r>
      <w:proofErr w:type="spellEnd"/>
      <w:r>
        <w:rPr>
          <w:rFonts w:ascii="Arial" w:hAnsi="Arial" w:cs="Arial"/>
        </w:rPr>
        <w:t xml:space="preserve"> and Jacobs, 2011). Moreover, the loss of team dynamics and local knowledge can disrupt service delivery and patient care. Research has shown that high staff turnover in healthcare is associated with reduced quality of care, increased patient mortality, and higher operational costs (</w:t>
      </w:r>
      <w:proofErr w:type="spellStart"/>
      <w:r>
        <w:rPr>
          <w:rFonts w:ascii="Arial" w:hAnsi="Arial" w:cs="Arial"/>
        </w:rPr>
        <w:t>Kabene</w:t>
      </w:r>
      <w:proofErr w:type="spellEnd"/>
      <w:r>
        <w:rPr>
          <w:rFonts w:ascii="Arial" w:hAnsi="Arial" w:cs="Arial"/>
        </w:rPr>
        <w:t xml:space="preserve"> et al., 2006).</w:t>
      </w:r>
    </w:p>
    <w:p w14:paraId="12C70493" w14:textId="77777777" w:rsidR="00047DC5" w:rsidRDefault="00047DC5" w:rsidP="00047DC5">
      <w:pPr>
        <w:pStyle w:val="Heading3"/>
      </w:pPr>
      <w:bookmarkStart w:id="16" w:name="_Toc238549773"/>
      <w:r>
        <w:t>2.2.4 Human Capital and Immigration Policy</w:t>
      </w:r>
      <w:bookmarkEnd w:id="16"/>
    </w:p>
    <w:p w14:paraId="7807334C" w14:textId="77777777" w:rsidR="00047DC5" w:rsidRDefault="00047DC5" w:rsidP="00047DC5">
      <w:pPr>
        <w:spacing w:line="360" w:lineRule="auto"/>
        <w:jc w:val="both"/>
        <w:rPr>
          <w:rFonts w:ascii="Arial" w:hAnsi="Arial" w:cs="Arial"/>
        </w:rPr>
      </w:pPr>
      <w:r>
        <w:rPr>
          <w:rFonts w:ascii="Arial" w:hAnsi="Arial" w:cs="Arial"/>
        </w:rPr>
        <w:t>The relationship between immigration policy and human capital investment is bidirectional. On one hand, immigration policies that create uncertainty about long-term settlement reduce incentives for both employers and employees to invest in specific human capital (Stewart and Mulvey, 2014). When workers perceive their future status as uncertain, they may be less likely to pursue career development opportunities or establish long-term professional commitments within the host country. Similarly, employers may be reluctant to invest in training for workers who may not remain in their employment.</w:t>
      </w:r>
    </w:p>
    <w:p w14:paraId="4747D7C8" w14:textId="77777777" w:rsidR="00047DC5" w:rsidRDefault="00047DC5" w:rsidP="00047DC5">
      <w:pPr>
        <w:spacing w:line="360" w:lineRule="auto"/>
        <w:jc w:val="both"/>
        <w:rPr>
          <w:rFonts w:ascii="Arial" w:hAnsi="Arial" w:cs="Arial"/>
        </w:rPr>
      </w:pPr>
      <w:r>
        <w:rPr>
          <w:rFonts w:ascii="Arial" w:hAnsi="Arial" w:cs="Arial"/>
        </w:rPr>
        <w:t>On the other hand, immigration policies that facilitate long-term settlement and provide clear pathways to permanent residency can enhance human capital investment. Research has shown that temporary immigration arrangements create uncertainty among migrant workers and discourage long-term investment in host-country specific human capital (Stewart and Mulvey, 2014). The 2025 immigration reforms, by removing the expectation of long-term settlement for care workers and proposing to extend the Indefinite Leave to Remain qualifying period, may therefore reduce investment in UK-specific training and weaken workforce sustainability (Home Office, 2025b; RCN, 2026).</w:t>
      </w:r>
    </w:p>
    <w:p w14:paraId="2A2DE029" w14:textId="77777777" w:rsidR="00047DC5" w:rsidRDefault="00047DC5" w:rsidP="00047DC5">
      <w:pPr>
        <w:spacing w:line="360" w:lineRule="auto"/>
        <w:jc w:val="both"/>
        <w:rPr>
          <w:rFonts w:ascii="Arial" w:hAnsi="Arial" w:cs="Arial"/>
        </w:rPr>
      </w:pPr>
      <w:r>
        <w:rPr>
          <w:rFonts w:ascii="Arial" w:hAnsi="Arial" w:cs="Arial"/>
        </w:rPr>
        <w:t xml:space="preserve">The UK's reliance on international recruitment has also raised ethical concerns. The healthcare system has become increasingly dependent on staff from countries on the World Health </w:t>
      </w:r>
      <w:proofErr w:type="spellStart"/>
      <w:r>
        <w:rPr>
          <w:rFonts w:ascii="Arial" w:hAnsi="Arial" w:cs="Arial"/>
        </w:rPr>
        <w:t>Organisation's</w:t>
      </w:r>
      <w:proofErr w:type="spellEnd"/>
      <w:r>
        <w:rPr>
          <w:rFonts w:ascii="Arial" w:hAnsi="Arial" w:cs="Arial"/>
        </w:rPr>
        <w:t xml:space="preserve"> 'red list' – nations with critical health workforce shortages themselves (Nuffield Trust, 2025). Over 20,000 clinical staff from these countries were added to the NHS workforce between 2023 and 2024 (Nuffield Trust, 2025). Nine per cent of UK doctors are now from countries on the WHO 'red list' (PMC, 2025). While this </w:t>
      </w:r>
      <w:r>
        <w:rPr>
          <w:rFonts w:ascii="Arial" w:hAnsi="Arial" w:cs="Arial"/>
        </w:rPr>
        <w:lastRenderedPageBreak/>
        <w:t xml:space="preserve">recruitment fills immediate gaps, it raises questions about global health equity and the sustainability of the UK's reliance on migrant </w:t>
      </w:r>
      <w:proofErr w:type="spellStart"/>
      <w:r>
        <w:rPr>
          <w:rFonts w:ascii="Arial" w:hAnsi="Arial" w:cs="Arial"/>
        </w:rPr>
        <w:t>labour</w:t>
      </w:r>
      <w:proofErr w:type="spellEnd"/>
      <w:r>
        <w:rPr>
          <w:rFonts w:ascii="Arial" w:hAnsi="Arial" w:cs="Arial"/>
        </w:rPr>
        <w:t xml:space="preserve"> (Anderson et al., 2021).</w:t>
      </w:r>
    </w:p>
    <w:p w14:paraId="3CFD49D4" w14:textId="77777777" w:rsidR="00047DC5" w:rsidRDefault="00047DC5" w:rsidP="00047DC5">
      <w:pPr>
        <w:pStyle w:val="Heading2"/>
      </w:pPr>
      <w:bookmarkStart w:id="17" w:name="_Toc238549774"/>
      <w:r>
        <w:t>2.3 Triple Bottom Line (TBL) Framework</w:t>
      </w:r>
      <w:bookmarkEnd w:id="17"/>
    </w:p>
    <w:p w14:paraId="5C06280D" w14:textId="77777777" w:rsidR="00047DC5" w:rsidRDefault="00047DC5" w:rsidP="00047DC5">
      <w:pPr>
        <w:pStyle w:val="Heading3"/>
      </w:pPr>
      <w:bookmarkStart w:id="18" w:name="_Toc238549775"/>
      <w:r>
        <w:t>2.3.1 Origins and Conceptual Foundations</w:t>
      </w:r>
      <w:bookmarkEnd w:id="18"/>
    </w:p>
    <w:p w14:paraId="733B52FC" w14:textId="77777777" w:rsidR="00047DC5" w:rsidRDefault="00047DC5" w:rsidP="00047DC5">
      <w:pPr>
        <w:spacing w:line="360" w:lineRule="auto"/>
        <w:jc w:val="both"/>
        <w:rPr>
          <w:rFonts w:ascii="Arial" w:hAnsi="Arial" w:cs="Arial"/>
        </w:rPr>
      </w:pPr>
      <w:r>
        <w:rPr>
          <w:rFonts w:ascii="Arial" w:hAnsi="Arial" w:cs="Arial"/>
        </w:rPr>
        <w:t xml:space="preserve">The Triple Bottom Line framework was introduced by Elkington (1997) as a radical rethinking of corporate performance measurement. Traditional business accounting focused exclusively on financial performance – the 'single bottom line'. Elkington argued that </w:t>
      </w:r>
      <w:proofErr w:type="spellStart"/>
      <w:r>
        <w:rPr>
          <w:rFonts w:ascii="Arial" w:hAnsi="Arial" w:cs="Arial"/>
        </w:rPr>
        <w:t>organisations</w:t>
      </w:r>
      <w:proofErr w:type="spellEnd"/>
      <w:r>
        <w:rPr>
          <w:rFonts w:ascii="Arial" w:hAnsi="Arial" w:cs="Arial"/>
        </w:rPr>
        <w:t xml:space="preserve"> should be evaluated on three dimensions: economic, social, and environmental – the 'triple bottom line'. This framework challenged the narrow focus on shareholder value and called for a broader conception of </w:t>
      </w:r>
      <w:proofErr w:type="spellStart"/>
      <w:r>
        <w:rPr>
          <w:rFonts w:ascii="Arial" w:hAnsi="Arial" w:cs="Arial"/>
        </w:rPr>
        <w:t>organisational</w:t>
      </w:r>
      <w:proofErr w:type="spellEnd"/>
      <w:r>
        <w:rPr>
          <w:rFonts w:ascii="Arial" w:hAnsi="Arial" w:cs="Arial"/>
        </w:rPr>
        <w:t xml:space="preserve"> responsibility that encompasses stakeholders, communities, and the natural environment.</w:t>
      </w:r>
    </w:p>
    <w:p w14:paraId="45EB8CB3" w14:textId="77777777" w:rsidR="00047DC5" w:rsidRDefault="00047DC5" w:rsidP="00047DC5">
      <w:pPr>
        <w:spacing w:line="360" w:lineRule="auto"/>
        <w:jc w:val="both"/>
        <w:rPr>
          <w:rFonts w:ascii="Arial" w:hAnsi="Arial" w:cs="Arial"/>
        </w:rPr>
      </w:pPr>
      <w:r>
        <w:rPr>
          <w:rFonts w:ascii="Arial" w:hAnsi="Arial" w:cs="Arial"/>
        </w:rPr>
        <w:t xml:space="preserve">The economic pillar encompasses traditional financial performance, including profitability, shareholder returns, and economic value creation. The social pillar concerns the </w:t>
      </w:r>
      <w:proofErr w:type="spellStart"/>
      <w:r>
        <w:rPr>
          <w:rFonts w:ascii="Arial" w:hAnsi="Arial" w:cs="Arial"/>
        </w:rPr>
        <w:t>organisation's</w:t>
      </w:r>
      <w:proofErr w:type="spellEnd"/>
      <w:r>
        <w:rPr>
          <w:rFonts w:ascii="Arial" w:hAnsi="Arial" w:cs="Arial"/>
        </w:rPr>
        <w:t xml:space="preserve"> impact on people, including employees, customers, communities, and broader society – encompassing issues such as </w:t>
      </w:r>
      <w:proofErr w:type="spellStart"/>
      <w:r>
        <w:rPr>
          <w:rFonts w:ascii="Arial" w:hAnsi="Arial" w:cs="Arial"/>
        </w:rPr>
        <w:t>labour</w:t>
      </w:r>
      <w:proofErr w:type="spellEnd"/>
      <w:r>
        <w:rPr>
          <w:rFonts w:ascii="Arial" w:hAnsi="Arial" w:cs="Arial"/>
        </w:rPr>
        <w:t xml:space="preserve"> practices, human rights, community engagement, and social equity. The environmental pillar addresses the </w:t>
      </w:r>
      <w:proofErr w:type="spellStart"/>
      <w:r>
        <w:rPr>
          <w:rFonts w:ascii="Arial" w:hAnsi="Arial" w:cs="Arial"/>
        </w:rPr>
        <w:t>organisation's</w:t>
      </w:r>
      <w:proofErr w:type="spellEnd"/>
      <w:r>
        <w:rPr>
          <w:rFonts w:ascii="Arial" w:hAnsi="Arial" w:cs="Arial"/>
        </w:rPr>
        <w:t xml:space="preserve"> impact on the natural environment, including resource consumption, waste generation, emissions, and ecological footprint (</w:t>
      </w:r>
      <w:proofErr w:type="spellStart"/>
      <w:r>
        <w:rPr>
          <w:rFonts w:ascii="Arial" w:hAnsi="Arial" w:cs="Arial"/>
        </w:rPr>
        <w:t>Alhaddi</w:t>
      </w:r>
      <w:proofErr w:type="spellEnd"/>
      <w:r>
        <w:rPr>
          <w:rFonts w:ascii="Arial" w:hAnsi="Arial" w:cs="Arial"/>
        </w:rPr>
        <w:t>, 2015).</w:t>
      </w:r>
    </w:p>
    <w:p w14:paraId="7881924E" w14:textId="77777777" w:rsidR="00047DC5" w:rsidRDefault="00047DC5" w:rsidP="00047DC5">
      <w:pPr>
        <w:pStyle w:val="Heading3"/>
      </w:pPr>
      <w:bookmarkStart w:id="19" w:name="_Toc238549776"/>
      <w:r>
        <w:t>2.3.2 Adaptation for Healthcare Workforce Analysis</w:t>
      </w:r>
      <w:bookmarkEnd w:id="19"/>
    </w:p>
    <w:p w14:paraId="1DD6AE07" w14:textId="77777777" w:rsidR="00047DC5" w:rsidRDefault="00047DC5" w:rsidP="00047DC5">
      <w:pPr>
        <w:spacing w:line="360" w:lineRule="auto"/>
        <w:jc w:val="both"/>
      </w:pPr>
      <w:r>
        <w:rPr>
          <w:rFonts w:ascii="Arial" w:hAnsi="Arial" w:cs="Arial"/>
        </w:rPr>
        <w:t>This study adapts TBL to focus on </w:t>
      </w:r>
      <w:r>
        <w:rPr>
          <w:rFonts w:ascii="Arial" w:hAnsi="Arial" w:cs="Arial"/>
          <w:b/>
          <w:bCs/>
        </w:rPr>
        <w:t>social</w:t>
      </w:r>
      <w:r>
        <w:rPr>
          <w:rFonts w:ascii="Arial" w:hAnsi="Arial" w:cs="Arial"/>
        </w:rPr>
        <w:t> and </w:t>
      </w:r>
      <w:r>
        <w:rPr>
          <w:rFonts w:ascii="Arial" w:hAnsi="Arial" w:cs="Arial"/>
          <w:b/>
          <w:bCs/>
        </w:rPr>
        <w:t>economic</w:t>
      </w:r>
      <w:r>
        <w:rPr>
          <w:rFonts w:ascii="Arial" w:hAnsi="Arial" w:cs="Arial"/>
        </w:rPr>
        <w:t xml:space="preserve"> sustainability, </w:t>
      </w:r>
      <w:proofErr w:type="spellStart"/>
      <w:r>
        <w:rPr>
          <w:rFonts w:ascii="Arial" w:hAnsi="Arial" w:cs="Arial"/>
        </w:rPr>
        <w:t>recognising</w:t>
      </w:r>
      <w:proofErr w:type="spellEnd"/>
      <w:r>
        <w:rPr>
          <w:rFonts w:ascii="Arial" w:hAnsi="Arial" w:cs="Arial"/>
        </w:rPr>
        <w:t xml:space="preserve"> that the environmental dimension is not directly implicated in the relationship between immigration policy and workforce retention. This adaptation is consistent with healthcare sustainability research that selectively applies TBL dimensions based on research context (</w:t>
      </w:r>
      <w:proofErr w:type="spellStart"/>
      <w:r>
        <w:rPr>
          <w:rFonts w:ascii="Arial" w:hAnsi="Arial" w:cs="Arial"/>
        </w:rPr>
        <w:t>Alhaddi</w:t>
      </w:r>
      <w:proofErr w:type="spellEnd"/>
      <w:r>
        <w:rPr>
          <w:rFonts w:ascii="Arial" w:hAnsi="Arial" w:cs="Arial"/>
        </w:rPr>
        <w:t>, 2015).</w:t>
      </w:r>
    </w:p>
    <w:p w14:paraId="4FDF0767" w14:textId="77777777" w:rsidR="00047DC5" w:rsidRDefault="00047DC5" w:rsidP="00047DC5">
      <w:pPr>
        <w:spacing w:line="360" w:lineRule="auto"/>
        <w:jc w:val="both"/>
        <w:rPr>
          <w:rFonts w:ascii="Arial" w:hAnsi="Arial" w:cs="Arial"/>
        </w:rPr>
      </w:pPr>
      <w:r>
        <w:rPr>
          <w:rFonts w:ascii="Arial" w:hAnsi="Arial" w:cs="Arial"/>
        </w:rPr>
        <w:t xml:space="preserve">Social sustainability encompasses workforce wellbeing, equity, and opportunity. Key indicators include family unity – the ability to bring </w:t>
      </w:r>
      <w:proofErr w:type="spellStart"/>
      <w:r>
        <w:rPr>
          <w:rFonts w:ascii="Arial" w:hAnsi="Arial" w:cs="Arial"/>
        </w:rPr>
        <w:t>dependants</w:t>
      </w:r>
      <w:proofErr w:type="spellEnd"/>
      <w:r>
        <w:rPr>
          <w:rFonts w:ascii="Arial" w:hAnsi="Arial" w:cs="Arial"/>
        </w:rPr>
        <w:t xml:space="preserve"> (Home Office, 2025b); fair treatment – freedom from discrimination; training and career progression (Skills for Care, 2024); and job security. Economic sustainability encompasses the healthcare system's </w:t>
      </w:r>
      <w:r>
        <w:rPr>
          <w:rFonts w:ascii="Arial" w:hAnsi="Arial" w:cs="Arial"/>
        </w:rPr>
        <w:lastRenderedPageBreak/>
        <w:t>ability to maintain a stable, cost</w:t>
      </w:r>
      <w:r>
        <w:rPr>
          <w:rFonts w:ascii="Arial" w:hAnsi="Arial" w:cs="Arial"/>
        </w:rPr>
        <w:noBreakHyphen/>
        <w:t>effective workforce. Key indicators include workforce stability, cost</w:t>
      </w:r>
      <w:r>
        <w:rPr>
          <w:rFonts w:ascii="Arial" w:hAnsi="Arial" w:cs="Arial"/>
        </w:rPr>
        <w:noBreakHyphen/>
        <w:t>effectiveness, and productivity.</w:t>
      </w:r>
    </w:p>
    <w:p w14:paraId="3A2BD17C" w14:textId="77777777" w:rsidR="00047DC5" w:rsidRDefault="00047DC5" w:rsidP="00047DC5">
      <w:pPr>
        <w:pStyle w:val="Heading3"/>
      </w:pPr>
      <w:bookmarkStart w:id="20" w:name="_Toc238549777"/>
      <w:r>
        <w:t xml:space="preserve">2.3.3 </w:t>
      </w:r>
      <w:proofErr w:type="spellStart"/>
      <w:r>
        <w:t>Operationalising</w:t>
      </w:r>
      <w:proofErr w:type="spellEnd"/>
      <w:r>
        <w:t xml:space="preserve"> TBL for Quantitative Analysis</w:t>
      </w:r>
      <w:bookmarkEnd w:id="20"/>
    </w:p>
    <w:p w14:paraId="3E105E6F" w14:textId="77777777" w:rsidR="00047DC5" w:rsidRDefault="00047DC5" w:rsidP="00047DC5">
      <w:pPr>
        <w:spacing w:line="360" w:lineRule="auto"/>
        <w:jc w:val="both"/>
        <w:rPr>
          <w:rFonts w:ascii="Arial" w:hAnsi="Arial" w:cs="Arial"/>
        </w:rPr>
      </w:pPr>
      <w:r>
        <w:rPr>
          <w:rFonts w:ascii="Arial" w:hAnsi="Arial" w:cs="Arial"/>
        </w:rPr>
        <w:t>A legitimate criticism of the Triple Bottom Line framework is that it can become a vague 'checklist' rather than an analytical tool (</w:t>
      </w:r>
      <w:proofErr w:type="spellStart"/>
      <w:r>
        <w:rPr>
          <w:rFonts w:ascii="Arial" w:hAnsi="Arial" w:cs="Arial"/>
        </w:rPr>
        <w:t>Alhaddi</w:t>
      </w:r>
      <w:proofErr w:type="spellEnd"/>
      <w:r>
        <w:rPr>
          <w:rFonts w:ascii="Arial" w:hAnsi="Arial" w:cs="Arial"/>
        </w:rPr>
        <w:t xml:space="preserve">, 2015). To avoid this, this study </w:t>
      </w:r>
      <w:proofErr w:type="spellStart"/>
      <w:r>
        <w:rPr>
          <w:rFonts w:ascii="Arial" w:hAnsi="Arial" w:cs="Arial"/>
        </w:rPr>
        <w:t>operationalises</w:t>
      </w:r>
      <w:proofErr w:type="spellEnd"/>
      <w:r>
        <w:rPr>
          <w:rFonts w:ascii="Arial" w:hAnsi="Arial" w:cs="Arial"/>
        </w:rPr>
        <w:t xml:space="preserve"> each pillar with measurable indicators drawn from Home Office and ONS data, ensuring that the analysis moves beyond abstract principles to a testable evaluation of </w:t>
      </w:r>
      <w:proofErr w:type="gramStart"/>
      <w:r>
        <w:rPr>
          <w:rFonts w:ascii="Arial" w:hAnsi="Arial" w:cs="Arial"/>
        </w:rPr>
        <w:t>trade</w:t>
      </w:r>
      <w:r>
        <w:rPr>
          <w:rFonts w:ascii="Arial" w:hAnsi="Arial" w:cs="Arial"/>
        </w:rPr>
        <w:noBreakHyphen/>
        <w:t>offs</w:t>
      </w:r>
      <w:proofErr w:type="gramEnd"/>
      <w:r>
        <w:rPr>
          <w:rFonts w:ascii="Arial" w:hAnsi="Arial" w:cs="Arial"/>
        </w:rPr>
        <w:t>.</w:t>
      </w:r>
    </w:p>
    <w:p w14:paraId="1503A0BE" w14:textId="77777777" w:rsidR="00047DC5" w:rsidRDefault="00047DC5" w:rsidP="00047DC5">
      <w:pPr>
        <w:spacing w:line="360" w:lineRule="auto"/>
        <w:jc w:val="both"/>
        <w:rPr>
          <w:rFonts w:ascii="Arial" w:hAnsi="Arial" w:cs="Arial"/>
        </w:rPr>
      </w:pPr>
      <w:r>
        <w:rPr>
          <w:rFonts w:ascii="Arial" w:hAnsi="Arial" w:cs="Arial"/>
        </w:rPr>
        <w:t xml:space="preserve">For social sustainability, three key indicators have been identified. The first is visa grant rates for </w:t>
      </w:r>
      <w:proofErr w:type="spellStart"/>
      <w:r>
        <w:rPr>
          <w:rFonts w:ascii="Arial" w:hAnsi="Arial" w:cs="Arial"/>
        </w:rPr>
        <w:t>dependants</w:t>
      </w:r>
      <w:proofErr w:type="spellEnd"/>
      <w:r>
        <w:rPr>
          <w:rFonts w:ascii="Arial" w:hAnsi="Arial" w:cs="Arial"/>
        </w:rPr>
        <w:t xml:space="preserve"> of HCSWs, which serves as a proxy for family unity and the ability of migrant workers to maintain family relationships. The second is the proportion of migrant HCSWs reporting intentions to remain in the UK long</w:t>
      </w:r>
      <w:r>
        <w:rPr>
          <w:rFonts w:ascii="Arial" w:hAnsi="Arial" w:cs="Arial"/>
        </w:rPr>
        <w:noBreakHyphen/>
        <w:t xml:space="preserve">term, which, where available from existing secondary surveys, indicates workforce commitment and the perceived attractiveness of the UK as a destination. The third is the number of </w:t>
      </w:r>
      <w:proofErr w:type="spellStart"/>
      <w:r>
        <w:rPr>
          <w:rFonts w:ascii="Arial" w:hAnsi="Arial" w:cs="Arial"/>
        </w:rPr>
        <w:t>dependant</w:t>
      </w:r>
      <w:proofErr w:type="spellEnd"/>
      <w:r>
        <w:rPr>
          <w:rFonts w:ascii="Arial" w:hAnsi="Arial" w:cs="Arial"/>
        </w:rPr>
        <w:t xml:space="preserve"> visas granted per HCSW applicant, which provides a quantitative proxy for family unity that can be tracked over time.</w:t>
      </w:r>
    </w:p>
    <w:p w14:paraId="473A5963" w14:textId="77777777" w:rsidR="00047DC5" w:rsidRDefault="00047DC5" w:rsidP="00047DC5">
      <w:pPr>
        <w:spacing w:line="360" w:lineRule="auto"/>
        <w:jc w:val="both"/>
        <w:rPr>
          <w:rFonts w:ascii="Arial" w:hAnsi="Arial" w:cs="Arial"/>
        </w:rPr>
      </w:pPr>
      <w:r>
        <w:rPr>
          <w:rFonts w:ascii="Arial" w:hAnsi="Arial" w:cs="Arial"/>
        </w:rPr>
        <w:t>For economic sustainability, three key indicators have also been identified. The first is the estimated cost of replacing a departing HCSW, including recruitment, relocation, and training costs. The second is a comparison of visa fee revenues versus NHS recruitment expenditure, which provides insight into the financial flows associated with international recruitment. The third is the Home Office's modelled 'outflow profiles', which project workforce departures under different policy scenarios (Home Office, 2025b).</w:t>
      </w:r>
    </w:p>
    <w:p w14:paraId="248405EE" w14:textId="77777777" w:rsidR="00047DC5" w:rsidRDefault="00047DC5" w:rsidP="00047DC5">
      <w:pPr>
        <w:spacing w:line="360" w:lineRule="auto"/>
        <w:jc w:val="both"/>
        <w:rPr>
          <w:rFonts w:ascii="Arial" w:hAnsi="Arial" w:cs="Arial"/>
        </w:rPr>
      </w:pPr>
      <w:r>
        <w:rPr>
          <w:rFonts w:ascii="Arial" w:hAnsi="Arial" w:cs="Arial"/>
        </w:rPr>
        <w:t xml:space="preserve">By anchoring TBL to these specific, observable metrics, the analysis can evaluate the </w:t>
      </w:r>
      <w:proofErr w:type="gramStart"/>
      <w:r>
        <w:rPr>
          <w:rFonts w:ascii="Arial" w:hAnsi="Arial" w:cs="Arial"/>
        </w:rPr>
        <w:t>trade</w:t>
      </w:r>
      <w:r>
        <w:rPr>
          <w:rFonts w:ascii="Arial" w:hAnsi="Arial" w:cs="Arial"/>
        </w:rPr>
        <w:noBreakHyphen/>
        <w:t>offs</w:t>
      </w:r>
      <w:proofErr w:type="gramEnd"/>
      <w:r>
        <w:rPr>
          <w:rFonts w:ascii="Arial" w:hAnsi="Arial" w:cs="Arial"/>
        </w:rPr>
        <w:t xml:space="preserve"> between social and economic sustainability. Policies designed to reduce net migration may achieve </w:t>
      </w:r>
      <w:proofErr w:type="gramStart"/>
      <w:r>
        <w:rPr>
          <w:rFonts w:ascii="Arial" w:hAnsi="Arial" w:cs="Arial"/>
        </w:rPr>
        <w:t>short</w:t>
      </w:r>
      <w:r>
        <w:rPr>
          <w:rFonts w:ascii="Arial" w:hAnsi="Arial" w:cs="Arial"/>
        </w:rPr>
        <w:noBreakHyphen/>
        <w:t>term</w:t>
      </w:r>
      <w:proofErr w:type="gramEnd"/>
      <w:r>
        <w:rPr>
          <w:rFonts w:ascii="Arial" w:hAnsi="Arial" w:cs="Arial"/>
        </w:rPr>
        <w:t xml:space="preserve"> economic goals, such as lower migration numbers, while eroding social sustainability through family separation and reduced worker wellbeing. This erosion ultimately damages long</w:t>
      </w:r>
      <w:r>
        <w:rPr>
          <w:rFonts w:ascii="Arial" w:hAnsi="Arial" w:cs="Arial"/>
        </w:rPr>
        <w:noBreakHyphen/>
        <w:t>term economic sustainability by increasing replacement costs and creating workforce instability.</w:t>
      </w:r>
    </w:p>
    <w:p w14:paraId="77E44291" w14:textId="77777777" w:rsidR="00047DC5" w:rsidRDefault="00047DC5" w:rsidP="00047DC5">
      <w:pPr>
        <w:pStyle w:val="Heading2"/>
      </w:pPr>
      <w:bookmarkStart w:id="21" w:name="_Toc238549778"/>
      <w:r>
        <w:lastRenderedPageBreak/>
        <w:t>2.4 Conservation of Resources (COR) Theory</w:t>
      </w:r>
      <w:bookmarkEnd w:id="21"/>
    </w:p>
    <w:p w14:paraId="0ADA9CFB" w14:textId="77777777" w:rsidR="00047DC5" w:rsidRDefault="00047DC5" w:rsidP="00047DC5">
      <w:pPr>
        <w:pStyle w:val="Heading3"/>
      </w:pPr>
      <w:bookmarkStart w:id="22" w:name="_Toc238549779"/>
      <w:r>
        <w:t>2.4.1 Origins and Core Propositions</w:t>
      </w:r>
      <w:bookmarkEnd w:id="22"/>
    </w:p>
    <w:p w14:paraId="7FC4F6A9" w14:textId="77777777" w:rsidR="00047DC5" w:rsidRDefault="00047DC5" w:rsidP="00047DC5">
      <w:pPr>
        <w:spacing w:line="360" w:lineRule="auto"/>
        <w:jc w:val="both"/>
        <w:rPr>
          <w:rFonts w:ascii="Arial" w:hAnsi="Arial" w:cs="Arial"/>
        </w:rPr>
      </w:pPr>
      <w:r>
        <w:rPr>
          <w:rFonts w:ascii="Arial" w:hAnsi="Arial" w:cs="Arial"/>
        </w:rPr>
        <w:t xml:space="preserve">Conservation of Resources (COR) Theory, originally developed by </w:t>
      </w:r>
      <w:proofErr w:type="spellStart"/>
      <w:r>
        <w:rPr>
          <w:rFonts w:ascii="Arial" w:hAnsi="Arial" w:cs="Arial"/>
        </w:rPr>
        <w:t>Hobfoll</w:t>
      </w:r>
      <w:proofErr w:type="spellEnd"/>
      <w:r>
        <w:rPr>
          <w:rFonts w:ascii="Arial" w:hAnsi="Arial" w:cs="Arial"/>
        </w:rPr>
        <w:t xml:space="preserve"> (1989), offers a comprehensive framework for understanding stress, coping, and human </w:t>
      </w:r>
      <w:proofErr w:type="spellStart"/>
      <w:r>
        <w:rPr>
          <w:rFonts w:ascii="Arial" w:hAnsi="Arial" w:cs="Arial"/>
        </w:rPr>
        <w:t>behaviour</w:t>
      </w:r>
      <w:proofErr w:type="spellEnd"/>
      <w:r>
        <w:rPr>
          <w:rFonts w:ascii="Arial" w:hAnsi="Arial" w:cs="Arial"/>
        </w:rPr>
        <w:t xml:space="preserve"> in </w:t>
      </w:r>
      <w:proofErr w:type="spellStart"/>
      <w:r>
        <w:rPr>
          <w:rFonts w:ascii="Arial" w:hAnsi="Arial" w:cs="Arial"/>
        </w:rPr>
        <w:t>organisational</w:t>
      </w:r>
      <w:proofErr w:type="spellEnd"/>
      <w:r>
        <w:rPr>
          <w:rFonts w:ascii="Arial" w:hAnsi="Arial" w:cs="Arial"/>
        </w:rPr>
        <w:t xml:space="preserve"> contexts. The theory proposes that individuals seek to acquire, maintain, and protect valuable resources. Stress occurs when resources are threatened, lost, or insufficiently replenished. Resources may include objective resources such as employment, income, and housing; personal resources such as self</w:t>
      </w:r>
      <w:r>
        <w:rPr>
          <w:rFonts w:ascii="Arial" w:hAnsi="Arial" w:cs="Arial"/>
        </w:rPr>
        <w:noBreakHyphen/>
        <w:t>esteem and sense of mastery; and condition resources such as social support, family relationships, and future opportunities.</w:t>
      </w:r>
    </w:p>
    <w:p w14:paraId="4237BB6A" w14:textId="77777777" w:rsidR="00047DC5" w:rsidRDefault="00047DC5" w:rsidP="00047DC5">
      <w:pPr>
        <w:spacing w:line="360" w:lineRule="auto"/>
        <w:jc w:val="both"/>
        <w:rPr>
          <w:rFonts w:ascii="Arial" w:hAnsi="Arial" w:cs="Arial"/>
        </w:rPr>
      </w:pPr>
      <w:r>
        <w:rPr>
          <w:rFonts w:ascii="Arial" w:hAnsi="Arial" w:cs="Arial"/>
        </w:rPr>
        <w:t>The theory is built on four core propositions. First, resource loss is disproportionately more impactful than resource gain: individuals are more sensitive to losses than to gains, and the impact of resource loss is greater and more lasting than the impact of equivalent resource gain. Second, resource investments are necessary to protect against resource loss: individuals must invest resources to protect against future resource loss, to recover from losses, and to gain new resources. Third, resource loss creates a spiral of further loss: initial resource loss can trigger a cascade of further losses, as individuals lack the resources to protect against subsequent threats. Fourth, resource gain creates a spiral of further gain: conversely, resource gain can trigger a virtuous cycle of further gain, as individuals are empowered to invest in new resources.</w:t>
      </w:r>
    </w:p>
    <w:p w14:paraId="6F1D9B76" w14:textId="77777777" w:rsidR="00047DC5" w:rsidRDefault="00047DC5" w:rsidP="00047DC5">
      <w:pPr>
        <w:spacing w:line="360" w:lineRule="auto"/>
        <w:jc w:val="both"/>
        <w:rPr>
          <w:rFonts w:ascii="Arial" w:hAnsi="Arial" w:cs="Arial"/>
        </w:rPr>
      </w:pPr>
      <w:r>
        <w:rPr>
          <w:rFonts w:ascii="Arial" w:hAnsi="Arial" w:cs="Arial"/>
        </w:rPr>
        <w:t>A particularly relevant concept within COR Theory is that of resource caravans – the idea that resources tend to travel together. Individuals with strong resource reservoirs are better positioned to acquire new resources, while those with depleted resources struggle to prevent further losses (</w:t>
      </w:r>
      <w:proofErr w:type="spellStart"/>
      <w:r>
        <w:rPr>
          <w:rFonts w:ascii="Arial" w:hAnsi="Arial" w:cs="Arial"/>
        </w:rPr>
        <w:t>Hobfoll</w:t>
      </w:r>
      <w:proofErr w:type="spellEnd"/>
      <w:r>
        <w:rPr>
          <w:rFonts w:ascii="Arial" w:hAnsi="Arial" w:cs="Arial"/>
        </w:rPr>
        <w:t>, 1989). This concept is especially pertinent for understanding the experiences of migrant workers, for whom the loss of one resource – such as the ability to bring family members to the UK – can trigger a cascade of further losses, including social support, housing stability, and emotional wellbeing.</w:t>
      </w:r>
    </w:p>
    <w:p w14:paraId="5DE1E26B" w14:textId="77777777" w:rsidR="00047DC5" w:rsidRDefault="00047DC5" w:rsidP="00047DC5">
      <w:pPr>
        <w:pStyle w:val="Heading3"/>
      </w:pPr>
      <w:bookmarkStart w:id="23" w:name="_Toc238549780"/>
      <w:r>
        <w:lastRenderedPageBreak/>
        <w:t>2.4.2 Application to Migrant Worker Experiences</w:t>
      </w:r>
      <w:bookmarkEnd w:id="23"/>
    </w:p>
    <w:p w14:paraId="3DB81A15" w14:textId="77777777" w:rsidR="00047DC5" w:rsidRDefault="00047DC5" w:rsidP="00047DC5">
      <w:pPr>
        <w:spacing w:line="360" w:lineRule="auto"/>
        <w:jc w:val="both"/>
        <w:rPr>
          <w:rFonts w:ascii="Arial" w:hAnsi="Arial" w:cs="Arial"/>
        </w:rPr>
      </w:pPr>
      <w:r>
        <w:rPr>
          <w:rFonts w:ascii="Arial" w:hAnsi="Arial" w:cs="Arial"/>
        </w:rPr>
        <w:t xml:space="preserve">COR Theory has been increasingly applied to understand migration intentions and workforce withdrawal in healthcare (Lee, 2015; ScienceDirect, 2025). For migrant HCSWs, relevant resources include employment security, family unity, future opportunities, social status, and financial resources. The 2025 immigration reforms threaten these resources: </w:t>
      </w:r>
      <w:proofErr w:type="spellStart"/>
      <w:r>
        <w:rPr>
          <w:rFonts w:ascii="Arial" w:hAnsi="Arial" w:cs="Arial"/>
        </w:rPr>
        <w:t>dependant</w:t>
      </w:r>
      <w:proofErr w:type="spellEnd"/>
      <w:r>
        <w:rPr>
          <w:rFonts w:ascii="Arial" w:hAnsi="Arial" w:cs="Arial"/>
        </w:rPr>
        <w:t xml:space="preserve"> visa restrictions threaten family unity (Home Office, 2025b; </w:t>
      </w:r>
      <w:proofErr w:type="spellStart"/>
      <w:r>
        <w:rPr>
          <w:rFonts w:ascii="Arial" w:hAnsi="Arial" w:cs="Arial"/>
        </w:rPr>
        <w:t>Seraphus</w:t>
      </w:r>
      <w:proofErr w:type="spellEnd"/>
      <w:r>
        <w:rPr>
          <w:rFonts w:ascii="Arial" w:hAnsi="Arial" w:cs="Arial"/>
        </w:rPr>
        <w:t>, 2026); the closure of pathways to settlement threatens permanent residency (Home Office, 2025a; Rove Legal, 2026); and the proposed ILR extension compounds uncertainty (RCN, 2026).</w:t>
      </w:r>
    </w:p>
    <w:p w14:paraId="5ACD7118" w14:textId="77777777" w:rsidR="00047DC5" w:rsidRDefault="00047DC5" w:rsidP="00047DC5">
      <w:pPr>
        <w:pStyle w:val="Heading3"/>
      </w:pPr>
      <w:bookmarkStart w:id="24" w:name="_Toc238549781"/>
      <w:r>
        <w:t>2.4.3 Empirical Evidence on Resource Threats and Workforce Withdrawal</w:t>
      </w:r>
      <w:bookmarkEnd w:id="24"/>
    </w:p>
    <w:p w14:paraId="16787AEA" w14:textId="77777777" w:rsidR="00047DC5" w:rsidRDefault="00047DC5" w:rsidP="00047DC5">
      <w:pPr>
        <w:spacing w:line="360" w:lineRule="auto"/>
        <w:jc w:val="both"/>
        <w:rPr>
          <w:rFonts w:ascii="Arial" w:hAnsi="Arial" w:cs="Arial"/>
        </w:rPr>
      </w:pPr>
      <w:r>
        <w:rPr>
          <w:rFonts w:ascii="Arial" w:hAnsi="Arial" w:cs="Arial"/>
        </w:rPr>
        <w:t xml:space="preserve">Recent empirical studies have applied COR Theory to understand healthcare worker migration intentions. For example, research on Nigerian nurses found that decent work conditions – including job security, fair treatment, and family support – were associated with lower emigration intention, mediated by reduced burnout and higher affective commitment (ScienceDirect, 2025). This finding is directly relevant to the UK context: if immigration policies erode job security, family unity, and </w:t>
      </w:r>
      <w:proofErr w:type="gramStart"/>
      <w:r>
        <w:rPr>
          <w:rFonts w:ascii="Arial" w:hAnsi="Arial" w:cs="Arial"/>
        </w:rPr>
        <w:t>future prospects</w:t>
      </w:r>
      <w:proofErr w:type="gramEnd"/>
      <w:r>
        <w:rPr>
          <w:rFonts w:ascii="Arial" w:hAnsi="Arial" w:cs="Arial"/>
        </w:rPr>
        <w:t>, COR Theory predicts increased stress, reduced commitment, and workforce withdrawal.</w:t>
      </w:r>
    </w:p>
    <w:p w14:paraId="27102AA4" w14:textId="77777777" w:rsidR="00047DC5" w:rsidRDefault="00047DC5" w:rsidP="00047DC5">
      <w:pPr>
        <w:spacing w:line="360" w:lineRule="auto"/>
        <w:jc w:val="both"/>
        <w:rPr>
          <w:rFonts w:ascii="Arial" w:hAnsi="Arial" w:cs="Arial"/>
        </w:rPr>
      </w:pPr>
      <w:r>
        <w:rPr>
          <w:rFonts w:ascii="Arial" w:hAnsi="Arial" w:cs="Arial"/>
        </w:rPr>
        <w:t>Similarly, research on healthcare workers in crisis contexts has found that resource threats – such as job insecurity, inadequate remuneration, and lack of professional development opportunities – are significant predictors of migration intentions (Nasr et al., 2026). The impact of employee wellbeing and job security on migration intentions has been demonstrated in studies of private sector nurses, confirming the applicability of COR Theory across different healthcare contexts (DIVA-Portal, 2025).</w:t>
      </w:r>
    </w:p>
    <w:p w14:paraId="3240A1EE" w14:textId="77777777" w:rsidR="00047DC5" w:rsidRDefault="00047DC5" w:rsidP="00047DC5">
      <w:pPr>
        <w:spacing w:line="360" w:lineRule="auto"/>
        <w:jc w:val="both"/>
        <w:rPr>
          <w:rFonts w:ascii="Arial" w:hAnsi="Arial" w:cs="Arial"/>
        </w:rPr>
      </w:pPr>
      <w:r>
        <w:rPr>
          <w:rFonts w:ascii="Arial" w:hAnsi="Arial" w:cs="Arial"/>
        </w:rPr>
        <w:t>The proposed 'Earned Settlement' system, which will lengthen and restrict routes to indefinite leave to remain for an estimated 616,000 overseas workers in the health and care sector who came to the UK between 2022 and 2024, represents a significant resource threat (</w:t>
      </w:r>
      <w:proofErr w:type="spellStart"/>
      <w:r>
        <w:rPr>
          <w:rFonts w:ascii="Arial" w:hAnsi="Arial" w:cs="Arial"/>
        </w:rPr>
        <w:t>Deivanayagam</w:t>
      </w:r>
      <w:proofErr w:type="spellEnd"/>
      <w:r>
        <w:rPr>
          <w:rFonts w:ascii="Arial" w:hAnsi="Arial" w:cs="Arial"/>
        </w:rPr>
        <w:t xml:space="preserve"> et al., 2026). This immigration reform is especially perverse in health and social care: it makes overseas health and care workers 'earn' settlement mainly through continuous earnings and income tax, rather than </w:t>
      </w:r>
      <w:proofErr w:type="spellStart"/>
      <w:r>
        <w:rPr>
          <w:rFonts w:ascii="Arial" w:hAnsi="Arial" w:cs="Arial"/>
        </w:rPr>
        <w:t>recognising</w:t>
      </w:r>
      <w:proofErr w:type="spellEnd"/>
      <w:r>
        <w:rPr>
          <w:rFonts w:ascii="Arial" w:hAnsi="Arial" w:cs="Arial"/>
        </w:rPr>
        <w:t xml:space="preserve"> </w:t>
      </w:r>
      <w:r>
        <w:rPr>
          <w:rFonts w:ascii="Arial" w:hAnsi="Arial" w:cs="Arial"/>
        </w:rPr>
        <w:lastRenderedPageBreak/>
        <w:t>the essential contribution of care itself (</w:t>
      </w:r>
      <w:proofErr w:type="spellStart"/>
      <w:r>
        <w:rPr>
          <w:rFonts w:ascii="Arial" w:hAnsi="Arial" w:cs="Arial"/>
        </w:rPr>
        <w:t>Deivanayagam</w:t>
      </w:r>
      <w:proofErr w:type="spellEnd"/>
      <w:r>
        <w:rPr>
          <w:rFonts w:ascii="Arial" w:hAnsi="Arial" w:cs="Arial"/>
        </w:rPr>
        <w:t xml:space="preserve"> et al., 2026). This is </w:t>
      </w:r>
      <w:proofErr w:type="spellStart"/>
      <w:r>
        <w:rPr>
          <w:rFonts w:ascii="Arial" w:hAnsi="Arial" w:cs="Arial"/>
        </w:rPr>
        <w:t>demoralising</w:t>
      </w:r>
      <w:proofErr w:type="spellEnd"/>
      <w:r>
        <w:rPr>
          <w:rFonts w:ascii="Arial" w:hAnsi="Arial" w:cs="Arial"/>
        </w:rPr>
        <w:t xml:space="preserve"> for NHS and social care staff, who are already underpaid, undervalued, and overworked.</w:t>
      </w:r>
    </w:p>
    <w:p w14:paraId="749104D2" w14:textId="77777777" w:rsidR="00047DC5" w:rsidRDefault="00047DC5" w:rsidP="00047DC5">
      <w:pPr>
        <w:pStyle w:val="Heading3"/>
      </w:pPr>
      <w:bookmarkStart w:id="25" w:name="_Toc238549782"/>
      <w:r>
        <w:t>2.4.4 The 'Temporariness' Trap</w:t>
      </w:r>
      <w:bookmarkEnd w:id="25"/>
    </w:p>
    <w:p w14:paraId="7A72D290" w14:textId="77777777" w:rsidR="00047DC5" w:rsidRDefault="00047DC5" w:rsidP="00047DC5">
      <w:pPr>
        <w:spacing w:line="360" w:lineRule="auto"/>
        <w:jc w:val="both"/>
        <w:rPr>
          <w:rFonts w:ascii="Arial" w:hAnsi="Arial" w:cs="Arial"/>
        </w:rPr>
      </w:pPr>
      <w:r>
        <w:rPr>
          <w:rFonts w:ascii="Arial" w:hAnsi="Arial" w:cs="Arial"/>
        </w:rPr>
        <w:t>A significant theme within migration literature concerns the shift from pathways leading to long-term settlement towards more temporary forms of migration. Stewart and Mulvey (2014) identified the concept of 'liminality' – a state of being 'in-between' – experienced by migrants who face uncertain futures. Research suggests that temporary immigration arrangements create uncertainty among migrant workers and discourage long-term investment in host-country specific human capital. Individuals who perceive their future status as uncertain may be less likely to pursue career development opportunities or establish long-term professional commitments within the host country (Stewart and Mulvey, 2014).</w:t>
      </w:r>
    </w:p>
    <w:p w14:paraId="2204DC45" w14:textId="77777777" w:rsidR="00047DC5" w:rsidRDefault="00047DC5" w:rsidP="00047DC5">
      <w:pPr>
        <w:spacing w:line="360" w:lineRule="auto"/>
        <w:jc w:val="both"/>
        <w:rPr>
          <w:rFonts w:ascii="Arial" w:hAnsi="Arial" w:cs="Arial"/>
        </w:rPr>
      </w:pPr>
      <w:r>
        <w:rPr>
          <w:rFonts w:ascii="Arial" w:hAnsi="Arial" w:cs="Arial"/>
        </w:rPr>
        <w:t xml:space="preserve">The UK's immigration policy changes, by removing the expectation of long-term settlement for care workers, create precisely this uncertainty. Migrant workers who previously might have envisaged a future in the UK – building careers, raising families, contributing to communities – now face a temporary, uncertain status. COR Theory predicts that such workers will engage in 'resource </w:t>
      </w:r>
      <w:proofErr w:type="spellStart"/>
      <w:r>
        <w:rPr>
          <w:rFonts w:ascii="Arial" w:hAnsi="Arial" w:cs="Arial"/>
        </w:rPr>
        <w:t>defence</w:t>
      </w:r>
      <w:proofErr w:type="spellEnd"/>
      <w:r>
        <w:rPr>
          <w:rFonts w:ascii="Arial" w:hAnsi="Arial" w:cs="Arial"/>
        </w:rPr>
        <w:t>' – reducing effort, seeking alternative employment elsewhere, or leaving the country entirely.</w:t>
      </w:r>
    </w:p>
    <w:p w14:paraId="2F830395" w14:textId="77777777" w:rsidR="00047DC5" w:rsidRDefault="00047DC5" w:rsidP="00047DC5">
      <w:pPr>
        <w:pStyle w:val="Heading2"/>
      </w:pPr>
      <w:bookmarkStart w:id="26" w:name="_Toc238549783"/>
      <w:r>
        <w:t>2.5 Integration of Theories: A Unified Analytical Framework</w:t>
      </w:r>
      <w:bookmarkEnd w:id="26"/>
    </w:p>
    <w:p w14:paraId="502D2DAA" w14:textId="77777777" w:rsidR="00047DC5" w:rsidRDefault="00047DC5" w:rsidP="00047DC5">
      <w:pPr>
        <w:spacing w:line="360" w:lineRule="auto"/>
        <w:jc w:val="both"/>
        <w:rPr>
          <w:rFonts w:ascii="Arial" w:hAnsi="Arial" w:cs="Arial"/>
        </w:rPr>
      </w:pPr>
      <w:r>
        <w:rPr>
          <w:rFonts w:ascii="Arial" w:hAnsi="Arial" w:cs="Arial"/>
        </w:rPr>
        <w:t>The three theories reviewed above – Human Capital Theory, TBL, and COR Theory – operate at different levels of analysis but together provide a comprehensive framework for understanding the impact of immigration policy changes on migrant healthcare support worker sustainability.</w:t>
      </w:r>
    </w:p>
    <w:p w14:paraId="703DB7FC" w14:textId="77777777" w:rsidR="00047DC5" w:rsidRDefault="00047DC5" w:rsidP="00047DC5">
      <w:pPr>
        <w:pStyle w:val="Caption"/>
        <w:keepNext/>
      </w:pPr>
      <w:bookmarkStart w:id="27" w:name="_Toc238206085"/>
      <w:r>
        <w:rPr>
          <w:sz w:val="28"/>
          <w:szCs w:val="28"/>
        </w:rPr>
        <w:lastRenderedPageBreak/>
        <w:t>Table 1Integration of Theories.</w:t>
      </w:r>
      <w:bookmarkEnd w:id="27"/>
    </w:p>
    <w:tbl>
      <w:tblPr>
        <w:tblW w:w="9350" w:type="dxa"/>
        <w:tblCellMar>
          <w:left w:w="10" w:type="dxa"/>
          <w:right w:w="10" w:type="dxa"/>
        </w:tblCellMar>
        <w:tblLook w:val="04A0" w:firstRow="1" w:lastRow="0" w:firstColumn="1" w:lastColumn="0" w:noHBand="0" w:noVBand="1"/>
      </w:tblPr>
      <w:tblGrid>
        <w:gridCol w:w="1303"/>
        <w:gridCol w:w="2251"/>
        <w:gridCol w:w="3454"/>
        <w:gridCol w:w="2342"/>
      </w:tblGrid>
      <w:tr w:rsidR="00047DC5" w14:paraId="3D8374D6" w14:textId="77777777" w:rsidTr="00AE2E92">
        <w:trPr>
          <w:tblHeader/>
        </w:trPr>
        <w:tc>
          <w:tcPr>
            <w:tcW w:w="1303"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0AC8279A" w14:textId="77777777" w:rsidR="00047DC5" w:rsidRDefault="00047DC5" w:rsidP="00AE2E92">
            <w:pPr>
              <w:spacing w:line="360" w:lineRule="auto"/>
              <w:jc w:val="both"/>
              <w:rPr>
                <w:rFonts w:ascii="Arial" w:hAnsi="Arial" w:cs="Arial"/>
              </w:rPr>
            </w:pPr>
            <w:r>
              <w:rPr>
                <w:rFonts w:ascii="Arial" w:hAnsi="Arial" w:cs="Arial"/>
              </w:rPr>
              <w:t>Theory</w:t>
            </w:r>
          </w:p>
        </w:tc>
        <w:tc>
          <w:tcPr>
            <w:tcW w:w="225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3BA3E589" w14:textId="77777777" w:rsidR="00047DC5" w:rsidRDefault="00047DC5" w:rsidP="00AE2E92">
            <w:pPr>
              <w:spacing w:line="360" w:lineRule="auto"/>
              <w:jc w:val="both"/>
              <w:rPr>
                <w:rFonts w:ascii="Arial" w:hAnsi="Arial" w:cs="Arial"/>
              </w:rPr>
            </w:pPr>
            <w:r>
              <w:rPr>
                <w:rFonts w:ascii="Arial" w:hAnsi="Arial" w:cs="Arial"/>
              </w:rPr>
              <w:t>Level of Analysis</w:t>
            </w:r>
          </w:p>
        </w:tc>
        <w:tc>
          <w:tcPr>
            <w:tcW w:w="3454"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19A98127" w14:textId="77777777" w:rsidR="00047DC5" w:rsidRDefault="00047DC5" w:rsidP="00AE2E92">
            <w:pPr>
              <w:spacing w:line="360" w:lineRule="auto"/>
              <w:jc w:val="both"/>
              <w:rPr>
                <w:rFonts w:ascii="Arial" w:hAnsi="Arial" w:cs="Arial"/>
              </w:rPr>
            </w:pPr>
            <w:r>
              <w:rPr>
                <w:rFonts w:ascii="Arial" w:hAnsi="Arial" w:cs="Arial"/>
              </w:rPr>
              <w:t>What It Explains</w:t>
            </w:r>
          </w:p>
        </w:tc>
        <w:tc>
          <w:tcPr>
            <w:tcW w:w="2342"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16CC7A7B" w14:textId="77777777" w:rsidR="00047DC5" w:rsidRDefault="00047DC5" w:rsidP="00AE2E92">
            <w:pPr>
              <w:spacing w:line="360" w:lineRule="auto"/>
              <w:jc w:val="both"/>
              <w:rPr>
                <w:rFonts w:ascii="Arial" w:hAnsi="Arial" w:cs="Arial"/>
              </w:rPr>
            </w:pPr>
            <w:r>
              <w:rPr>
                <w:rFonts w:ascii="Arial" w:hAnsi="Arial" w:cs="Arial"/>
              </w:rPr>
              <w:t>Key Mechanism</w:t>
            </w:r>
          </w:p>
        </w:tc>
      </w:tr>
      <w:tr w:rsidR="00047DC5" w14:paraId="1E5FC8E7" w14:textId="77777777" w:rsidTr="00AE2E92">
        <w:tc>
          <w:tcPr>
            <w:tcW w:w="1303"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7725F966" w14:textId="77777777" w:rsidR="00047DC5" w:rsidRDefault="00047DC5" w:rsidP="00AE2E92">
            <w:pPr>
              <w:spacing w:line="360" w:lineRule="auto"/>
              <w:jc w:val="both"/>
              <w:rPr>
                <w:rFonts w:ascii="Arial" w:hAnsi="Arial" w:cs="Arial"/>
              </w:rPr>
            </w:pPr>
            <w:r>
              <w:rPr>
                <w:rFonts w:ascii="Arial" w:hAnsi="Arial" w:cs="Arial"/>
              </w:rPr>
              <w:t>Human Capital Theory</w:t>
            </w:r>
          </w:p>
        </w:tc>
        <w:tc>
          <w:tcPr>
            <w:tcW w:w="225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06DDBF16" w14:textId="77777777" w:rsidR="00047DC5" w:rsidRDefault="00047DC5" w:rsidP="00AE2E92">
            <w:pPr>
              <w:spacing w:line="360" w:lineRule="auto"/>
              <w:jc w:val="both"/>
              <w:rPr>
                <w:rFonts w:ascii="Arial" w:hAnsi="Arial" w:cs="Arial"/>
              </w:rPr>
            </w:pPr>
            <w:r>
              <w:rPr>
                <w:rFonts w:ascii="Arial" w:hAnsi="Arial" w:cs="Arial"/>
              </w:rPr>
              <w:t xml:space="preserve">Economic / </w:t>
            </w:r>
            <w:proofErr w:type="spellStart"/>
            <w:r>
              <w:rPr>
                <w:rFonts w:ascii="Arial" w:hAnsi="Arial" w:cs="Arial"/>
              </w:rPr>
              <w:t>Organisational</w:t>
            </w:r>
            <w:proofErr w:type="spellEnd"/>
          </w:p>
        </w:tc>
        <w:tc>
          <w:tcPr>
            <w:tcW w:w="3454"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03F85A61" w14:textId="77777777" w:rsidR="00047DC5" w:rsidRDefault="00047DC5" w:rsidP="00AE2E92">
            <w:pPr>
              <w:spacing w:line="360" w:lineRule="auto"/>
              <w:jc w:val="both"/>
              <w:rPr>
                <w:rFonts w:ascii="Arial" w:hAnsi="Arial" w:cs="Arial"/>
              </w:rPr>
            </w:pPr>
            <w:r>
              <w:rPr>
                <w:rFonts w:ascii="Arial" w:hAnsi="Arial" w:cs="Arial"/>
              </w:rPr>
              <w:t>Why losing migrant workers is costly (loss of specific knowledge, recruitment and retraining costs)</w:t>
            </w:r>
          </w:p>
        </w:tc>
        <w:tc>
          <w:tcPr>
            <w:tcW w:w="2342"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69AFF53B" w14:textId="77777777" w:rsidR="00047DC5" w:rsidRDefault="00047DC5" w:rsidP="00AE2E92">
            <w:pPr>
              <w:spacing w:line="360" w:lineRule="auto"/>
              <w:jc w:val="both"/>
              <w:rPr>
                <w:rFonts w:ascii="Arial" w:hAnsi="Arial" w:cs="Arial"/>
              </w:rPr>
            </w:pPr>
            <w:r>
              <w:rPr>
                <w:rFonts w:ascii="Arial" w:hAnsi="Arial" w:cs="Arial"/>
              </w:rPr>
              <w:t>Investment in specific vs general human capital</w:t>
            </w:r>
          </w:p>
        </w:tc>
      </w:tr>
      <w:tr w:rsidR="00047DC5" w14:paraId="1D16558F" w14:textId="77777777" w:rsidTr="00AE2E92">
        <w:tc>
          <w:tcPr>
            <w:tcW w:w="1303"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5BAB120B" w14:textId="77777777" w:rsidR="00047DC5" w:rsidRDefault="00047DC5" w:rsidP="00AE2E92">
            <w:pPr>
              <w:spacing w:line="360" w:lineRule="auto"/>
              <w:jc w:val="both"/>
              <w:rPr>
                <w:rFonts w:ascii="Arial" w:hAnsi="Arial" w:cs="Arial"/>
              </w:rPr>
            </w:pPr>
            <w:r>
              <w:rPr>
                <w:rFonts w:ascii="Arial" w:hAnsi="Arial" w:cs="Arial"/>
              </w:rPr>
              <w:t>COR Theory</w:t>
            </w:r>
          </w:p>
        </w:tc>
        <w:tc>
          <w:tcPr>
            <w:tcW w:w="225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4CE01ED1" w14:textId="77777777" w:rsidR="00047DC5" w:rsidRDefault="00047DC5" w:rsidP="00AE2E92">
            <w:pPr>
              <w:spacing w:line="360" w:lineRule="auto"/>
              <w:jc w:val="both"/>
              <w:rPr>
                <w:rFonts w:ascii="Arial" w:hAnsi="Arial" w:cs="Arial"/>
              </w:rPr>
            </w:pPr>
            <w:r>
              <w:rPr>
                <w:rFonts w:ascii="Arial" w:hAnsi="Arial" w:cs="Arial"/>
              </w:rPr>
              <w:t>Individual / Psychological</w:t>
            </w:r>
          </w:p>
        </w:tc>
        <w:tc>
          <w:tcPr>
            <w:tcW w:w="3454"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4D0B0434" w14:textId="77777777" w:rsidR="00047DC5" w:rsidRDefault="00047DC5" w:rsidP="00AE2E92">
            <w:pPr>
              <w:spacing w:line="360" w:lineRule="auto"/>
              <w:jc w:val="both"/>
              <w:rPr>
                <w:rFonts w:ascii="Arial" w:hAnsi="Arial" w:cs="Arial"/>
              </w:rPr>
            </w:pPr>
            <w:r>
              <w:rPr>
                <w:rFonts w:ascii="Arial" w:hAnsi="Arial" w:cs="Arial"/>
              </w:rPr>
              <w:t>Why workers leave – resource threat → stress → withdrawal</w:t>
            </w:r>
          </w:p>
        </w:tc>
        <w:tc>
          <w:tcPr>
            <w:tcW w:w="2342"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3AAD1549" w14:textId="77777777" w:rsidR="00047DC5" w:rsidRDefault="00047DC5" w:rsidP="00AE2E92">
            <w:pPr>
              <w:spacing w:line="360" w:lineRule="auto"/>
              <w:jc w:val="both"/>
              <w:rPr>
                <w:rFonts w:ascii="Arial" w:hAnsi="Arial" w:cs="Arial"/>
              </w:rPr>
            </w:pPr>
            <w:r>
              <w:rPr>
                <w:rFonts w:ascii="Arial" w:hAnsi="Arial" w:cs="Arial"/>
              </w:rPr>
              <w:t>Resource loss and conservation</w:t>
            </w:r>
          </w:p>
        </w:tc>
      </w:tr>
      <w:tr w:rsidR="00047DC5" w14:paraId="26CBAF56" w14:textId="77777777" w:rsidTr="00AE2E92">
        <w:tc>
          <w:tcPr>
            <w:tcW w:w="1303"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7CDCFFB9" w14:textId="77777777" w:rsidR="00047DC5" w:rsidRDefault="00047DC5" w:rsidP="00AE2E92">
            <w:pPr>
              <w:spacing w:line="360" w:lineRule="auto"/>
              <w:jc w:val="both"/>
              <w:rPr>
                <w:rFonts w:ascii="Arial" w:hAnsi="Arial" w:cs="Arial"/>
              </w:rPr>
            </w:pPr>
            <w:r>
              <w:rPr>
                <w:rFonts w:ascii="Arial" w:hAnsi="Arial" w:cs="Arial"/>
              </w:rPr>
              <w:t>Triple Bottom Line</w:t>
            </w:r>
          </w:p>
        </w:tc>
        <w:tc>
          <w:tcPr>
            <w:tcW w:w="225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454B65ED" w14:textId="77777777" w:rsidR="00047DC5" w:rsidRDefault="00047DC5" w:rsidP="00AE2E92">
            <w:pPr>
              <w:spacing w:line="360" w:lineRule="auto"/>
              <w:jc w:val="both"/>
              <w:rPr>
                <w:rFonts w:ascii="Arial" w:hAnsi="Arial" w:cs="Arial"/>
              </w:rPr>
            </w:pPr>
            <w:r>
              <w:rPr>
                <w:rFonts w:ascii="Arial" w:hAnsi="Arial" w:cs="Arial"/>
              </w:rPr>
              <w:t>Sectoral / Systemic</w:t>
            </w:r>
          </w:p>
        </w:tc>
        <w:tc>
          <w:tcPr>
            <w:tcW w:w="3454"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7892098A" w14:textId="77777777" w:rsidR="00047DC5" w:rsidRDefault="00047DC5" w:rsidP="00AE2E92">
            <w:pPr>
              <w:spacing w:line="360" w:lineRule="auto"/>
              <w:jc w:val="both"/>
              <w:rPr>
                <w:rFonts w:ascii="Arial" w:hAnsi="Arial" w:cs="Arial"/>
              </w:rPr>
            </w:pPr>
            <w:r>
              <w:rPr>
                <w:rFonts w:ascii="Arial" w:hAnsi="Arial" w:cs="Arial"/>
              </w:rPr>
              <w:t>What is lost – social and economic sustainability</w:t>
            </w:r>
          </w:p>
        </w:tc>
        <w:tc>
          <w:tcPr>
            <w:tcW w:w="2342"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1584E82C" w14:textId="77777777" w:rsidR="00047DC5" w:rsidRDefault="00047DC5" w:rsidP="00AE2E92">
            <w:pPr>
              <w:spacing w:line="360" w:lineRule="auto"/>
              <w:jc w:val="both"/>
              <w:rPr>
                <w:rFonts w:ascii="Arial" w:hAnsi="Arial" w:cs="Arial"/>
              </w:rPr>
            </w:pPr>
            <w:r>
              <w:rPr>
                <w:rFonts w:ascii="Arial" w:hAnsi="Arial" w:cs="Arial"/>
              </w:rPr>
              <w:t>Trade-offs between pillars</w:t>
            </w:r>
          </w:p>
        </w:tc>
      </w:tr>
    </w:tbl>
    <w:p w14:paraId="6F12376D" w14:textId="77777777" w:rsidR="00047DC5" w:rsidRDefault="00047DC5" w:rsidP="00047DC5">
      <w:pPr>
        <w:spacing w:line="360" w:lineRule="auto"/>
        <w:jc w:val="both"/>
      </w:pPr>
      <w:r>
        <w:rPr>
          <w:rFonts w:ascii="Arial" w:hAnsi="Arial" w:cs="Arial"/>
          <w:i/>
          <w:iCs/>
        </w:rPr>
        <w:t xml:space="preserve">Source: Author's compilation based on Becker (1964), </w:t>
      </w:r>
      <w:proofErr w:type="spellStart"/>
      <w:r>
        <w:rPr>
          <w:rFonts w:ascii="Arial" w:hAnsi="Arial" w:cs="Arial"/>
          <w:i/>
          <w:iCs/>
        </w:rPr>
        <w:t>Hobfoll</w:t>
      </w:r>
      <w:proofErr w:type="spellEnd"/>
      <w:r>
        <w:rPr>
          <w:rFonts w:ascii="Arial" w:hAnsi="Arial" w:cs="Arial"/>
          <w:i/>
          <w:iCs/>
        </w:rPr>
        <w:t xml:space="preserve"> (1989), and </w:t>
      </w:r>
      <w:proofErr w:type="spellStart"/>
      <w:r>
        <w:rPr>
          <w:rFonts w:ascii="Arial" w:hAnsi="Arial" w:cs="Arial"/>
          <w:i/>
          <w:iCs/>
        </w:rPr>
        <w:t>Alhaddi</w:t>
      </w:r>
      <w:proofErr w:type="spellEnd"/>
      <w:r>
        <w:rPr>
          <w:rFonts w:ascii="Arial" w:hAnsi="Arial" w:cs="Arial"/>
          <w:i/>
          <w:iCs/>
        </w:rPr>
        <w:t xml:space="preserve"> (2015).</w:t>
      </w:r>
    </w:p>
    <w:p w14:paraId="28E551DA" w14:textId="77777777" w:rsidR="00047DC5" w:rsidRDefault="00047DC5" w:rsidP="00047DC5">
      <w:pPr>
        <w:spacing w:line="360" w:lineRule="auto"/>
        <w:jc w:val="both"/>
      </w:pPr>
      <w:r>
        <w:rPr>
          <w:rFonts w:ascii="Arial" w:hAnsi="Arial" w:cs="Arial"/>
        </w:rPr>
        <w:t>COR Theory explains the mechanism: policy change → resource threat (</w:t>
      </w:r>
      <w:proofErr w:type="spellStart"/>
      <w:r>
        <w:rPr>
          <w:rFonts w:ascii="Arial" w:hAnsi="Arial" w:cs="Arial"/>
        </w:rPr>
        <w:t>dependant</w:t>
      </w:r>
      <w:proofErr w:type="spellEnd"/>
      <w:r>
        <w:rPr>
          <w:rFonts w:ascii="Arial" w:hAnsi="Arial" w:cs="Arial"/>
        </w:rPr>
        <w:t xml:space="preserve"> restrictions, closed pathways) → stress → withdrawal </w:t>
      </w:r>
      <w:proofErr w:type="spellStart"/>
      <w:r>
        <w:rPr>
          <w:rFonts w:ascii="Arial" w:hAnsi="Arial" w:cs="Arial"/>
        </w:rPr>
        <w:t>behaviour</w:t>
      </w:r>
      <w:proofErr w:type="spellEnd"/>
      <w:r>
        <w:rPr>
          <w:rFonts w:ascii="Arial" w:hAnsi="Arial" w:cs="Arial"/>
        </w:rPr>
        <w:t>. This explains </w:t>
      </w:r>
      <w:r>
        <w:rPr>
          <w:rFonts w:ascii="Arial" w:hAnsi="Arial" w:cs="Arial"/>
          <w:i/>
          <w:iCs/>
        </w:rPr>
        <w:t>why</w:t>
      </w:r>
      <w:r>
        <w:rPr>
          <w:rFonts w:ascii="Arial" w:hAnsi="Arial" w:cs="Arial"/>
        </w:rPr>
        <w:t> workers leave.</w:t>
      </w:r>
    </w:p>
    <w:p w14:paraId="0081D86A" w14:textId="77777777" w:rsidR="00047DC5" w:rsidRDefault="00047DC5" w:rsidP="00047DC5">
      <w:pPr>
        <w:spacing w:line="360" w:lineRule="auto"/>
        <w:jc w:val="both"/>
      </w:pPr>
      <w:r>
        <w:rPr>
          <w:rFonts w:ascii="Arial" w:hAnsi="Arial" w:cs="Arial"/>
        </w:rPr>
        <w:t>Human Capital Theory explains the cost: departing workers take with them specific knowledge of NHS protocols, local patient populations, and team dynamics – knowledge that is costly to replace and retrain. This explains </w:t>
      </w:r>
      <w:r>
        <w:rPr>
          <w:rFonts w:ascii="Arial" w:hAnsi="Arial" w:cs="Arial"/>
          <w:i/>
          <w:iCs/>
        </w:rPr>
        <w:t>what</w:t>
      </w:r>
      <w:r>
        <w:rPr>
          <w:rFonts w:ascii="Arial" w:hAnsi="Arial" w:cs="Arial"/>
        </w:rPr>
        <w:t> is lost.</w:t>
      </w:r>
    </w:p>
    <w:p w14:paraId="1058012D" w14:textId="77777777" w:rsidR="00047DC5" w:rsidRDefault="00047DC5" w:rsidP="00047DC5">
      <w:pPr>
        <w:spacing w:line="360" w:lineRule="auto"/>
        <w:jc w:val="both"/>
      </w:pPr>
      <w:r>
        <w:rPr>
          <w:rFonts w:ascii="Arial" w:hAnsi="Arial" w:cs="Arial"/>
        </w:rPr>
        <w:t xml:space="preserve">TBL explains the consequences: reduced social sustainability (declining </w:t>
      </w:r>
      <w:proofErr w:type="spellStart"/>
      <w:r>
        <w:rPr>
          <w:rFonts w:ascii="Arial" w:hAnsi="Arial" w:cs="Arial"/>
        </w:rPr>
        <w:t>dependant</w:t>
      </w:r>
      <w:proofErr w:type="spellEnd"/>
      <w:r>
        <w:rPr>
          <w:rFonts w:ascii="Arial" w:hAnsi="Arial" w:cs="Arial"/>
        </w:rPr>
        <w:t xml:space="preserve"> visa rates, family separation, limited career progression) and reduced economic sustainability (increasing turnover costs, workforce instability, service disruption). This explains </w:t>
      </w:r>
      <w:r>
        <w:rPr>
          <w:rFonts w:ascii="Arial" w:hAnsi="Arial" w:cs="Arial"/>
          <w:i/>
          <w:iCs/>
        </w:rPr>
        <w:t>the systemic impact</w:t>
      </w:r>
      <w:r>
        <w:rPr>
          <w:rFonts w:ascii="Arial" w:hAnsi="Arial" w:cs="Arial"/>
        </w:rPr>
        <w:t>.</w:t>
      </w:r>
    </w:p>
    <w:p w14:paraId="1B31C456" w14:textId="77777777" w:rsidR="00047DC5" w:rsidRDefault="00047DC5" w:rsidP="00047DC5">
      <w:pPr>
        <w:spacing w:line="360" w:lineRule="auto"/>
        <w:jc w:val="both"/>
        <w:rPr>
          <w:rFonts w:ascii="Arial" w:hAnsi="Arial" w:cs="Arial"/>
        </w:rPr>
      </w:pPr>
      <w:r>
        <w:rPr>
          <w:rFonts w:ascii="Arial" w:hAnsi="Arial" w:cs="Arial"/>
        </w:rPr>
        <w:t>Together, they form a quantitative analytical chain:</w:t>
      </w:r>
    </w:p>
    <w:p w14:paraId="5F45E3EE" w14:textId="77777777" w:rsidR="00047DC5" w:rsidRDefault="00047DC5" w:rsidP="00047DC5">
      <w:pPr>
        <w:spacing w:line="360" w:lineRule="auto"/>
        <w:jc w:val="both"/>
        <w:rPr>
          <w:rFonts w:ascii="Arial" w:hAnsi="Arial" w:cs="Arial"/>
        </w:rPr>
      </w:pPr>
      <w:r>
        <w:rPr>
          <w:rFonts w:ascii="Arial" w:hAnsi="Arial" w:cs="Arial"/>
        </w:rPr>
        <w:lastRenderedPageBreak/>
        <w:t xml:space="preserve">Policy Change (skills threshold increase, </w:t>
      </w:r>
      <w:proofErr w:type="spellStart"/>
      <w:r>
        <w:rPr>
          <w:rFonts w:ascii="Arial" w:hAnsi="Arial" w:cs="Arial"/>
        </w:rPr>
        <w:t>dependant</w:t>
      </w:r>
      <w:proofErr w:type="spellEnd"/>
      <w:r>
        <w:rPr>
          <w:rFonts w:ascii="Arial" w:hAnsi="Arial" w:cs="Arial"/>
        </w:rPr>
        <w:t xml:space="preserve"> visa restrictions, overseas recruitment closure) → Resource Threat (loss of family unity, settlement pathways) [COR] → Stress and Withdrawal (reduced commitment, intention to leave) [COR] → Loss of Specific Human Capital (costly to replace, retrain) [Human Capital Theory] → Decline in Social and Economic Sustainability (falling </w:t>
      </w:r>
      <w:proofErr w:type="spellStart"/>
      <w:r>
        <w:rPr>
          <w:rFonts w:ascii="Arial" w:hAnsi="Arial" w:cs="Arial"/>
        </w:rPr>
        <w:t>dependant</w:t>
      </w:r>
      <w:proofErr w:type="spellEnd"/>
      <w:r>
        <w:rPr>
          <w:rFonts w:ascii="Arial" w:hAnsi="Arial" w:cs="Arial"/>
        </w:rPr>
        <w:t xml:space="preserve"> visa rates, rising turnover costs) [TBL]</w:t>
      </w:r>
    </w:p>
    <w:p w14:paraId="17460B00" w14:textId="77777777" w:rsidR="00047DC5" w:rsidRDefault="00047DC5" w:rsidP="00047DC5">
      <w:pPr>
        <w:spacing w:line="360" w:lineRule="auto"/>
        <w:jc w:val="both"/>
        <w:rPr>
          <w:rFonts w:ascii="Arial" w:hAnsi="Arial" w:cs="Arial"/>
        </w:rPr>
      </w:pPr>
      <w:r>
        <w:rPr>
          <w:rFonts w:ascii="Arial" w:hAnsi="Arial" w:cs="Arial"/>
        </w:rPr>
        <w:t>This integrated framework will guide the empirical analysis in subsequent chapters, providing a structured approach to testing the predicted relationships between policy changes and sustainability outcomes.</w:t>
      </w:r>
    </w:p>
    <w:p w14:paraId="7520BF96" w14:textId="77777777" w:rsidR="00047DC5" w:rsidRDefault="00047DC5" w:rsidP="00047DC5">
      <w:pPr>
        <w:pStyle w:val="Heading2"/>
      </w:pPr>
      <w:bookmarkStart w:id="28" w:name="_Toc238549784"/>
      <w:r>
        <w:t>2.6 UK Immigration Policy Context (2020–2026)</w:t>
      </w:r>
      <w:bookmarkEnd w:id="28"/>
    </w:p>
    <w:p w14:paraId="0462CD5D" w14:textId="77777777" w:rsidR="00047DC5" w:rsidRDefault="00047DC5" w:rsidP="00047DC5">
      <w:pPr>
        <w:pStyle w:val="Heading3"/>
      </w:pPr>
      <w:bookmarkStart w:id="29" w:name="_Toc238549785"/>
      <w:r>
        <w:t>2.6.1 Historical Context and 2024 Turning Point</w:t>
      </w:r>
      <w:bookmarkEnd w:id="29"/>
    </w:p>
    <w:p w14:paraId="5D6D239A" w14:textId="77777777" w:rsidR="00047DC5" w:rsidRDefault="00047DC5" w:rsidP="00047DC5">
      <w:pPr>
        <w:spacing w:line="360" w:lineRule="auto"/>
        <w:jc w:val="both"/>
        <w:rPr>
          <w:rFonts w:ascii="Arial" w:hAnsi="Arial" w:cs="Arial"/>
        </w:rPr>
      </w:pPr>
      <w:r>
        <w:rPr>
          <w:rFonts w:ascii="Arial" w:hAnsi="Arial" w:cs="Arial"/>
        </w:rPr>
        <w:t>The period 2020–2026 has witnessed the most significant overhaul of the UK's immigration system in decades. Following the departure from the European Union, the government introduced a points</w:t>
      </w:r>
      <w:r>
        <w:rPr>
          <w:rFonts w:ascii="Arial" w:hAnsi="Arial" w:cs="Arial"/>
        </w:rPr>
        <w:noBreakHyphen/>
        <w:t>based system designed to attract 'high</w:t>
      </w:r>
      <w:r>
        <w:rPr>
          <w:rFonts w:ascii="Arial" w:hAnsi="Arial" w:cs="Arial"/>
        </w:rPr>
        <w:noBreakHyphen/>
        <w:t>skill' migrants. The Skilled Worker visa initially lowered the skill threshold from RQF Level 6 to RQF Level 3 (Home Office, 2025b). In August 2020, the Health and Care Worker route was introduced, providing fast</w:t>
      </w:r>
      <w:r>
        <w:rPr>
          <w:rFonts w:ascii="Arial" w:hAnsi="Arial" w:cs="Arial"/>
        </w:rPr>
        <w:noBreakHyphen/>
        <w:t xml:space="preserve">track entry and reduced visa fees (Home Office, 2025c), and was expanded in February 2022 to include the social care workforce (Home Office, 2025b). This expansion led to a dramatic increase in visas, from 37,416 in 2022 to 145,823 in 2023 (Home Office, 2024). However, the turning point came in late 2023. The most significant change was the restriction on </w:t>
      </w:r>
      <w:proofErr w:type="spellStart"/>
      <w:r>
        <w:rPr>
          <w:rFonts w:ascii="Arial" w:hAnsi="Arial" w:cs="Arial"/>
        </w:rPr>
        <w:t>dependant</w:t>
      </w:r>
      <w:proofErr w:type="spellEnd"/>
      <w:r>
        <w:rPr>
          <w:rFonts w:ascii="Arial" w:hAnsi="Arial" w:cs="Arial"/>
        </w:rPr>
        <w:t xml:space="preserve"> visas for care workers, introduced on 11 March 2024, which prevented workers under SOC codes 6135 and 6136 from bringing </w:t>
      </w:r>
      <w:proofErr w:type="spellStart"/>
      <w:r>
        <w:rPr>
          <w:rFonts w:ascii="Arial" w:hAnsi="Arial" w:cs="Arial"/>
        </w:rPr>
        <w:t>dependants</w:t>
      </w:r>
      <w:proofErr w:type="spellEnd"/>
      <w:r>
        <w:rPr>
          <w:rFonts w:ascii="Arial" w:hAnsi="Arial" w:cs="Arial"/>
        </w:rPr>
        <w:t xml:space="preserve"> to the UK (</w:t>
      </w:r>
      <w:proofErr w:type="spellStart"/>
      <w:r>
        <w:rPr>
          <w:rFonts w:ascii="Arial" w:hAnsi="Arial" w:cs="Arial"/>
        </w:rPr>
        <w:t>Seraphus</w:t>
      </w:r>
      <w:proofErr w:type="spellEnd"/>
      <w:r>
        <w:rPr>
          <w:rFonts w:ascii="Arial" w:hAnsi="Arial" w:cs="Arial"/>
        </w:rPr>
        <w:t xml:space="preserve">, 2026). The impact was immediate and substantial: Health and Care Worker visas fell by 81% in the year ending March 2025, while </w:t>
      </w:r>
      <w:proofErr w:type="spellStart"/>
      <w:r>
        <w:rPr>
          <w:rFonts w:ascii="Arial" w:hAnsi="Arial" w:cs="Arial"/>
        </w:rPr>
        <w:t>dependant</w:t>
      </w:r>
      <w:proofErr w:type="spellEnd"/>
      <w:r>
        <w:rPr>
          <w:rFonts w:ascii="Arial" w:hAnsi="Arial" w:cs="Arial"/>
        </w:rPr>
        <w:t xml:space="preserve"> visas fell by 78% (Home Office, 2024; Migration Observatory, 2025).</w:t>
      </w:r>
    </w:p>
    <w:p w14:paraId="3EFBBB57" w14:textId="77777777" w:rsidR="00047DC5" w:rsidRDefault="00047DC5" w:rsidP="00047DC5">
      <w:pPr>
        <w:pStyle w:val="Heading3"/>
      </w:pPr>
      <w:bookmarkStart w:id="30" w:name="_Toc238549786"/>
      <w:r>
        <w:t>2.6.2 The July 2025 Reforms and Impact on Migration Flows</w:t>
      </w:r>
      <w:bookmarkEnd w:id="30"/>
    </w:p>
    <w:p w14:paraId="5A4EBDC3" w14:textId="77777777" w:rsidR="00047DC5" w:rsidRDefault="00047DC5" w:rsidP="00047DC5">
      <w:pPr>
        <w:spacing w:line="360" w:lineRule="auto"/>
        <w:jc w:val="both"/>
        <w:rPr>
          <w:rFonts w:ascii="Arial" w:hAnsi="Arial" w:cs="Arial"/>
        </w:rPr>
      </w:pPr>
      <w:r>
        <w:rPr>
          <w:rFonts w:ascii="Arial" w:hAnsi="Arial" w:cs="Arial"/>
        </w:rPr>
        <w:t xml:space="preserve">The most consequential changes came into effect on 22 July 2025. The minimum skill level for sponsorship increased from RQF Level 3 to RQF Level 6, effectively closing the route for most care workers who do not hold a degree (Home Office, 2025b; </w:t>
      </w:r>
      <w:proofErr w:type="spellStart"/>
      <w:r>
        <w:rPr>
          <w:rFonts w:ascii="Arial" w:hAnsi="Arial" w:cs="Arial"/>
        </w:rPr>
        <w:t>Seraphus</w:t>
      </w:r>
      <w:proofErr w:type="spellEnd"/>
      <w:r>
        <w:rPr>
          <w:rFonts w:ascii="Arial" w:hAnsi="Arial" w:cs="Arial"/>
        </w:rPr>
        <w:t xml:space="preserve">, </w:t>
      </w:r>
      <w:r>
        <w:rPr>
          <w:rFonts w:ascii="Arial" w:hAnsi="Arial" w:cs="Arial"/>
        </w:rPr>
        <w:lastRenderedPageBreak/>
        <w:t>2026). Employers can no longer recruit care workers and senior care workers from overseas, although workers already in the UK can continue to be sponsored until 22 July 2028 (</w:t>
      </w:r>
      <w:proofErr w:type="spellStart"/>
      <w:r>
        <w:rPr>
          <w:rFonts w:ascii="Arial" w:hAnsi="Arial" w:cs="Arial"/>
        </w:rPr>
        <w:t>Seraphus</w:t>
      </w:r>
      <w:proofErr w:type="spellEnd"/>
      <w:r>
        <w:rPr>
          <w:rFonts w:ascii="Arial" w:hAnsi="Arial" w:cs="Arial"/>
        </w:rPr>
        <w:t>, 2026). Additional measures included an increase in the immigration salary threshold from £23,200 to £25,000 (RCN, 2025), a 32% increase in the Immigration Skills Charge to £1,320 per person per year (NHS Employers, 2025), and a rise in English language requirements from B1 to B2 from 8 January 2026 (NHS Employers, 2025). On 20 November 2025, the government proposed an 'Earned Settlement' system, lengthening and restricting routes to indefinite leave for an estimated 616,000 overseas health and care workers (</w:t>
      </w:r>
      <w:proofErr w:type="spellStart"/>
      <w:r>
        <w:rPr>
          <w:rFonts w:ascii="Arial" w:hAnsi="Arial" w:cs="Arial"/>
        </w:rPr>
        <w:t>Deivanayagam</w:t>
      </w:r>
      <w:proofErr w:type="spellEnd"/>
      <w:r>
        <w:rPr>
          <w:rFonts w:ascii="Arial" w:hAnsi="Arial" w:cs="Arial"/>
        </w:rPr>
        <w:t xml:space="preserve"> et al., 2026). The Royal College of Nursing noted that these proposals fail to </w:t>
      </w:r>
      <w:proofErr w:type="spellStart"/>
      <w:r>
        <w:rPr>
          <w:rFonts w:ascii="Arial" w:hAnsi="Arial" w:cs="Arial"/>
        </w:rPr>
        <w:t>recognise</w:t>
      </w:r>
      <w:proofErr w:type="spellEnd"/>
      <w:r>
        <w:rPr>
          <w:rFonts w:ascii="Arial" w:hAnsi="Arial" w:cs="Arial"/>
        </w:rPr>
        <w:t xml:space="preserve"> the value of internationally educated nursing staff and threaten retention (RCN, 2026), while the Florence Nightingale Foundation observed that recruitment slows as retention challenges deepen (Florence Nightingale Foundation, 2025). The impact on migration flows has been dramatic: visas for health and care workers and their families fell by 68% – from 348,000 in 2023 to 111,000 in 2024 (Migration Observatory, 2025). In the year ending April 2026, there were only 11,000 applications from main applicants – a 93% decline from the peak in November 2023 (Home Office, 2026). Monthly applications, which peaked at 18,300 in August 2023, fell to 900 by December 2025 (Home Office, 2026).</w:t>
      </w:r>
    </w:p>
    <w:p w14:paraId="19D2D4C8" w14:textId="77777777" w:rsidR="00047DC5" w:rsidRDefault="00047DC5" w:rsidP="00047DC5">
      <w:pPr>
        <w:pStyle w:val="Heading2"/>
      </w:pPr>
      <w:bookmarkStart w:id="31" w:name="_Toc238549787"/>
      <w:r>
        <w:t>2.7 Migrant Healthcare Support Workers: Role, Challenges, and Sustainability</w:t>
      </w:r>
      <w:bookmarkEnd w:id="31"/>
    </w:p>
    <w:p w14:paraId="4839C88F" w14:textId="77777777" w:rsidR="00047DC5" w:rsidRDefault="00047DC5" w:rsidP="00047DC5">
      <w:pPr>
        <w:pStyle w:val="Heading3"/>
      </w:pPr>
      <w:bookmarkStart w:id="32" w:name="_Toc238549788"/>
      <w:r>
        <w:t>2.7.1 The Scale of the Workforce</w:t>
      </w:r>
      <w:bookmarkEnd w:id="32"/>
    </w:p>
    <w:p w14:paraId="6BCFEFDC" w14:textId="77777777" w:rsidR="00047DC5" w:rsidRDefault="00047DC5" w:rsidP="00047DC5">
      <w:pPr>
        <w:spacing w:line="360" w:lineRule="auto"/>
        <w:jc w:val="both"/>
        <w:rPr>
          <w:rFonts w:ascii="Arial" w:hAnsi="Arial" w:cs="Arial"/>
        </w:rPr>
      </w:pPr>
      <w:r>
        <w:rPr>
          <w:rFonts w:ascii="Arial" w:hAnsi="Arial" w:cs="Arial"/>
        </w:rPr>
        <w:t xml:space="preserve">Healthcare Support Workers (HCSWs) in Bands 1–4 comprise approximately 40% of the NHS workforce. They deliver essential frontline care – assisting with personal hygiene, mobility, feeding, and monitoring of patients. Support workers </w:t>
      </w:r>
      <w:proofErr w:type="gramStart"/>
      <w:r>
        <w:rPr>
          <w:rFonts w:ascii="Arial" w:hAnsi="Arial" w:cs="Arial"/>
        </w:rPr>
        <w:t>form</w:t>
      </w:r>
      <w:proofErr w:type="gramEnd"/>
      <w:r>
        <w:rPr>
          <w:rFonts w:ascii="Arial" w:hAnsi="Arial" w:cs="Arial"/>
        </w:rPr>
        <w:t xml:space="preserve"> the largest section of the NHS workforce, and the ongoing NHS workforce crisis underscores the need for their efficient </w:t>
      </w:r>
      <w:proofErr w:type="spellStart"/>
      <w:r>
        <w:rPr>
          <w:rFonts w:ascii="Arial" w:hAnsi="Arial" w:cs="Arial"/>
        </w:rPr>
        <w:t>utilisation</w:t>
      </w:r>
      <w:proofErr w:type="spellEnd"/>
      <w:r>
        <w:rPr>
          <w:rFonts w:ascii="Arial" w:hAnsi="Arial" w:cs="Arial"/>
        </w:rPr>
        <w:t xml:space="preserve"> (PMC, 2025). Overseas staff are now essential to the NHS rather than supplementary: support staff (approximately 470,000) account for a quarter of the NHS workforce (</w:t>
      </w:r>
      <w:proofErr w:type="spellStart"/>
      <w:r>
        <w:rPr>
          <w:rFonts w:ascii="Arial" w:hAnsi="Arial" w:cs="Arial"/>
        </w:rPr>
        <w:t>Deivanayagam</w:t>
      </w:r>
      <w:proofErr w:type="spellEnd"/>
      <w:r>
        <w:rPr>
          <w:rFonts w:ascii="Arial" w:hAnsi="Arial" w:cs="Arial"/>
        </w:rPr>
        <w:t xml:space="preserve"> et al., 2026).</w:t>
      </w:r>
    </w:p>
    <w:p w14:paraId="2331C9ED" w14:textId="77777777" w:rsidR="00047DC5" w:rsidRDefault="00047DC5" w:rsidP="00047DC5">
      <w:pPr>
        <w:spacing w:line="360" w:lineRule="auto"/>
        <w:jc w:val="both"/>
        <w:rPr>
          <w:rFonts w:ascii="Arial" w:hAnsi="Arial" w:cs="Arial"/>
        </w:rPr>
      </w:pPr>
      <w:r>
        <w:rPr>
          <w:rFonts w:ascii="Arial" w:hAnsi="Arial" w:cs="Arial"/>
        </w:rPr>
        <w:t>Around one-fifth of NHS staff and around one-third of adult social care workers (approximately 465,000) are from overseas (</w:t>
      </w:r>
      <w:proofErr w:type="spellStart"/>
      <w:r>
        <w:rPr>
          <w:rFonts w:ascii="Arial" w:hAnsi="Arial" w:cs="Arial"/>
        </w:rPr>
        <w:t>Deivanayagam</w:t>
      </w:r>
      <w:proofErr w:type="spellEnd"/>
      <w:r>
        <w:rPr>
          <w:rFonts w:ascii="Arial" w:hAnsi="Arial" w:cs="Arial"/>
        </w:rPr>
        <w:t xml:space="preserve"> et al., 2026). International </w:t>
      </w:r>
      <w:r>
        <w:rPr>
          <w:rFonts w:ascii="Arial" w:hAnsi="Arial" w:cs="Arial"/>
        </w:rPr>
        <w:lastRenderedPageBreak/>
        <w:t>staff make up nearly 30% of the adult social care sector in England for the 2024</w:t>
      </w:r>
      <w:r>
        <w:rPr>
          <w:rFonts w:ascii="Arial" w:hAnsi="Arial" w:cs="Arial"/>
        </w:rPr>
        <w:noBreakHyphen/>
        <w:t>2025 period (TUC, 2026). This high dependency makes the sector particularly vulnerable to immigration policy changes.</w:t>
      </w:r>
    </w:p>
    <w:p w14:paraId="481C5E71" w14:textId="77777777" w:rsidR="00047DC5" w:rsidRDefault="00047DC5" w:rsidP="00047DC5">
      <w:pPr>
        <w:pStyle w:val="Heading3"/>
      </w:pPr>
      <w:bookmarkStart w:id="33" w:name="_Toc238549789"/>
      <w:r>
        <w:t>2.7.2 Workforce Challenges: Vacancies, Turnover, and Training</w:t>
      </w:r>
      <w:bookmarkEnd w:id="33"/>
    </w:p>
    <w:p w14:paraId="035FEA9F" w14:textId="77777777" w:rsidR="00047DC5" w:rsidRDefault="00047DC5" w:rsidP="00047DC5">
      <w:pPr>
        <w:spacing w:line="360" w:lineRule="auto"/>
        <w:jc w:val="both"/>
        <w:rPr>
          <w:rFonts w:ascii="Arial" w:hAnsi="Arial" w:cs="Arial"/>
        </w:rPr>
      </w:pPr>
      <w:r>
        <w:rPr>
          <w:rFonts w:ascii="Arial" w:hAnsi="Arial" w:cs="Arial"/>
        </w:rPr>
        <w:t>The scale of the workforce challenge is substantial. As of late 2024, NHS England alone reported over 100,000 vacant posts, with healthcare support worker vacancies ranking among the highest across all staff groups (POST, 2025). The adult social care sector faces even greater pressure, with an estimated 131,000 vacancies in 2023/24, a figure that does not include positions filled by temporary staff (POST, 2025). The NHS and social care face vacancy rates of 6.7% (approximately 100,000) and 7% (approximately 111,000), respectively, well above other sectors in the UK overall (2.4%) (</w:t>
      </w:r>
      <w:proofErr w:type="spellStart"/>
      <w:r>
        <w:rPr>
          <w:rFonts w:ascii="Arial" w:hAnsi="Arial" w:cs="Arial"/>
        </w:rPr>
        <w:t>Deivanayagam</w:t>
      </w:r>
      <w:proofErr w:type="spellEnd"/>
      <w:r>
        <w:rPr>
          <w:rFonts w:ascii="Arial" w:hAnsi="Arial" w:cs="Arial"/>
        </w:rPr>
        <w:t xml:space="preserve"> et al., 2026).</w:t>
      </w:r>
    </w:p>
    <w:p w14:paraId="11B899E0" w14:textId="77777777" w:rsidR="00047DC5" w:rsidRDefault="00047DC5" w:rsidP="00047DC5">
      <w:pPr>
        <w:spacing w:line="360" w:lineRule="auto"/>
        <w:jc w:val="both"/>
        <w:rPr>
          <w:rFonts w:ascii="Arial" w:hAnsi="Arial" w:cs="Arial"/>
        </w:rPr>
      </w:pPr>
      <w:r>
        <w:rPr>
          <w:rFonts w:ascii="Arial" w:hAnsi="Arial" w:cs="Arial"/>
        </w:rPr>
        <w:t>Skills for Care (2024) estimated that the adult social care sector loses approximately 390,000 staff annually, a turnover rate exceeding 30%. The proportion of care and support workers with a Level 2 qualification has fallen to 38% – down from 41% in 2023/24 and 48% in 2018/19 (Skills for Care, 2024). Despite their frontline importance, HCSWs receive only 5% of training budgets (Skills for Care, 2024).</w:t>
      </w:r>
    </w:p>
    <w:p w14:paraId="71F3DE1E" w14:textId="77777777" w:rsidR="00047DC5" w:rsidRDefault="00047DC5" w:rsidP="00047DC5">
      <w:pPr>
        <w:spacing w:line="360" w:lineRule="auto"/>
        <w:jc w:val="both"/>
        <w:rPr>
          <w:rFonts w:ascii="Arial" w:hAnsi="Arial" w:cs="Arial"/>
        </w:rPr>
      </w:pPr>
      <w:r>
        <w:rPr>
          <w:rFonts w:ascii="Arial" w:hAnsi="Arial" w:cs="Arial"/>
        </w:rPr>
        <w:t>The number of new international recruits fell from 105,000 in 2023/24 to 50,000 in 2024/25 (Skills for Care, 2024). Over the same period, the number of workers with British nationality declined by 30,000 (a 2.6% decrease) (Skills for Care, 2024). With the vacancy rate still around three times that of the wider economy, data shows that rather than overseas recruits taking jobs from British people, international recruitment has continued to benefit employers struggling to recruit domestically (Skills for Care, 2024). The lack of growth in domestic recruitment highlights the need to build a more sustainable, long-term workforce.</w:t>
      </w:r>
    </w:p>
    <w:p w14:paraId="339D2A7F" w14:textId="77777777" w:rsidR="00047DC5" w:rsidRDefault="00047DC5" w:rsidP="00047DC5">
      <w:pPr>
        <w:pStyle w:val="Heading3"/>
      </w:pPr>
      <w:bookmarkStart w:id="34" w:name="_Toc238549790"/>
      <w:r>
        <w:t>2.7.3 The Retention Crisis: Evidence from Internationally Educated Nurses</w:t>
      </w:r>
      <w:bookmarkEnd w:id="34"/>
    </w:p>
    <w:p w14:paraId="2F741EE2" w14:textId="77777777" w:rsidR="00047DC5" w:rsidRDefault="00047DC5" w:rsidP="00047DC5">
      <w:pPr>
        <w:spacing w:line="360" w:lineRule="auto"/>
        <w:jc w:val="both"/>
        <w:rPr>
          <w:rFonts w:ascii="Arial" w:hAnsi="Arial" w:cs="Arial"/>
        </w:rPr>
      </w:pPr>
      <w:r>
        <w:rPr>
          <w:rFonts w:ascii="Arial" w:hAnsi="Arial" w:cs="Arial"/>
        </w:rPr>
        <w:t xml:space="preserve">The retention challenges affecting internationally educated healthcare workers are well-documented. In the twelve months to March 2025, 5,276 internationally educated nurses and midwives left the NMC register – a 33% increase on the previous year (Florence </w:t>
      </w:r>
      <w:r>
        <w:rPr>
          <w:rFonts w:ascii="Arial" w:hAnsi="Arial" w:cs="Arial"/>
        </w:rPr>
        <w:lastRenderedPageBreak/>
        <w:t>Nightingale Foundation, 2025). At the same time, new international nursing arrivals fell by 30%, the first major decline after years of growth (Florence Nightingale Foundation, 2025).</w:t>
      </w:r>
    </w:p>
    <w:p w14:paraId="14D1884A" w14:textId="77777777" w:rsidR="00047DC5" w:rsidRDefault="00047DC5" w:rsidP="00047DC5">
      <w:pPr>
        <w:spacing w:line="360" w:lineRule="auto"/>
        <w:jc w:val="both"/>
        <w:rPr>
          <w:rFonts w:ascii="Arial" w:hAnsi="Arial" w:cs="Arial"/>
        </w:rPr>
      </w:pPr>
      <w:r>
        <w:rPr>
          <w:rFonts w:ascii="Arial" w:hAnsi="Arial" w:cs="Arial"/>
        </w:rPr>
        <w:t xml:space="preserve">The Royal College of Nursing has documented the reasons for this exodus. International nurses once arrived in the UK with hope and purpose – but many are now leaving, disillusioned by systemic inequality, exclusion and lack of support (RCN, 2025). Structural inequality remains a major hurdle – despite capabilities and experience, internationally educated nurses are often passed over for promotions and unfairly assumed to be less competent (RCN, 2025). Toxic workplace cultures make things worse – microaggressions, exclusion, language-based bias and casual racism </w:t>
      </w:r>
      <w:proofErr w:type="gramStart"/>
      <w:r>
        <w:rPr>
          <w:rFonts w:ascii="Arial" w:hAnsi="Arial" w:cs="Arial"/>
        </w:rPr>
        <w:t>still persist</w:t>
      </w:r>
      <w:proofErr w:type="gramEnd"/>
      <w:r>
        <w:rPr>
          <w:rFonts w:ascii="Arial" w:hAnsi="Arial" w:cs="Arial"/>
        </w:rPr>
        <w:t xml:space="preserve"> in too many clinical settings (RCN, 2025).</w:t>
      </w:r>
    </w:p>
    <w:p w14:paraId="45663D99" w14:textId="77777777" w:rsidR="00047DC5" w:rsidRDefault="00047DC5" w:rsidP="00047DC5">
      <w:pPr>
        <w:spacing w:line="360" w:lineRule="auto"/>
        <w:jc w:val="both"/>
        <w:rPr>
          <w:rFonts w:ascii="Arial" w:hAnsi="Arial" w:cs="Arial"/>
        </w:rPr>
      </w:pPr>
      <w:r>
        <w:rPr>
          <w:rFonts w:ascii="Arial" w:hAnsi="Arial" w:cs="Arial"/>
        </w:rPr>
        <w:t xml:space="preserve">The proposed changes to Indefinite Leave to Remain have added to these challenges. The qualifying period extension would affect the decision of thousands of internationally educated nursing staff to remain in the UK, with potentially 50,000 nursing staff at risk of leaving (RCN, 2026). These proposals fail to </w:t>
      </w:r>
      <w:proofErr w:type="spellStart"/>
      <w:r>
        <w:rPr>
          <w:rFonts w:ascii="Arial" w:hAnsi="Arial" w:cs="Arial"/>
        </w:rPr>
        <w:t>recognise</w:t>
      </w:r>
      <w:proofErr w:type="spellEnd"/>
      <w:r>
        <w:rPr>
          <w:rFonts w:ascii="Arial" w:hAnsi="Arial" w:cs="Arial"/>
        </w:rPr>
        <w:t xml:space="preserve"> the value of internationally educated nursing staff and pose a significant threat to both their retention in the workforce and the attractiveness of the UK as a destination for nursing professionals (RCN, 2026).</w:t>
      </w:r>
    </w:p>
    <w:p w14:paraId="7E55F1B1" w14:textId="77777777" w:rsidR="00047DC5" w:rsidRDefault="00047DC5" w:rsidP="00047DC5">
      <w:pPr>
        <w:pStyle w:val="Heading3"/>
      </w:pPr>
      <w:bookmarkStart w:id="35" w:name="_Toc238549791"/>
      <w:r>
        <w:t>2.7.4 The Impact of Immigration Changes on Social Care</w:t>
      </w:r>
      <w:bookmarkEnd w:id="35"/>
    </w:p>
    <w:p w14:paraId="42260EB5" w14:textId="77777777" w:rsidR="00047DC5" w:rsidRDefault="00047DC5" w:rsidP="00047DC5">
      <w:pPr>
        <w:spacing w:line="360" w:lineRule="auto"/>
        <w:jc w:val="both"/>
        <w:rPr>
          <w:rFonts w:ascii="Arial" w:hAnsi="Arial" w:cs="Arial"/>
        </w:rPr>
      </w:pPr>
      <w:r>
        <w:rPr>
          <w:rFonts w:ascii="Arial" w:hAnsi="Arial" w:cs="Arial"/>
        </w:rPr>
        <w:t>The social care sector has been particularly affected by the immigration changes. In July 2025, changes to immigration rules meant care workers and senior care workers were removed from the Health and Care Worker visa route for new overseas recruits (Skills for Care, 2024). Transitional arrangements are in place until July 2028, where in-country applications will continue to be permitted for care workers and senior care workers, provided individuals are already working in these roles (Skills for Care, 2024).</w:t>
      </w:r>
    </w:p>
    <w:p w14:paraId="490F15E3" w14:textId="77777777" w:rsidR="00047DC5" w:rsidRDefault="00047DC5" w:rsidP="00047DC5">
      <w:pPr>
        <w:spacing w:line="360" w:lineRule="auto"/>
        <w:jc w:val="both"/>
        <w:rPr>
          <w:rFonts w:ascii="Arial" w:hAnsi="Arial" w:cs="Arial"/>
        </w:rPr>
      </w:pPr>
      <w:r>
        <w:rPr>
          <w:rFonts w:ascii="Arial" w:hAnsi="Arial" w:cs="Arial"/>
        </w:rPr>
        <w:t xml:space="preserve">While improvements in workforce capacity continue to be supported by international recruitment, the number of new international recruits fell from 105,000 in 2023/24 to 50,000 in 2024/25 (Skills for Care, 2024). The drop in social care vacancies shown in Skills for Care's annual report is encouraging – and surprising. The </w:t>
      </w:r>
      <w:proofErr w:type="gramStart"/>
      <w:r>
        <w:rPr>
          <w:rFonts w:ascii="Arial" w:hAnsi="Arial" w:cs="Arial"/>
        </w:rPr>
        <w:t>near-halving</w:t>
      </w:r>
      <w:proofErr w:type="gramEnd"/>
      <w:r>
        <w:rPr>
          <w:rFonts w:ascii="Arial" w:hAnsi="Arial" w:cs="Arial"/>
        </w:rPr>
        <w:t xml:space="preserve"> in workers recruited from overseas is anticipated, given the tightening of immigration rules. </w:t>
      </w:r>
      <w:r>
        <w:rPr>
          <w:rFonts w:ascii="Arial" w:hAnsi="Arial" w:cs="Arial"/>
        </w:rPr>
        <w:lastRenderedPageBreak/>
        <w:t>The fact this coincides with a 2.6% decline in workers of British nationality is concerning (Skills for Care, 2024).</w:t>
      </w:r>
    </w:p>
    <w:p w14:paraId="62C78107" w14:textId="77777777" w:rsidR="00047DC5" w:rsidRDefault="00047DC5" w:rsidP="00047DC5">
      <w:pPr>
        <w:spacing w:line="360" w:lineRule="auto"/>
        <w:jc w:val="both"/>
        <w:rPr>
          <w:rFonts w:ascii="Arial" w:hAnsi="Arial" w:cs="Arial"/>
        </w:rPr>
      </w:pPr>
      <w:r>
        <w:rPr>
          <w:rFonts w:ascii="Arial" w:hAnsi="Arial" w:cs="Arial"/>
        </w:rPr>
        <w:t>Closing off social care jobs to migrant workers will only harm a sector that's already in crisis (Centre for Care, 2025). Low pay, job insecurity and post-Brexit recruitment challenges are plaguing the adult social care sector in England (LSE Business Review, 2025). With rising demand and chronic underfunding, work conditions are only getting worse. At the same time, over half of adult care providers reported difficulties in retaining employees (LSE Business Review, 2025).</w:t>
      </w:r>
    </w:p>
    <w:p w14:paraId="1AADC209" w14:textId="77777777" w:rsidR="00047DC5" w:rsidRDefault="00047DC5" w:rsidP="00047DC5">
      <w:pPr>
        <w:pStyle w:val="Heading2"/>
      </w:pPr>
      <w:bookmarkStart w:id="36" w:name="_Toc238549792"/>
      <w:r>
        <w:t>2.8 HR Strategies for Workforce Sustainability</w:t>
      </w:r>
      <w:bookmarkEnd w:id="36"/>
    </w:p>
    <w:p w14:paraId="16F99A9B" w14:textId="77777777" w:rsidR="00047DC5" w:rsidRDefault="00047DC5" w:rsidP="00047DC5">
      <w:pPr>
        <w:pStyle w:val="Heading3"/>
      </w:pPr>
      <w:bookmarkStart w:id="37" w:name="_Toc238549793"/>
      <w:r>
        <w:t>2.8.1 Retention Strategies for Migrant Healthcare Workers</w:t>
      </w:r>
      <w:bookmarkEnd w:id="37"/>
    </w:p>
    <w:p w14:paraId="00ACDCCB" w14:textId="77777777" w:rsidR="00047DC5" w:rsidRDefault="00047DC5" w:rsidP="00047DC5">
      <w:pPr>
        <w:spacing w:line="360" w:lineRule="auto"/>
        <w:jc w:val="both"/>
        <w:rPr>
          <w:rFonts w:ascii="Arial" w:hAnsi="Arial" w:cs="Arial"/>
        </w:rPr>
      </w:pPr>
      <w:r>
        <w:rPr>
          <w:rFonts w:ascii="Arial" w:hAnsi="Arial" w:cs="Arial"/>
        </w:rPr>
        <w:t xml:space="preserve">Retention of migrant healthcare workers has become a critical priority for healthcare </w:t>
      </w:r>
      <w:proofErr w:type="spellStart"/>
      <w:r>
        <w:rPr>
          <w:rFonts w:ascii="Arial" w:hAnsi="Arial" w:cs="Arial"/>
        </w:rPr>
        <w:t>organisations</w:t>
      </w:r>
      <w:proofErr w:type="spellEnd"/>
      <w:r>
        <w:rPr>
          <w:rFonts w:ascii="Arial" w:hAnsi="Arial" w:cs="Arial"/>
        </w:rPr>
        <w:t xml:space="preserve"> facing immigration restrictions. Research has identified several key retention strategies that can mitigate the impact of reduced migrant availability, including investment in training and career progression, supportive working environments, and family unity support (</w:t>
      </w:r>
      <w:proofErr w:type="spellStart"/>
      <w:r>
        <w:rPr>
          <w:rFonts w:ascii="Arial" w:hAnsi="Arial" w:cs="Arial"/>
        </w:rPr>
        <w:t>Sarre</w:t>
      </w:r>
      <w:proofErr w:type="spellEnd"/>
      <w:r>
        <w:rPr>
          <w:rFonts w:ascii="Arial" w:hAnsi="Arial" w:cs="Arial"/>
        </w:rPr>
        <w:t xml:space="preserve"> et al., </w:t>
      </w:r>
      <w:proofErr w:type="gramStart"/>
      <w:r>
        <w:rPr>
          <w:rFonts w:ascii="Arial" w:hAnsi="Arial" w:cs="Arial"/>
        </w:rPr>
        <w:t>2025;  Anderson</w:t>
      </w:r>
      <w:proofErr w:type="gramEnd"/>
      <w:r>
        <w:rPr>
          <w:rFonts w:ascii="Arial" w:hAnsi="Arial" w:cs="Arial"/>
        </w:rPr>
        <w:t xml:space="preserve"> et al., 2021).</w:t>
      </w:r>
    </w:p>
    <w:p w14:paraId="029EF8DE" w14:textId="77777777" w:rsidR="00047DC5" w:rsidRDefault="00047DC5" w:rsidP="00047DC5">
      <w:pPr>
        <w:spacing w:line="360" w:lineRule="auto"/>
        <w:jc w:val="both"/>
        <w:rPr>
          <w:rFonts w:ascii="Arial" w:hAnsi="Arial" w:cs="Arial"/>
        </w:rPr>
      </w:pPr>
      <w:r>
        <w:rPr>
          <w:rFonts w:ascii="Arial" w:hAnsi="Arial" w:cs="Arial"/>
        </w:rPr>
        <w:t>Investment in training and career progression is one of the most consistently identified retention strategies. Studies have shown that healthcare workers who perceive opportunities for professional development are significantly more likely to remain in their roles (</w:t>
      </w:r>
      <w:proofErr w:type="spellStart"/>
      <w:r>
        <w:rPr>
          <w:rFonts w:ascii="Arial" w:hAnsi="Arial" w:cs="Arial"/>
        </w:rPr>
        <w:t>Sarre</w:t>
      </w:r>
      <w:proofErr w:type="spellEnd"/>
      <w:r>
        <w:rPr>
          <w:rFonts w:ascii="Arial" w:hAnsi="Arial" w:cs="Arial"/>
        </w:rPr>
        <w:t xml:space="preserve"> et al., 2025; Skills for Care, 2024). However, despite their frontline importance, HCSWs receive only 5% of training budgets, representing a significant gap between policy ambition and practice (Skills for Care, 2024). The NHS Long Term Workforce Plan sets out ambitious targets for domestic recruitment and upskilling, including the development of new career pathways for HCSWs (NHS England, 2023). However, there is limited evidence on whether these targets are achievable or whether they can compensate for the loss of migrant workers. The tension between policy ambition and empirical uncertainty is a recurring theme in the literature (Anderson et al., 2021).</w:t>
      </w:r>
    </w:p>
    <w:p w14:paraId="27BE1B11" w14:textId="77777777" w:rsidR="00047DC5" w:rsidRDefault="00047DC5" w:rsidP="00047DC5">
      <w:pPr>
        <w:spacing w:line="360" w:lineRule="auto"/>
        <w:jc w:val="both"/>
        <w:rPr>
          <w:rFonts w:ascii="Arial" w:hAnsi="Arial" w:cs="Arial"/>
        </w:rPr>
      </w:pPr>
      <w:r>
        <w:rPr>
          <w:rFonts w:ascii="Arial" w:hAnsi="Arial" w:cs="Arial"/>
        </w:rPr>
        <w:t xml:space="preserve">Supportive working environments and </w:t>
      </w:r>
      <w:proofErr w:type="spellStart"/>
      <w:r>
        <w:rPr>
          <w:rFonts w:ascii="Arial" w:hAnsi="Arial" w:cs="Arial"/>
        </w:rPr>
        <w:t>organisational</w:t>
      </w:r>
      <w:proofErr w:type="spellEnd"/>
      <w:r>
        <w:rPr>
          <w:rFonts w:ascii="Arial" w:hAnsi="Arial" w:cs="Arial"/>
        </w:rPr>
        <w:t xml:space="preserve"> culture are also critical for retaining migrant healthcare workers. Studies of internationally educated nurses have found that workplace culture – including fairness, inclusion, and recognition – is a significant </w:t>
      </w:r>
      <w:r>
        <w:rPr>
          <w:rFonts w:ascii="Arial" w:hAnsi="Arial" w:cs="Arial"/>
        </w:rPr>
        <w:lastRenderedPageBreak/>
        <w:t xml:space="preserve">predictor of retention (RCN, 2025). Conversely, toxic workplace cultures </w:t>
      </w:r>
      <w:proofErr w:type="spellStart"/>
      <w:r>
        <w:rPr>
          <w:rFonts w:ascii="Arial" w:hAnsi="Arial" w:cs="Arial"/>
        </w:rPr>
        <w:t>characterised</w:t>
      </w:r>
      <w:proofErr w:type="spellEnd"/>
      <w:r>
        <w:rPr>
          <w:rFonts w:ascii="Arial" w:hAnsi="Arial" w:cs="Arial"/>
        </w:rPr>
        <w:t xml:space="preserve"> by microaggressions, exclusion, and language</w:t>
      </w:r>
      <w:r>
        <w:rPr>
          <w:rFonts w:ascii="Arial" w:hAnsi="Arial" w:cs="Arial"/>
        </w:rPr>
        <w:noBreakHyphen/>
        <w:t>based bias are associated with increased turnover (RCN, 2025). The Florence Nightingale Foundation observed that as recruitment slows and retention challenges deepen, the networks and partnerships that have flourished through international exchange are under threat (Florence Nightingale Foundation, 2025). This highlights the importance of creating supportive environments that value the contributions of migrant workers.</w:t>
      </w:r>
    </w:p>
    <w:p w14:paraId="432125EA" w14:textId="77777777" w:rsidR="00047DC5" w:rsidRDefault="00047DC5" w:rsidP="00047DC5">
      <w:pPr>
        <w:spacing w:line="360" w:lineRule="auto"/>
        <w:jc w:val="both"/>
        <w:rPr>
          <w:rFonts w:ascii="Arial" w:hAnsi="Arial" w:cs="Arial"/>
        </w:rPr>
      </w:pPr>
      <w:r>
        <w:rPr>
          <w:rFonts w:ascii="Arial" w:hAnsi="Arial" w:cs="Arial"/>
        </w:rPr>
        <w:t xml:space="preserve">Family unity has also been identified as a critical factor in retention. Research has shown that migrant workers who are able to bring and keep family members in the UK are more likely to remain in their roles (Stewart and Mulvey, 2014). The 2025 immigration reforms, by restricting </w:t>
      </w:r>
      <w:proofErr w:type="spellStart"/>
      <w:r>
        <w:rPr>
          <w:rFonts w:ascii="Arial" w:hAnsi="Arial" w:cs="Arial"/>
        </w:rPr>
        <w:t>dependant</w:t>
      </w:r>
      <w:proofErr w:type="spellEnd"/>
      <w:r>
        <w:rPr>
          <w:rFonts w:ascii="Arial" w:hAnsi="Arial" w:cs="Arial"/>
        </w:rPr>
        <w:t xml:space="preserve"> visas, directly threaten this source of social support (Home Office, 2025b). </w:t>
      </w:r>
      <w:proofErr w:type="spellStart"/>
      <w:r>
        <w:rPr>
          <w:rFonts w:ascii="Arial" w:hAnsi="Arial" w:cs="Arial"/>
        </w:rPr>
        <w:t>Organisations</w:t>
      </w:r>
      <w:proofErr w:type="spellEnd"/>
      <w:r>
        <w:rPr>
          <w:rFonts w:ascii="Arial" w:hAnsi="Arial" w:cs="Arial"/>
        </w:rPr>
        <w:t xml:space="preserve"> can mitigate this by providing support for families, such as flexible working arrangements, access to family housing, and assistance with </w:t>
      </w:r>
      <w:proofErr w:type="spellStart"/>
      <w:r>
        <w:rPr>
          <w:rFonts w:ascii="Arial" w:hAnsi="Arial" w:cs="Arial"/>
        </w:rPr>
        <w:t>dependant</w:t>
      </w:r>
      <w:proofErr w:type="spellEnd"/>
      <w:r>
        <w:rPr>
          <w:rFonts w:ascii="Arial" w:hAnsi="Arial" w:cs="Arial"/>
        </w:rPr>
        <w:t xml:space="preserve"> applications.</w:t>
      </w:r>
    </w:p>
    <w:p w14:paraId="69B85F2E" w14:textId="77777777" w:rsidR="00047DC5" w:rsidRDefault="00047DC5" w:rsidP="00047DC5">
      <w:pPr>
        <w:pStyle w:val="Heading3"/>
      </w:pPr>
      <w:bookmarkStart w:id="38" w:name="_Toc238549794"/>
      <w:r>
        <w:t>2.8.2 Domestic Upskilling and Workforce Development</w:t>
      </w:r>
      <w:bookmarkEnd w:id="38"/>
    </w:p>
    <w:p w14:paraId="61284FB6" w14:textId="77777777" w:rsidR="00047DC5" w:rsidRDefault="00047DC5" w:rsidP="00047DC5">
      <w:pPr>
        <w:spacing w:line="360" w:lineRule="auto"/>
        <w:jc w:val="both"/>
        <w:rPr>
          <w:rFonts w:ascii="Arial" w:hAnsi="Arial" w:cs="Arial"/>
        </w:rPr>
      </w:pPr>
      <w:r>
        <w:rPr>
          <w:rFonts w:ascii="Arial" w:hAnsi="Arial" w:cs="Arial"/>
        </w:rPr>
        <w:t xml:space="preserve">Policymakers have increasingly </w:t>
      </w:r>
      <w:proofErr w:type="spellStart"/>
      <w:r>
        <w:rPr>
          <w:rFonts w:ascii="Arial" w:hAnsi="Arial" w:cs="Arial"/>
        </w:rPr>
        <w:t>emphasised</w:t>
      </w:r>
      <w:proofErr w:type="spellEnd"/>
      <w:r>
        <w:rPr>
          <w:rFonts w:ascii="Arial" w:hAnsi="Arial" w:cs="Arial"/>
        </w:rPr>
        <w:t xml:space="preserve"> domestic workforce development as a substitute for international recruitment (NHS England, 2023). The NHS Long Term Workforce Plan sets out ambitious targets for domestic recruitment, including the development of new apprenticeship routes and career pathways for HCSWs (NHS England, 2023). However, there is limited quantitative evidence on whether these targets are achievable or whether they can effectively replace migrant </w:t>
      </w:r>
      <w:proofErr w:type="spellStart"/>
      <w:r>
        <w:rPr>
          <w:rFonts w:ascii="Arial" w:hAnsi="Arial" w:cs="Arial"/>
        </w:rPr>
        <w:t>labour</w:t>
      </w:r>
      <w:proofErr w:type="spellEnd"/>
      <w:r>
        <w:rPr>
          <w:rFonts w:ascii="Arial" w:hAnsi="Arial" w:cs="Arial"/>
        </w:rPr>
        <w:t>.</w:t>
      </w:r>
    </w:p>
    <w:p w14:paraId="6286D773" w14:textId="77777777" w:rsidR="00047DC5" w:rsidRDefault="00047DC5" w:rsidP="00047DC5">
      <w:pPr>
        <w:spacing w:line="360" w:lineRule="auto"/>
        <w:jc w:val="both"/>
        <w:rPr>
          <w:rFonts w:ascii="Arial" w:hAnsi="Arial" w:cs="Arial"/>
        </w:rPr>
      </w:pPr>
      <w:r>
        <w:rPr>
          <w:rFonts w:ascii="Arial" w:hAnsi="Arial" w:cs="Arial"/>
        </w:rPr>
        <w:t>Apprenticeships and traineeships have been promoted as key mechanisms for developing the domestic healthcare workforce. The NHS Long Term Workforce Plan sets out plans to expand apprenticeship routes and create new career pathways for HCSWs (NHS England, 2023). However, research has highlighted challenges in implementation, including limited employer capacity, insufficient funding, and low uptake among potential candidates (</w:t>
      </w:r>
      <w:proofErr w:type="spellStart"/>
      <w:r>
        <w:rPr>
          <w:rFonts w:ascii="Arial" w:hAnsi="Arial" w:cs="Arial"/>
        </w:rPr>
        <w:t>Sarre</w:t>
      </w:r>
      <w:proofErr w:type="spellEnd"/>
      <w:r>
        <w:rPr>
          <w:rFonts w:ascii="Arial" w:hAnsi="Arial" w:cs="Arial"/>
        </w:rPr>
        <w:t xml:space="preserve"> et al., 2025).</w:t>
      </w:r>
    </w:p>
    <w:p w14:paraId="6A044AEA" w14:textId="77777777" w:rsidR="00047DC5" w:rsidRDefault="00047DC5" w:rsidP="00047DC5">
      <w:pPr>
        <w:spacing w:line="360" w:lineRule="auto"/>
        <w:jc w:val="both"/>
        <w:rPr>
          <w:rFonts w:ascii="Arial" w:hAnsi="Arial" w:cs="Arial"/>
        </w:rPr>
      </w:pPr>
      <w:r>
        <w:rPr>
          <w:rFonts w:ascii="Arial" w:hAnsi="Arial" w:cs="Arial"/>
        </w:rPr>
        <w:t xml:space="preserve">Creating clear career progression pathways is essential for retaining HCSWs and encouraging domestic recruitment. Research has shown that HCSWs often feel 'stuck' in </w:t>
      </w:r>
      <w:r>
        <w:rPr>
          <w:rFonts w:ascii="Arial" w:hAnsi="Arial" w:cs="Arial"/>
        </w:rPr>
        <w:lastRenderedPageBreak/>
        <w:t>entry</w:t>
      </w:r>
      <w:r>
        <w:rPr>
          <w:rFonts w:ascii="Arial" w:hAnsi="Arial" w:cs="Arial"/>
        </w:rPr>
        <w:noBreakHyphen/>
        <w:t>level roles, with limited opportunities for advancement (Anderson et al., 2021). The development of new career pathways, such as the Nursing Associate role, has been identified as a positive development (NHS England, 2023). However, there is limited evidence on whether these pathways are sufficient to replace the loss of migrant workers.</w:t>
      </w:r>
    </w:p>
    <w:p w14:paraId="41BAE1AD" w14:textId="77777777" w:rsidR="00047DC5" w:rsidRDefault="00047DC5" w:rsidP="00047DC5">
      <w:pPr>
        <w:pStyle w:val="Heading3"/>
      </w:pPr>
      <w:bookmarkStart w:id="39" w:name="_Toc238549795"/>
      <w:r>
        <w:t xml:space="preserve">2.8.3 </w:t>
      </w:r>
      <w:proofErr w:type="spellStart"/>
      <w:r>
        <w:t>Organisational</w:t>
      </w:r>
      <w:proofErr w:type="spellEnd"/>
      <w:r>
        <w:t xml:space="preserve"> Strategies for Workforce Sustainability</w:t>
      </w:r>
      <w:bookmarkEnd w:id="39"/>
    </w:p>
    <w:p w14:paraId="39708E8D" w14:textId="77777777" w:rsidR="00047DC5" w:rsidRDefault="00047DC5" w:rsidP="00047DC5">
      <w:pPr>
        <w:spacing w:line="360" w:lineRule="auto"/>
        <w:jc w:val="both"/>
        <w:rPr>
          <w:rFonts w:ascii="Arial" w:hAnsi="Arial" w:cs="Arial"/>
        </w:rPr>
      </w:pPr>
      <w:r>
        <w:rPr>
          <w:rFonts w:ascii="Arial" w:hAnsi="Arial" w:cs="Arial"/>
        </w:rPr>
        <w:t xml:space="preserve">Healthcare </w:t>
      </w:r>
      <w:proofErr w:type="spellStart"/>
      <w:r>
        <w:rPr>
          <w:rFonts w:ascii="Arial" w:hAnsi="Arial" w:cs="Arial"/>
        </w:rPr>
        <w:t>organisations</w:t>
      </w:r>
      <w:proofErr w:type="spellEnd"/>
      <w:r>
        <w:rPr>
          <w:rFonts w:ascii="Arial" w:hAnsi="Arial" w:cs="Arial"/>
        </w:rPr>
        <w:t xml:space="preserve"> have developed a range of strategies to sustain their workforce under immigration restrictions, including competitive pay and benefits, flexible working arrangements, and mentoring and support </w:t>
      </w:r>
      <w:proofErr w:type="spellStart"/>
      <w:r>
        <w:rPr>
          <w:rFonts w:ascii="Arial" w:hAnsi="Arial" w:cs="Arial"/>
        </w:rPr>
        <w:t>programmes</w:t>
      </w:r>
      <w:proofErr w:type="spellEnd"/>
      <w:r>
        <w:rPr>
          <w:rFonts w:ascii="Arial" w:hAnsi="Arial" w:cs="Arial"/>
        </w:rPr>
        <w:t>. Research has shown that competitive pay and benefits are critical for attracting and retaining healthcare workers (Skills for Care, 2024). However, the adult social care sector</w:t>
      </w:r>
      <w:proofErr w:type="gramStart"/>
      <w:r>
        <w:rPr>
          <w:rFonts w:ascii="Arial" w:hAnsi="Arial" w:cs="Arial"/>
        </w:rPr>
        <w:t>, in particular, is</w:t>
      </w:r>
      <w:proofErr w:type="gramEnd"/>
      <w:r>
        <w:rPr>
          <w:rFonts w:ascii="Arial" w:hAnsi="Arial" w:cs="Arial"/>
        </w:rPr>
        <w:t xml:space="preserve"> </w:t>
      </w:r>
      <w:proofErr w:type="spellStart"/>
      <w:r>
        <w:rPr>
          <w:rFonts w:ascii="Arial" w:hAnsi="Arial" w:cs="Arial"/>
        </w:rPr>
        <w:t>characterised</w:t>
      </w:r>
      <w:proofErr w:type="spellEnd"/>
      <w:r>
        <w:rPr>
          <w:rFonts w:ascii="Arial" w:hAnsi="Arial" w:cs="Arial"/>
        </w:rPr>
        <w:t xml:space="preserve"> by low pay and limited benefits (LSE Business Review, 2025). The immigration salary threshold increases have made it more difficult to recruit from overseas, placing additional pressure on </w:t>
      </w:r>
      <w:proofErr w:type="spellStart"/>
      <w:r>
        <w:rPr>
          <w:rFonts w:ascii="Arial" w:hAnsi="Arial" w:cs="Arial"/>
        </w:rPr>
        <w:t>organisations</w:t>
      </w:r>
      <w:proofErr w:type="spellEnd"/>
      <w:r>
        <w:rPr>
          <w:rFonts w:ascii="Arial" w:hAnsi="Arial" w:cs="Arial"/>
        </w:rPr>
        <w:t xml:space="preserve"> to offer competitive pay (RCN, 2025).</w:t>
      </w:r>
    </w:p>
    <w:p w14:paraId="2E1995DC" w14:textId="77777777" w:rsidR="00047DC5" w:rsidRDefault="00047DC5" w:rsidP="00047DC5">
      <w:pPr>
        <w:spacing w:line="360" w:lineRule="auto"/>
        <w:jc w:val="both"/>
        <w:rPr>
          <w:rFonts w:ascii="Arial" w:hAnsi="Arial" w:cs="Arial"/>
        </w:rPr>
      </w:pPr>
      <w:r>
        <w:rPr>
          <w:rFonts w:ascii="Arial" w:hAnsi="Arial" w:cs="Arial"/>
        </w:rPr>
        <w:t>Flexible working arrangements have been identified as a key retention strategy, particularly for workers with family responsibilities (</w:t>
      </w:r>
      <w:proofErr w:type="spellStart"/>
      <w:r>
        <w:rPr>
          <w:rFonts w:ascii="Arial" w:hAnsi="Arial" w:cs="Arial"/>
        </w:rPr>
        <w:t>Sarre</w:t>
      </w:r>
      <w:proofErr w:type="spellEnd"/>
      <w:r>
        <w:rPr>
          <w:rFonts w:ascii="Arial" w:hAnsi="Arial" w:cs="Arial"/>
        </w:rPr>
        <w:t xml:space="preserve"> et al., 2025). </w:t>
      </w:r>
      <w:proofErr w:type="spellStart"/>
      <w:r>
        <w:rPr>
          <w:rFonts w:ascii="Arial" w:hAnsi="Arial" w:cs="Arial"/>
        </w:rPr>
        <w:t>Organisations</w:t>
      </w:r>
      <w:proofErr w:type="spellEnd"/>
      <w:r>
        <w:rPr>
          <w:rFonts w:ascii="Arial" w:hAnsi="Arial" w:cs="Arial"/>
        </w:rPr>
        <w:t xml:space="preserve"> that offer flexible working are more likely to retain staff, particularly those with </w:t>
      </w:r>
      <w:proofErr w:type="spellStart"/>
      <w:r>
        <w:rPr>
          <w:rFonts w:ascii="Arial" w:hAnsi="Arial" w:cs="Arial"/>
        </w:rPr>
        <w:t>dependants</w:t>
      </w:r>
      <w:proofErr w:type="spellEnd"/>
      <w:r>
        <w:rPr>
          <w:rFonts w:ascii="Arial" w:hAnsi="Arial" w:cs="Arial"/>
        </w:rPr>
        <w:t xml:space="preserve">. Mentoring and support </w:t>
      </w:r>
      <w:proofErr w:type="spellStart"/>
      <w:r>
        <w:rPr>
          <w:rFonts w:ascii="Arial" w:hAnsi="Arial" w:cs="Arial"/>
        </w:rPr>
        <w:t>programmes</w:t>
      </w:r>
      <w:proofErr w:type="spellEnd"/>
      <w:r>
        <w:rPr>
          <w:rFonts w:ascii="Arial" w:hAnsi="Arial" w:cs="Arial"/>
        </w:rPr>
        <w:t xml:space="preserve"> have also been shown to improve retention among migrant healthcare workers (Florence Nightingale Foundation, 2025). </w:t>
      </w:r>
      <w:proofErr w:type="spellStart"/>
      <w:r>
        <w:rPr>
          <w:rFonts w:ascii="Arial" w:hAnsi="Arial" w:cs="Arial"/>
        </w:rPr>
        <w:t>Programmes</w:t>
      </w:r>
      <w:proofErr w:type="spellEnd"/>
      <w:r>
        <w:rPr>
          <w:rFonts w:ascii="Arial" w:hAnsi="Arial" w:cs="Arial"/>
        </w:rPr>
        <w:t xml:space="preserve"> that provide pastoral support, career guidance, and professional development opportunities can help address the challenges faced by internationally educated staff.</w:t>
      </w:r>
    </w:p>
    <w:p w14:paraId="2696DC36" w14:textId="77777777" w:rsidR="00047DC5" w:rsidRDefault="00047DC5" w:rsidP="00047DC5">
      <w:pPr>
        <w:pStyle w:val="Heading3"/>
      </w:pPr>
      <w:bookmarkStart w:id="40" w:name="_Toc238549796"/>
      <w:r>
        <w:t>2.8.4 Evidence on the Effectiveness of HR Strategies</w:t>
      </w:r>
      <w:bookmarkEnd w:id="40"/>
    </w:p>
    <w:p w14:paraId="048ABB71" w14:textId="77777777" w:rsidR="00047DC5" w:rsidRDefault="00047DC5" w:rsidP="00047DC5">
      <w:pPr>
        <w:spacing w:line="360" w:lineRule="auto"/>
        <w:jc w:val="both"/>
        <w:rPr>
          <w:rFonts w:ascii="Arial" w:hAnsi="Arial" w:cs="Arial"/>
        </w:rPr>
      </w:pPr>
      <w:r>
        <w:rPr>
          <w:rFonts w:ascii="Arial" w:hAnsi="Arial" w:cs="Arial"/>
        </w:rPr>
        <w:t>The evidence on the effectiveness of HR strategies for sustaining the healthcare workforce is mixed. While there is evidence that certain strategies – such as investment in training, supportive working environments, and family support – are associated with improved retention (</w:t>
      </w:r>
      <w:proofErr w:type="spellStart"/>
      <w:r>
        <w:rPr>
          <w:rFonts w:ascii="Arial" w:hAnsi="Arial" w:cs="Arial"/>
        </w:rPr>
        <w:t>Sarre</w:t>
      </w:r>
      <w:proofErr w:type="spellEnd"/>
      <w:r>
        <w:rPr>
          <w:rFonts w:ascii="Arial" w:hAnsi="Arial" w:cs="Arial"/>
        </w:rPr>
        <w:t xml:space="preserve"> et al., 2025; RCN, 2025), there is limited quantitative evidence on their effectiveness in the context of immigration restrictions.</w:t>
      </w:r>
    </w:p>
    <w:p w14:paraId="59459DE3" w14:textId="77777777" w:rsidR="00047DC5" w:rsidRDefault="00047DC5" w:rsidP="00047DC5">
      <w:pPr>
        <w:spacing w:line="360" w:lineRule="auto"/>
        <w:jc w:val="both"/>
        <w:rPr>
          <w:rFonts w:ascii="Arial" w:hAnsi="Arial" w:cs="Arial"/>
        </w:rPr>
      </w:pPr>
      <w:r>
        <w:rPr>
          <w:rFonts w:ascii="Arial" w:hAnsi="Arial" w:cs="Arial"/>
        </w:rPr>
        <w:t xml:space="preserve">The NHS Long Term Workforce Plan provides a framework for domestic workforce development, but it is too early to assess whether its targets will be achieved (NHS England, 2023). The decline in new international recruits – from 105,000 in 2023/24 to </w:t>
      </w:r>
      <w:r>
        <w:rPr>
          <w:rFonts w:ascii="Arial" w:hAnsi="Arial" w:cs="Arial"/>
        </w:rPr>
        <w:lastRenderedPageBreak/>
        <w:t>50,000 in 2024/25 – suggests that the sector is becoming increasingly dependent on domestic recruitment (Skills for Care, 2024). However, the 2.6% decline in workers of British nationality over the same period highlights the challenges of domestic recruitment (Skills for Care, 2024). This study contributes to this gap by providing quantitative evidence on the effectiveness of HR strategies, including domestic upskilling and retention initiatives, in sustaining the healthcare workforce under immigration restrictions.</w:t>
      </w:r>
    </w:p>
    <w:p w14:paraId="5EC70460" w14:textId="77777777" w:rsidR="00047DC5" w:rsidRDefault="00047DC5" w:rsidP="00047DC5">
      <w:pPr>
        <w:pStyle w:val="Heading2"/>
      </w:pPr>
      <w:bookmarkStart w:id="41" w:name="_Toc238549797"/>
      <w:r>
        <w:t>2.9 Research Gaps and Conceptual Framework</w:t>
      </w:r>
      <w:bookmarkEnd w:id="41"/>
    </w:p>
    <w:p w14:paraId="13FFBAD5" w14:textId="77777777" w:rsidR="00047DC5" w:rsidRDefault="00047DC5" w:rsidP="00047DC5">
      <w:pPr>
        <w:pStyle w:val="Heading3"/>
      </w:pPr>
      <w:bookmarkStart w:id="42" w:name="_Toc238549798"/>
      <w:r>
        <w:t>2.9.1 Identification of Research Gaps</w:t>
      </w:r>
      <w:bookmarkEnd w:id="42"/>
    </w:p>
    <w:p w14:paraId="54AF3CB1" w14:textId="77777777" w:rsidR="00047DC5" w:rsidRDefault="00047DC5" w:rsidP="00047DC5">
      <w:pPr>
        <w:spacing w:line="360" w:lineRule="auto"/>
        <w:jc w:val="both"/>
        <w:rPr>
          <w:rFonts w:ascii="Arial" w:hAnsi="Arial" w:cs="Arial"/>
        </w:rPr>
      </w:pPr>
      <w:r>
        <w:rPr>
          <w:rFonts w:ascii="Arial" w:hAnsi="Arial" w:cs="Arial"/>
        </w:rPr>
        <w:t>Several important gaps exist within the current literature. First, most migration and healthcare workforce studies focus on highly skilled professionals such as doctors and nurses, while healthcare support workers remain comparatively under</w:t>
      </w:r>
      <w:r>
        <w:rPr>
          <w:rFonts w:ascii="Arial" w:hAnsi="Arial" w:cs="Arial"/>
        </w:rPr>
        <w:noBreakHyphen/>
        <w:t xml:space="preserve">researched despite representing a substantial proportion of the NHS workforce (Anderson et al., 2021). Second, much of the existing literature predates the major immigration reforms introduced after 2020. As a result, there is limited empirical evidence regarding the effects of recent policy changes on migrant healthcare support workers (Davda, Gallagher and Radford, 2018; Home Office, 2025a). Third, policymakers have </w:t>
      </w:r>
      <w:proofErr w:type="spellStart"/>
      <w:r>
        <w:rPr>
          <w:rFonts w:ascii="Arial" w:hAnsi="Arial" w:cs="Arial"/>
        </w:rPr>
        <w:t>emphasised</w:t>
      </w:r>
      <w:proofErr w:type="spellEnd"/>
      <w:r>
        <w:rPr>
          <w:rFonts w:ascii="Arial" w:hAnsi="Arial" w:cs="Arial"/>
        </w:rPr>
        <w:t xml:space="preserve"> domestic workforce development as a substitute for international recruitment; however, there is limited quantitative evidence on whether domestic upskilling initiatives can effectively replace migrant </w:t>
      </w:r>
      <w:proofErr w:type="spellStart"/>
      <w:r>
        <w:rPr>
          <w:rFonts w:ascii="Arial" w:hAnsi="Arial" w:cs="Arial"/>
        </w:rPr>
        <w:t>labour</w:t>
      </w:r>
      <w:proofErr w:type="spellEnd"/>
      <w:r>
        <w:rPr>
          <w:rFonts w:ascii="Arial" w:hAnsi="Arial" w:cs="Arial"/>
        </w:rPr>
        <w:t xml:space="preserve"> within the healthcare sector (NHS England, 2023). Fourth, limited research has explored how UK</w:t>
      </w:r>
      <w:r>
        <w:rPr>
          <w:rFonts w:ascii="Arial" w:hAnsi="Arial" w:cs="Arial"/>
        </w:rPr>
        <w:noBreakHyphen/>
        <w:t xml:space="preserve">wide immigration policies affect healthcare workforce sustainability across the four nations of England, Scotland, Wales and Northern Ireland, despite differences in workforce structures and healthcare governance arrangements (Anderson et al., 2021). Fifth, there is limited empirical evidence on the effectiveness of HR strategies – including retention initiatives, training investment, and </w:t>
      </w:r>
      <w:proofErr w:type="spellStart"/>
      <w:r>
        <w:rPr>
          <w:rFonts w:ascii="Arial" w:hAnsi="Arial" w:cs="Arial"/>
        </w:rPr>
        <w:t>organisational</w:t>
      </w:r>
      <w:proofErr w:type="spellEnd"/>
      <w:r>
        <w:rPr>
          <w:rFonts w:ascii="Arial" w:hAnsi="Arial" w:cs="Arial"/>
        </w:rPr>
        <w:t xml:space="preserve"> support – in sustaining the healthcare workforce under immigration restrictions (</w:t>
      </w:r>
      <w:proofErr w:type="spellStart"/>
      <w:r>
        <w:rPr>
          <w:rFonts w:ascii="Arial" w:hAnsi="Arial" w:cs="Arial"/>
        </w:rPr>
        <w:t>Sarre</w:t>
      </w:r>
      <w:proofErr w:type="spellEnd"/>
      <w:r>
        <w:rPr>
          <w:rFonts w:ascii="Arial" w:hAnsi="Arial" w:cs="Arial"/>
        </w:rPr>
        <w:t xml:space="preserve"> et al., 2025; Skills for Care, 2024).</w:t>
      </w:r>
    </w:p>
    <w:p w14:paraId="61B83ECC" w14:textId="77777777" w:rsidR="00047DC5" w:rsidRDefault="00047DC5" w:rsidP="00047DC5">
      <w:pPr>
        <w:pStyle w:val="Heading3"/>
      </w:pPr>
      <w:bookmarkStart w:id="43" w:name="_Toc238549799"/>
      <w:r>
        <w:t xml:space="preserve">2.9.2 Contribution to Knowledge: Addressing </w:t>
      </w:r>
      <w:proofErr w:type="gramStart"/>
      <w:r>
        <w:t>the Research</w:t>
      </w:r>
      <w:proofErr w:type="gramEnd"/>
      <w:r>
        <w:t xml:space="preserve"> Gaps</w:t>
      </w:r>
      <w:bookmarkEnd w:id="43"/>
    </w:p>
    <w:p w14:paraId="744DF28C" w14:textId="77777777" w:rsidR="00047DC5" w:rsidRDefault="00047DC5" w:rsidP="00047DC5">
      <w:pPr>
        <w:spacing w:line="360" w:lineRule="auto"/>
        <w:jc w:val="both"/>
        <w:rPr>
          <w:rFonts w:ascii="Arial" w:hAnsi="Arial" w:cs="Arial"/>
        </w:rPr>
      </w:pPr>
      <w:r>
        <w:rPr>
          <w:rFonts w:ascii="Arial" w:hAnsi="Arial" w:cs="Arial"/>
        </w:rPr>
        <w:t xml:space="preserve">This study makes a significant contribution to knowledge by directly addressing the five research gaps identified in the preceding section. The originality of this research lies in its </w:t>
      </w:r>
      <w:r>
        <w:rPr>
          <w:rFonts w:ascii="Arial" w:hAnsi="Arial" w:cs="Arial"/>
        </w:rPr>
        <w:lastRenderedPageBreak/>
        <w:t>integration of theoretical, empirical, and practical contributions that move beyond existing literature in several important ways.</w:t>
      </w:r>
    </w:p>
    <w:p w14:paraId="6D5EC7EA" w14:textId="77777777" w:rsidR="00047DC5" w:rsidRDefault="00047DC5" w:rsidP="00047DC5">
      <w:pPr>
        <w:pStyle w:val="Heading4"/>
      </w:pPr>
      <w:r>
        <w:t>Contribution to Theory</w:t>
      </w:r>
    </w:p>
    <w:p w14:paraId="68283AF1" w14:textId="77777777" w:rsidR="00047DC5" w:rsidRDefault="00047DC5" w:rsidP="00047DC5">
      <w:pPr>
        <w:spacing w:line="360" w:lineRule="auto"/>
        <w:jc w:val="both"/>
        <w:rPr>
          <w:rFonts w:ascii="Arial" w:hAnsi="Arial" w:cs="Arial"/>
        </w:rPr>
      </w:pPr>
      <w:r>
        <w:rPr>
          <w:rFonts w:ascii="Arial" w:hAnsi="Arial" w:cs="Arial"/>
        </w:rPr>
        <w:t>This study advances theoretical understanding by empirically testing the integrated application of Human Capital Theory, Conservation of Resources (COR) Theory, and the Triple Bottom Line (TBL) framework in the context of UK immigration policy – an approach that has not been previously applied to healthcare support workers (Anderson et al., 2021). While these theories have been used individually to study migration and workforce dynamics, their integration into a unified quantitative analytical chain is novel. Previous studies have examined human capital loss (Becker, 1964), resource threats (</w:t>
      </w:r>
      <w:proofErr w:type="spellStart"/>
      <w:r>
        <w:rPr>
          <w:rFonts w:ascii="Arial" w:hAnsi="Arial" w:cs="Arial"/>
        </w:rPr>
        <w:t>Hobfoll</w:t>
      </w:r>
      <w:proofErr w:type="spellEnd"/>
      <w:r>
        <w:rPr>
          <w:rFonts w:ascii="Arial" w:hAnsi="Arial" w:cs="Arial"/>
        </w:rPr>
        <w:t xml:space="preserve">, 1989), and sustainability </w:t>
      </w:r>
      <w:proofErr w:type="gramStart"/>
      <w:r>
        <w:rPr>
          <w:rFonts w:ascii="Arial" w:hAnsi="Arial" w:cs="Arial"/>
        </w:rPr>
        <w:t>trade</w:t>
      </w:r>
      <w:r>
        <w:rPr>
          <w:rFonts w:ascii="Arial" w:hAnsi="Arial" w:cs="Arial"/>
        </w:rPr>
        <w:noBreakHyphen/>
        <w:t>offs</w:t>
      </w:r>
      <w:proofErr w:type="gramEnd"/>
      <w:r>
        <w:rPr>
          <w:rFonts w:ascii="Arial" w:hAnsi="Arial" w:cs="Arial"/>
        </w:rPr>
        <w:t xml:space="preserve"> (</w:t>
      </w:r>
      <w:proofErr w:type="spellStart"/>
      <w:r>
        <w:rPr>
          <w:rFonts w:ascii="Arial" w:hAnsi="Arial" w:cs="Arial"/>
        </w:rPr>
        <w:t>Alhaddi</w:t>
      </w:r>
      <w:proofErr w:type="spellEnd"/>
      <w:r>
        <w:rPr>
          <w:rFonts w:ascii="Arial" w:hAnsi="Arial" w:cs="Arial"/>
        </w:rPr>
        <w:t>, 2015) in isolation. This study bridges these theoretical silos by demonstrating how policy changes create resource threats that lead to human capital loss, which ultimately results in a decline in both social and economic sustainability. This integrated framework provides a more comprehensive explanation of the impact of immigration policy on workforce sustainability than any single theory could offer.</w:t>
      </w:r>
    </w:p>
    <w:p w14:paraId="6A6A0EC8" w14:textId="77777777" w:rsidR="00047DC5" w:rsidRDefault="00047DC5" w:rsidP="00047DC5">
      <w:pPr>
        <w:pStyle w:val="Heading4"/>
      </w:pPr>
      <w:r>
        <w:t>Contribution to Empirical Knowledge</w:t>
      </w:r>
    </w:p>
    <w:p w14:paraId="01C609B1" w14:textId="77777777" w:rsidR="00047DC5" w:rsidRDefault="00047DC5" w:rsidP="00047DC5">
      <w:pPr>
        <w:spacing w:line="360" w:lineRule="auto"/>
        <w:jc w:val="both"/>
        <w:rPr>
          <w:rFonts w:ascii="Arial" w:hAnsi="Arial" w:cs="Arial"/>
        </w:rPr>
      </w:pPr>
      <w:r>
        <w:rPr>
          <w:rFonts w:ascii="Arial" w:hAnsi="Arial" w:cs="Arial"/>
        </w:rPr>
        <w:t>This study provides the first empirical, quantitative evaluation of the post</w:t>
      </w:r>
      <w:r>
        <w:rPr>
          <w:rFonts w:ascii="Arial" w:hAnsi="Arial" w:cs="Arial"/>
        </w:rPr>
        <w:noBreakHyphen/>
        <w:t>2020 immigration reforms specifically on migrant healthcare support workers. Unlike previous studies that focused predominantly on highly skilled professionals such as doctors and nurses (Hatton, 2005; Stewart and Mulvey, 2014; Davda, Gallagher and Radford, 2018), this study specifically examines HCSWs, who comprise 40% of the NHS workforce but remain significantly under</w:t>
      </w:r>
      <w:r>
        <w:rPr>
          <w:rFonts w:ascii="Arial" w:hAnsi="Arial" w:cs="Arial"/>
        </w:rPr>
        <w:noBreakHyphen/>
        <w:t>researched (Anderson et al., 2021). By using official Home Office, ONS, and Skills for Care data, the study provides robust empirical evidence on the impact of policy changes on visa grant rates, outflow profiles, and workforce turnover – filling a critical gap in the literature that largely predates the 2020</w:t>
      </w:r>
      <w:r>
        <w:rPr>
          <w:rFonts w:ascii="Arial" w:hAnsi="Arial" w:cs="Arial"/>
        </w:rPr>
        <w:noBreakHyphen/>
        <w:t xml:space="preserve">2026 immigration reforms (Home Office, 2025a). The study also provides the first quantitative evidence on whether domestic upskilling initiatives can effectively replace migrant </w:t>
      </w:r>
      <w:proofErr w:type="spellStart"/>
      <w:r>
        <w:rPr>
          <w:rFonts w:ascii="Arial" w:hAnsi="Arial" w:cs="Arial"/>
        </w:rPr>
        <w:t>labour</w:t>
      </w:r>
      <w:proofErr w:type="spellEnd"/>
      <w:r>
        <w:rPr>
          <w:rFonts w:ascii="Arial" w:hAnsi="Arial" w:cs="Arial"/>
        </w:rPr>
        <w:t>, addressing the tension between policy ambition and empirical uncertainty identified in the literature (NHS England, 2023).</w:t>
      </w:r>
    </w:p>
    <w:p w14:paraId="256E8885" w14:textId="77777777" w:rsidR="00047DC5" w:rsidRDefault="00047DC5" w:rsidP="00047DC5">
      <w:pPr>
        <w:pStyle w:val="Heading4"/>
      </w:pPr>
      <w:r>
        <w:lastRenderedPageBreak/>
        <w:t>Contribution to Policy and Practice</w:t>
      </w:r>
    </w:p>
    <w:p w14:paraId="1C781928" w14:textId="77777777" w:rsidR="00047DC5" w:rsidRDefault="00047DC5" w:rsidP="00047DC5">
      <w:pPr>
        <w:spacing w:line="360" w:lineRule="auto"/>
        <w:jc w:val="both"/>
        <w:rPr>
          <w:rFonts w:ascii="Arial" w:hAnsi="Arial" w:cs="Arial"/>
        </w:rPr>
      </w:pPr>
      <w:r>
        <w:rPr>
          <w:rFonts w:ascii="Arial" w:hAnsi="Arial" w:cs="Arial"/>
        </w:rPr>
        <w:t>This study offers evidence</w:t>
      </w:r>
      <w:r>
        <w:rPr>
          <w:rFonts w:ascii="Arial" w:hAnsi="Arial" w:cs="Arial"/>
        </w:rPr>
        <w:noBreakHyphen/>
        <w:t xml:space="preserve">based recommendations for policymakers and healthcare </w:t>
      </w:r>
      <w:proofErr w:type="spellStart"/>
      <w:r>
        <w:rPr>
          <w:rFonts w:ascii="Arial" w:hAnsi="Arial" w:cs="Arial"/>
        </w:rPr>
        <w:t>organisations</w:t>
      </w:r>
      <w:proofErr w:type="spellEnd"/>
      <w:r>
        <w:rPr>
          <w:rFonts w:ascii="Arial" w:hAnsi="Arial" w:cs="Arial"/>
        </w:rPr>
        <w:t xml:space="preserve">, moving beyond </w:t>
      </w:r>
      <w:proofErr w:type="spellStart"/>
      <w:r>
        <w:rPr>
          <w:rFonts w:ascii="Arial" w:hAnsi="Arial" w:cs="Arial"/>
        </w:rPr>
        <w:t>analysing</w:t>
      </w:r>
      <w:proofErr w:type="spellEnd"/>
      <w:r>
        <w:rPr>
          <w:rFonts w:ascii="Arial" w:hAnsi="Arial" w:cs="Arial"/>
        </w:rPr>
        <w:t xml:space="preserve"> immigration policy impacts alone to examining whether </w:t>
      </w:r>
      <w:proofErr w:type="spellStart"/>
      <w:r>
        <w:rPr>
          <w:rFonts w:ascii="Arial" w:hAnsi="Arial" w:cs="Arial"/>
        </w:rPr>
        <w:t>organisational</w:t>
      </w:r>
      <w:proofErr w:type="spellEnd"/>
      <w:r>
        <w:rPr>
          <w:rFonts w:ascii="Arial" w:hAnsi="Arial" w:cs="Arial"/>
        </w:rPr>
        <w:t xml:space="preserve"> responses – such as training, career progression, and retention strategies – can effectively sustain the workforce under immigration restrictions. For policymakers at the Home Office and Department of Health and Social Care, the findings provide quantitative evidence on the workforce implications of recent reforms, including the closure of overseas recruitment for care workers, the increase in the skill threshold, and the restriction on </w:t>
      </w:r>
      <w:proofErr w:type="spellStart"/>
      <w:r>
        <w:rPr>
          <w:rFonts w:ascii="Arial" w:hAnsi="Arial" w:cs="Arial"/>
        </w:rPr>
        <w:t>dependant</w:t>
      </w:r>
      <w:proofErr w:type="spellEnd"/>
      <w:r>
        <w:rPr>
          <w:rFonts w:ascii="Arial" w:hAnsi="Arial" w:cs="Arial"/>
        </w:rPr>
        <w:t xml:space="preserve"> visas. This evidence can inform future policy design regarding </w:t>
      </w:r>
      <w:proofErr w:type="spellStart"/>
      <w:r>
        <w:rPr>
          <w:rFonts w:ascii="Arial" w:hAnsi="Arial" w:cs="Arial"/>
        </w:rPr>
        <w:t>dependant</w:t>
      </w:r>
      <w:proofErr w:type="spellEnd"/>
      <w:r>
        <w:rPr>
          <w:rFonts w:ascii="Arial" w:hAnsi="Arial" w:cs="Arial"/>
        </w:rPr>
        <w:t xml:space="preserve"> rights, settlement pathways, and domestic workforce investment. For NHS leaders and adult social care providers, the findings provide practical guidance on retention strategies, training investment, and workforce planning under immigration restrictions – addressing the limited evidence on which HR interventions are effective in maintaining migrant healthcare support workers (</w:t>
      </w:r>
      <w:proofErr w:type="spellStart"/>
      <w:r>
        <w:rPr>
          <w:rFonts w:ascii="Arial" w:hAnsi="Arial" w:cs="Arial"/>
        </w:rPr>
        <w:t>Sarre</w:t>
      </w:r>
      <w:proofErr w:type="spellEnd"/>
      <w:r>
        <w:rPr>
          <w:rFonts w:ascii="Arial" w:hAnsi="Arial" w:cs="Arial"/>
        </w:rPr>
        <w:t xml:space="preserve"> et al., 2025). For migrant healthcare support workers themselves, the study highlights the social and economic challenges they face, potentially informing advocacy for more supportive policies.</w:t>
      </w:r>
    </w:p>
    <w:p w14:paraId="4669DEE9" w14:textId="77777777" w:rsidR="00047DC5" w:rsidRDefault="00047DC5" w:rsidP="00047DC5">
      <w:pPr>
        <w:pStyle w:val="Heading4"/>
      </w:pPr>
      <w:r>
        <w:t>Contribution to Society</w:t>
      </w:r>
    </w:p>
    <w:p w14:paraId="66996024" w14:textId="77777777" w:rsidR="00047DC5" w:rsidRDefault="00047DC5" w:rsidP="00047DC5">
      <w:pPr>
        <w:spacing w:line="360" w:lineRule="auto"/>
        <w:jc w:val="both"/>
        <w:rPr>
          <w:rFonts w:ascii="Arial" w:hAnsi="Arial" w:cs="Arial"/>
        </w:rPr>
      </w:pPr>
      <w:r>
        <w:rPr>
          <w:rFonts w:ascii="Arial" w:hAnsi="Arial" w:cs="Arial"/>
        </w:rPr>
        <w:t xml:space="preserve">Ultimately, the findings contribute to broader societal debates about balancing migration control with service sustainability. By quantifying the </w:t>
      </w:r>
      <w:proofErr w:type="gramStart"/>
      <w:r>
        <w:rPr>
          <w:rFonts w:ascii="Arial" w:hAnsi="Arial" w:cs="Arial"/>
        </w:rPr>
        <w:t>trade</w:t>
      </w:r>
      <w:r>
        <w:rPr>
          <w:rFonts w:ascii="Arial" w:hAnsi="Arial" w:cs="Arial"/>
        </w:rPr>
        <w:noBreakHyphen/>
        <w:t>offs</w:t>
      </w:r>
      <w:proofErr w:type="gramEnd"/>
      <w:r>
        <w:rPr>
          <w:rFonts w:ascii="Arial" w:hAnsi="Arial" w:cs="Arial"/>
        </w:rPr>
        <w:t xml:space="preserve"> between social sustainability (family unity) and economic sustainability (workforce stability), the study provides evidence that can inform public discourse and policy decisions on immigration and healthcare workforce planning. The study also contributes to global health equity debates by highlighting the UK's reliance on international recruitment from countries with critical health workforce shortages (Nuffield Trust, </w:t>
      </w:r>
      <w:proofErr w:type="gramStart"/>
      <w:r>
        <w:rPr>
          <w:rFonts w:ascii="Arial" w:hAnsi="Arial" w:cs="Arial"/>
        </w:rPr>
        <w:t>2025;  Anderson</w:t>
      </w:r>
      <w:proofErr w:type="gramEnd"/>
      <w:r>
        <w:rPr>
          <w:rFonts w:ascii="Arial" w:hAnsi="Arial" w:cs="Arial"/>
        </w:rPr>
        <w:t xml:space="preserve"> et al., 2021).</w:t>
      </w:r>
    </w:p>
    <w:p w14:paraId="250A3A91" w14:textId="77777777" w:rsidR="00047DC5" w:rsidRDefault="00047DC5" w:rsidP="00047DC5">
      <w:pPr>
        <w:pageBreakBefore/>
        <w:rPr>
          <w:rFonts w:ascii="Arial" w:hAnsi="Arial" w:cs="Arial"/>
          <w:b/>
          <w:bCs/>
        </w:rPr>
      </w:pPr>
    </w:p>
    <w:p w14:paraId="14759F53" w14:textId="77777777" w:rsidR="00047DC5" w:rsidRDefault="00047DC5" w:rsidP="00047DC5">
      <w:pPr>
        <w:pStyle w:val="Caption"/>
        <w:keepNext/>
      </w:pPr>
      <w:bookmarkStart w:id="44" w:name="_Toc238206086"/>
      <w:r>
        <w:rPr>
          <w:sz w:val="28"/>
          <w:szCs w:val="28"/>
        </w:rPr>
        <w:t>Table 2 Summary of Contributions.</w:t>
      </w:r>
      <w:bookmarkEnd w:id="44"/>
    </w:p>
    <w:tbl>
      <w:tblPr>
        <w:tblW w:w="9765" w:type="dxa"/>
        <w:tblCellMar>
          <w:left w:w="10" w:type="dxa"/>
          <w:right w:w="10" w:type="dxa"/>
        </w:tblCellMar>
        <w:tblLook w:val="04A0" w:firstRow="1" w:lastRow="0" w:firstColumn="1" w:lastColumn="0" w:noHBand="0" w:noVBand="1"/>
      </w:tblPr>
      <w:tblGrid>
        <w:gridCol w:w="3368"/>
        <w:gridCol w:w="4376"/>
        <w:gridCol w:w="2021"/>
      </w:tblGrid>
      <w:tr w:rsidR="00047DC5" w14:paraId="209278EA" w14:textId="77777777" w:rsidTr="00AE2E92">
        <w:trPr>
          <w:trHeight w:val="767"/>
          <w:tblHeader/>
        </w:trPr>
        <w:tc>
          <w:tcPr>
            <w:tcW w:w="3368"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7F6DF409" w14:textId="77777777" w:rsidR="00047DC5" w:rsidRDefault="00047DC5" w:rsidP="00AE2E92">
            <w:pPr>
              <w:spacing w:line="360" w:lineRule="auto"/>
              <w:rPr>
                <w:rFonts w:ascii="Arial" w:hAnsi="Arial" w:cs="Arial"/>
              </w:rPr>
            </w:pPr>
            <w:r>
              <w:rPr>
                <w:rFonts w:ascii="Arial" w:hAnsi="Arial" w:cs="Arial"/>
              </w:rPr>
              <w:t>Research Gap</w:t>
            </w:r>
          </w:p>
        </w:tc>
        <w:tc>
          <w:tcPr>
            <w:tcW w:w="4376"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38380903" w14:textId="77777777" w:rsidR="00047DC5" w:rsidRDefault="00047DC5" w:rsidP="00AE2E92">
            <w:pPr>
              <w:spacing w:line="360" w:lineRule="auto"/>
              <w:rPr>
                <w:rFonts w:ascii="Arial" w:hAnsi="Arial" w:cs="Arial"/>
              </w:rPr>
            </w:pPr>
            <w:r>
              <w:rPr>
                <w:rFonts w:ascii="Arial" w:hAnsi="Arial" w:cs="Arial"/>
              </w:rPr>
              <w:t>How This Study Addresses It</w:t>
            </w:r>
          </w:p>
        </w:tc>
        <w:tc>
          <w:tcPr>
            <w:tcW w:w="202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58BE88C9" w14:textId="77777777" w:rsidR="00047DC5" w:rsidRDefault="00047DC5" w:rsidP="00AE2E92">
            <w:pPr>
              <w:spacing w:line="360" w:lineRule="auto"/>
              <w:rPr>
                <w:rFonts w:ascii="Arial" w:hAnsi="Arial" w:cs="Arial"/>
              </w:rPr>
            </w:pPr>
            <w:r>
              <w:rPr>
                <w:rFonts w:ascii="Arial" w:hAnsi="Arial" w:cs="Arial"/>
              </w:rPr>
              <w:t>Contribution Type</w:t>
            </w:r>
          </w:p>
        </w:tc>
      </w:tr>
      <w:tr w:rsidR="00047DC5" w14:paraId="15FBF3C2" w14:textId="77777777" w:rsidTr="00AE2E92">
        <w:trPr>
          <w:trHeight w:val="767"/>
        </w:trPr>
        <w:tc>
          <w:tcPr>
            <w:tcW w:w="3368"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2E356015" w14:textId="77777777" w:rsidR="00047DC5" w:rsidRDefault="00047DC5" w:rsidP="00AE2E92">
            <w:pPr>
              <w:spacing w:line="360" w:lineRule="auto"/>
            </w:pPr>
            <w:r>
              <w:rPr>
                <w:rFonts w:ascii="Arial" w:hAnsi="Arial" w:cs="Arial"/>
                <w:b/>
                <w:bCs/>
              </w:rPr>
              <w:t>Gap 1:</w:t>
            </w:r>
            <w:r>
              <w:rPr>
                <w:rFonts w:ascii="Arial" w:hAnsi="Arial" w:cs="Arial"/>
              </w:rPr>
              <w:t> HCSWs under</w:t>
            </w:r>
            <w:r>
              <w:rPr>
                <w:rFonts w:ascii="Arial" w:hAnsi="Arial" w:cs="Arial"/>
              </w:rPr>
              <w:noBreakHyphen/>
              <w:t>researched</w:t>
            </w:r>
          </w:p>
        </w:tc>
        <w:tc>
          <w:tcPr>
            <w:tcW w:w="4376"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50B3CC83" w14:textId="77777777" w:rsidR="00047DC5" w:rsidRDefault="00047DC5" w:rsidP="00AE2E92">
            <w:pPr>
              <w:spacing w:line="360" w:lineRule="auto"/>
              <w:rPr>
                <w:rFonts w:ascii="Arial" w:hAnsi="Arial" w:cs="Arial"/>
              </w:rPr>
            </w:pPr>
            <w:r>
              <w:rPr>
                <w:rFonts w:ascii="Arial" w:hAnsi="Arial" w:cs="Arial"/>
              </w:rPr>
              <w:t>Focuses specifically on HCSWs using official data</w:t>
            </w:r>
          </w:p>
        </w:tc>
        <w:tc>
          <w:tcPr>
            <w:tcW w:w="202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1CB990FD" w14:textId="77777777" w:rsidR="00047DC5" w:rsidRDefault="00047DC5" w:rsidP="00AE2E92">
            <w:pPr>
              <w:spacing w:line="360" w:lineRule="auto"/>
              <w:rPr>
                <w:rFonts w:ascii="Arial" w:hAnsi="Arial" w:cs="Arial"/>
              </w:rPr>
            </w:pPr>
            <w:r>
              <w:rPr>
                <w:rFonts w:ascii="Arial" w:hAnsi="Arial" w:cs="Arial"/>
              </w:rPr>
              <w:t>Empirical</w:t>
            </w:r>
          </w:p>
        </w:tc>
      </w:tr>
      <w:tr w:rsidR="00047DC5" w14:paraId="48D133A1" w14:textId="77777777" w:rsidTr="00AE2E92">
        <w:trPr>
          <w:trHeight w:val="767"/>
        </w:trPr>
        <w:tc>
          <w:tcPr>
            <w:tcW w:w="3368"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7DC315A4" w14:textId="77777777" w:rsidR="00047DC5" w:rsidRDefault="00047DC5" w:rsidP="00AE2E92">
            <w:pPr>
              <w:spacing w:line="360" w:lineRule="auto"/>
            </w:pPr>
            <w:r>
              <w:rPr>
                <w:rFonts w:ascii="Arial" w:hAnsi="Arial" w:cs="Arial"/>
                <w:b/>
                <w:bCs/>
              </w:rPr>
              <w:t>Gap 2:</w:t>
            </w:r>
            <w:r>
              <w:rPr>
                <w:rFonts w:ascii="Arial" w:hAnsi="Arial" w:cs="Arial"/>
              </w:rPr>
              <w:t> Evidence predates 2020 reforms</w:t>
            </w:r>
          </w:p>
        </w:tc>
        <w:tc>
          <w:tcPr>
            <w:tcW w:w="4376"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40222F50" w14:textId="77777777" w:rsidR="00047DC5" w:rsidRDefault="00047DC5" w:rsidP="00AE2E92">
            <w:pPr>
              <w:spacing w:line="360" w:lineRule="auto"/>
              <w:rPr>
                <w:rFonts w:ascii="Arial" w:hAnsi="Arial" w:cs="Arial"/>
              </w:rPr>
            </w:pPr>
            <w:r>
              <w:rPr>
                <w:rFonts w:ascii="Arial" w:hAnsi="Arial" w:cs="Arial"/>
              </w:rPr>
              <w:t>Provides first quantitative evaluation of post</w:t>
            </w:r>
            <w:r>
              <w:rPr>
                <w:rFonts w:ascii="Arial" w:hAnsi="Arial" w:cs="Arial"/>
              </w:rPr>
              <w:noBreakHyphen/>
              <w:t>2020 reforms</w:t>
            </w:r>
          </w:p>
        </w:tc>
        <w:tc>
          <w:tcPr>
            <w:tcW w:w="202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7A7DD7EA" w14:textId="77777777" w:rsidR="00047DC5" w:rsidRDefault="00047DC5" w:rsidP="00AE2E92">
            <w:pPr>
              <w:spacing w:line="360" w:lineRule="auto"/>
              <w:rPr>
                <w:rFonts w:ascii="Arial" w:hAnsi="Arial" w:cs="Arial"/>
              </w:rPr>
            </w:pPr>
            <w:r>
              <w:rPr>
                <w:rFonts w:ascii="Arial" w:hAnsi="Arial" w:cs="Arial"/>
              </w:rPr>
              <w:t>Empirical</w:t>
            </w:r>
          </w:p>
        </w:tc>
      </w:tr>
      <w:tr w:rsidR="00047DC5" w14:paraId="046F0AB9" w14:textId="77777777" w:rsidTr="00AE2E92">
        <w:trPr>
          <w:trHeight w:val="758"/>
        </w:trPr>
        <w:tc>
          <w:tcPr>
            <w:tcW w:w="3368"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1CB678A3" w14:textId="77777777" w:rsidR="00047DC5" w:rsidRDefault="00047DC5" w:rsidP="00AE2E92">
            <w:pPr>
              <w:spacing w:line="360" w:lineRule="auto"/>
            </w:pPr>
            <w:r>
              <w:rPr>
                <w:rFonts w:ascii="Arial" w:hAnsi="Arial" w:cs="Arial"/>
                <w:b/>
                <w:bCs/>
              </w:rPr>
              <w:t>Gap 3:</w:t>
            </w:r>
            <w:r>
              <w:rPr>
                <w:rFonts w:ascii="Arial" w:hAnsi="Arial" w:cs="Arial"/>
              </w:rPr>
              <w:t> Limited evidence on domestic upskilling</w:t>
            </w:r>
          </w:p>
        </w:tc>
        <w:tc>
          <w:tcPr>
            <w:tcW w:w="4376"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1F3ED431" w14:textId="77777777" w:rsidR="00047DC5" w:rsidRDefault="00047DC5" w:rsidP="00AE2E92">
            <w:pPr>
              <w:spacing w:line="360" w:lineRule="auto"/>
              <w:rPr>
                <w:rFonts w:ascii="Arial" w:hAnsi="Arial" w:cs="Arial"/>
              </w:rPr>
            </w:pPr>
            <w:proofErr w:type="gramStart"/>
            <w:r>
              <w:rPr>
                <w:rFonts w:ascii="Arial" w:hAnsi="Arial" w:cs="Arial"/>
              </w:rPr>
              <w:t>Tests</w:t>
            </w:r>
            <w:proofErr w:type="gramEnd"/>
            <w:r>
              <w:rPr>
                <w:rFonts w:ascii="Arial" w:hAnsi="Arial" w:cs="Arial"/>
              </w:rPr>
              <w:t xml:space="preserve"> whether domestic upskilling can replace migrant </w:t>
            </w:r>
            <w:proofErr w:type="spellStart"/>
            <w:r>
              <w:rPr>
                <w:rFonts w:ascii="Arial" w:hAnsi="Arial" w:cs="Arial"/>
              </w:rPr>
              <w:t>labour</w:t>
            </w:r>
            <w:proofErr w:type="spellEnd"/>
          </w:p>
        </w:tc>
        <w:tc>
          <w:tcPr>
            <w:tcW w:w="202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485F2083" w14:textId="77777777" w:rsidR="00047DC5" w:rsidRDefault="00047DC5" w:rsidP="00AE2E92">
            <w:pPr>
              <w:spacing w:line="360" w:lineRule="auto"/>
              <w:rPr>
                <w:rFonts w:ascii="Arial" w:hAnsi="Arial" w:cs="Arial"/>
              </w:rPr>
            </w:pPr>
            <w:r>
              <w:rPr>
                <w:rFonts w:ascii="Arial" w:hAnsi="Arial" w:cs="Arial"/>
              </w:rPr>
              <w:t>Empirical and Policy</w:t>
            </w:r>
          </w:p>
        </w:tc>
      </w:tr>
      <w:tr w:rsidR="00047DC5" w14:paraId="21B75A38" w14:textId="77777777" w:rsidTr="00AE2E92">
        <w:trPr>
          <w:trHeight w:val="767"/>
        </w:trPr>
        <w:tc>
          <w:tcPr>
            <w:tcW w:w="3368"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32FB1979" w14:textId="77777777" w:rsidR="00047DC5" w:rsidRDefault="00047DC5" w:rsidP="00AE2E92">
            <w:pPr>
              <w:spacing w:line="360" w:lineRule="auto"/>
            </w:pPr>
            <w:r>
              <w:rPr>
                <w:rFonts w:ascii="Arial" w:hAnsi="Arial" w:cs="Arial"/>
                <w:b/>
                <w:bCs/>
              </w:rPr>
              <w:t>Gap 4:</w:t>
            </w:r>
            <w:r>
              <w:rPr>
                <w:rFonts w:ascii="Arial" w:hAnsi="Arial" w:cs="Arial"/>
              </w:rPr>
              <w:t> Limited UK</w:t>
            </w:r>
            <w:r>
              <w:rPr>
                <w:rFonts w:ascii="Arial" w:hAnsi="Arial" w:cs="Arial"/>
              </w:rPr>
              <w:noBreakHyphen/>
              <w:t>nation comparisons</w:t>
            </w:r>
          </w:p>
        </w:tc>
        <w:tc>
          <w:tcPr>
            <w:tcW w:w="4376"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660D0E9F" w14:textId="77777777" w:rsidR="00047DC5" w:rsidRDefault="00047DC5" w:rsidP="00AE2E92">
            <w:pPr>
              <w:spacing w:line="360" w:lineRule="auto"/>
              <w:rPr>
                <w:rFonts w:ascii="Arial" w:hAnsi="Arial" w:cs="Arial"/>
              </w:rPr>
            </w:pPr>
            <w:proofErr w:type="gramStart"/>
            <w:r>
              <w:rPr>
                <w:rFonts w:ascii="Arial" w:hAnsi="Arial" w:cs="Arial"/>
              </w:rPr>
              <w:t>Acknowledges</w:t>
            </w:r>
            <w:proofErr w:type="gramEnd"/>
            <w:r>
              <w:rPr>
                <w:rFonts w:ascii="Arial" w:hAnsi="Arial" w:cs="Arial"/>
              </w:rPr>
              <w:t xml:space="preserve"> and provides baseline for future research</w:t>
            </w:r>
          </w:p>
        </w:tc>
        <w:tc>
          <w:tcPr>
            <w:tcW w:w="202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1DF6D789" w14:textId="77777777" w:rsidR="00047DC5" w:rsidRDefault="00047DC5" w:rsidP="00AE2E92">
            <w:pPr>
              <w:spacing w:line="360" w:lineRule="auto"/>
              <w:rPr>
                <w:rFonts w:ascii="Arial" w:hAnsi="Arial" w:cs="Arial"/>
              </w:rPr>
            </w:pPr>
            <w:r>
              <w:rPr>
                <w:rFonts w:ascii="Arial" w:hAnsi="Arial" w:cs="Arial"/>
              </w:rPr>
              <w:t>Theoretical</w:t>
            </w:r>
          </w:p>
        </w:tc>
      </w:tr>
      <w:tr w:rsidR="00047DC5" w14:paraId="1961A7B1" w14:textId="77777777" w:rsidTr="00AE2E92">
        <w:trPr>
          <w:trHeight w:val="767"/>
        </w:trPr>
        <w:tc>
          <w:tcPr>
            <w:tcW w:w="3368"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120CD9B5" w14:textId="77777777" w:rsidR="00047DC5" w:rsidRDefault="00047DC5" w:rsidP="00AE2E92">
            <w:pPr>
              <w:spacing w:line="360" w:lineRule="auto"/>
            </w:pPr>
            <w:r>
              <w:rPr>
                <w:rFonts w:ascii="Arial" w:hAnsi="Arial" w:cs="Arial"/>
                <w:b/>
                <w:bCs/>
              </w:rPr>
              <w:t>Gap 5:</w:t>
            </w:r>
            <w:r>
              <w:rPr>
                <w:rFonts w:ascii="Arial" w:hAnsi="Arial" w:cs="Arial"/>
              </w:rPr>
              <w:t> Limited evidence on HR strategies</w:t>
            </w:r>
          </w:p>
        </w:tc>
        <w:tc>
          <w:tcPr>
            <w:tcW w:w="4376"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1208B38C" w14:textId="77777777" w:rsidR="00047DC5" w:rsidRDefault="00047DC5" w:rsidP="00AE2E92">
            <w:pPr>
              <w:spacing w:line="360" w:lineRule="auto"/>
              <w:rPr>
                <w:rFonts w:ascii="Arial" w:hAnsi="Arial" w:cs="Arial"/>
              </w:rPr>
            </w:pPr>
            <w:proofErr w:type="gramStart"/>
            <w:r>
              <w:rPr>
                <w:rFonts w:ascii="Arial" w:hAnsi="Arial" w:cs="Arial"/>
              </w:rPr>
              <w:t>Examines</w:t>
            </w:r>
            <w:proofErr w:type="gramEnd"/>
            <w:r>
              <w:rPr>
                <w:rFonts w:ascii="Arial" w:hAnsi="Arial" w:cs="Arial"/>
              </w:rPr>
              <w:t xml:space="preserve"> effectiveness of HR strategies under immigration restrictions</w:t>
            </w:r>
          </w:p>
        </w:tc>
        <w:tc>
          <w:tcPr>
            <w:tcW w:w="202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72DCBD93" w14:textId="77777777" w:rsidR="00047DC5" w:rsidRDefault="00047DC5" w:rsidP="00AE2E92">
            <w:pPr>
              <w:spacing w:line="360" w:lineRule="auto"/>
              <w:rPr>
                <w:rFonts w:ascii="Arial" w:hAnsi="Arial" w:cs="Arial"/>
              </w:rPr>
            </w:pPr>
            <w:r>
              <w:rPr>
                <w:rFonts w:ascii="Arial" w:hAnsi="Arial" w:cs="Arial"/>
              </w:rPr>
              <w:t>Policy and Practice</w:t>
            </w:r>
          </w:p>
        </w:tc>
      </w:tr>
    </w:tbl>
    <w:p w14:paraId="526AEB5F" w14:textId="77777777" w:rsidR="00047DC5" w:rsidRDefault="00047DC5" w:rsidP="00047DC5">
      <w:pPr>
        <w:spacing w:line="360" w:lineRule="auto"/>
        <w:jc w:val="both"/>
      </w:pPr>
      <w:r>
        <w:rPr>
          <w:rFonts w:ascii="Arial" w:hAnsi="Arial" w:cs="Arial"/>
          <w:i/>
          <w:iCs/>
        </w:rPr>
        <w:t>Source: Author's compilation based on literature review.</w:t>
      </w:r>
    </w:p>
    <w:p w14:paraId="6AD46C95" w14:textId="77777777" w:rsidR="00047DC5" w:rsidRDefault="00047DC5" w:rsidP="00047DC5">
      <w:pPr>
        <w:spacing w:line="360" w:lineRule="auto"/>
        <w:jc w:val="both"/>
        <w:rPr>
          <w:rFonts w:ascii="Arial" w:hAnsi="Arial" w:cs="Arial"/>
        </w:rPr>
      </w:pPr>
      <w:r>
        <w:rPr>
          <w:rFonts w:ascii="Arial" w:hAnsi="Arial" w:cs="Arial"/>
        </w:rPr>
        <w:t>This integrated contribution – theoretical, empirical, policy, and practical – positions this study as a significant advancement in understanding the relationship between UK immigration policy and human capital sustainability among migrant healthcare support workers.</w:t>
      </w:r>
    </w:p>
    <w:p w14:paraId="72567E7F" w14:textId="77777777" w:rsidR="00047DC5" w:rsidRDefault="00047DC5" w:rsidP="00047DC5">
      <w:pPr>
        <w:pStyle w:val="Heading3"/>
      </w:pPr>
      <w:bookmarkStart w:id="45" w:name="_Toc238549800"/>
      <w:r>
        <w:t>2.9.3 Conceptual Framework</w:t>
      </w:r>
      <w:bookmarkEnd w:id="45"/>
    </w:p>
    <w:p w14:paraId="7B3FBD67" w14:textId="77777777" w:rsidR="00047DC5" w:rsidRDefault="00047DC5" w:rsidP="00047DC5">
      <w:pPr>
        <w:spacing w:line="360" w:lineRule="auto"/>
        <w:jc w:val="both"/>
        <w:rPr>
          <w:rFonts w:ascii="Arial" w:hAnsi="Arial" w:cs="Arial"/>
        </w:rPr>
      </w:pPr>
      <w:r>
        <w:rPr>
          <w:rFonts w:ascii="Arial" w:hAnsi="Arial" w:cs="Arial"/>
        </w:rPr>
        <w:t>Based on the literature review, the following conceptual framework guides this study:</w:t>
      </w:r>
    </w:p>
    <w:p w14:paraId="57520E94" w14:textId="77777777" w:rsidR="00047DC5" w:rsidRDefault="00047DC5" w:rsidP="00047DC5">
      <w:pPr>
        <w:pStyle w:val="Caption"/>
        <w:keepNext/>
        <w:jc w:val="both"/>
      </w:pPr>
      <w:r>
        <w:rPr>
          <w:sz w:val="28"/>
          <w:szCs w:val="28"/>
        </w:rPr>
        <w:lastRenderedPageBreak/>
        <w:t>Figure 1 Conceptual Framework.</w:t>
      </w:r>
    </w:p>
    <w:p w14:paraId="02062ED8" w14:textId="77777777" w:rsidR="00047DC5" w:rsidRDefault="00047DC5" w:rsidP="00047DC5">
      <w:pPr>
        <w:spacing w:line="360" w:lineRule="auto"/>
        <w:jc w:val="both"/>
      </w:pPr>
      <w:r>
        <w:rPr>
          <w:rFonts w:ascii="Arial" w:hAnsi="Arial" w:cs="Arial"/>
          <w:noProof/>
          <w:color w:val="EE0000"/>
        </w:rPr>
        <mc:AlternateContent>
          <mc:Choice Requires="wpg">
            <w:drawing>
              <wp:inline distT="0" distB="0" distL="0" distR="0" wp14:anchorId="3B3CE4E0" wp14:editId="2A253E9E">
                <wp:extent cx="4959347" cy="6756401"/>
                <wp:effectExtent l="0" t="0" r="0" b="6349"/>
                <wp:docPr id="2125595907" name="Diagram 3"/>
                <wp:cNvGraphicFramePr/>
                <a:graphic xmlns:a="http://schemas.openxmlformats.org/drawingml/2006/main">
                  <a:graphicData uri="http://schemas.microsoft.com/office/word/2010/wordprocessingGroup">
                    <wpg:wgp>
                      <wpg:cNvGrpSpPr/>
                      <wpg:grpSpPr>
                        <a:xfrm>
                          <a:off x="0" y="0"/>
                          <a:ext cx="4959347" cy="6756401"/>
                          <a:chOff x="0" y="0"/>
                          <a:chExt cx="4959347" cy="6756401"/>
                        </a:xfrm>
                      </wpg:grpSpPr>
                      <wps:wsp>
                        <wps:cNvPr id="1325107760" name="Freeform: Shape 983386971"/>
                        <wps:cNvSpPr/>
                        <wps:spPr>
                          <a:xfrm>
                            <a:off x="0" y="0"/>
                            <a:ext cx="3818698" cy="1216152"/>
                          </a:xfrm>
                          <a:custGeom>
                            <a:avLst/>
                            <a:gdLst>
                              <a:gd name="f0" fmla="val 10800000"/>
                              <a:gd name="f1" fmla="val 5400000"/>
                              <a:gd name="f2" fmla="val 180"/>
                              <a:gd name="f3" fmla="val w"/>
                              <a:gd name="f4" fmla="val h"/>
                              <a:gd name="f5" fmla="val 0"/>
                              <a:gd name="f6" fmla="val 3818699"/>
                              <a:gd name="f7" fmla="val 1216152"/>
                              <a:gd name="f8" fmla="val 121615"/>
                              <a:gd name="f9" fmla="val 54449"/>
                              <a:gd name="f10" fmla="val 3697084"/>
                              <a:gd name="f11" fmla="val 3764250"/>
                              <a:gd name="f12" fmla="val 1094537"/>
                              <a:gd name="f13" fmla="val 1161703"/>
                              <a:gd name="f14" fmla="+- 0 0 -90"/>
                              <a:gd name="f15" fmla="*/ f3 1 3818699"/>
                              <a:gd name="f16" fmla="*/ f4 1 1216152"/>
                              <a:gd name="f17" fmla="+- f7 0 f5"/>
                              <a:gd name="f18" fmla="+- f6 0 f5"/>
                              <a:gd name="f19" fmla="*/ f14 f0 1"/>
                              <a:gd name="f20" fmla="*/ f18 1 3818699"/>
                              <a:gd name="f21" fmla="*/ f17 1 1216152"/>
                              <a:gd name="f22" fmla="*/ 0 f18 1"/>
                              <a:gd name="f23" fmla="*/ 121615 f17 1"/>
                              <a:gd name="f24" fmla="*/ 121615 f18 1"/>
                              <a:gd name="f25" fmla="*/ 0 f17 1"/>
                              <a:gd name="f26" fmla="*/ 3697084 f18 1"/>
                              <a:gd name="f27" fmla="*/ 3818699 f18 1"/>
                              <a:gd name="f28" fmla="*/ 1094537 f17 1"/>
                              <a:gd name="f29" fmla="*/ 1216152 f17 1"/>
                              <a:gd name="f30" fmla="*/ f19 1 f2"/>
                              <a:gd name="f31" fmla="*/ f22 1 3818699"/>
                              <a:gd name="f32" fmla="*/ f23 1 1216152"/>
                              <a:gd name="f33" fmla="*/ f24 1 3818699"/>
                              <a:gd name="f34" fmla="*/ f25 1 1216152"/>
                              <a:gd name="f35" fmla="*/ f26 1 3818699"/>
                              <a:gd name="f36" fmla="*/ f27 1 3818699"/>
                              <a:gd name="f37" fmla="*/ f28 1 1216152"/>
                              <a:gd name="f38" fmla="*/ f29 1 1216152"/>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3818699" h="1216152">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156082"/>
                          </a:solidFill>
                          <a:ln cap="flat">
                            <a:noFill/>
                            <a:prstDash val="solid"/>
                          </a:ln>
                        </wps:spPr>
                        <wps:txbx>
                          <w:txbxContent>
                            <w:p w14:paraId="362A600D" w14:textId="77777777" w:rsidR="00047DC5" w:rsidRDefault="00047DC5" w:rsidP="00047DC5">
                              <w:pPr>
                                <w:spacing w:after="60" w:line="216" w:lineRule="auto"/>
                              </w:pPr>
                              <w:r>
                                <w:rPr>
                                  <w:rFonts w:ascii="Abadi" w:eastAsia="Abadi" w:hAnsi="Abadi" w:cs="Abadi"/>
                                  <w:b/>
                                  <w:bCs/>
                                  <w:color w:val="FFFFFF"/>
                                  <w:sz w:val="15"/>
                                  <w:szCs w:val="15"/>
                                </w:rPr>
                                <w:t>Independent Variable.</w:t>
                              </w:r>
                            </w:p>
                            <w:p w14:paraId="12B39543" w14:textId="77777777" w:rsidR="00047DC5" w:rsidRDefault="00047DC5" w:rsidP="00047DC5">
                              <w:pPr>
                                <w:spacing w:after="60" w:line="216" w:lineRule="auto"/>
                              </w:pPr>
                              <w:r>
                                <w:rPr>
                                  <w:rFonts w:ascii="Abadi" w:eastAsia="Abadi" w:hAnsi="Abadi" w:cs="Abadi"/>
                                  <w:color w:val="FFFFFF"/>
                                  <w:sz w:val="15"/>
                                  <w:szCs w:val="15"/>
                                </w:rPr>
                                <w:t>UK Immigration Policy Changes (2020–2026)</w:t>
                              </w:r>
                            </w:p>
                            <w:p w14:paraId="0E71EA35" w14:textId="77777777" w:rsidR="00047DC5" w:rsidRDefault="00047DC5" w:rsidP="00047DC5">
                              <w:pPr>
                                <w:spacing w:after="60" w:line="216" w:lineRule="auto"/>
                              </w:pPr>
                              <w:r>
                                <w:rPr>
                                  <w:rFonts w:ascii="Abadi" w:eastAsia="Abadi" w:hAnsi="Abadi" w:cs="Abadi"/>
                                  <w:color w:val="FFFFFF"/>
                                  <w:sz w:val="15"/>
                                  <w:szCs w:val="15"/>
                                </w:rPr>
                                <w:t>RQF Level 3 → 6 (skill threshold increase)</w:t>
                              </w:r>
                            </w:p>
                            <w:p w14:paraId="4332B5F1" w14:textId="77777777" w:rsidR="00047DC5" w:rsidRDefault="00047DC5" w:rsidP="00047DC5">
                              <w:pPr>
                                <w:spacing w:after="60" w:line="216" w:lineRule="auto"/>
                              </w:pPr>
                              <w:proofErr w:type="spellStart"/>
                              <w:r>
                                <w:rPr>
                                  <w:rFonts w:ascii="Abadi" w:eastAsia="Abadi" w:hAnsi="Abadi" w:cs="Abadi"/>
                                  <w:color w:val="FFFFFF"/>
                                  <w:sz w:val="15"/>
                                  <w:szCs w:val="15"/>
                                </w:rPr>
                                <w:t>Dependant</w:t>
                              </w:r>
                              <w:proofErr w:type="spellEnd"/>
                              <w:r>
                                <w:rPr>
                                  <w:rFonts w:ascii="Abadi" w:eastAsia="Abadi" w:hAnsi="Abadi" w:cs="Abadi"/>
                                  <w:color w:val="FFFFFF"/>
                                  <w:sz w:val="15"/>
                                  <w:szCs w:val="15"/>
                                </w:rPr>
                                <w:t xml:space="preserve"> visa restrictions</w:t>
                              </w:r>
                            </w:p>
                            <w:p w14:paraId="0B7AAB5B" w14:textId="77777777" w:rsidR="00047DC5" w:rsidRDefault="00047DC5" w:rsidP="00047DC5">
                              <w:pPr>
                                <w:spacing w:after="60" w:line="216" w:lineRule="auto"/>
                              </w:pPr>
                              <w:r>
                                <w:rPr>
                                  <w:rFonts w:ascii="Abadi" w:eastAsia="Abadi" w:hAnsi="Abadi" w:cs="Abadi"/>
                                  <w:color w:val="FFFFFF"/>
                                  <w:sz w:val="15"/>
                                  <w:szCs w:val="15"/>
                                </w:rPr>
                                <w:t>Closure of overseas recruitment (SOC 6135, 6136)</w:t>
                              </w:r>
                            </w:p>
                            <w:p w14:paraId="7C0C7C80" w14:textId="77777777" w:rsidR="00047DC5" w:rsidRDefault="00047DC5" w:rsidP="00047DC5">
                              <w:pPr>
                                <w:spacing w:after="60" w:line="216" w:lineRule="auto"/>
                              </w:pPr>
                              <w:r>
                                <w:rPr>
                                  <w:rFonts w:ascii="Abadi" w:eastAsia="Abadi" w:hAnsi="Abadi" w:cs="Abadi"/>
                                  <w:color w:val="FFFFFF"/>
                                  <w:sz w:val="15"/>
                                  <w:szCs w:val="15"/>
                                </w:rPr>
                                <w:t>Salary threshold increases</w:t>
                              </w:r>
                            </w:p>
                            <w:p w14:paraId="06112E6B" w14:textId="77777777" w:rsidR="00047DC5" w:rsidRDefault="00047DC5" w:rsidP="00047DC5">
                              <w:pPr>
                                <w:spacing w:after="60" w:line="216" w:lineRule="auto"/>
                              </w:pPr>
                              <w:r>
                                <w:rPr>
                                  <w:rFonts w:ascii="Abadi" w:eastAsia="Abadi" w:hAnsi="Abadi" w:cs="Abadi"/>
                                  <w:color w:val="FFFFFF"/>
                                  <w:sz w:val="15"/>
                                  <w:szCs w:val="15"/>
                                </w:rPr>
                                <w:t>ILR qualifying period extension (proposed)</w:t>
                              </w:r>
                            </w:p>
                          </w:txbxContent>
                        </wps:txbx>
                        <wps:bodyPr vert="horz" wrap="square" lIns="66101" tIns="66101" rIns="1449470" bIns="66101" anchor="ctr" anchorCtr="0" compatLnSpc="0">
                          <a:noAutofit/>
                        </wps:bodyPr>
                      </wps:wsp>
                      <wps:wsp>
                        <wps:cNvPr id="818490085" name="Freeform: Shape 574210764"/>
                        <wps:cNvSpPr/>
                        <wps:spPr>
                          <a:xfrm>
                            <a:off x="285164" y="1385059"/>
                            <a:ext cx="3818698" cy="1216152"/>
                          </a:xfrm>
                          <a:custGeom>
                            <a:avLst/>
                            <a:gdLst>
                              <a:gd name="f0" fmla="val 10800000"/>
                              <a:gd name="f1" fmla="val 5400000"/>
                              <a:gd name="f2" fmla="val 180"/>
                              <a:gd name="f3" fmla="val w"/>
                              <a:gd name="f4" fmla="val h"/>
                              <a:gd name="f5" fmla="val 0"/>
                              <a:gd name="f6" fmla="val 3818699"/>
                              <a:gd name="f7" fmla="val 1216152"/>
                              <a:gd name="f8" fmla="val 121615"/>
                              <a:gd name="f9" fmla="val 54449"/>
                              <a:gd name="f10" fmla="val 3697084"/>
                              <a:gd name="f11" fmla="val 3764250"/>
                              <a:gd name="f12" fmla="val 1094537"/>
                              <a:gd name="f13" fmla="val 1161703"/>
                              <a:gd name="f14" fmla="+- 0 0 -90"/>
                              <a:gd name="f15" fmla="*/ f3 1 3818699"/>
                              <a:gd name="f16" fmla="*/ f4 1 1216152"/>
                              <a:gd name="f17" fmla="+- f7 0 f5"/>
                              <a:gd name="f18" fmla="+- f6 0 f5"/>
                              <a:gd name="f19" fmla="*/ f14 f0 1"/>
                              <a:gd name="f20" fmla="*/ f18 1 3818699"/>
                              <a:gd name="f21" fmla="*/ f17 1 1216152"/>
                              <a:gd name="f22" fmla="*/ 0 f18 1"/>
                              <a:gd name="f23" fmla="*/ 121615 f17 1"/>
                              <a:gd name="f24" fmla="*/ 121615 f18 1"/>
                              <a:gd name="f25" fmla="*/ 0 f17 1"/>
                              <a:gd name="f26" fmla="*/ 3697084 f18 1"/>
                              <a:gd name="f27" fmla="*/ 3818699 f18 1"/>
                              <a:gd name="f28" fmla="*/ 1094537 f17 1"/>
                              <a:gd name="f29" fmla="*/ 1216152 f17 1"/>
                              <a:gd name="f30" fmla="*/ f19 1 f2"/>
                              <a:gd name="f31" fmla="*/ f22 1 3818699"/>
                              <a:gd name="f32" fmla="*/ f23 1 1216152"/>
                              <a:gd name="f33" fmla="*/ f24 1 3818699"/>
                              <a:gd name="f34" fmla="*/ f25 1 1216152"/>
                              <a:gd name="f35" fmla="*/ f26 1 3818699"/>
                              <a:gd name="f36" fmla="*/ f27 1 3818699"/>
                              <a:gd name="f37" fmla="*/ f28 1 1216152"/>
                              <a:gd name="f38" fmla="*/ f29 1 1216152"/>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3818699" h="1216152">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156082"/>
                          </a:solidFill>
                          <a:ln cap="flat">
                            <a:noFill/>
                            <a:prstDash val="solid"/>
                          </a:ln>
                        </wps:spPr>
                        <wps:txbx>
                          <w:txbxContent>
                            <w:p w14:paraId="7CE59200" w14:textId="77777777" w:rsidR="00047DC5" w:rsidRDefault="00047DC5" w:rsidP="00047DC5">
                              <w:pPr>
                                <w:spacing w:after="60" w:line="216" w:lineRule="auto"/>
                              </w:pPr>
                              <w:r>
                                <w:rPr>
                                  <w:rFonts w:ascii="Abadi" w:eastAsia="Abadi" w:hAnsi="Abadi" w:cs="Abadi"/>
                                  <w:b/>
                                  <w:bCs/>
                                  <w:color w:val="FFFFFF"/>
                                  <w:sz w:val="15"/>
                                  <w:szCs w:val="15"/>
                                </w:rPr>
                                <w:t>COR</w:t>
                              </w:r>
                            </w:p>
                            <w:p w14:paraId="0E1F09C2" w14:textId="77777777" w:rsidR="00047DC5" w:rsidRDefault="00047DC5" w:rsidP="00047DC5">
                              <w:pPr>
                                <w:spacing w:after="60" w:line="216" w:lineRule="auto"/>
                              </w:pPr>
                              <w:r>
                                <w:rPr>
                                  <w:rFonts w:ascii="Abadi" w:eastAsia="Abadi" w:hAnsi="Abadi" w:cs="Abadi"/>
                                  <w:color w:val="FFFFFF"/>
                                  <w:sz w:val="15"/>
                                  <w:szCs w:val="15"/>
                                </w:rPr>
                                <w:t xml:space="preserve">Resource Threat → Stress → Withdrawal </w:t>
                              </w:r>
                              <w:proofErr w:type="spellStart"/>
                              <w:r>
                                <w:rPr>
                                  <w:rFonts w:ascii="Abadi" w:eastAsia="Abadi" w:hAnsi="Abadi" w:cs="Abadi"/>
                                  <w:color w:val="FFFFFF"/>
                                  <w:sz w:val="15"/>
                                  <w:szCs w:val="15"/>
                                </w:rPr>
                                <w:t>Behaviour</w:t>
                              </w:r>
                              <w:proofErr w:type="spellEnd"/>
                            </w:p>
                            <w:p w14:paraId="57C5FF6A" w14:textId="77777777" w:rsidR="00047DC5" w:rsidRDefault="00047DC5" w:rsidP="00047DC5">
                              <w:pPr>
                                <w:spacing w:after="60" w:line="216" w:lineRule="auto"/>
                              </w:pPr>
                              <w:r>
                                <w:rPr>
                                  <w:rFonts w:ascii="Abadi" w:eastAsia="Abadi" w:hAnsi="Abadi" w:cs="Abadi"/>
                                  <w:color w:val="FFFFFF"/>
                                  <w:sz w:val="15"/>
                                  <w:szCs w:val="15"/>
                                </w:rPr>
                                <w:t>Loss of family unity (</w:t>
                              </w:r>
                              <w:proofErr w:type="spellStart"/>
                              <w:r>
                                <w:rPr>
                                  <w:rFonts w:ascii="Abadi" w:eastAsia="Abadi" w:hAnsi="Abadi" w:cs="Abadi"/>
                                  <w:color w:val="FFFFFF"/>
                                  <w:sz w:val="15"/>
                                  <w:szCs w:val="15"/>
                                </w:rPr>
                                <w:t>dependant</w:t>
                              </w:r>
                              <w:proofErr w:type="spellEnd"/>
                              <w:r>
                                <w:rPr>
                                  <w:rFonts w:ascii="Abadi" w:eastAsia="Abadi" w:hAnsi="Abadi" w:cs="Abadi"/>
                                  <w:color w:val="FFFFFF"/>
                                  <w:sz w:val="15"/>
                                  <w:szCs w:val="15"/>
                                </w:rPr>
                                <w:t xml:space="preserve"> visa restrictions)</w:t>
                              </w:r>
                            </w:p>
                            <w:p w14:paraId="61E4583A" w14:textId="77777777" w:rsidR="00047DC5" w:rsidRDefault="00047DC5" w:rsidP="00047DC5">
                              <w:pPr>
                                <w:spacing w:after="60" w:line="216" w:lineRule="auto"/>
                              </w:pPr>
                              <w:r>
                                <w:rPr>
                                  <w:rFonts w:ascii="Abadi" w:eastAsia="Abadi" w:hAnsi="Abadi" w:cs="Abadi"/>
                                  <w:color w:val="FFFFFF"/>
                                  <w:sz w:val="15"/>
                                  <w:szCs w:val="15"/>
                                </w:rPr>
                                <w:t>Loss of settlement pathway (ILR extension)</w:t>
                              </w:r>
                            </w:p>
                            <w:p w14:paraId="1019974B" w14:textId="77777777" w:rsidR="00047DC5" w:rsidRDefault="00047DC5" w:rsidP="00047DC5">
                              <w:pPr>
                                <w:spacing w:after="60" w:line="216" w:lineRule="auto"/>
                              </w:pPr>
                              <w:r>
                                <w:rPr>
                                  <w:rFonts w:ascii="Abadi" w:eastAsia="Abadi" w:hAnsi="Abadi" w:cs="Abadi"/>
                                  <w:color w:val="FFFFFF"/>
                                  <w:sz w:val="15"/>
                                  <w:szCs w:val="15"/>
                                </w:rPr>
                                <w:t>Loss of job security (temporary status)</w:t>
                              </w:r>
                            </w:p>
                          </w:txbxContent>
                        </wps:txbx>
                        <wps:bodyPr vert="horz" wrap="square" lIns="66101" tIns="66101" rIns="1141765" bIns="66101" anchor="ctr" anchorCtr="0" compatLnSpc="0">
                          <a:noAutofit/>
                        </wps:bodyPr>
                      </wps:wsp>
                      <wps:wsp>
                        <wps:cNvPr id="1727326607" name="Freeform: Shape 1599685745"/>
                        <wps:cNvSpPr/>
                        <wps:spPr>
                          <a:xfrm>
                            <a:off x="570329" y="2770119"/>
                            <a:ext cx="3818698" cy="1216152"/>
                          </a:xfrm>
                          <a:custGeom>
                            <a:avLst/>
                            <a:gdLst>
                              <a:gd name="f0" fmla="val 10800000"/>
                              <a:gd name="f1" fmla="val 5400000"/>
                              <a:gd name="f2" fmla="val 180"/>
                              <a:gd name="f3" fmla="val w"/>
                              <a:gd name="f4" fmla="val h"/>
                              <a:gd name="f5" fmla="val 0"/>
                              <a:gd name="f6" fmla="val 3818699"/>
                              <a:gd name="f7" fmla="val 1216152"/>
                              <a:gd name="f8" fmla="val 121615"/>
                              <a:gd name="f9" fmla="val 54449"/>
                              <a:gd name="f10" fmla="val 3697084"/>
                              <a:gd name="f11" fmla="val 3764250"/>
                              <a:gd name="f12" fmla="val 1094537"/>
                              <a:gd name="f13" fmla="val 1161703"/>
                              <a:gd name="f14" fmla="+- 0 0 -90"/>
                              <a:gd name="f15" fmla="*/ f3 1 3818699"/>
                              <a:gd name="f16" fmla="*/ f4 1 1216152"/>
                              <a:gd name="f17" fmla="+- f7 0 f5"/>
                              <a:gd name="f18" fmla="+- f6 0 f5"/>
                              <a:gd name="f19" fmla="*/ f14 f0 1"/>
                              <a:gd name="f20" fmla="*/ f18 1 3818699"/>
                              <a:gd name="f21" fmla="*/ f17 1 1216152"/>
                              <a:gd name="f22" fmla="*/ 0 f18 1"/>
                              <a:gd name="f23" fmla="*/ 121615 f17 1"/>
                              <a:gd name="f24" fmla="*/ 121615 f18 1"/>
                              <a:gd name="f25" fmla="*/ 0 f17 1"/>
                              <a:gd name="f26" fmla="*/ 3697084 f18 1"/>
                              <a:gd name="f27" fmla="*/ 3818699 f18 1"/>
                              <a:gd name="f28" fmla="*/ 1094537 f17 1"/>
                              <a:gd name="f29" fmla="*/ 1216152 f17 1"/>
                              <a:gd name="f30" fmla="*/ f19 1 f2"/>
                              <a:gd name="f31" fmla="*/ f22 1 3818699"/>
                              <a:gd name="f32" fmla="*/ f23 1 1216152"/>
                              <a:gd name="f33" fmla="*/ f24 1 3818699"/>
                              <a:gd name="f34" fmla="*/ f25 1 1216152"/>
                              <a:gd name="f35" fmla="*/ f26 1 3818699"/>
                              <a:gd name="f36" fmla="*/ f27 1 3818699"/>
                              <a:gd name="f37" fmla="*/ f28 1 1216152"/>
                              <a:gd name="f38" fmla="*/ f29 1 1216152"/>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3818699" h="1216152">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156082"/>
                          </a:solidFill>
                          <a:ln cap="flat">
                            <a:noFill/>
                            <a:prstDash val="solid"/>
                          </a:ln>
                        </wps:spPr>
                        <wps:txbx>
                          <w:txbxContent>
                            <w:p w14:paraId="3329DD14" w14:textId="77777777" w:rsidR="00047DC5" w:rsidRDefault="00047DC5" w:rsidP="00047DC5">
                              <w:pPr>
                                <w:spacing w:after="60" w:line="216" w:lineRule="auto"/>
                              </w:pPr>
                              <w:r>
                                <w:rPr>
                                  <w:rFonts w:ascii="Abadi" w:eastAsia="Abadi" w:hAnsi="Abadi" w:cs="Abadi"/>
                                  <w:b/>
                                  <w:bCs/>
                                  <w:color w:val="FFFFFF"/>
                                  <w:sz w:val="15"/>
                                  <w:szCs w:val="15"/>
                                </w:rPr>
                                <w:t>Human Capital</w:t>
                              </w:r>
                            </w:p>
                            <w:p w14:paraId="6813094D" w14:textId="77777777" w:rsidR="00047DC5" w:rsidRDefault="00047DC5" w:rsidP="00047DC5">
                              <w:pPr>
                                <w:spacing w:after="60" w:line="216" w:lineRule="auto"/>
                              </w:pPr>
                              <w:r>
                                <w:rPr>
                                  <w:rFonts w:ascii="Abadi" w:eastAsia="Abadi" w:hAnsi="Abadi" w:cs="Abadi"/>
                                  <w:color w:val="FFFFFF"/>
                                  <w:sz w:val="15"/>
                                  <w:szCs w:val="15"/>
                                </w:rPr>
                                <w:t>Loss of Specific Human Capital</w:t>
                              </w:r>
                            </w:p>
                            <w:p w14:paraId="3D58C24A" w14:textId="77777777" w:rsidR="00047DC5" w:rsidRDefault="00047DC5" w:rsidP="00047DC5">
                              <w:pPr>
                                <w:spacing w:after="60" w:line="216" w:lineRule="auto"/>
                              </w:pPr>
                              <w:r>
                                <w:rPr>
                                  <w:rFonts w:ascii="Abadi" w:eastAsia="Abadi" w:hAnsi="Abadi" w:cs="Abadi"/>
                                  <w:color w:val="FFFFFF"/>
                                  <w:sz w:val="15"/>
                                  <w:szCs w:val="15"/>
                                </w:rPr>
                                <w:t>NHS protocol knowledge</w:t>
                              </w:r>
                            </w:p>
                            <w:p w14:paraId="11225944" w14:textId="77777777" w:rsidR="00047DC5" w:rsidRDefault="00047DC5" w:rsidP="00047DC5">
                              <w:pPr>
                                <w:spacing w:after="60" w:line="216" w:lineRule="auto"/>
                              </w:pPr>
                              <w:r>
                                <w:rPr>
                                  <w:rFonts w:ascii="Abadi" w:eastAsia="Abadi" w:hAnsi="Abadi" w:cs="Abadi"/>
                                  <w:color w:val="FFFFFF"/>
                                  <w:sz w:val="15"/>
                                  <w:szCs w:val="15"/>
                                </w:rPr>
                                <w:t>Local patient population familiarity</w:t>
                              </w:r>
                            </w:p>
                            <w:p w14:paraId="6DC74B02" w14:textId="77777777" w:rsidR="00047DC5" w:rsidRDefault="00047DC5" w:rsidP="00047DC5">
                              <w:pPr>
                                <w:spacing w:after="60" w:line="216" w:lineRule="auto"/>
                              </w:pPr>
                              <w:r>
                                <w:rPr>
                                  <w:rFonts w:ascii="Abadi" w:eastAsia="Abadi" w:hAnsi="Abadi" w:cs="Abadi"/>
                                  <w:color w:val="FFFFFF"/>
                                  <w:sz w:val="15"/>
                                  <w:szCs w:val="15"/>
                                </w:rPr>
                                <w:t>Team dynamics and relationships</w:t>
                              </w:r>
                            </w:p>
                            <w:p w14:paraId="11958C9B" w14:textId="77777777" w:rsidR="00047DC5" w:rsidRDefault="00047DC5" w:rsidP="00047DC5">
                              <w:pPr>
                                <w:spacing w:after="60" w:line="216" w:lineRule="auto"/>
                              </w:pPr>
                              <w:r>
                                <w:rPr>
                                  <w:rFonts w:ascii="Abadi" w:eastAsia="Abadi" w:hAnsi="Abadi" w:cs="Abadi"/>
                                  <w:color w:val="FFFFFF"/>
                                  <w:sz w:val="15"/>
                                  <w:szCs w:val="15"/>
                                </w:rPr>
                                <w:t>Costly to replace and retrain</w:t>
                              </w:r>
                            </w:p>
                          </w:txbxContent>
                        </wps:txbx>
                        <wps:bodyPr vert="horz" wrap="square" lIns="66101" tIns="66101" rIns="1141765" bIns="66101" anchor="ctr" anchorCtr="0" compatLnSpc="0">
                          <a:noAutofit/>
                        </wps:bodyPr>
                      </wps:wsp>
                      <wps:wsp>
                        <wps:cNvPr id="546945994" name="Freeform: Shape 414436460"/>
                        <wps:cNvSpPr/>
                        <wps:spPr>
                          <a:xfrm>
                            <a:off x="855485" y="4155189"/>
                            <a:ext cx="3818698" cy="1216152"/>
                          </a:xfrm>
                          <a:custGeom>
                            <a:avLst/>
                            <a:gdLst>
                              <a:gd name="f0" fmla="val 10800000"/>
                              <a:gd name="f1" fmla="val 5400000"/>
                              <a:gd name="f2" fmla="val 180"/>
                              <a:gd name="f3" fmla="val w"/>
                              <a:gd name="f4" fmla="val h"/>
                              <a:gd name="f5" fmla="val 0"/>
                              <a:gd name="f6" fmla="val 3818699"/>
                              <a:gd name="f7" fmla="val 1216152"/>
                              <a:gd name="f8" fmla="val 121615"/>
                              <a:gd name="f9" fmla="val 54449"/>
                              <a:gd name="f10" fmla="val 3697084"/>
                              <a:gd name="f11" fmla="val 3764250"/>
                              <a:gd name="f12" fmla="val 1094537"/>
                              <a:gd name="f13" fmla="val 1161703"/>
                              <a:gd name="f14" fmla="+- 0 0 -90"/>
                              <a:gd name="f15" fmla="*/ f3 1 3818699"/>
                              <a:gd name="f16" fmla="*/ f4 1 1216152"/>
                              <a:gd name="f17" fmla="+- f7 0 f5"/>
                              <a:gd name="f18" fmla="+- f6 0 f5"/>
                              <a:gd name="f19" fmla="*/ f14 f0 1"/>
                              <a:gd name="f20" fmla="*/ f18 1 3818699"/>
                              <a:gd name="f21" fmla="*/ f17 1 1216152"/>
                              <a:gd name="f22" fmla="*/ 0 f18 1"/>
                              <a:gd name="f23" fmla="*/ 121615 f17 1"/>
                              <a:gd name="f24" fmla="*/ 121615 f18 1"/>
                              <a:gd name="f25" fmla="*/ 0 f17 1"/>
                              <a:gd name="f26" fmla="*/ 3697084 f18 1"/>
                              <a:gd name="f27" fmla="*/ 3818699 f18 1"/>
                              <a:gd name="f28" fmla="*/ 1094537 f17 1"/>
                              <a:gd name="f29" fmla="*/ 1216152 f17 1"/>
                              <a:gd name="f30" fmla="*/ f19 1 f2"/>
                              <a:gd name="f31" fmla="*/ f22 1 3818699"/>
                              <a:gd name="f32" fmla="*/ f23 1 1216152"/>
                              <a:gd name="f33" fmla="*/ f24 1 3818699"/>
                              <a:gd name="f34" fmla="*/ f25 1 1216152"/>
                              <a:gd name="f35" fmla="*/ f26 1 3818699"/>
                              <a:gd name="f36" fmla="*/ f27 1 3818699"/>
                              <a:gd name="f37" fmla="*/ f28 1 1216152"/>
                              <a:gd name="f38" fmla="*/ f29 1 1216152"/>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3818699" h="1216152">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156082"/>
                          </a:solidFill>
                          <a:ln cap="flat">
                            <a:noFill/>
                            <a:prstDash val="solid"/>
                          </a:ln>
                        </wps:spPr>
                        <wps:txbx>
                          <w:txbxContent>
                            <w:p w14:paraId="7999D9C1" w14:textId="77777777" w:rsidR="00047DC5" w:rsidRDefault="00047DC5" w:rsidP="00047DC5">
                              <w:pPr>
                                <w:spacing w:after="60" w:line="216" w:lineRule="auto"/>
                              </w:pPr>
                              <w:r>
                                <w:rPr>
                                  <w:rFonts w:ascii="Abadi" w:eastAsia="Abadi" w:hAnsi="Abadi" w:cs="Abadi"/>
                                  <w:b/>
                                  <w:bCs/>
                                  <w:color w:val="FFFFFF"/>
                                  <w:sz w:val="15"/>
                                  <w:szCs w:val="15"/>
                                </w:rPr>
                                <w:t>TBL</w:t>
                              </w:r>
                            </w:p>
                            <w:p w14:paraId="1E43B913" w14:textId="77777777" w:rsidR="00047DC5" w:rsidRDefault="00047DC5" w:rsidP="00047DC5">
                              <w:pPr>
                                <w:spacing w:after="60" w:line="216" w:lineRule="auto"/>
                              </w:pPr>
                              <w:r>
                                <w:rPr>
                                  <w:rFonts w:ascii="Abadi" w:eastAsia="Abadi" w:hAnsi="Abadi" w:cs="Abadi"/>
                                  <w:color w:val="FFFFFF"/>
                                  <w:sz w:val="15"/>
                                  <w:szCs w:val="15"/>
                                </w:rPr>
                                <w:t xml:space="preserve">Social: Falling </w:t>
                              </w:r>
                              <w:proofErr w:type="spellStart"/>
                              <w:r>
                                <w:rPr>
                                  <w:rFonts w:ascii="Abadi" w:eastAsia="Abadi" w:hAnsi="Abadi" w:cs="Abadi"/>
                                  <w:color w:val="FFFFFF"/>
                                  <w:sz w:val="15"/>
                                  <w:szCs w:val="15"/>
                                </w:rPr>
                                <w:t>dependant</w:t>
                              </w:r>
                              <w:proofErr w:type="spellEnd"/>
                              <w:r>
                                <w:rPr>
                                  <w:rFonts w:ascii="Abadi" w:eastAsia="Abadi" w:hAnsi="Abadi" w:cs="Abadi"/>
                                  <w:color w:val="FFFFFF"/>
                                  <w:sz w:val="15"/>
                                  <w:szCs w:val="15"/>
                                </w:rPr>
                                <w:t xml:space="preserve"> visa rates, reduced family unity, limited career progression</w:t>
                              </w:r>
                            </w:p>
                            <w:p w14:paraId="271FE066" w14:textId="77777777" w:rsidR="00047DC5" w:rsidRDefault="00047DC5" w:rsidP="00047DC5">
                              <w:pPr>
                                <w:spacing w:after="60" w:line="216" w:lineRule="auto"/>
                              </w:pPr>
                              <w:r>
                                <w:rPr>
                                  <w:rFonts w:ascii="Abadi" w:eastAsia="Abadi" w:hAnsi="Abadi" w:cs="Abadi"/>
                                  <w:color w:val="FFFFFF"/>
                                  <w:sz w:val="15"/>
                                  <w:szCs w:val="15"/>
                                </w:rPr>
                                <w:t>Economic: Increasing turnover costs, rising outflow, workforce instability</w:t>
                              </w:r>
                            </w:p>
                          </w:txbxContent>
                        </wps:txbx>
                        <wps:bodyPr vert="horz" wrap="square" lIns="66101" tIns="66101" rIns="1141765" bIns="66101" anchor="ctr" anchorCtr="0" compatLnSpc="0">
                          <a:noAutofit/>
                        </wps:bodyPr>
                      </wps:wsp>
                      <wps:wsp>
                        <wps:cNvPr id="1764806337" name="Freeform: Shape 1366465378"/>
                        <wps:cNvSpPr/>
                        <wps:spPr>
                          <a:xfrm>
                            <a:off x="1140649" y="5540249"/>
                            <a:ext cx="3818698" cy="1216152"/>
                          </a:xfrm>
                          <a:custGeom>
                            <a:avLst/>
                            <a:gdLst>
                              <a:gd name="f0" fmla="val 10800000"/>
                              <a:gd name="f1" fmla="val 5400000"/>
                              <a:gd name="f2" fmla="val 180"/>
                              <a:gd name="f3" fmla="val w"/>
                              <a:gd name="f4" fmla="val h"/>
                              <a:gd name="f5" fmla="val 0"/>
                              <a:gd name="f6" fmla="val 3818699"/>
                              <a:gd name="f7" fmla="val 1216152"/>
                              <a:gd name="f8" fmla="val 121615"/>
                              <a:gd name="f9" fmla="val 54449"/>
                              <a:gd name="f10" fmla="val 3697084"/>
                              <a:gd name="f11" fmla="val 3764250"/>
                              <a:gd name="f12" fmla="val 1094537"/>
                              <a:gd name="f13" fmla="val 1161703"/>
                              <a:gd name="f14" fmla="+- 0 0 -90"/>
                              <a:gd name="f15" fmla="*/ f3 1 3818699"/>
                              <a:gd name="f16" fmla="*/ f4 1 1216152"/>
                              <a:gd name="f17" fmla="+- f7 0 f5"/>
                              <a:gd name="f18" fmla="+- f6 0 f5"/>
                              <a:gd name="f19" fmla="*/ f14 f0 1"/>
                              <a:gd name="f20" fmla="*/ f18 1 3818699"/>
                              <a:gd name="f21" fmla="*/ f17 1 1216152"/>
                              <a:gd name="f22" fmla="*/ 0 f18 1"/>
                              <a:gd name="f23" fmla="*/ 121615 f17 1"/>
                              <a:gd name="f24" fmla="*/ 121615 f18 1"/>
                              <a:gd name="f25" fmla="*/ 0 f17 1"/>
                              <a:gd name="f26" fmla="*/ 3697084 f18 1"/>
                              <a:gd name="f27" fmla="*/ 3818699 f18 1"/>
                              <a:gd name="f28" fmla="*/ 1094537 f17 1"/>
                              <a:gd name="f29" fmla="*/ 1216152 f17 1"/>
                              <a:gd name="f30" fmla="*/ f19 1 f2"/>
                              <a:gd name="f31" fmla="*/ f22 1 3818699"/>
                              <a:gd name="f32" fmla="*/ f23 1 1216152"/>
                              <a:gd name="f33" fmla="*/ f24 1 3818699"/>
                              <a:gd name="f34" fmla="*/ f25 1 1216152"/>
                              <a:gd name="f35" fmla="*/ f26 1 3818699"/>
                              <a:gd name="f36" fmla="*/ f27 1 3818699"/>
                              <a:gd name="f37" fmla="*/ f28 1 1216152"/>
                              <a:gd name="f38" fmla="*/ f29 1 1216152"/>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3818699" h="1216152">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156082"/>
                          </a:solidFill>
                          <a:ln cap="flat">
                            <a:noFill/>
                            <a:prstDash val="solid"/>
                          </a:ln>
                        </wps:spPr>
                        <wps:txbx>
                          <w:txbxContent>
                            <w:p w14:paraId="01C63DC6" w14:textId="77777777" w:rsidR="00047DC5" w:rsidRDefault="00047DC5" w:rsidP="00047DC5">
                              <w:pPr>
                                <w:spacing w:after="60" w:line="216" w:lineRule="auto"/>
                              </w:pPr>
                              <w:r>
                                <w:rPr>
                                  <w:rFonts w:ascii="Abadi" w:eastAsia="Abadi" w:hAnsi="Abadi" w:cs="Abadi"/>
                                  <w:b/>
                                  <w:bCs/>
                                  <w:color w:val="FFFFFF"/>
                                  <w:sz w:val="15"/>
                                  <w:szCs w:val="15"/>
                                </w:rPr>
                                <w:t>HR Strategies</w:t>
                              </w:r>
                            </w:p>
                            <w:p w14:paraId="2D3C7E71" w14:textId="77777777" w:rsidR="00047DC5" w:rsidRDefault="00047DC5" w:rsidP="00047DC5">
                              <w:pPr>
                                <w:spacing w:after="60" w:line="216" w:lineRule="auto"/>
                              </w:pPr>
                              <w:r>
                                <w:rPr>
                                  <w:rFonts w:ascii="Abadi" w:eastAsia="Abadi" w:hAnsi="Abadi" w:cs="Abadi"/>
                                  <w:color w:val="FFFFFF"/>
                                  <w:sz w:val="15"/>
                                  <w:szCs w:val="15"/>
                                </w:rPr>
                                <w:t>Retention strategies</w:t>
                              </w:r>
                            </w:p>
                            <w:p w14:paraId="04CB80A9" w14:textId="77777777" w:rsidR="00047DC5" w:rsidRDefault="00047DC5" w:rsidP="00047DC5">
                              <w:pPr>
                                <w:spacing w:after="60" w:line="216" w:lineRule="auto"/>
                              </w:pPr>
                              <w:r>
                                <w:rPr>
                                  <w:rFonts w:ascii="Abadi" w:eastAsia="Abadi" w:hAnsi="Abadi" w:cs="Abadi"/>
                                  <w:color w:val="FFFFFF"/>
                                  <w:sz w:val="15"/>
                                  <w:szCs w:val="15"/>
                                </w:rPr>
                                <w:t>Domestic upskilling</w:t>
                              </w:r>
                            </w:p>
                            <w:p w14:paraId="0E138214" w14:textId="77777777" w:rsidR="00047DC5" w:rsidRDefault="00047DC5" w:rsidP="00047DC5">
                              <w:pPr>
                                <w:spacing w:after="60" w:line="216" w:lineRule="auto"/>
                              </w:pPr>
                              <w:r>
                                <w:rPr>
                                  <w:rFonts w:ascii="Abadi" w:eastAsia="Abadi" w:hAnsi="Abadi" w:cs="Abadi"/>
                                  <w:color w:val="FFFFFF"/>
                                  <w:sz w:val="15"/>
                                  <w:szCs w:val="15"/>
                                </w:rPr>
                                <w:t>Training investment</w:t>
                              </w:r>
                            </w:p>
                            <w:p w14:paraId="1D71F2F6" w14:textId="77777777" w:rsidR="00047DC5" w:rsidRDefault="00047DC5" w:rsidP="00047DC5">
                              <w:pPr>
                                <w:spacing w:after="60" w:line="216" w:lineRule="auto"/>
                              </w:pPr>
                              <w:proofErr w:type="spellStart"/>
                              <w:r>
                                <w:rPr>
                                  <w:rFonts w:ascii="Abadi" w:eastAsia="Abadi" w:hAnsi="Abadi" w:cs="Abadi"/>
                                  <w:color w:val="FFFFFF"/>
                                  <w:sz w:val="15"/>
                                  <w:szCs w:val="15"/>
                                </w:rPr>
                                <w:t>Organisational</w:t>
                              </w:r>
                              <w:proofErr w:type="spellEnd"/>
                              <w:r>
                                <w:rPr>
                                  <w:rFonts w:ascii="Abadi" w:eastAsia="Abadi" w:hAnsi="Abadi" w:cs="Abadi"/>
                                  <w:color w:val="FFFFFF"/>
                                  <w:sz w:val="15"/>
                                  <w:szCs w:val="15"/>
                                </w:rPr>
                                <w:t xml:space="preserve"> support</w:t>
                              </w:r>
                            </w:p>
                          </w:txbxContent>
                        </wps:txbx>
                        <wps:bodyPr vert="horz" wrap="square" lIns="66101" tIns="66101" rIns="1141765" bIns="66101" anchor="ctr" anchorCtr="0" compatLnSpc="0">
                          <a:noAutofit/>
                        </wps:bodyPr>
                      </wps:wsp>
                      <wps:wsp>
                        <wps:cNvPr id="941869897" name="Freeform: Shape 2085881516"/>
                        <wps:cNvSpPr/>
                        <wps:spPr>
                          <a:xfrm>
                            <a:off x="3028200" y="888467"/>
                            <a:ext cx="790498" cy="790498"/>
                          </a:xfrm>
                          <a:custGeom>
                            <a:avLst/>
                            <a:gdLst>
                              <a:gd name="f0" fmla="val 10800000"/>
                              <a:gd name="f1" fmla="val 5400000"/>
                              <a:gd name="f2" fmla="val 180"/>
                              <a:gd name="f3" fmla="val w"/>
                              <a:gd name="f4" fmla="val h"/>
                              <a:gd name="f5" fmla="val 0"/>
                              <a:gd name="f6" fmla="val 790498"/>
                              <a:gd name="f7" fmla="val 434774"/>
                              <a:gd name="f8" fmla="val 177862"/>
                              <a:gd name="f9" fmla="val 612636"/>
                              <a:gd name="f10" fmla="val 395249"/>
                              <a:gd name="f11" fmla="+- 0 0 -90"/>
                              <a:gd name="f12" fmla="*/ f3 1 790498"/>
                              <a:gd name="f13" fmla="*/ f4 1 790498"/>
                              <a:gd name="f14" fmla="+- f6 0 f5"/>
                              <a:gd name="f15" fmla="*/ f11 f0 1"/>
                              <a:gd name="f16" fmla="*/ f14 1 790498"/>
                              <a:gd name="f17" fmla="*/ 0 f14 1"/>
                              <a:gd name="f18" fmla="*/ 434774 f14 1"/>
                              <a:gd name="f19" fmla="*/ 177862 f14 1"/>
                              <a:gd name="f20" fmla="*/ 612636 f14 1"/>
                              <a:gd name="f21" fmla="*/ 790498 f14 1"/>
                              <a:gd name="f22" fmla="*/ 395249 f14 1"/>
                              <a:gd name="f23" fmla="*/ f15 1 f2"/>
                              <a:gd name="f24" fmla="*/ f17 1 790498"/>
                              <a:gd name="f25" fmla="*/ f18 1 790498"/>
                              <a:gd name="f26" fmla="*/ f19 1 790498"/>
                              <a:gd name="f27" fmla="*/ f20 1 790498"/>
                              <a:gd name="f28" fmla="*/ f21 1 790498"/>
                              <a:gd name="f29" fmla="*/ f22 1 790498"/>
                              <a:gd name="f30" fmla="*/ f5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3 f13 1"/>
                              <a:gd name="f47" fmla="*/ f36 f12 1"/>
                              <a:gd name="f48" fmla="*/ f37 f12 1"/>
                              <a:gd name="f49" fmla="*/ f38 f12 1"/>
                              <a:gd name="f50" fmla="*/ f37 f13 1"/>
                            </a:gdLst>
                            <a:ahLst/>
                            <a:cxnLst>
                              <a:cxn ang="3cd4">
                                <a:pos x="hc" y="t"/>
                              </a:cxn>
                              <a:cxn ang="0">
                                <a:pos x="r" y="vc"/>
                              </a:cxn>
                              <a:cxn ang="cd4">
                                <a:pos x="hc" y="b"/>
                              </a:cxn>
                              <a:cxn ang="cd2">
                                <a:pos x="l" y="vc"/>
                              </a:cxn>
                              <a:cxn ang="f32">
                                <a:pos x="f43" y="f44"/>
                              </a:cxn>
                              <a:cxn ang="f32">
                                <a:pos x="f45" y="f44"/>
                              </a:cxn>
                              <a:cxn ang="f32">
                                <a:pos x="f45" y="f46"/>
                              </a:cxn>
                              <a:cxn ang="f32">
                                <a:pos x="f47" y="f46"/>
                              </a:cxn>
                              <a:cxn ang="f32">
                                <a:pos x="f47" y="f44"/>
                              </a:cxn>
                              <a:cxn ang="f32">
                                <a:pos x="f48" y="f44"/>
                              </a:cxn>
                              <a:cxn ang="f32">
                                <a:pos x="f49" y="f50"/>
                              </a:cxn>
                              <a:cxn ang="f32">
                                <a:pos x="f43" y="f44"/>
                              </a:cxn>
                            </a:cxnLst>
                            <a:rect l="f39" t="f42" r="f40" b="f41"/>
                            <a:pathLst>
                              <a:path w="790498" h="790498">
                                <a:moveTo>
                                  <a:pt x="f5" y="f7"/>
                                </a:moveTo>
                                <a:lnTo>
                                  <a:pt x="f8" y="f7"/>
                                </a:lnTo>
                                <a:lnTo>
                                  <a:pt x="f8" y="f5"/>
                                </a:lnTo>
                                <a:lnTo>
                                  <a:pt x="f9" y="f5"/>
                                </a:lnTo>
                                <a:lnTo>
                                  <a:pt x="f9" y="f7"/>
                                </a:lnTo>
                                <a:lnTo>
                                  <a:pt x="f6" y="f7"/>
                                </a:lnTo>
                                <a:lnTo>
                                  <a:pt x="f10" y="f6"/>
                                </a:lnTo>
                                <a:lnTo>
                                  <a:pt x="f5" y="f7"/>
                                </a:lnTo>
                                <a:close/>
                              </a:path>
                            </a:pathLst>
                          </a:custGeom>
                          <a:solidFill>
                            <a:srgbClr val="CCD2D8">
                              <a:alpha val="90000"/>
                            </a:srgbClr>
                          </a:solidFill>
                          <a:ln cap="flat">
                            <a:noFill/>
                            <a:prstDash val="solid"/>
                          </a:ln>
                        </wps:spPr>
                        <wps:txbx>
                          <w:txbxContent>
                            <w:p w14:paraId="28A608FB" w14:textId="77777777" w:rsidR="00047DC5" w:rsidRDefault="00047DC5" w:rsidP="00047DC5">
                              <w:pPr>
                                <w:spacing w:after="300" w:line="216" w:lineRule="auto"/>
                                <w:jc w:val="center"/>
                                <w:rPr>
                                  <w:color w:val="000000"/>
                                  <w:kern w:val="0"/>
                                  <w:sz w:val="36"/>
                                  <w:szCs w:val="36"/>
                                </w:rPr>
                              </w:pPr>
                            </w:p>
                          </w:txbxContent>
                        </wps:txbx>
                        <wps:bodyPr vert="horz" wrap="square" lIns="222308" tIns="44448" rIns="222308" bIns="240094" anchor="ctr" anchorCtr="1" compatLnSpc="0">
                          <a:noAutofit/>
                        </wps:bodyPr>
                      </wps:wsp>
                      <wps:wsp>
                        <wps:cNvPr id="697497921" name="Freeform: Shape 2130780927"/>
                        <wps:cNvSpPr/>
                        <wps:spPr>
                          <a:xfrm>
                            <a:off x="3313364" y="2273527"/>
                            <a:ext cx="790498" cy="790498"/>
                          </a:xfrm>
                          <a:custGeom>
                            <a:avLst/>
                            <a:gdLst>
                              <a:gd name="f0" fmla="val 10800000"/>
                              <a:gd name="f1" fmla="val 5400000"/>
                              <a:gd name="f2" fmla="val 180"/>
                              <a:gd name="f3" fmla="val w"/>
                              <a:gd name="f4" fmla="val h"/>
                              <a:gd name="f5" fmla="val 0"/>
                              <a:gd name="f6" fmla="val 790498"/>
                              <a:gd name="f7" fmla="val 434774"/>
                              <a:gd name="f8" fmla="val 177862"/>
                              <a:gd name="f9" fmla="val 612636"/>
                              <a:gd name="f10" fmla="val 395249"/>
                              <a:gd name="f11" fmla="+- 0 0 -90"/>
                              <a:gd name="f12" fmla="*/ f3 1 790498"/>
                              <a:gd name="f13" fmla="*/ f4 1 790498"/>
                              <a:gd name="f14" fmla="+- f6 0 f5"/>
                              <a:gd name="f15" fmla="*/ f11 f0 1"/>
                              <a:gd name="f16" fmla="*/ f14 1 790498"/>
                              <a:gd name="f17" fmla="*/ 0 f14 1"/>
                              <a:gd name="f18" fmla="*/ 434774 f14 1"/>
                              <a:gd name="f19" fmla="*/ 177862 f14 1"/>
                              <a:gd name="f20" fmla="*/ 612636 f14 1"/>
                              <a:gd name="f21" fmla="*/ 790498 f14 1"/>
                              <a:gd name="f22" fmla="*/ 395249 f14 1"/>
                              <a:gd name="f23" fmla="*/ f15 1 f2"/>
                              <a:gd name="f24" fmla="*/ f17 1 790498"/>
                              <a:gd name="f25" fmla="*/ f18 1 790498"/>
                              <a:gd name="f26" fmla="*/ f19 1 790498"/>
                              <a:gd name="f27" fmla="*/ f20 1 790498"/>
                              <a:gd name="f28" fmla="*/ f21 1 790498"/>
                              <a:gd name="f29" fmla="*/ f22 1 790498"/>
                              <a:gd name="f30" fmla="*/ f5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3 f13 1"/>
                              <a:gd name="f47" fmla="*/ f36 f12 1"/>
                              <a:gd name="f48" fmla="*/ f37 f12 1"/>
                              <a:gd name="f49" fmla="*/ f38 f12 1"/>
                              <a:gd name="f50" fmla="*/ f37 f13 1"/>
                            </a:gdLst>
                            <a:ahLst/>
                            <a:cxnLst>
                              <a:cxn ang="3cd4">
                                <a:pos x="hc" y="t"/>
                              </a:cxn>
                              <a:cxn ang="0">
                                <a:pos x="r" y="vc"/>
                              </a:cxn>
                              <a:cxn ang="cd4">
                                <a:pos x="hc" y="b"/>
                              </a:cxn>
                              <a:cxn ang="cd2">
                                <a:pos x="l" y="vc"/>
                              </a:cxn>
                              <a:cxn ang="f32">
                                <a:pos x="f43" y="f44"/>
                              </a:cxn>
                              <a:cxn ang="f32">
                                <a:pos x="f45" y="f44"/>
                              </a:cxn>
                              <a:cxn ang="f32">
                                <a:pos x="f45" y="f46"/>
                              </a:cxn>
                              <a:cxn ang="f32">
                                <a:pos x="f47" y="f46"/>
                              </a:cxn>
                              <a:cxn ang="f32">
                                <a:pos x="f47" y="f44"/>
                              </a:cxn>
                              <a:cxn ang="f32">
                                <a:pos x="f48" y="f44"/>
                              </a:cxn>
                              <a:cxn ang="f32">
                                <a:pos x="f49" y="f50"/>
                              </a:cxn>
                              <a:cxn ang="f32">
                                <a:pos x="f43" y="f44"/>
                              </a:cxn>
                            </a:cxnLst>
                            <a:rect l="f39" t="f42" r="f40" b="f41"/>
                            <a:pathLst>
                              <a:path w="790498" h="790498">
                                <a:moveTo>
                                  <a:pt x="f5" y="f7"/>
                                </a:moveTo>
                                <a:lnTo>
                                  <a:pt x="f8" y="f7"/>
                                </a:lnTo>
                                <a:lnTo>
                                  <a:pt x="f8" y="f5"/>
                                </a:lnTo>
                                <a:lnTo>
                                  <a:pt x="f9" y="f5"/>
                                </a:lnTo>
                                <a:lnTo>
                                  <a:pt x="f9" y="f7"/>
                                </a:lnTo>
                                <a:lnTo>
                                  <a:pt x="f6" y="f7"/>
                                </a:lnTo>
                                <a:lnTo>
                                  <a:pt x="f10" y="f6"/>
                                </a:lnTo>
                                <a:lnTo>
                                  <a:pt x="f5" y="f7"/>
                                </a:lnTo>
                                <a:close/>
                              </a:path>
                            </a:pathLst>
                          </a:custGeom>
                          <a:solidFill>
                            <a:srgbClr val="CCD2D8">
                              <a:alpha val="90000"/>
                            </a:srgbClr>
                          </a:solidFill>
                          <a:ln cap="flat">
                            <a:noFill/>
                            <a:prstDash val="solid"/>
                          </a:ln>
                        </wps:spPr>
                        <wps:txbx>
                          <w:txbxContent>
                            <w:p w14:paraId="6D7CDB70" w14:textId="77777777" w:rsidR="00047DC5" w:rsidRDefault="00047DC5" w:rsidP="00047DC5">
                              <w:pPr>
                                <w:spacing w:after="300" w:line="216" w:lineRule="auto"/>
                                <w:jc w:val="center"/>
                                <w:rPr>
                                  <w:color w:val="000000"/>
                                  <w:kern w:val="0"/>
                                  <w:sz w:val="36"/>
                                  <w:szCs w:val="36"/>
                                </w:rPr>
                              </w:pPr>
                            </w:p>
                          </w:txbxContent>
                        </wps:txbx>
                        <wps:bodyPr vert="horz" wrap="square" lIns="222308" tIns="44448" rIns="222308" bIns="240094" anchor="ctr" anchorCtr="1" compatLnSpc="0">
                          <a:noAutofit/>
                        </wps:bodyPr>
                      </wps:wsp>
                      <wps:wsp>
                        <wps:cNvPr id="1678779082" name="Freeform: Shape 1256173461"/>
                        <wps:cNvSpPr/>
                        <wps:spPr>
                          <a:xfrm>
                            <a:off x="3598520" y="3638324"/>
                            <a:ext cx="790498" cy="790498"/>
                          </a:xfrm>
                          <a:custGeom>
                            <a:avLst/>
                            <a:gdLst>
                              <a:gd name="f0" fmla="val 10800000"/>
                              <a:gd name="f1" fmla="val 5400000"/>
                              <a:gd name="f2" fmla="val 180"/>
                              <a:gd name="f3" fmla="val w"/>
                              <a:gd name="f4" fmla="val h"/>
                              <a:gd name="f5" fmla="val 0"/>
                              <a:gd name="f6" fmla="val 790498"/>
                              <a:gd name="f7" fmla="val 434774"/>
                              <a:gd name="f8" fmla="val 177862"/>
                              <a:gd name="f9" fmla="val 612636"/>
                              <a:gd name="f10" fmla="val 395249"/>
                              <a:gd name="f11" fmla="+- 0 0 -90"/>
                              <a:gd name="f12" fmla="*/ f3 1 790498"/>
                              <a:gd name="f13" fmla="*/ f4 1 790498"/>
                              <a:gd name="f14" fmla="+- f6 0 f5"/>
                              <a:gd name="f15" fmla="*/ f11 f0 1"/>
                              <a:gd name="f16" fmla="*/ f14 1 790498"/>
                              <a:gd name="f17" fmla="*/ 0 f14 1"/>
                              <a:gd name="f18" fmla="*/ 434774 f14 1"/>
                              <a:gd name="f19" fmla="*/ 177862 f14 1"/>
                              <a:gd name="f20" fmla="*/ 612636 f14 1"/>
                              <a:gd name="f21" fmla="*/ 790498 f14 1"/>
                              <a:gd name="f22" fmla="*/ 395249 f14 1"/>
                              <a:gd name="f23" fmla="*/ f15 1 f2"/>
                              <a:gd name="f24" fmla="*/ f17 1 790498"/>
                              <a:gd name="f25" fmla="*/ f18 1 790498"/>
                              <a:gd name="f26" fmla="*/ f19 1 790498"/>
                              <a:gd name="f27" fmla="*/ f20 1 790498"/>
                              <a:gd name="f28" fmla="*/ f21 1 790498"/>
                              <a:gd name="f29" fmla="*/ f22 1 790498"/>
                              <a:gd name="f30" fmla="*/ f5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3 f13 1"/>
                              <a:gd name="f47" fmla="*/ f36 f12 1"/>
                              <a:gd name="f48" fmla="*/ f37 f12 1"/>
                              <a:gd name="f49" fmla="*/ f38 f12 1"/>
                              <a:gd name="f50" fmla="*/ f37 f13 1"/>
                            </a:gdLst>
                            <a:ahLst/>
                            <a:cxnLst>
                              <a:cxn ang="3cd4">
                                <a:pos x="hc" y="t"/>
                              </a:cxn>
                              <a:cxn ang="0">
                                <a:pos x="r" y="vc"/>
                              </a:cxn>
                              <a:cxn ang="cd4">
                                <a:pos x="hc" y="b"/>
                              </a:cxn>
                              <a:cxn ang="cd2">
                                <a:pos x="l" y="vc"/>
                              </a:cxn>
                              <a:cxn ang="f32">
                                <a:pos x="f43" y="f44"/>
                              </a:cxn>
                              <a:cxn ang="f32">
                                <a:pos x="f45" y="f44"/>
                              </a:cxn>
                              <a:cxn ang="f32">
                                <a:pos x="f45" y="f46"/>
                              </a:cxn>
                              <a:cxn ang="f32">
                                <a:pos x="f47" y="f46"/>
                              </a:cxn>
                              <a:cxn ang="f32">
                                <a:pos x="f47" y="f44"/>
                              </a:cxn>
                              <a:cxn ang="f32">
                                <a:pos x="f48" y="f44"/>
                              </a:cxn>
                              <a:cxn ang="f32">
                                <a:pos x="f49" y="f50"/>
                              </a:cxn>
                              <a:cxn ang="f32">
                                <a:pos x="f43" y="f44"/>
                              </a:cxn>
                            </a:cxnLst>
                            <a:rect l="f39" t="f42" r="f40" b="f41"/>
                            <a:pathLst>
                              <a:path w="790498" h="790498">
                                <a:moveTo>
                                  <a:pt x="f5" y="f7"/>
                                </a:moveTo>
                                <a:lnTo>
                                  <a:pt x="f8" y="f7"/>
                                </a:lnTo>
                                <a:lnTo>
                                  <a:pt x="f8" y="f5"/>
                                </a:lnTo>
                                <a:lnTo>
                                  <a:pt x="f9" y="f5"/>
                                </a:lnTo>
                                <a:lnTo>
                                  <a:pt x="f9" y="f7"/>
                                </a:lnTo>
                                <a:lnTo>
                                  <a:pt x="f6" y="f7"/>
                                </a:lnTo>
                                <a:lnTo>
                                  <a:pt x="f10" y="f6"/>
                                </a:lnTo>
                                <a:lnTo>
                                  <a:pt x="f5" y="f7"/>
                                </a:lnTo>
                                <a:close/>
                              </a:path>
                            </a:pathLst>
                          </a:custGeom>
                          <a:solidFill>
                            <a:srgbClr val="CCD2D8">
                              <a:alpha val="90000"/>
                            </a:srgbClr>
                          </a:solidFill>
                          <a:ln cap="flat">
                            <a:noFill/>
                            <a:prstDash val="solid"/>
                          </a:ln>
                        </wps:spPr>
                        <wps:txbx>
                          <w:txbxContent>
                            <w:p w14:paraId="6ABDD3B1" w14:textId="77777777" w:rsidR="00047DC5" w:rsidRDefault="00047DC5" w:rsidP="00047DC5">
                              <w:pPr>
                                <w:spacing w:after="300" w:line="216" w:lineRule="auto"/>
                                <w:jc w:val="center"/>
                                <w:rPr>
                                  <w:color w:val="000000"/>
                                  <w:kern w:val="0"/>
                                  <w:sz w:val="36"/>
                                  <w:szCs w:val="36"/>
                                </w:rPr>
                              </w:pPr>
                            </w:p>
                          </w:txbxContent>
                        </wps:txbx>
                        <wps:bodyPr vert="horz" wrap="square" lIns="222308" tIns="44448" rIns="222308" bIns="240094" anchor="ctr" anchorCtr="1" compatLnSpc="0">
                          <a:noAutofit/>
                        </wps:bodyPr>
                      </wps:wsp>
                      <wps:wsp>
                        <wps:cNvPr id="700246774" name="Freeform: Shape 384935833"/>
                        <wps:cNvSpPr/>
                        <wps:spPr>
                          <a:xfrm>
                            <a:off x="3883685" y="5036899"/>
                            <a:ext cx="790498" cy="790498"/>
                          </a:xfrm>
                          <a:custGeom>
                            <a:avLst/>
                            <a:gdLst>
                              <a:gd name="f0" fmla="val 10800000"/>
                              <a:gd name="f1" fmla="val 5400000"/>
                              <a:gd name="f2" fmla="val 180"/>
                              <a:gd name="f3" fmla="val w"/>
                              <a:gd name="f4" fmla="val h"/>
                              <a:gd name="f5" fmla="val 0"/>
                              <a:gd name="f6" fmla="val 790498"/>
                              <a:gd name="f7" fmla="val 434774"/>
                              <a:gd name="f8" fmla="val 177862"/>
                              <a:gd name="f9" fmla="val 612636"/>
                              <a:gd name="f10" fmla="val 395249"/>
                              <a:gd name="f11" fmla="+- 0 0 -90"/>
                              <a:gd name="f12" fmla="*/ f3 1 790498"/>
                              <a:gd name="f13" fmla="*/ f4 1 790498"/>
                              <a:gd name="f14" fmla="+- f6 0 f5"/>
                              <a:gd name="f15" fmla="*/ f11 f0 1"/>
                              <a:gd name="f16" fmla="*/ f14 1 790498"/>
                              <a:gd name="f17" fmla="*/ 0 f14 1"/>
                              <a:gd name="f18" fmla="*/ 434774 f14 1"/>
                              <a:gd name="f19" fmla="*/ 177862 f14 1"/>
                              <a:gd name="f20" fmla="*/ 612636 f14 1"/>
                              <a:gd name="f21" fmla="*/ 790498 f14 1"/>
                              <a:gd name="f22" fmla="*/ 395249 f14 1"/>
                              <a:gd name="f23" fmla="*/ f15 1 f2"/>
                              <a:gd name="f24" fmla="*/ f17 1 790498"/>
                              <a:gd name="f25" fmla="*/ f18 1 790498"/>
                              <a:gd name="f26" fmla="*/ f19 1 790498"/>
                              <a:gd name="f27" fmla="*/ f20 1 790498"/>
                              <a:gd name="f28" fmla="*/ f21 1 790498"/>
                              <a:gd name="f29" fmla="*/ f22 1 790498"/>
                              <a:gd name="f30" fmla="*/ f5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3 f13 1"/>
                              <a:gd name="f47" fmla="*/ f36 f12 1"/>
                              <a:gd name="f48" fmla="*/ f37 f12 1"/>
                              <a:gd name="f49" fmla="*/ f38 f12 1"/>
                              <a:gd name="f50" fmla="*/ f37 f13 1"/>
                            </a:gdLst>
                            <a:ahLst/>
                            <a:cxnLst>
                              <a:cxn ang="3cd4">
                                <a:pos x="hc" y="t"/>
                              </a:cxn>
                              <a:cxn ang="0">
                                <a:pos x="r" y="vc"/>
                              </a:cxn>
                              <a:cxn ang="cd4">
                                <a:pos x="hc" y="b"/>
                              </a:cxn>
                              <a:cxn ang="cd2">
                                <a:pos x="l" y="vc"/>
                              </a:cxn>
                              <a:cxn ang="f32">
                                <a:pos x="f43" y="f44"/>
                              </a:cxn>
                              <a:cxn ang="f32">
                                <a:pos x="f45" y="f44"/>
                              </a:cxn>
                              <a:cxn ang="f32">
                                <a:pos x="f45" y="f46"/>
                              </a:cxn>
                              <a:cxn ang="f32">
                                <a:pos x="f47" y="f46"/>
                              </a:cxn>
                              <a:cxn ang="f32">
                                <a:pos x="f47" y="f44"/>
                              </a:cxn>
                              <a:cxn ang="f32">
                                <a:pos x="f48" y="f44"/>
                              </a:cxn>
                              <a:cxn ang="f32">
                                <a:pos x="f49" y="f50"/>
                              </a:cxn>
                              <a:cxn ang="f32">
                                <a:pos x="f43" y="f44"/>
                              </a:cxn>
                            </a:cxnLst>
                            <a:rect l="f39" t="f42" r="f40" b="f41"/>
                            <a:pathLst>
                              <a:path w="790498" h="790498">
                                <a:moveTo>
                                  <a:pt x="f5" y="f7"/>
                                </a:moveTo>
                                <a:lnTo>
                                  <a:pt x="f8" y="f7"/>
                                </a:lnTo>
                                <a:lnTo>
                                  <a:pt x="f8" y="f5"/>
                                </a:lnTo>
                                <a:lnTo>
                                  <a:pt x="f9" y="f5"/>
                                </a:lnTo>
                                <a:lnTo>
                                  <a:pt x="f9" y="f7"/>
                                </a:lnTo>
                                <a:lnTo>
                                  <a:pt x="f6" y="f7"/>
                                </a:lnTo>
                                <a:lnTo>
                                  <a:pt x="f10" y="f6"/>
                                </a:lnTo>
                                <a:lnTo>
                                  <a:pt x="f5" y="f7"/>
                                </a:lnTo>
                                <a:close/>
                              </a:path>
                            </a:pathLst>
                          </a:custGeom>
                          <a:solidFill>
                            <a:srgbClr val="CCD2D8">
                              <a:alpha val="90000"/>
                            </a:srgbClr>
                          </a:solidFill>
                          <a:ln cap="flat">
                            <a:noFill/>
                            <a:prstDash val="solid"/>
                          </a:ln>
                        </wps:spPr>
                        <wps:txbx>
                          <w:txbxContent>
                            <w:p w14:paraId="36E3E307" w14:textId="77777777" w:rsidR="00047DC5" w:rsidRDefault="00047DC5" w:rsidP="00047DC5">
                              <w:pPr>
                                <w:spacing w:after="300" w:line="216" w:lineRule="auto"/>
                                <w:jc w:val="center"/>
                                <w:rPr>
                                  <w:color w:val="000000"/>
                                  <w:kern w:val="0"/>
                                  <w:sz w:val="36"/>
                                  <w:szCs w:val="36"/>
                                </w:rPr>
                              </w:pPr>
                            </w:p>
                          </w:txbxContent>
                        </wps:txbx>
                        <wps:bodyPr vert="horz" wrap="square" lIns="222308" tIns="44448" rIns="222308" bIns="240094" anchor="ctr" anchorCtr="1" compatLnSpc="0">
                          <a:noAutofit/>
                        </wps:bodyPr>
                      </wps:wsp>
                    </wpg:wgp>
                  </a:graphicData>
                </a:graphic>
              </wp:inline>
            </w:drawing>
          </mc:Choice>
          <mc:Fallback>
            <w:pict>
              <v:group w14:anchorId="3B3CE4E0" id="Diagram 3" o:spid="_x0000_s1026" style="width:390.5pt;height:532pt;mso-position-horizontal-relative:char;mso-position-vertical-relative:line" coordsize="49593,675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">
                <v:shape id="Freeform: Shape 983386971" o:spid="_x0000_s1027" style="position:absolute;width:38186;height:12161;visibility:visible;mso-wrap-style:square;v-text-anchor:middle" coordsize="3818699,121615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" adj="-11796480,,5400" path="m,121615c,54449,54449,,121615,l3697084,v67166,,121615,54449,121615,121615l3818699,1094537v,67166,-54449,121615,-121615,121615l121615,1216152c54449,1216152,,1161703,,1094537l,121615xe" fillcolor="#156082" stroked="f">
                  <v:stroke joinstyle="miter"/>
                  <v:formulas/>
                  <v:path arrowok="t" o:connecttype="custom" o:connectlocs="1909349,0;3818698,608076;1909349,1216152;0,608076;0,121615;121615,0;3697083,0;3818698,121615;3818698,1094537;3697083,1216152;121615,1216152;0,1094537;0,121615" o:connectangles="270,0,90,180,0,0,0,0,0,0,0,0,0" textboxrect="0,0,3818699,1216152"/>
                  <v:textbox inset="1.83614mm,1.83614mm,40.26306mm,1.83614mm">
                    <w:txbxContent>
                      <w:p w14:paraId="362A600D" w14:textId="77777777" w:rsidR="00047DC5" w:rsidRDefault="00047DC5" w:rsidP="00047DC5">
                        <w:pPr>
                          <w:spacing w:after="60" w:line="216" w:lineRule="auto"/>
                        </w:pPr>
                        <w:r>
                          <w:rPr>
                            <w:rFonts w:ascii="Abadi" w:eastAsia="Abadi" w:hAnsi="Abadi" w:cs="Abadi"/>
                            <w:b/>
                            <w:bCs/>
                            <w:color w:val="FFFFFF"/>
                            <w:sz w:val="15"/>
                            <w:szCs w:val="15"/>
                          </w:rPr>
                          <w:t>Independent Variable.</w:t>
                        </w:r>
                      </w:p>
                      <w:p w14:paraId="12B39543" w14:textId="77777777" w:rsidR="00047DC5" w:rsidRDefault="00047DC5" w:rsidP="00047DC5">
                        <w:pPr>
                          <w:spacing w:after="60" w:line="216" w:lineRule="auto"/>
                        </w:pPr>
                        <w:r>
                          <w:rPr>
                            <w:rFonts w:ascii="Abadi" w:eastAsia="Abadi" w:hAnsi="Abadi" w:cs="Abadi"/>
                            <w:color w:val="FFFFFF"/>
                            <w:sz w:val="15"/>
                            <w:szCs w:val="15"/>
                          </w:rPr>
                          <w:t>UK Immigration Policy Changes (2020–2026)</w:t>
                        </w:r>
                      </w:p>
                      <w:p w14:paraId="0E71EA35" w14:textId="77777777" w:rsidR="00047DC5" w:rsidRDefault="00047DC5" w:rsidP="00047DC5">
                        <w:pPr>
                          <w:spacing w:after="60" w:line="216" w:lineRule="auto"/>
                        </w:pPr>
                        <w:r>
                          <w:rPr>
                            <w:rFonts w:ascii="Abadi" w:eastAsia="Abadi" w:hAnsi="Abadi" w:cs="Abadi"/>
                            <w:color w:val="FFFFFF"/>
                            <w:sz w:val="15"/>
                            <w:szCs w:val="15"/>
                          </w:rPr>
                          <w:t>RQF Level 3 → 6 (skill threshold increase)</w:t>
                        </w:r>
                      </w:p>
                      <w:p w14:paraId="4332B5F1" w14:textId="77777777" w:rsidR="00047DC5" w:rsidRDefault="00047DC5" w:rsidP="00047DC5">
                        <w:pPr>
                          <w:spacing w:after="60" w:line="216" w:lineRule="auto"/>
                        </w:pPr>
                        <w:proofErr w:type="spellStart"/>
                        <w:r>
                          <w:rPr>
                            <w:rFonts w:ascii="Abadi" w:eastAsia="Abadi" w:hAnsi="Abadi" w:cs="Abadi"/>
                            <w:color w:val="FFFFFF"/>
                            <w:sz w:val="15"/>
                            <w:szCs w:val="15"/>
                          </w:rPr>
                          <w:t>Dependant</w:t>
                        </w:r>
                        <w:proofErr w:type="spellEnd"/>
                        <w:r>
                          <w:rPr>
                            <w:rFonts w:ascii="Abadi" w:eastAsia="Abadi" w:hAnsi="Abadi" w:cs="Abadi"/>
                            <w:color w:val="FFFFFF"/>
                            <w:sz w:val="15"/>
                            <w:szCs w:val="15"/>
                          </w:rPr>
                          <w:t xml:space="preserve"> visa restrictions</w:t>
                        </w:r>
                      </w:p>
                      <w:p w14:paraId="0B7AAB5B" w14:textId="77777777" w:rsidR="00047DC5" w:rsidRDefault="00047DC5" w:rsidP="00047DC5">
                        <w:pPr>
                          <w:spacing w:after="60" w:line="216" w:lineRule="auto"/>
                        </w:pPr>
                        <w:r>
                          <w:rPr>
                            <w:rFonts w:ascii="Abadi" w:eastAsia="Abadi" w:hAnsi="Abadi" w:cs="Abadi"/>
                            <w:color w:val="FFFFFF"/>
                            <w:sz w:val="15"/>
                            <w:szCs w:val="15"/>
                          </w:rPr>
                          <w:t>Closure of overseas recruitment (SOC 6135, 6136)</w:t>
                        </w:r>
                      </w:p>
                      <w:p w14:paraId="7C0C7C80" w14:textId="77777777" w:rsidR="00047DC5" w:rsidRDefault="00047DC5" w:rsidP="00047DC5">
                        <w:pPr>
                          <w:spacing w:after="60" w:line="216" w:lineRule="auto"/>
                        </w:pPr>
                        <w:r>
                          <w:rPr>
                            <w:rFonts w:ascii="Abadi" w:eastAsia="Abadi" w:hAnsi="Abadi" w:cs="Abadi"/>
                            <w:color w:val="FFFFFF"/>
                            <w:sz w:val="15"/>
                            <w:szCs w:val="15"/>
                          </w:rPr>
                          <w:t>Salary threshold increases</w:t>
                        </w:r>
                      </w:p>
                      <w:p w14:paraId="06112E6B" w14:textId="77777777" w:rsidR="00047DC5" w:rsidRDefault="00047DC5" w:rsidP="00047DC5">
                        <w:pPr>
                          <w:spacing w:after="60" w:line="216" w:lineRule="auto"/>
                        </w:pPr>
                        <w:r>
                          <w:rPr>
                            <w:rFonts w:ascii="Abadi" w:eastAsia="Abadi" w:hAnsi="Abadi" w:cs="Abadi"/>
                            <w:color w:val="FFFFFF"/>
                            <w:sz w:val="15"/>
                            <w:szCs w:val="15"/>
                          </w:rPr>
                          <w:t>ILR qualifying period extension (proposed)</w:t>
                        </w:r>
                      </w:p>
                    </w:txbxContent>
                  </v:textbox>
                </v:shape>
                <v:shape id="Freeform: Shape 574210764" o:spid="_x0000_s1028" style="position:absolute;left:2851;top:13850;width:38187;height:12162;visibility:visible;mso-wrap-style:square;v-text-anchor:middle" coordsize="3818699,121615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" adj="-11796480,,5400" path="m,121615c,54449,54449,,121615,l3697084,v67166,,121615,54449,121615,121615l3818699,1094537v,67166,-54449,121615,-121615,121615l121615,1216152c54449,1216152,,1161703,,1094537l,121615xe" fillcolor="#156082" stroked="f">
                  <v:stroke joinstyle="miter"/>
                  <v:formulas/>
                  <v:path arrowok="t" o:connecttype="custom" o:connectlocs="1909349,0;3818698,608076;1909349,1216152;0,608076;0,121615;121615,0;3697083,0;3818698,121615;3818698,1094537;3697083,1216152;121615,1216152;0,1094537;0,121615" o:connectangles="270,0,90,180,0,0,0,0,0,0,0,0,0" textboxrect="0,0,3818699,1216152"/>
                  <v:textbox inset="1.83614mm,1.83614mm,31.71569mm,1.83614mm">
                    <w:txbxContent>
                      <w:p w14:paraId="7CE59200" w14:textId="77777777" w:rsidR="00047DC5" w:rsidRDefault="00047DC5" w:rsidP="00047DC5">
                        <w:pPr>
                          <w:spacing w:after="60" w:line="216" w:lineRule="auto"/>
                        </w:pPr>
                        <w:r>
                          <w:rPr>
                            <w:rFonts w:ascii="Abadi" w:eastAsia="Abadi" w:hAnsi="Abadi" w:cs="Abadi"/>
                            <w:b/>
                            <w:bCs/>
                            <w:color w:val="FFFFFF"/>
                            <w:sz w:val="15"/>
                            <w:szCs w:val="15"/>
                          </w:rPr>
                          <w:t>COR</w:t>
                        </w:r>
                      </w:p>
                      <w:p w14:paraId="0E1F09C2" w14:textId="77777777" w:rsidR="00047DC5" w:rsidRDefault="00047DC5" w:rsidP="00047DC5">
                        <w:pPr>
                          <w:spacing w:after="60" w:line="216" w:lineRule="auto"/>
                        </w:pPr>
                        <w:r>
                          <w:rPr>
                            <w:rFonts w:ascii="Abadi" w:eastAsia="Abadi" w:hAnsi="Abadi" w:cs="Abadi"/>
                            <w:color w:val="FFFFFF"/>
                            <w:sz w:val="15"/>
                            <w:szCs w:val="15"/>
                          </w:rPr>
                          <w:t xml:space="preserve">Resource Threat → Stress → Withdrawal </w:t>
                        </w:r>
                        <w:proofErr w:type="spellStart"/>
                        <w:r>
                          <w:rPr>
                            <w:rFonts w:ascii="Abadi" w:eastAsia="Abadi" w:hAnsi="Abadi" w:cs="Abadi"/>
                            <w:color w:val="FFFFFF"/>
                            <w:sz w:val="15"/>
                            <w:szCs w:val="15"/>
                          </w:rPr>
                          <w:t>Behaviour</w:t>
                        </w:r>
                        <w:proofErr w:type="spellEnd"/>
                      </w:p>
                      <w:p w14:paraId="57C5FF6A" w14:textId="77777777" w:rsidR="00047DC5" w:rsidRDefault="00047DC5" w:rsidP="00047DC5">
                        <w:pPr>
                          <w:spacing w:after="60" w:line="216" w:lineRule="auto"/>
                        </w:pPr>
                        <w:r>
                          <w:rPr>
                            <w:rFonts w:ascii="Abadi" w:eastAsia="Abadi" w:hAnsi="Abadi" w:cs="Abadi"/>
                            <w:color w:val="FFFFFF"/>
                            <w:sz w:val="15"/>
                            <w:szCs w:val="15"/>
                          </w:rPr>
                          <w:t>Loss of family unity (</w:t>
                        </w:r>
                        <w:proofErr w:type="spellStart"/>
                        <w:r>
                          <w:rPr>
                            <w:rFonts w:ascii="Abadi" w:eastAsia="Abadi" w:hAnsi="Abadi" w:cs="Abadi"/>
                            <w:color w:val="FFFFFF"/>
                            <w:sz w:val="15"/>
                            <w:szCs w:val="15"/>
                          </w:rPr>
                          <w:t>dependant</w:t>
                        </w:r>
                        <w:proofErr w:type="spellEnd"/>
                        <w:r>
                          <w:rPr>
                            <w:rFonts w:ascii="Abadi" w:eastAsia="Abadi" w:hAnsi="Abadi" w:cs="Abadi"/>
                            <w:color w:val="FFFFFF"/>
                            <w:sz w:val="15"/>
                            <w:szCs w:val="15"/>
                          </w:rPr>
                          <w:t xml:space="preserve"> visa restrictions)</w:t>
                        </w:r>
                      </w:p>
                      <w:p w14:paraId="61E4583A" w14:textId="77777777" w:rsidR="00047DC5" w:rsidRDefault="00047DC5" w:rsidP="00047DC5">
                        <w:pPr>
                          <w:spacing w:after="60" w:line="216" w:lineRule="auto"/>
                        </w:pPr>
                        <w:r>
                          <w:rPr>
                            <w:rFonts w:ascii="Abadi" w:eastAsia="Abadi" w:hAnsi="Abadi" w:cs="Abadi"/>
                            <w:color w:val="FFFFFF"/>
                            <w:sz w:val="15"/>
                            <w:szCs w:val="15"/>
                          </w:rPr>
                          <w:t>Loss of settlement pathway (ILR extension)</w:t>
                        </w:r>
                      </w:p>
                      <w:p w14:paraId="1019974B" w14:textId="77777777" w:rsidR="00047DC5" w:rsidRDefault="00047DC5" w:rsidP="00047DC5">
                        <w:pPr>
                          <w:spacing w:after="60" w:line="216" w:lineRule="auto"/>
                        </w:pPr>
                        <w:r>
                          <w:rPr>
                            <w:rFonts w:ascii="Abadi" w:eastAsia="Abadi" w:hAnsi="Abadi" w:cs="Abadi"/>
                            <w:color w:val="FFFFFF"/>
                            <w:sz w:val="15"/>
                            <w:szCs w:val="15"/>
                          </w:rPr>
                          <w:t>Loss of job security (temporary status)</w:t>
                        </w:r>
                      </w:p>
                    </w:txbxContent>
                  </v:textbox>
                </v:shape>
                <v:shape id="Freeform: Shape 1599685745" o:spid="_x0000_s1029" style="position:absolute;left:5703;top:27701;width:38187;height:12161;visibility:visible;mso-wrap-style:square;v-text-anchor:middle" coordsize="3818699,121615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" adj="-11796480,,5400" path="m,121615c,54449,54449,,121615,l3697084,v67166,,121615,54449,121615,121615l3818699,1094537v,67166,-54449,121615,-121615,121615l121615,1216152c54449,1216152,,1161703,,1094537l,121615xe" fillcolor="#156082" stroked="f">
                  <v:stroke joinstyle="miter"/>
                  <v:formulas/>
                  <v:path arrowok="t" o:connecttype="custom" o:connectlocs="1909349,0;3818698,608076;1909349,1216152;0,608076;0,121615;121615,0;3697083,0;3818698,121615;3818698,1094537;3697083,1216152;121615,1216152;0,1094537;0,121615" o:connectangles="270,0,90,180,0,0,0,0,0,0,0,0,0" textboxrect="0,0,3818699,1216152"/>
                  <v:textbox inset="1.83614mm,1.83614mm,31.71569mm,1.83614mm">
                    <w:txbxContent>
                      <w:p w14:paraId="3329DD14" w14:textId="77777777" w:rsidR="00047DC5" w:rsidRDefault="00047DC5" w:rsidP="00047DC5">
                        <w:pPr>
                          <w:spacing w:after="60" w:line="216" w:lineRule="auto"/>
                        </w:pPr>
                        <w:r>
                          <w:rPr>
                            <w:rFonts w:ascii="Abadi" w:eastAsia="Abadi" w:hAnsi="Abadi" w:cs="Abadi"/>
                            <w:b/>
                            <w:bCs/>
                            <w:color w:val="FFFFFF"/>
                            <w:sz w:val="15"/>
                            <w:szCs w:val="15"/>
                          </w:rPr>
                          <w:t>Human Capital</w:t>
                        </w:r>
                      </w:p>
                      <w:p w14:paraId="6813094D" w14:textId="77777777" w:rsidR="00047DC5" w:rsidRDefault="00047DC5" w:rsidP="00047DC5">
                        <w:pPr>
                          <w:spacing w:after="60" w:line="216" w:lineRule="auto"/>
                        </w:pPr>
                        <w:r>
                          <w:rPr>
                            <w:rFonts w:ascii="Abadi" w:eastAsia="Abadi" w:hAnsi="Abadi" w:cs="Abadi"/>
                            <w:color w:val="FFFFFF"/>
                            <w:sz w:val="15"/>
                            <w:szCs w:val="15"/>
                          </w:rPr>
                          <w:t>Loss of Specific Human Capital</w:t>
                        </w:r>
                      </w:p>
                      <w:p w14:paraId="3D58C24A" w14:textId="77777777" w:rsidR="00047DC5" w:rsidRDefault="00047DC5" w:rsidP="00047DC5">
                        <w:pPr>
                          <w:spacing w:after="60" w:line="216" w:lineRule="auto"/>
                        </w:pPr>
                        <w:r>
                          <w:rPr>
                            <w:rFonts w:ascii="Abadi" w:eastAsia="Abadi" w:hAnsi="Abadi" w:cs="Abadi"/>
                            <w:color w:val="FFFFFF"/>
                            <w:sz w:val="15"/>
                            <w:szCs w:val="15"/>
                          </w:rPr>
                          <w:t>NHS protocol knowledge</w:t>
                        </w:r>
                      </w:p>
                      <w:p w14:paraId="11225944" w14:textId="77777777" w:rsidR="00047DC5" w:rsidRDefault="00047DC5" w:rsidP="00047DC5">
                        <w:pPr>
                          <w:spacing w:after="60" w:line="216" w:lineRule="auto"/>
                        </w:pPr>
                        <w:r>
                          <w:rPr>
                            <w:rFonts w:ascii="Abadi" w:eastAsia="Abadi" w:hAnsi="Abadi" w:cs="Abadi"/>
                            <w:color w:val="FFFFFF"/>
                            <w:sz w:val="15"/>
                            <w:szCs w:val="15"/>
                          </w:rPr>
                          <w:t>Local patient population familiarity</w:t>
                        </w:r>
                      </w:p>
                      <w:p w14:paraId="6DC74B02" w14:textId="77777777" w:rsidR="00047DC5" w:rsidRDefault="00047DC5" w:rsidP="00047DC5">
                        <w:pPr>
                          <w:spacing w:after="60" w:line="216" w:lineRule="auto"/>
                        </w:pPr>
                        <w:r>
                          <w:rPr>
                            <w:rFonts w:ascii="Abadi" w:eastAsia="Abadi" w:hAnsi="Abadi" w:cs="Abadi"/>
                            <w:color w:val="FFFFFF"/>
                            <w:sz w:val="15"/>
                            <w:szCs w:val="15"/>
                          </w:rPr>
                          <w:t>Team dynamics and relationships</w:t>
                        </w:r>
                      </w:p>
                      <w:p w14:paraId="11958C9B" w14:textId="77777777" w:rsidR="00047DC5" w:rsidRDefault="00047DC5" w:rsidP="00047DC5">
                        <w:pPr>
                          <w:spacing w:after="60" w:line="216" w:lineRule="auto"/>
                        </w:pPr>
                        <w:r>
                          <w:rPr>
                            <w:rFonts w:ascii="Abadi" w:eastAsia="Abadi" w:hAnsi="Abadi" w:cs="Abadi"/>
                            <w:color w:val="FFFFFF"/>
                            <w:sz w:val="15"/>
                            <w:szCs w:val="15"/>
                          </w:rPr>
                          <w:t>Costly to replace and retrain</w:t>
                        </w:r>
                      </w:p>
                    </w:txbxContent>
                  </v:textbox>
                </v:shape>
                <v:shape id="Freeform: Shape 414436460" o:spid="_x0000_s1030" style="position:absolute;left:8554;top:41551;width:38187;height:12162;visibility:visible;mso-wrap-style:square;v-text-anchor:middle" coordsize="3818699,121615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" adj="-11796480,,5400" path="m,121615c,54449,54449,,121615,l3697084,v67166,,121615,54449,121615,121615l3818699,1094537v,67166,-54449,121615,-121615,121615l121615,1216152c54449,1216152,,1161703,,1094537l,121615xe" fillcolor="#156082" stroked="f">
                  <v:stroke joinstyle="miter"/>
                  <v:formulas/>
                  <v:path arrowok="t" o:connecttype="custom" o:connectlocs="1909349,0;3818698,608076;1909349,1216152;0,608076;0,121615;121615,0;3697083,0;3818698,121615;3818698,1094537;3697083,1216152;121615,1216152;0,1094537;0,121615" o:connectangles="270,0,90,180,0,0,0,0,0,0,0,0,0" textboxrect="0,0,3818699,1216152"/>
                  <v:textbox inset="1.83614mm,1.83614mm,31.71569mm,1.83614mm">
                    <w:txbxContent>
                      <w:p w14:paraId="7999D9C1" w14:textId="77777777" w:rsidR="00047DC5" w:rsidRDefault="00047DC5" w:rsidP="00047DC5">
                        <w:pPr>
                          <w:spacing w:after="60" w:line="216" w:lineRule="auto"/>
                        </w:pPr>
                        <w:r>
                          <w:rPr>
                            <w:rFonts w:ascii="Abadi" w:eastAsia="Abadi" w:hAnsi="Abadi" w:cs="Abadi"/>
                            <w:b/>
                            <w:bCs/>
                            <w:color w:val="FFFFFF"/>
                            <w:sz w:val="15"/>
                            <w:szCs w:val="15"/>
                          </w:rPr>
                          <w:t>TBL</w:t>
                        </w:r>
                      </w:p>
                      <w:p w14:paraId="1E43B913" w14:textId="77777777" w:rsidR="00047DC5" w:rsidRDefault="00047DC5" w:rsidP="00047DC5">
                        <w:pPr>
                          <w:spacing w:after="60" w:line="216" w:lineRule="auto"/>
                        </w:pPr>
                        <w:r>
                          <w:rPr>
                            <w:rFonts w:ascii="Abadi" w:eastAsia="Abadi" w:hAnsi="Abadi" w:cs="Abadi"/>
                            <w:color w:val="FFFFFF"/>
                            <w:sz w:val="15"/>
                            <w:szCs w:val="15"/>
                          </w:rPr>
                          <w:t xml:space="preserve">Social: Falling </w:t>
                        </w:r>
                        <w:proofErr w:type="spellStart"/>
                        <w:r>
                          <w:rPr>
                            <w:rFonts w:ascii="Abadi" w:eastAsia="Abadi" w:hAnsi="Abadi" w:cs="Abadi"/>
                            <w:color w:val="FFFFFF"/>
                            <w:sz w:val="15"/>
                            <w:szCs w:val="15"/>
                          </w:rPr>
                          <w:t>dependant</w:t>
                        </w:r>
                        <w:proofErr w:type="spellEnd"/>
                        <w:r>
                          <w:rPr>
                            <w:rFonts w:ascii="Abadi" w:eastAsia="Abadi" w:hAnsi="Abadi" w:cs="Abadi"/>
                            <w:color w:val="FFFFFF"/>
                            <w:sz w:val="15"/>
                            <w:szCs w:val="15"/>
                          </w:rPr>
                          <w:t xml:space="preserve"> visa rates, reduced family unity, limited career progression</w:t>
                        </w:r>
                      </w:p>
                      <w:p w14:paraId="271FE066" w14:textId="77777777" w:rsidR="00047DC5" w:rsidRDefault="00047DC5" w:rsidP="00047DC5">
                        <w:pPr>
                          <w:spacing w:after="60" w:line="216" w:lineRule="auto"/>
                        </w:pPr>
                        <w:r>
                          <w:rPr>
                            <w:rFonts w:ascii="Abadi" w:eastAsia="Abadi" w:hAnsi="Abadi" w:cs="Abadi"/>
                            <w:color w:val="FFFFFF"/>
                            <w:sz w:val="15"/>
                            <w:szCs w:val="15"/>
                          </w:rPr>
                          <w:t>Economic: Increasing turnover costs, rising outflow, workforce instability</w:t>
                        </w:r>
                      </w:p>
                    </w:txbxContent>
                  </v:textbox>
                </v:shape>
                <v:shape id="Freeform: Shape 1366465378" o:spid="_x0000_s1031" style="position:absolute;left:11406;top:55402;width:38187;height:12162;visibility:visible;mso-wrap-style:square;v-text-anchor:middle" coordsize="3818699,121615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" adj="-11796480,,5400" path="m,121615c,54449,54449,,121615,l3697084,v67166,,121615,54449,121615,121615l3818699,1094537v,67166,-54449,121615,-121615,121615l121615,1216152c54449,1216152,,1161703,,1094537l,121615xe" fillcolor="#156082" stroked="f">
                  <v:stroke joinstyle="miter"/>
                  <v:formulas/>
                  <v:path arrowok="t" o:connecttype="custom" o:connectlocs="1909349,0;3818698,608076;1909349,1216152;0,608076;0,121615;121615,0;3697083,0;3818698,121615;3818698,1094537;3697083,1216152;121615,1216152;0,1094537;0,121615" o:connectangles="270,0,90,180,0,0,0,0,0,0,0,0,0" textboxrect="0,0,3818699,1216152"/>
                  <v:textbox inset="1.83614mm,1.83614mm,31.71569mm,1.83614mm">
                    <w:txbxContent>
                      <w:p w14:paraId="01C63DC6" w14:textId="77777777" w:rsidR="00047DC5" w:rsidRDefault="00047DC5" w:rsidP="00047DC5">
                        <w:pPr>
                          <w:spacing w:after="60" w:line="216" w:lineRule="auto"/>
                        </w:pPr>
                        <w:r>
                          <w:rPr>
                            <w:rFonts w:ascii="Abadi" w:eastAsia="Abadi" w:hAnsi="Abadi" w:cs="Abadi"/>
                            <w:b/>
                            <w:bCs/>
                            <w:color w:val="FFFFFF"/>
                            <w:sz w:val="15"/>
                            <w:szCs w:val="15"/>
                          </w:rPr>
                          <w:t>HR Strategies</w:t>
                        </w:r>
                      </w:p>
                      <w:p w14:paraId="2D3C7E71" w14:textId="77777777" w:rsidR="00047DC5" w:rsidRDefault="00047DC5" w:rsidP="00047DC5">
                        <w:pPr>
                          <w:spacing w:after="60" w:line="216" w:lineRule="auto"/>
                        </w:pPr>
                        <w:r>
                          <w:rPr>
                            <w:rFonts w:ascii="Abadi" w:eastAsia="Abadi" w:hAnsi="Abadi" w:cs="Abadi"/>
                            <w:color w:val="FFFFFF"/>
                            <w:sz w:val="15"/>
                            <w:szCs w:val="15"/>
                          </w:rPr>
                          <w:t>Retention strategies</w:t>
                        </w:r>
                      </w:p>
                      <w:p w14:paraId="04CB80A9" w14:textId="77777777" w:rsidR="00047DC5" w:rsidRDefault="00047DC5" w:rsidP="00047DC5">
                        <w:pPr>
                          <w:spacing w:after="60" w:line="216" w:lineRule="auto"/>
                        </w:pPr>
                        <w:r>
                          <w:rPr>
                            <w:rFonts w:ascii="Abadi" w:eastAsia="Abadi" w:hAnsi="Abadi" w:cs="Abadi"/>
                            <w:color w:val="FFFFFF"/>
                            <w:sz w:val="15"/>
                            <w:szCs w:val="15"/>
                          </w:rPr>
                          <w:t>Domestic upskilling</w:t>
                        </w:r>
                      </w:p>
                      <w:p w14:paraId="0E138214" w14:textId="77777777" w:rsidR="00047DC5" w:rsidRDefault="00047DC5" w:rsidP="00047DC5">
                        <w:pPr>
                          <w:spacing w:after="60" w:line="216" w:lineRule="auto"/>
                        </w:pPr>
                        <w:r>
                          <w:rPr>
                            <w:rFonts w:ascii="Abadi" w:eastAsia="Abadi" w:hAnsi="Abadi" w:cs="Abadi"/>
                            <w:color w:val="FFFFFF"/>
                            <w:sz w:val="15"/>
                            <w:szCs w:val="15"/>
                          </w:rPr>
                          <w:t>Training investment</w:t>
                        </w:r>
                      </w:p>
                      <w:p w14:paraId="1D71F2F6" w14:textId="77777777" w:rsidR="00047DC5" w:rsidRDefault="00047DC5" w:rsidP="00047DC5">
                        <w:pPr>
                          <w:spacing w:after="60" w:line="216" w:lineRule="auto"/>
                        </w:pPr>
                        <w:proofErr w:type="spellStart"/>
                        <w:r>
                          <w:rPr>
                            <w:rFonts w:ascii="Abadi" w:eastAsia="Abadi" w:hAnsi="Abadi" w:cs="Abadi"/>
                            <w:color w:val="FFFFFF"/>
                            <w:sz w:val="15"/>
                            <w:szCs w:val="15"/>
                          </w:rPr>
                          <w:t>Organisational</w:t>
                        </w:r>
                        <w:proofErr w:type="spellEnd"/>
                        <w:r>
                          <w:rPr>
                            <w:rFonts w:ascii="Abadi" w:eastAsia="Abadi" w:hAnsi="Abadi" w:cs="Abadi"/>
                            <w:color w:val="FFFFFF"/>
                            <w:sz w:val="15"/>
                            <w:szCs w:val="15"/>
                          </w:rPr>
                          <w:t xml:space="preserve"> support</w:t>
                        </w:r>
                      </w:p>
                    </w:txbxContent>
                  </v:textbox>
                </v:shape>
                <v:shape id="Freeform: Shape 2085881516" o:spid="_x0000_s1032" style="position:absolute;left:30282;top:8884;width:7904;height:7905;visibility:visible;mso-wrap-style:square;v-text-anchor:middle-center" coordsize="790498,79049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" adj="-11796480,,5400" path="m,434774r177862,l177862,,612636,r,434774l790498,434774,395249,790498,,434774xe" fillcolor="#ccd2d8" stroked="f">
                  <v:fill opacity="59110f"/>
                  <v:stroke joinstyle="miter"/>
                  <v:formulas/>
                  <v:path arrowok="t" o:connecttype="custom" o:connectlocs="395249,0;790498,395249;395249,790498;0,395249;0,434774;177862,434774;177862,0;612636,0;612636,434774;790498,434774;395249,790498;0,434774" o:connectangles="270,0,90,180,0,0,0,0,0,0,0,0" textboxrect="0,0,790498,790498"/>
                  <v:textbox inset="6.17522mm,1.2347mm,6.17522mm,6.66928mm">
                    <w:txbxContent>
                      <w:p w14:paraId="28A608FB" w14:textId="77777777" w:rsidR="00047DC5" w:rsidRDefault="00047DC5" w:rsidP="00047DC5">
                        <w:pPr>
                          <w:spacing w:after="300" w:line="216" w:lineRule="auto"/>
                          <w:jc w:val="center"/>
                          <w:rPr>
                            <w:color w:val="000000"/>
                            <w:kern w:val="0"/>
                            <w:sz w:val="36"/>
                            <w:szCs w:val="36"/>
                          </w:rPr>
                        </w:pPr>
                      </w:p>
                    </w:txbxContent>
                  </v:textbox>
                </v:shape>
                <v:shape id="Freeform: Shape 2130780927" o:spid="_x0000_s1033" style="position:absolute;left:33133;top:22735;width:7905;height:7905;visibility:visible;mso-wrap-style:square;v-text-anchor:middle-center" coordsize="790498,79049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" adj="-11796480,,5400" path="m,434774r177862,l177862,,612636,r,434774l790498,434774,395249,790498,,434774xe" fillcolor="#ccd2d8" stroked="f">
                  <v:fill opacity="59110f"/>
                  <v:stroke joinstyle="miter"/>
                  <v:formulas/>
                  <v:path arrowok="t" o:connecttype="custom" o:connectlocs="395249,0;790498,395249;395249,790498;0,395249;0,434774;177862,434774;177862,0;612636,0;612636,434774;790498,434774;395249,790498;0,434774" o:connectangles="270,0,90,180,0,0,0,0,0,0,0,0" textboxrect="0,0,790498,790498"/>
                  <v:textbox inset="6.17522mm,1.2347mm,6.17522mm,6.66928mm">
                    <w:txbxContent>
                      <w:p w14:paraId="6D7CDB70" w14:textId="77777777" w:rsidR="00047DC5" w:rsidRDefault="00047DC5" w:rsidP="00047DC5">
                        <w:pPr>
                          <w:spacing w:after="300" w:line="216" w:lineRule="auto"/>
                          <w:jc w:val="center"/>
                          <w:rPr>
                            <w:color w:val="000000"/>
                            <w:kern w:val="0"/>
                            <w:sz w:val="36"/>
                            <w:szCs w:val="36"/>
                          </w:rPr>
                        </w:pPr>
                      </w:p>
                    </w:txbxContent>
                  </v:textbox>
                </v:shape>
                <v:shape id="Freeform: Shape 1256173461" o:spid="_x0000_s1034" style="position:absolute;left:35985;top:36383;width:7905;height:7905;visibility:visible;mso-wrap-style:square;v-text-anchor:middle-center" coordsize="790498,79049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" adj="-11796480,,5400" path="m,434774r177862,l177862,,612636,r,434774l790498,434774,395249,790498,,434774xe" fillcolor="#ccd2d8" stroked="f">
                  <v:fill opacity="59110f"/>
                  <v:stroke joinstyle="miter"/>
                  <v:formulas/>
                  <v:path arrowok="t" o:connecttype="custom" o:connectlocs="395249,0;790498,395249;395249,790498;0,395249;0,434774;177862,434774;177862,0;612636,0;612636,434774;790498,434774;395249,790498;0,434774" o:connectangles="270,0,90,180,0,0,0,0,0,0,0,0" textboxrect="0,0,790498,790498"/>
                  <v:textbox inset="6.17522mm,1.2347mm,6.17522mm,6.66928mm">
                    <w:txbxContent>
                      <w:p w14:paraId="6ABDD3B1" w14:textId="77777777" w:rsidR="00047DC5" w:rsidRDefault="00047DC5" w:rsidP="00047DC5">
                        <w:pPr>
                          <w:spacing w:after="300" w:line="216" w:lineRule="auto"/>
                          <w:jc w:val="center"/>
                          <w:rPr>
                            <w:color w:val="000000"/>
                            <w:kern w:val="0"/>
                            <w:sz w:val="36"/>
                            <w:szCs w:val="36"/>
                          </w:rPr>
                        </w:pPr>
                      </w:p>
                    </w:txbxContent>
                  </v:textbox>
                </v:shape>
                <v:shape id="Freeform: Shape 384935833" o:spid="_x0000_s1035" style="position:absolute;left:38836;top:50368;width:7905;height:7905;visibility:visible;mso-wrap-style:square;v-text-anchor:middle-center" coordsize="790498,79049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" adj="-11796480,,5400" path="m,434774r177862,l177862,,612636,r,434774l790498,434774,395249,790498,,434774xe" fillcolor="#ccd2d8" stroked="f">
                  <v:fill opacity="59110f"/>
                  <v:stroke joinstyle="miter"/>
                  <v:formulas/>
                  <v:path arrowok="t" o:connecttype="custom" o:connectlocs="395249,0;790498,395249;395249,790498;0,395249;0,434774;177862,434774;177862,0;612636,0;612636,434774;790498,434774;395249,790498;0,434774" o:connectangles="270,0,90,180,0,0,0,0,0,0,0,0" textboxrect="0,0,790498,790498"/>
                  <v:textbox inset="6.17522mm,1.2347mm,6.17522mm,6.66928mm">
                    <w:txbxContent>
                      <w:p w14:paraId="36E3E307" w14:textId="77777777" w:rsidR="00047DC5" w:rsidRDefault="00047DC5" w:rsidP="00047DC5">
                        <w:pPr>
                          <w:spacing w:after="300" w:line="216" w:lineRule="auto"/>
                          <w:jc w:val="center"/>
                          <w:rPr>
                            <w:color w:val="000000"/>
                            <w:kern w:val="0"/>
                            <w:sz w:val="36"/>
                            <w:szCs w:val="36"/>
                          </w:rPr>
                        </w:pPr>
                      </w:p>
                    </w:txbxContent>
                  </v:textbox>
                </v:shape>
                <w10:anchorlock/>
              </v:group>
            </w:pict>
          </mc:Fallback>
        </mc:AlternateContent>
      </w:r>
    </w:p>
    <w:p w14:paraId="423FB73C" w14:textId="77777777" w:rsidR="00047DC5" w:rsidRDefault="00047DC5" w:rsidP="00047DC5">
      <w:pPr>
        <w:spacing w:line="360" w:lineRule="auto"/>
        <w:jc w:val="both"/>
      </w:pPr>
      <w:r>
        <w:rPr>
          <w:rFonts w:ascii="Arial" w:hAnsi="Arial" w:cs="Arial"/>
          <w:i/>
          <w:iCs/>
        </w:rPr>
        <w:t>Source: Author's compilation based on Human Capital Theory (Becker, 1964), COR Theory (</w:t>
      </w:r>
      <w:proofErr w:type="spellStart"/>
      <w:r>
        <w:rPr>
          <w:rFonts w:ascii="Arial" w:hAnsi="Arial" w:cs="Arial"/>
          <w:i/>
          <w:iCs/>
        </w:rPr>
        <w:t>Hobfoll</w:t>
      </w:r>
      <w:proofErr w:type="spellEnd"/>
      <w:r>
        <w:rPr>
          <w:rFonts w:ascii="Arial" w:hAnsi="Arial" w:cs="Arial"/>
          <w:i/>
          <w:iCs/>
        </w:rPr>
        <w:t>, 1989), and TBL Framework (</w:t>
      </w:r>
      <w:proofErr w:type="spellStart"/>
      <w:r>
        <w:rPr>
          <w:rFonts w:ascii="Arial" w:hAnsi="Arial" w:cs="Arial"/>
          <w:i/>
          <w:iCs/>
        </w:rPr>
        <w:t>Alhaddi</w:t>
      </w:r>
      <w:proofErr w:type="spellEnd"/>
      <w:r>
        <w:rPr>
          <w:rFonts w:ascii="Arial" w:hAnsi="Arial" w:cs="Arial"/>
          <w:i/>
          <w:iCs/>
        </w:rPr>
        <w:t>, 2015).</w:t>
      </w:r>
    </w:p>
    <w:p w14:paraId="21655D6E" w14:textId="77777777" w:rsidR="00047DC5" w:rsidRDefault="00047DC5" w:rsidP="00047DC5">
      <w:pPr>
        <w:spacing w:line="360" w:lineRule="auto"/>
        <w:jc w:val="both"/>
        <w:rPr>
          <w:rFonts w:ascii="Arial" w:hAnsi="Arial" w:cs="Arial"/>
        </w:rPr>
      </w:pPr>
      <w:r>
        <w:rPr>
          <w:rFonts w:ascii="Arial" w:hAnsi="Arial" w:cs="Arial"/>
        </w:rPr>
        <w:lastRenderedPageBreak/>
        <w:t xml:space="preserve">This framework posits that immigration policy changes (independent variable) lead to resource threats for migrant workers, which in turn cause stress and withdrawal </w:t>
      </w:r>
      <w:proofErr w:type="spellStart"/>
      <w:r>
        <w:rPr>
          <w:rFonts w:ascii="Arial" w:hAnsi="Arial" w:cs="Arial"/>
        </w:rPr>
        <w:t>behaviour</w:t>
      </w:r>
      <w:proofErr w:type="spellEnd"/>
      <w:r>
        <w:rPr>
          <w:rFonts w:ascii="Arial" w:hAnsi="Arial" w:cs="Arial"/>
        </w:rPr>
        <w:t xml:space="preserve"> (COR Theory). This withdrawal leads to a loss of specific human capital (Human Capital Theory), which ultimately results in a decline in both social and economic sustainability (TBL framework). HR strategies may moderate these effects by mitigating the impact of resource threats and supporting workforce retention. The framework will be tested empirically using quantitative data on visa grant rates, outflow profiles, and workforce turnover statistics.</w:t>
      </w:r>
    </w:p>
    <w:p w14:paraId="48BE0D44" w14:textId="77777777" w:rsidR="00047DC5" w:rsidRDefault="00047DC5" w:rsidP="00047DC5">
      <w:pPr>
        <w:pStyle w:val="Heading2"/>
      </w:pPr>
      <w:bookmarkStart w:id="46" w:name="_Toc238549801"/>
      <w:r>
        <w:t>2.10 Chapter Summary</w:t>
      </w:r>
      <w:bookmarkEnd w:id="46"/>
    </w:p>
    <w:p w14:paraId="3E0FCE68" w14:textId="77777777" w:rsidR="00047DC5" w:rsidRDefault="00047DC5" w:rsidP="00047DC5">
      <w:pPr>
        <w:spacing w:line="360" w:lineRule="auto"/>
        <w:jc w:val="both"/>
        <w:rPr>
          <w:rFonts w:ascii="Arial" w:hAnsi="Arial" w:cs="Arial"/>
        </w:rPr>
      </w:pPr>
      <w:r>
        <w:rPr>
          <w:rFonts w:ascii="Arial" w:hAnsi="Arial" w:cs="Arial"/>
        </w:rPr>
        <w:t xml:space="preserve">This chapter has provided a comprehensive review of </w:t>
      </w:r>
      <w:proofErr w:type="gramStart"/>
      <w:r>
        <w:rPr>
          <w:rFonts w:ascii="Arial" w:hAnsi="Arial" w:cs="Arial"/>
        </w:rPr>
        <w:t>the literature</w:t>
      </w:r>
      <w:proofErr w:type="gramEnd"/>
      <w:r>
        <w:rPr>
          <w:rFonts w:ascii="Arial" w:hAnsi="Arial" w:cs="Arial"/>
        </w:rPr>
        <w:t xml:space="preserve"> relevant to the impact of UK immigration policy changes on human capital sustainability among migrant healthcare support workers. Three theoretical frameworks – Human Capital Theory, TBL, and COR Theory – have been examined and integrated into a unified analytical model.</w:t>
      </w:r>
    </w:p>
    <w:p w14:paraId="7F6E4A6A" w14:textId="77777777" w:rsidR="00047DC5" w:rsidRDefault="00047DC5" w:rsidP="00047DC5">
      <w:pPr>
        <w:spacing w:line="360" w:lineRule="auto"/>
        <w:jc w:val="both"/>
        <w:rPr>
          <w:rFonts w:ascii="Arial" w:hAnsi="Arial" w:cs="Arial"/>
        </w:rPr>
      </w:pPr>
      <w:r>
        <w:rPr>
          <w:rFonts w:ascii="Arial" w:hAnsi="Arial" w:cs="Arial"/>
        </w:rPr>
        <w:t xml:space="preserve">Human Capital Theory explains the economic cost of losing migrant workers who possess specific knowledge of NHS protocols, local patient populations, and team dynamics – knowledge that is costly to replace and retrain (Becker, 1964; </w:t>
      </w:r>
      <w:proofErr w:type="spellStart"/>
      <w:r>
        <w:rPr>
          <w:rFonts w:ascii="Arial" w:hAnsi="Arial" w:cs="Arial"/>
        </w:rPr>
        <w:t>Slaus</w:t>
      </w:r>
      <w:proofErr w:type="spellEnd"/>
      <w:r>
        <w:rPr>
          <w:rFonts w:ascii="Arial" w:hAnsi="Arial" w:cs="Arial"/>
        </w:rPr>
        <w:t xml:space="preserve"> and Jacobs, 2011). COR Theory explains the mechanism of worker withdrawal – resource threat leading to stress and exit (</w:t>
      </w:r>
      <w:proofErr w:type="spellStart"/>
      <w:r>
        <w:rPr>
          <w:rFonts w:ascii="Arial" w:hAnsi="Arial" w:cs="Arial"/>
        </w:rPr>
        <w:t>Hobfoll</w:t>
      </w:r>
      <w:proofErr w:type="spellEnd"/>
      <w:r>
        <w:rPr>
          <w:rFonts w:ascii="Arial" w:hAnsi="Arial" w:cs="Arial"/>
        </w:rPr>
        <w:t>, 1989; Lee, 2015). TBL provides a framework for measuring the social and economic consequences (</w:t>
      </w:r>
      <w:proofErr w:type="spellStart"/>
      <w:r>
        <w:rPr>
          <w:rFonts w:ascii="Arial" w:hAnsi="Arial" w:cs="Arial"/>
        </w:rPr>
        <w:t>Alhaddi</w:t>
      </w:r>
      <w:proofErr w:type="spellEnd"/>
      <w:r>
        <w:rPr>
          <w:rFonts w:ascii="Arial" w:hAnsi="Arial" w:cs="Arial"/>
        </w:rPr>
        <w:t>, 2015).</w:t>
      </w:r>
    </w:p>
    <w:p w14:paraId="4529AE28" w14:textId="77777777" w:rsidR="00047DC5" w:rsidRDefault="00047DC5" w:rsidP="00047DC5">
      <w:pPr>
        <w:spacing w:line="360" w:lineRule="auto"/>
        <w:jc w:val="both"/>
        <w:rPr>
          <w:rFonts w:ascii="Arial" w:hAnsi="Arial" w:cs="Arial"/>
        </w:rPr>
      </w:pPr>
      <w:r>
        <w:rPr>
          <w:rFonts w:ascii="Arial" w:hAnsi="Arial" w:cs="Arial"/>
        </w:rPr>
        <w:t xml:space="preserve">The chapter has also detailed the significant immigration policy changes between 2020 and 2026, including the closure of overseas recruitment for care workers (July 2025), the increase in the skill threshold to RQF Level 6, the restrictions on </w:t>
      </w:r>
      <w:proofErr w:type="spellStart"/>
      <w:r>
        <w:rPr>
          <w:rFonts w:ascii="Arial" w:hAnsi="Arial" w:cs="Arial"/>
        </w:rPr>
        <w:t>dependant</w:t>
      </w:r>
      <w:proofErr w:type="spellEnd"/>
      <w:r>
        <w:rPr>
          <w:rFonts w:ascii="Arial" w:hAnsi="Arial" w:cs="Arial"/>
        </w:rPr>
        <w:t xml:space="preserve"> visas, and the proposed 'Earned Settlement' system. The empirical evidence on the impact of these changes – including the 81% decline in Health and Care Worker visas, the 78% decline in </w:t>
      </w:r>
      <w:proofErr w:type="spellStart"/>
      <w:r>
        <w:rPr>
          <w:rFonts w:ascii="Arial" w:hAnsi="Arial" w:cs="Arial"/>
        </w:rPr>
        <w:t>dependant</w:t>
      </w:r>
      <w:proofErr w:type="spellEnd"/>
      <w:r>
        <w:rPr>
          <w:rFonts w:ascii="Arial" w:hAnsi="Arial" w:cs="Arial"/>
        </w:rPr>
        <w:t xml:space="preserve"> visas, and the 33% increase in internationally educated nurses leaving the NMC register – has been reviewed.</w:t>
      </w:r>
    </w:p>
    <w:p w14:paraId="6B0B12DD" w14:textId="77777777" w:rsidR="00047DC5" w:rsidRDefault="00047DC5" w:rsidP="00047DC5">
      <w:pPr>
        <w:spacing w:line="360" w:lineRule="auto"/>
        <w:jc w:val="both"/>
        <w:rPr>
          <w:rFonts w:ascii="Arial" w:hAnsi="Arial" w:cs="Arial"/>
        </w:rPr>
      </w:pPr>
      <w:r>
        <w:rPr>
          <w:rFonts w:ascii="Arial" w:hAnsi="Arial" w:cs="Arial"/>
        </w:rPr>
        <w:t>The review has identified five key research gaps: the neglect of healthcare support workers in the literature; the limited empirical evidence on post</w:t>
      </w:r>
      <w:r>
        <w:rPr>
          <w:rFonts w:ascii="Arial" w:hAnsi="Arial" w:cs="Arial"/>
        </w:rPr>
        <w:noBreakHyphen/>
        <w:t xml:space="preserve">2020 immigration reforms; the uncertainty around domestic upskilling as a substitute for migrant </w:t>
      </w:r>
      <w:proofErr w:type="spellStart"/>
      <w:r>
        <w:rPr>
          <w:rFonts w:ascii="Arial" w:hAnsi="Arial" w:cs="Arial"/>
        </w:rPr>
        <w:t>labour</w:t>
      </w:r>
      <w:proofErr w:type="spellEnd"/>
      <w:r>
        <w:rPr>
          <w:rFonts w:ascii="Arial" w:hAnsi="Arial" w:cs="Arial"/>
        </w:rPr>
        <w:t xml:space="preserve">; the lack of </w:t>
      </w:r>
      <w:r>
        <w:rPr>
          <w:rFonts w:ascii="Arial" w:hAnsi="Arial" w:cs="Arial"/>
        </w:rPr>
        <w:lastRenderedPageBreak/>
        <w:t>UK</w:t>
      </w:r>
      <w:r>
        <w:rPr>
          <w:rFonts w:ascii="Arial" w:hAnsi="Arial" w:cs="Arial"/>
        </w:rPr>
        <w:noBreakHyphen/>
        <w:t>nation comparisons; and the limited empirical evidence on the effectiveness of HR strategies under immigration restrictions.</w:t>
      </w:r>
    </w:p>
    <w:p w14:paraId="22DF9C6D" w14:textId="77777777" w:rsidR="00047DC5" w:rsidRDefault="00047DC5" w:rsidP="00047DC5">
      <w:pPr>
        <w:spacing w:line="360" w:lineRule="auto"/>
        <w:jc w:val="both"/>
        <w:rPr>
          <w:rFonts w:ascii="Arial" w:hAnsi="Arial" w:cs="Arial"/>
        </w:rPr>
      </w:pPr>
      <w:r>
        <w:rPr>
          <w:rFonts w:ascii="Arial" w:hAnsi="Arial" w:cs="Arial"/>
        </w:rPr>
        <w:t>This study addresses these gaps by providing the first empirical, quantitative evaluation of the post</w:t>
      </w:r>
      <w:r>
        <w:rPr>
          <w:rFonts w:ascii="Arial" w:hAnsi="Arial" w:cs="Arial"/>
        </w:rPr>
        <w:noBreakHyphen/>
        <w:t xml:space="preserve">2020 immigration reforms on migrant healthcare support workers; by empirically testing the integrated application of Human Capital Theory, COR Theory, and the TBL framework; by examining whether </w:t>
      </w:r>
      <w:proofErr w:type="spellStart"/>
      <w:r>
        <w:rPr>
          <w:rFonts w:ascii="Arial" w:hAnsi="Arial" w:cs="Arial"/>
        </w:rPr>
        <w:t>organisational</w:t>
      </w:r>
      <w:proofErr w:type="spellEnd"/>
      <w:r>
        <w:rPr>
          <w:rFonts w:ascii="Arial" w:hAnsi="Arial" w:cs="Arial"/>
        </w:rPr>
        <w:t xml:space="preserve"> responses – such as training, career progression, and retention strategies – can effectively sustain the workforce under immigration restrictions; and by offering evidence</w:t>
      </w:r>
      <w:r>
        <w:rPr>
          <w:rFonts w:ascii="Arial" w:hAnsi="Arial" w:cs="Arial"/>
        </w:rPr>
        <w:noBreakHyphen/>
        <w:t xml:space="preserve">based recommendations for policymakers and healthcare </w:t>
      </w:r>
      <w:proofErr w:type="spellStart"/>
      <w:r>
        <w:rPr>
          <w:rFonts w:ascii="Arial" w:hAnsi="Arial" w:cs="Arial"/>
        </w:rPr>
        <w:t>organisations</w:t>
      </w:r>
      <w:proofErr w:type="spellEnd"/>
      <w:r>
        <w:rPr>
          <w:rFonts w:ascii="Arial" w:hAnsi="Arial" w:cs="Arial"/>
        </w:rPr>
        <w:t>. The conceptual framework presented in Section 2.9.3 will guide empirical analysis in subsequent chapters, providing a structured approach to testing the predicted relationships between policy changes, resource threats, loss of human capital, sustainability decline, and the moderating role of HR strategies.</w:t>
      </w:r>
    </w:p>
    <w:p w14:paraId="7780CA0D" w14:textId="77777777" w:rsidR="00047DC5" w:rsidRDefault="00047DC5" w:rsidP="00047DC5">
      <w:bookmarkStart w:id="47" w:name="_Toc235978085"/>
      <w:bookmarkStart w:id="48" w:name="_Toc235978650"/>
    </w:p>
    <w:p w14:paraId="22D4475D" w14:textId="77777777" w:rsidR="00047DC5" w:rsidRDefault="00047DC5" w:rsidP="00047DC5">
      <w:pPr>
        <w:pStyle w:val="Heading1"/>
        <w:pageBreakBefore/>
      </w:pPr>
      <w:bookmarkStart w:id="49" w:name="_Toc238549802"/>
      <w:r>
        <w:lastRenderedPageBreak/>
        <w:t>Chapter 3: Research Methodology</w:t>
      </w:r>
      <w:bookmarkEnd w:id="47"/>
      <w:bookmarkEnd w:id="48"/>
      <w:bookmarkEnd w:id="49"/>
    </w:p>
    <w:p w14:paraId="44C29154" w14:textId="77777777" w:rsidR="00047DC5" w:rsidRDefault="00047DC5" w:rsidP="00047DC5">
      <w:pPr>
        <w:pStyle w:val="Heading2"/>
      </w:pPr>
      <w:bookmarkStart w:id="50" w:name="_Toc235978086"/>
      <w:bookmarkStart w:id="51" w:name="_Toc235978651"/>
      <w:bookmarkStart w:id="52" w:name="_Toc238549803"/>
      <w:r>
        <w:t>3.1 Introduction</w:t>
      </w:r>
      <w:bookmarkEnd w:id="50"/>
      <w:bookmarkEnd w:id="51"/>
      <w:bookmarkEnd w:id="52"/>
    </w:p>
    <w:p w14:paraId="774E157C" w14:textId="77777777" w:rsidR="00047DC5" w:rsidRDefault="00047DC5" w:rsidP="00047DC5">
      <w:pPr>
        <w:spacing w:line="360" w:lineRule="auto"/>
        <w:jc w:val="both"/>
        <w:rPr>
          <w:rFonts w:ascii="Arial" w:hAnsi="Arial" w:cs="Arial"/>
        </w:rPr>
      </w:pPr>
      <w:r>
        <w:rPr>
          <w:rFonts w:ascii="Arial" w:hAnsi="Arial" w:cs="Arial"/>
        </w:rPr>
        <w:t>This chapter presents and justifies the research methodology adopted for this study. The methodology serves as the bridge between the theoretical framework developed in Chapter 2 and the empirical analysis presented in Chapter 4. It provides a detailed account of the research philosophy, research design, research approach, data collection methods, data analysis techniques, ethical considerations, and limitations of the study.</w:t>
      </w:r>
    </w:p>
    <w:p w14:paraId="099B2B50" w14:textId="77777777" w:rsidR="00047DC5" w:rsidRDefault="00047DC5" w:rsidP="00047DC5">
      <w:pPr>
        <w:spacing w:line="360" w:lineRule="auto"/>
        <w:jc w:val="both"/>
        <w:rPr>
          <w:rFonts w:ascii="Arial" w:hAnsi="Arial" w:cs="Arial"/>
        </w:rPr>
      </w:pPr>
      <w:r>
        <w:rPr>
          <w:rFonts w:ascii="Arial" w:hAnsi="Arial" w:cs="Arial"/>
        </w:rPr>
        <w:t>The chapter is structured as follows. Section 3.2 discusses the research philosophy, explaining the positivist approach adopted and justifying its choice over alternative philosophies. Section 3.3 describes the research design, outlining the secondary quantitative longitudinal approach and its justification. Section 3.4 explains the research approach, justifying the deductive, quantitative approach. Section 3.5 details the data collection methods, including the specific sources of secondary data and the rationale for their selection. Section 3.6 explains the data analysis techniques, including descriptive statistics and multiple regression analysis, with justification for their use. Section 3.7 addresses ethical considerations, confirming compliance with UWTSD ethical guidelines. Section 3.8 discusses the limitations of the methodology and the strategies employed to mitigate them. Section 3.9 provides a summary of the chapter.</w:t>
      </w:r>
    </w:p>
    <w:p w14:paraId="20D959E1" w14:textId="77777777" w:rsidR="00047DC5" w:rsidRDefault="00047DC5" w:rsidP="00047DC5">
      <w:pPr>
        <w:pStyle w:val="Heading2"/>
      </w:pPr>
      <w:bookmarkStart w:id="53" w:name="_Toc235978087"/>
      <w:bookmarkStart w:id="54" w:name="_Toc235978652"/>
      <w:bookmarkStart w:id="55" w:name="_Toc238549804"/>
      <w:r>
        <w:t>3.2 Research Philosophy</w:t>
      </w:r>
      <w:bookmarkEnd w:id="53"/>
      <w:bookmarkEnd w:id="54"/>
      <w:bookmarkEnd w:id="55"/>
    </w:p>
    <w:p w14:paraId="4D59E0F5" w14:textId="77777777" w:rsidR="00047DC5" w:rsidRDefault="00047DC5" w:rsidP="00047DC5">
      <w:pPr>
        <w:pStyle w:val="Heading3"/>
      </w:pPr>
      <w:bookmarkStart w:id="56" w:name="_Toc235978088"/>
      <w:bookmarkStart w:id="57" w:name="_Toc235978653"/>
      <w:bookmarkStart w:id="58" w:name="_Toc238549805"/>
      <w:r>
        <w:t>3.2.1 Understanding Research Philosophy</w:t>
      </w:r>
      <w:bookmarkEnd w:id="56"/>
      <w:bookmarkEnd w:id="57"/>
      <w:bookmarkEnd w:id="58"/>
    </w:p>
    <w:p w14:paraId="0C17F724" w14:textId="77777777" w:rsidR="00047DC5" w:rsidRDefault="00047DC5" w:rsidP="00047DC5">
      <w:pPr>
        <w:spacing w:line="360" w:lineRule="auto"/>
        <w:jc w:val="both"/>
        <w:rPr>
          <w:rFonts w:ascii="Arial" w:hAnsi="Arial" w:cs="Arial"/>
        </w:rPr>
      </w:pPr>
      <w:r>
        <w:rPr>
          <w:rFonts w:ascii="Arial" w:hAnsi="Arial" w:cs="Arial"/>
        </w:rPr>
        <w:t>Research philosophy refers to the system of beliefs and assumptions about the development of knowledge (Saunders, Lewis and Thornhill, 2023). It encompasses the researcher's worldview, including their assumptions about the nature of reality (ontology), the nature of knowledge and how it can be acquired (epistemology), and the role of values in research (axiology). These philosophical assumptions underpin every aspect of the research process, from the formulation of research questions to the interpretation of findings.</w:t>
      </w:r>
    </w:p>
    <w:p w14:paraId="0E70D548" w14:textId="77777777" w:rsidR="00047DC5" w:rsidRDefault="00047DC5" w:rsidP="00047DC5">
      <w:pPr>
        <w:spacing w:line="360" w:lineRule="auto"/>
        <w:jc w:val="both"/>
        <w:rPr>
          <w:rFonts w:ascii="Arial" w:hAnsi="Arial" w:cs="Arial"/>
        </w:rPr>
      </w:pPr>
      <w:r>
        <w:rPr>
          <w:rFonts w:ascii="Arial" w:hAnsi="Arial" w:cs="Arial"/>
        </w:rPr>
        <w:lastRenderedPageBreak/>
        <w:t>Saunders, Lewis and Thornhill (2023) identify five main research philosophies: positivism, critical realism, interpretivism, postmodernism, and pragmatism. Each philosophy reflects different assumptions about the nature of knowledge and the appropriate methods for acquiring it. The choice of research philosophy is not merely a technical decision but reflects the researcher's worldview and the nature of the research problem being investigated.</w:t>
      </w:r>
    </w:p>
    <w:p w14:paraId="19B2DD49" w14:textId="77777777" w:rsidR="00047DC5" w:rsidRDefault="00047DC5" w:rsidP="00047DC5">
      <w:pPr>
        <w:pStyle w:val="Heading3"/>
      </w:pPr>
      <w:bookmarkStart w:id="59" w:name="_Toc235978089"/>
      <w:bookmarkStart w:id="60" w:name="_Toc235978654"/>
      <w:bookmarkStart w:id="61" w:name="_Toc238549806"/>
      <w:r>
        <w:t>3.2.2 Positivism</w:t>
      </w:r>
      <w:bookmarkEnd w:id="59"/>
      <w:bookmarkEnd w:id="60"/>
      <w:bookmarkEnd w:id="61"/>
    </w:p>
    <w:p w14:paraId="7DE000D9" w14:textId="77777777" w:rsidR="00047DC5" w:rsidRDefault="00047DC5" w:rsidP="00047DC5">
      <w:pPr>
        <w:spacing w:line="360" w:lineRule="auto"/>
        <w:jc w:val="both"/>
        <w:rPr>
          <w:rFonts w:ascii="Arial" w:hAnsi="Arial" w:cs="Arial"/>
        </w:rPr>
      </w:pPr>
      <w:r>
        <w:rPr>
          <w:rFonts w:ascii="Arial" w:hAnsi="Arial" w:cs="Arial"/>
        </w:rPr>
        <w:t>This study adopts a positivist research philosophy. Positivism asserts that reality is objective, measurable, and exists independently of human perception (Saunders, Lewis and Thornhill, 2023). Knowledge is discovered through empirical observation and scientific methods, using rigorous, systematic procedures to generate reliable and valid findings. The researcher remains independent of the subject matter, maintaining objectivity and neutrality throughout the research process.</w:t>
      </w:r>
    </w:p>
    <w:p w14:paraId="158D820A" w14:textId="77777777" w:rsidR="00047DC5" w:rsidRDefault="00047DC5" w:rsidP="00047DC5">
      <w:pPr>
        <w:spacing w:line="360" w:lineRule="auto"/>
        <w:jc w:val="both"/>
        <w:rPr>
          <w:rFonts w:ascii="Arial" w:hAnsi="Arial" w:cs="Arial"/>
        </w:rPr>
      </w:pPr>
      <w:r>
        <w:rPr>
          <w:rFonts w:ascii="Arial" w:hAnsi="Arial" w:cs="Arial"/>
        </w:rPr>
        <w:t xml:space="preserve">The key assumptions of positivism relate to ontology, epistemology, axiology, and methodology. Ontologically, positivism assumes a realist position – there is a single, tangible reality that can be studied objectively. This study assumes that the impact of immigration policy on workforce sustainability is an objective reality that can be measured through numerical data and statistical analysis. Epistemologically, positivism adopts an objectivist stance – knowledge is valid if it is derived from observable, measurable facts. This study relies on official statistics from the Home Office, ONS, and Skills for Care – data that are collected and published using </w:t>
      </w:r>
      <w:proofErr w:type="spellStart"/>
      <w:r>
        <w:rPr>
          <w:rFonts w:ascii="Arial" w:hAnsi="Arial" w:cs="Arial"/>
        </w:rPr>
        <w:t>standardised</w:t>
      </w:r>
      <w:proofErr w:type="spellEnd"/>
      <w:r>
        <w:rPr>
          <w:rFonts w:ascii="Arial" w:hAnsi="Arial" w:cs="Arial"/>
        </w:rPr>
        <w:t>, rigorous methodologies. Axiologically, positivism requires the researcher to remain value</w:t>
      </w:r>
      <w:r>
        <w:rPr>
          <w:rFonts w:ascii="Arial" w:hAnsi="Arial" w:cs="Arial"/>
        </w:rPr>
        <w:noBreakHyphen/>
        <w:t xml:space="preserve">free and independent of the subject matter. In this study, the researcher does not influence the data or the </w:t>
      </w:r>
      <w:proofErr w:type="gramStart"/>
      <w:r>
        <w:rPr>
          <w:rFonts w:ascii="Arial" w:hAnsi="Arial" w:cs="Arial"/>
        </w:rPr>
        <w:t>outcomes, but</w:t>
      </w:r>
      <w:proofErr w:type="gramEnd"/>
      <w:r>
        <w:rPr>
          <w:rFonts w:ascii="Arial" w:hAnsi="Arial" w:cs="Arial"/>
        </w:rPr>
        <w:t xml:space="preserve"> analyses existing quantitative datasets objectively. Methodologically, positivism </w:t>
      </w:r>
      <w:proofErr w:type="spellStart"/>
      <w:r>
        <w:rPr>
          <w:rFonts w:ascii="Arial" w:hAnsi="Arial" w:cs="Arial"/>
        </w:rPr>
        <w:t>favours</w:t>
      </w:r>
      <w:proofErr w:type="spellEnd"/>
      <w:r>
        <w:rPr>
          <w:rFonts w:ascii="Arial" w:hAnsi="Arial" w:cs="Arial"/>
        </w:rPr>
        <w:t xml:space="preserve"> quantitative methods and statistical analysis. This study employs descriptive and inferential statistical techniques, including multiple regression, to examine associations between policy changes and workforce outcomes.</w:t>
      </w:r>
    </w:p>
    <w:p w14:paraId="70C28130" w14:textId="77777777" w:rsidR="00047DC5" w:rsidRDefault="00047DC5" w:rsidP="00047DC5">
      <w:pPr>
        <w:spacing w:line="360" w:lineRule="auto"/>
        <w:jc w:val="both"/>
        <w:rPr>
          <w:rFonts w:ascii="Arial" w:hAnsi="Arial" w:cs="Arial"/>
        </w:rPr>
      </w:pPr>
      <w:r>
        <w:rPr>
          <w:rFonts w:ascii="Arial" w:hAnsi="Arial" w:cs="Arial"/>
        </w:rPr>
        <w:t xml:space="preserve">Positivism is appropriate for this study for several reasons. The research questions seek to identify measurable relationships between policy changes and workforce outcomes, which aligns with the positivist emphasis on observable, quantifiable phenomena. The </w:t>
      </w:r>
      <w:r>
        <w:rPr>
          <w:rFonts w:ascii="Arial" w:hAnsi="Arial" w:cs="Arial"/>
        </w:rPr>
        <w:lastRenderedPageBreak/>
        <w:t xml:space="preserve">study relies exclusively on secondary quantitative data – official statistics that are objective and verifiable. The use of inferential statistical techniques, including regression analysis, is consistent with positivist assumptions about hypothesis testing. The positivist approach ensures that findings are replicable and </w:t>
      </w:r>
      <w:proofErr w:type="spellStart"/>
      <w:r>
        <w:rPr>
          <w:rFonts w:ascii="Arial" w:hAnsi="Arial" w:cs="Arial"/>
        </w:rPr>
        <w:t>generalisable</w:t>
      </w:r>
      <w:proofErr w:type="spellEnd"/>
      <w:r>
        <w:rPr>
          <w:rFonts w:ascii="Arial" w:hAnsi="Arial" w:cs="Arial"/>
        </w:rPr>
        <w:t>, which is important for informing evidence</w:t>
      </w:r>
      <w:r>
        <w:rPr>
          <w:rFonts w:ascii="Arial" w:hAnsi="Arial" w:cs="Arial"/>
        </w:rPr>
        <w:noBreakHyphen/>
        <w:t>based policy. Finally, positivism provides a clear, consistent, and defensible philosophical foundation for a quantitative study that does not involve primary data collection.</w:t>
      </w:r>
    </w:p>
    <w:p w14:paraId="70E2FA2F" w14:textId="77777777" w:rsidR="00047DC5" w:rsidRDefault="00047DC5" w:rsidP="00047DC5">
      <w:pPr>
        <w:pStyle w:val="Heading3"/>
      </w:pPr>
      <w:bookmarkStart w:id="62" w:name="_Toc235978090"/>
      <w:bookmarkStart w:id="63" w:name="_Toc235978655"/>
      <w:bookmarkStart w:id="64" w:name="_Toc238549807"/>
      <w:r>
        <w:t>3.2.3 Justification: Why Positivism Over Other Philosophies?</w:t>
      </w:r>
      <w:bookmarkEnd w:id="62"/>
      <w:bookmarkEnd w:id="63"/>
      <w:bookmarkEnd w:id="64"/>
    </w:p>
    <w:p w14:paraId="4EA4BEB5" w14:textId="77777777" w:rsidR="00047DC5" w:rsidRDefault="00047DC5" w:rsidP="00047DC5">
      <w:pPr>
        <w:spacing w:line="360" w:lineRule="auto"/>
        <w:jc w:val="both"/>
        <w:rPr>
          <w:rFonts w:ascii="Arial" w:hAnsi="Arial" w:cs="Arial"/>
        </w:rPr>
      </w:pPr>
      <w:r>
        <w:rPr>
          <w:rFonts w:ascii="Arial" w:hAnsi="Arial" w:cs="Arial"/>
        </w:rPr>
        <w:t>The choice of positivism requires justification, particularly in relation to the alternative philosophies that might have been adopted.</w:t>
      </w:r>
    </w:p>
    <w:p w14:paraId="2134F34F" w14:textId="77777777" w:rsidR="00047DC5" w:rsidRDefault="00047DC5" w:rsidP="00047DC5">
      <w:pPr>
        <w:spacing w:line="360" w:lineRule="auto"/>
        <w:jc w:val="both"/>
        <w:rPr>
          <w:rFonts w:ascii="Arial" w:hAnsi="Arial" w:cs="Arial"/>
        </w:rPr>
      </w:pPr>
      <w:r>
        <w:rPr>
          <w:rFonts w:ascii="Arial" w:hAnsi="Arial" w:cs="Arial"/>
        </w:rPr>
        <w:t xml:space="preserve">Interpretivism assumes that reality is socially constructed and best understood through deep, subjective accounts – typically from primary data such as interviews, focus groups, or ethnography (Saunders, Lewis and Thornhill, 2023). Interpretivism </w:t>
      </w:r>
      <w:proofErr w:type="spellStart"/>
      <w:r>
        <w:rPr>
          <w:rFonts w:ascii="Arial" w:hAnsi="Arial" w:cs="Arial"/>
        </w:rPr>
        <w:t>emphasises</w:t>
      </w:r>
      <w:proofErr w:type="spellEnd"/>
      <w:r>
        <w:rPr>
          <w:rFonts w:ascii="Arial" w:hAnsi="Arial" w:cs="Arial"/>
        </w:rPr>
        <w:t xml:space="preserve"> understanding participants' meanings, experiences, and perspectives. This study does not collect primary data from participants. It relies on official statistics and policy documents – secondary data sources that are collected and published for administrative purposes. Interpretivism's focus on subjective meanings would be misaligned with the study's reliance on objective, numerical data. Moreover, the research questions seek to identify measurable associations between policy changes and workforce outcomes, rather than exploring individual experiences. Therefore, interpretivism is not appropriate for this study.</w:t>
      </w:r>
    </w:p>
    <w:p w14:paraId="0766D11B" w14:textId="77777777" w:rsidR="00047DC5" w:rsidRDefault="00047DC5" w:rsidP="00047DC5">
      <w:pPr>
        <w:spacing w:line="360" w:lineRule="auto"/>
        <w:jc w:val="both"/>
        <w:rPr>
          <w:rFonts w:ascii="Arial" w:hAnsi="Arial" w:cs="Arial"/>
        </w:rPr>
      </w:pPr>
      <w:r>
        <w:rPr>
          <w:rFonts w:ascii="Arial" w:hAnsi="Arial" w:cs="Arial"/>
        </w:rPr>
        <w:t xml:space="preserve">Pragmatism asserts that research questions are the primary determinant of </w:t>
      </w:r>
      <w:proofErr w:type="gramStart"/>
      <w:r>
        <w:rPr>
          <w:rFonts w:ascii="Arial" w:hAnsi="Arial" w:cs="Arial"/>
        </w:rPr>
        <w:t>method</w:t>
      </w:r>
      <w:proofErr w:type="gramEnd"/>
      <w:r>
        <w:rPr>
          <w:rFonts w:ascii="Arial" w:hAnsi="Arial" w:cs="Arial"/>
        </w:rPr>
        <w:t xml:space="preserve"> and that researchers should use whatever methods are most effective for answering their questions, whether quantitative or qualitative (Saunders, Lewis and Thornhill, 2023). While pragmatism is a flexible and practical philosophy, it is most appropriate when research questions require mixed methods – combining quantitative and qualitative evidence. This study uses exclusively secondary quantitative data. There is no qualitative component. The university's guidance for this </w:t>
      </w:r>
      <w:proofErr w:type="spellStart"/>
      <w:r>
        <w:rPr>
          <w:rFonts w:ascii="Arial" w:hAnsi="Arial" w:cs="Arial"/>
        </w:rPr>
        <w:t>programme</w:t>
      </w:r>
      <w:proofErr w:type="spellEnd"/>
      <w:r>
        <w:rPr>
          <w:rFonts w:ascii="Arial" w:hAnsi="Arial" w:cs="Arial"/>
        </w:rPr>
        <w:t xml:space="preserve"> requires a single, consistent paradigm rather than a pragmatist 'mixing' approach. Therefore, pragmatism is not suitable for this study.</w:t>
      </w:r>
    </w:p>
    <w:p w14:paraId="0E709D27" w14:textId="77777777" w:rsidR="00047DC5" w:rsidRDefault="00047DC5" w:rsidP="00047DC5">
      <w:pPr>
        <w:spacing w:line="360" w:lineRule="auto"/>
        <w:jc w:val="both"/>
        <w:rPr>
          <w:rFonts w:ascii="Arial" w:hAnsi="Arial" w:cs="Arial"/>
        </w:rPr>
      </w:pPr>
      <w:r>
        <w:rPr>
          <w:rFonts w:ascii="Arial" w:hAnsi="Arial" w:cs="Arial"/>
        </w:rPr>
        <w:lastRenderedPageBreak/>
        <w:t>Critical realism asserts that reality exists but cannot be perfectly known, acknowledging the role of bias and error in research (Saunders, Lewis and Thornhill, 2023). It is particularly suited to studies that seek to identify underlying causal mechanisms, often through a combination of quantitative and qualitative methods. This study's focus on measurable associations and statistical testing aligns more closely with positivism's assumptions about objectivity and measurement. Moreover, critical realism often requires in</w:t>
      </w:r>
      <w:r>
        <w:rPr>
          <w:rFonts w:ascii="Arial" w:hAnsi="Arial" w:cs="Arial"/>
        </w:rPr>
        <w:noBreakHyphen/>
        <w:t>depth case study analysis, which is not part of this research design.</w:t>
      </w:r>
    </w:p>
    <w:p w14:paraId="11499852" w14:textId="77777777" w:rsidR="00047DC5" w:rsidRDefault="00047DC5" w:rsidP="00047DC5">
      <w:pPr>
        <w:spacing w:line="360" w:lineRule="auto"/>
        <w:jc w:val="both"/>
        <w:rPr>
          <w:rFonts w:ascii="Arial" w:hAnsi="Arial" w:cs="Arial"/>
        </w:rPr>
      </w:pPr>
      <w:r>
        <w:rPr>
          <w:rFonts w:ascii="Arial" w:hAnsi="Arial" w:cs="Arial"/>
        </w:rPr>
        <w:t xml:space="preserve">In summary, positivism is the most appropriate philosophy for this study because the research questions seek to identify measurable associations between policy changes and workforce outcomes; the study relies exclusively on secondary quantitative data that are objective and verifiable; the use of inferential statistical techniques, including regression, is consistent with positivist assumptions about hypothesis testing; the positivist approach ensures that findings are replicable and </w:t>
      </w:r>
      <w:proofErr w:type="spellStart"/>
      <w:r>
        <w:rPr>
          <w:rFonts w:ascii="Arial" w:hAnsi="Arial" w:cs="Arial"/>
        </w:rPr>
        <w:t>generalisable</w:t>
      </w:r>
      <w:proofErr w:type="spellEnd"/>
      <w:r>
        <w:rPr>
          <w:rFonts w:ascii="Arial" w:hAnsi="Arial" w:cs="Arial"/>
        </w:rPr>
        <w:t>, supporting evidence</w:t>
      </w:r>
      <w:r>
        <w:rPr>
          <w:rFonts w:ascii="Arial" w:hAnsi="Arial" w:cs="Arial"/>
        </w:rPr>
        <w:noBreakHyphen/>
        <w:t>based policymaking; and positivism provides a clear, consistent, and defensible philosophical foundation for a quantitative study that does not involve primary data collection.</w:t>
      </w:r>
    </w:p>
    <w:p w14:paraId="4F652947" w14:textId="77777777" w:rsidR="00047DC5" w:rsidRDefault="00047DC5" w:rsidP="00047DC5">
      <w:pPr>
        <w:spacing w:line="360" w:lineRule="auto"/>
        <w:jc w:val="both"/>
        <w:rPr>
          <w:rFonts w:ascii="Arial" w:hAnsi="Arial" w:cs="Arial"/>
        </w:rPr>
      </w:pPr>
      <w:r>
        <w:rPr>
          <w:rFonts w:ascii="Arial" w:hAnsi="Arial" w:cs="Arial"/>
        </w:rPr>
        <w:t xml:space="preserve">While RQ1 and RQ4 involve interpretation of policy documents and the development of recommendations, both are grounded in the quantitative findings of this study. For RQ1, document analysis is used to extract </w:t>
      </w:r>
      <w:proofErr w:type="gramStart"/>
      <w:r>
        <w:rPr>
          <w:rFonts w:ascii="Arial" w:hAnsi="Arial" w:cs="Arial"/>
        </w:rPr>
        <w:t>factual information</w:t>
      </w:r>
      <w:proofErr w:type="gramEnd"/>
      <w:r>
        <w:rPr>
          <w:rFonts w:ascii="Arial" w:hAnsi="Arial" w:cs="Arial"/>
        </w:rPr>
        <w:t xml:space="preserve"> from official policy documents – the stated drivers for policy changes – rather than interpreting subjective meanings. This is consistent with a positivist approach focused on objective, verifiable evidence. For RQ4, the recommendations are evidence-based, derived from the regression results and workforce data, rather than subjective opinions. This approach ensures that the study remains grounded in objective, measurable evidence throughout.</w:t>
      </w:r>
    </w:p>
    <w:p w14:paraId="76ED5810" w14:textId="77777777" w:rsidR="00047DC5" w:rsidRDefault="00047DC5" w:rsidP="00047DC5">
      <w:pPr>
        <w:pStyle w:val="Heading2"/>
      </w:pPr>
      <w:bookmarkStart w:id="65" w:name="_Toc235978091"/>
      <w:bookmarkStart w:id="66" w:name="_Toc235978656"/>
      <w:bookmarkStart w:id="67" w:name="_Toc238549808"/>
      <w:r>
        <w:t>3.3 Research Design</w:t>
      </w:r>
      <w:bookmarkEnd w:id="65"/>
      <w:bookmarkEnd w:id="66"/>
      <w:bookmarkEnd w:id="67"/>
    </w:p>
    <w:p w14:paraId="0A5864C3" w14:textId="77777777" w:rsidR="00047DC5" w:rsidRDefault="00047DC5" w:rsidP="00047DC5">
      <w:pPr>
        <w:pStyle w:val="Heading3"/>
      </w:pPr>
      <w:bookmarkStart w:id="68" w:name="_Toc235978092"/>
      <w:bookmarkStart w:id="69" w:name="_Toc235978657"/>
      <w:bookmarkStart w:id="70" w:name="_Toc238549809"/>
      <w:r>
        <w:t>3.3.1 Overview of Research Design</w:t>
      </w:r>
      <w:bookmarkEnd w:id="68"/>
      <w:bookmarkEnd w:id="69"/>
      <w:bookmarkEnd w:id="70"/>
    </w:p>
    <w:p w14:paraId="7C1E458F" w14:textId="77777777" w:rsidR="00047DC5" w:rsidRDefault="00047DC5" w:rsidP="00047DC5">
      <w:pPr>
        <w:spacing w:line="360" w:lineRule="auto"/>
        <w:jc w:val="both"/>
      </w:pPr>
      <w:r>
        <w:rPr>
          <w:rFonts w:ascii="Arial" w:hAnsi="Arial" w:cs="Arial"/>
        </w:rPr>
        <w:t xml:space="preserve">Research design refers to the overall strategy adopted to integrate the different components of the study in a coherent and logical way, ensuring that the research questions are effectively addressed (Saunders, Lewis and Thornhill, 2023). This study </w:t>
      </w:r>
      <w:r>
        <w:rPr>
          <w:rFonts w:ascii="Arial" w:hAnsi="Arial" w:cs="Arial"/>
        </w:rPr>
        <w:lastRenderedPageBreak/>
        <w:t>employs a secondary quantitative, longitudinal research</w:t>
      </w:r>
      <w:r>
        <w:rPr>
          <w:rFonts w:ascii="Arial" w:hAnsi="Arial" w:cs="Arial"/>
          <w:b/>
          <w:bCs/>
        </w:rPr>
        <w:t xml:space="preserve"> </w:t>
      </w:r>
      <w:r>
        <w:rPr>
          <w:rFonts w:ascii="Arial" w:hAnsi="Arial" w:cs="Arial"/>
        </w:rPr>
        <w:t>design using documentary research techniques.</w:t>
      </w:r>
    </w:p>
    <w:p w14:paraId="305F6C0C" w14:textId="77777777" w:rsidR="00047DC5" w:rsidRDefault="00047DC5" w:rsidP="00047DC5">
      <w:pPr>
        <w:spacing w:line="360" w:lineRule="auto"/>
        <w:jc w:val="both"/>
        <w:rPr>
          <w:rFonts w:ascii="Arial" w:hAnsi="Arial" w:cs="Arial"/>
        </w:rPr>
      </w:pPr>
      <w:r>
        <w:rPr>
          <w:rFonts w:ascii="Arial" w:hAnsi="Arial" w:cs="Arial"/>
        </w:rPr>
        <w:t xml:space="preserve">The key features of the research design are interrelated. The study relies exclusively on existing data that have been collected and published by official sources – the Home Office, Office for National Statistics, and Skills for Care. No primary data collection, such as surveys or interviews, will be undertaken. The study uses numerical data – visa grant rates, outflow profiles, turnover statistics, and vacancy rates – which are </w:t>
      </w:r>
      <w:proofErr w:type="spellStart"/>
      <w:r>
        <w:rPr>
          <w:rFonts w:ascii="Arial" w:hAnsi="Arial" w:cs="Arial"/>
        </w:rPr>
        <w:t>analysed</w:t>
      </w:r>
      <w:proofErr w:type="spellEnd"/>
      <w:r>
        <w:rPr>
          <w:rFonts w:ascii="Arial" w:hAnsi="Arial" w:cs="Arial"/>
        </w:rPr>
        <w:t xml:space="preserve"> using statistical techniques. The study examines trends over time, comparing visa grant rates, outflow profiles, and turnover statistics before and after the implementation of key policy changes. The period covered is 2020–2026, capturing both the pre</w:t>
      </w:r>
      <w:r>
        <w:rPr>
          <w:rFonts w:ascii="Arial" w:hAnsi="Arial" w:cs="Arial"/>
        </w:rPr>
        <w:noBreakHyphen/>
        <w:t>reform period and the immediate post</w:t>
      </w:r>
      <w:r>
        <w:rPr>
          <w:rFonts w:ascii="Arial" w:hAnsi="Arial" w:cs="Arial"/>
        </w:rPr>
        <w:noBreakHyphen/>
        <w:t>reform period. The study draws on official documents – government white papers, impact assessments, statistical releases, and workforce reports – as the primary sources of data.</w:t>
      </w:r>
    </w:p>
    <w:p w14:paraId="57C0CDD1" w14:textId="77777777" w:rsidR="00047DC5" w:rsidRDefault="00047DC5" w:rsidP="00047DC5">
      <w:pPr>
        <w:pStyle w:val="Heading3"/>
      </w:pPr>
      <w:bookmarkStart w:id="71" w:name="_Toc235978093"/>
      <w:bookmarkStart w:id="72" w:name="_Toc235978658"/>
      <w:bookmarkStart w:id="73" w:name="_Toc238549810"/>
      <w:r>
        <w:t>3.3.2 Justification for Secondary Quantitative Design</w:t>
      </w:r>
      <w:bookmarkEnd w:id="71"/>
      <w:bookmarkEnd w:id="72"/>
      <w:bookmarkEnd w:id="73"/>
    </w:p>
    <w:p w14:paraId="1AA4B361" w14:textId="77777777" w:rsidR="00047DC5" w:rsidRDefault="00047DC5" w:rsidP="00047DC5">
      <w:pPr>
        <w:spacing w:line="360" w:lineRule="auto"/>
        <w:jc w:val="both"/>
        <w:rPr>
          <w:rFonts w:ascii="Arial" w:hAnsi="Arial" w:cs="Arial"/>
        </w:rPr>
      </w:pPr>
      <w:r>
        <w:rPr>
          <w:rFonts w:ascii="Arial" w:hAnsi="Arial" w:cs="Arial"/>
        </w:rPr>
        <w:t>The choice of a secondary quantitative design is justified by several considerations, including the availability of robust official data, the avoidance of primary data collection risks, the advantages of longitudinal analysis, and ethical considerations.</w:t>
      </w:r>
    </w:p>
    <w:p w14:paraId="3B824BA8" w14:textId="77777777" w:rsidR="00047DC5" w:rsidRDefault="00047DC5" w:rsidP="00047DC5">
      <w:pPr>
        <w:spacing w:line="360" w:lineRule="auto"/>
        <w:jc w:val="both"/>
        <w:rPr>
          <w:rFonts w:ascii="Arial" w:hAnsi="Arial" w:cs="Arial"/>
        </w:rPr>
      </w:pPr>
      <w:r>
        <w:rPr>
          <w:rFonts w:ascii="Arial" w:hAnsi="Arial" w:cs="Arial"/>
        </w:rPr>
        <w:t>The Home Office, ONS, and Skills for Care publish extensive, high</w:t>
      </w:r>
      <w:r>
        <w:rPr>
          <w:rFonts w:ascii="Arial" w:hAnsi="Arial" w:cs="Arial"/>
        </w:rPr>
        <w:noBreakHyphen/>
        <w:t xml:space="preserve">quality quantitative data on migration, workforce, and healthcare employment. These datasets are collected using rigorous, </w:t>
      </w:r>
      <w:proofErr w:type="spellStart"/>
      <w:r>
        <w:rPr>
          <w:rFonts w:ascii="Arial" w:hAnsi="Arial" w:cs="Arial"/>
        </w:rPr>
        <w:t>standardised</w:t>
      </w:r>
      <w:proofErr w:type="spellEnd"/>
      <w:r>
        <w:rPr>
          <w:rFonts w:ascii="Arial" w:hAnsi="Arial" w:cs="Arial"/>
        </w:rPr>
        <w:t xml:space="preserve"> methodologies and are designed to be objective and reliable. The Home Office publishes monthly and annual statistics on visa grants, including breakdowns by occupation code, nationality, and </w:t>
      </w:r>
      <w:proofErr w:type="spellStart"/>
      <w:r>
        <w:rPr>
          <w:rFonts w:ascii="Arial" w:hAnsi="Arial" w:cs="Arial"/>
        </w:rPr>
        <w:t>dependant</w:t>
      </w:r>
      <w:proofErr w:type="spellEnd"/>
      <w:r>
        <w:rPr>
          <w:rFonts w:ascii="Arial" w:hAnsi="Arial" w:cs="Arial"/>
        </w:rPr>
        <w:t xml:space="preserve"> status. ONS publishes long</w:t>
      </w:r>
      <w:r>
        <w:rPr>
          <w:rFonts w:ascii="Arial" w:hAnsi="Arial" w:cs="Arial"/>
        </w:rPr>
        <w:noBreakHyphen/>
        <w:t>term international migration statistics, including inflows, outflows, and net migration. Skills for Care publishes comprehensive data on the adult social care workforce, including turnover rates, vacancy statistics, and training expenditure. The availability of these data makes a secondary quantitative design feasible and effective.</w:t>
      </w:r>
    </w:p>
    <w:p w14:paraId="109D4772" w14:textId="77777777" w:rsidR="00047DC5" w:rsidRDefault="00047DC5" w:rsidP="00047DC5">
      <w:pPr>
        <w:spacing w:line="360" w:lineRule="auto"/>
        <w:jc w:val="both"/>
        <w:rPr>
          <w:rFonts w:ascii="Arial" w:hAnsi="Arial" w:cs="Arial"/>
        </w:rPr>
      </w:pPr>
      <w:r>
        <w:rPr>
          <w:rFonts w:ascii="Arial" w:hAnsi="Arial" w:cs="Arial"/>
        </w:rPr>
        <w:t>Primary data collection – surveys or interviews with migrant HCSWs – carries significant risks for this topic. Migrant workers on temporary visas may fear that participation in research could affect their immigration status, leading to non</w:t>
      </w:r>
      <w:r>
        <w:rPr>
          <w:rFonts w:ascii="Arial" w:hAnsi="Arial" w:cs="Arial"/>
        </w:rPr>
        <w:noBreakHyphen/>
        <w:t xml:space="preserve">response or socially </w:t>
      </w:r>
      <w:r>
        <w:rPr>
          <w:rFonts w:ascii="Arial" w:hAnsi="Arial" w:cs="Arial"/>
        </w:rPr>
        <w:lastRenderedPageBreak/>
        <w:t xml:space="preserve">desirable answers. The 2025 rule changes introduced a climate of uncertainty; asking workers about their intentions during a policy shock produces unreliable data because intentions change rapidly. Healthcare support workers work long, irregular shifts; survey response rates are notoriously low. Secondary data avoid these problems by capturing actual </w:t>
      </w:r>
      <w:proofErr w:type="spellStart"/>
      <w:r>
        <w:rPr>
          <w:rFonts w:ascii="Arial" w:hAnsi="Arial" w:cs="Arial"/>
        </w:rPr>
        <w:t>behaviour</w:t>
      </w:r>
      <w:proofErr w:type="spellEnd"/>
      <w:r>
        <w:rPr>
          <w:rFonts w:ascii="Arial" w:hAnsi="Arial" w:cs="Arial"/>
        </w:rPr>
        <w:t xml:space="preserve"> – visa grants, outflows, employment stocks – rather than stated intentions.</w:t>
      </w:r>
    </w:p>
    <w:p w14:paraId="7CCAAAF7" w14:textId="77777777" w:rsidR="00047DC5" w:rsidRDefault="00047DC5" w:rsidP="00047DC5">
      <w:pPr>
        <w:spacing w:line="360" w:lineRule="auto"/>
        <w:jc w:val="both"/>
        <w:rPr>
          <w:rFonts w:ascii="Arial" w:hAnsi="Arial" w:cs="Arial"/>
        </w:rPr>
      </w:pPr>
      <w:r>
        <w:rPr>
          <w:rFonts w:ascii="Arial" w:hAnsi="Arial" w:cs="Arial"/>
        </w:rPr>
        <w:t>The longitudinal design allows for the examination of trends over time, comparing outcomes before and after the implementation of key policy changes. This is essential for assessing the impact of the 2025 rule changes, as it provides a baseline (pre</w:t>
      </w:r>
      <w:r>
        <w:rPr>
          <w:rFonts w:ascii="Arial" w:hAnsi="Arial" w:cs="Arial"/>
        </w:rPr>
        <w:noBreakHyphen/>
        <w:t>2025) against which post</w:t>
      </w:r>
      <w:r>
        <w:rPr>
          <w:rFonts w:ascii="Arial" w:hAnsi="Arial" w:cs="Arial"/>
        </w:rPr>
        <w:noBreakHyphen/>
        <w:t>change outcomes can be compared. The study covers the period from 2020 to 2026, capturing both the pre</w:t>
      </w:r>
      <w:r>
        <w:rPr>
          <w:rFonts w:ascii="Arial" w:hAnsi="Arial" w:cs="Arial"/>
        </w:rPr>
        <w:noBreakHyphen/>
        <w:t>reform period and the immediate post</w:t>
      </w:r>
      <w:r>
        <w:rPr>
          <w:rFonts w:ascii="Arial" w:hAnsi="Arial" w:cs="Arial"/>
        </w:rPr>
        <w:noBreakHyphen/>
        <w:t>reform period. This longitudinal approach enables the identification of trends, patterns, and changes that would not be visible in a cross</w:t>
      </w:r>
      <w:r>
        <w:rPr>
          <w:rFonts w:ascii="Arial" w:hAnsi="Arial" w:cs="Arial"/>
        </w:rPr>
        <w:noBreakHyphen/>
        <w:t>sectional design.</w:t>
      </w:r>
    </w:p>
    <w:p w14:paraId="060DBBAC" w14:textId="77777777" w:rsidR="00047DC5" w:rsidRDefault="00047DC5" w:rsidP="00047DC5">
      <w:pPr>
        <w:spacing w:line="360" w:lineRule="auto"/>
        <w:jc w:val="both"/>
        <w:rPr>
          <w:rFonts w:ascii="Arial" w:hAnsi="Arial" w:cs="Arial"/>
        </w:rPr>
      </w:pPr>
      <w:r>
        <w:rPr>
          <w:rFonts w:ascii="Arial" w:hAnsi="Arial" w:cs="Arial"/>
        </w:rPr>
        <w:t>Secondary data analysis avoids the ethical risks associated with primary data collection involving vulnerable participants. Migrant workers are a potentially vulnerable group, and research involving them must be conducted with care. By using public</w:t>
      </w:r>
      <w:r>
        <w:rPr>
          <w:rFonts w:ascii="Arial" w:hAnsi="Arial" w:cs="Arial"/>
        </w:rPr>
        <w:noBreakHyphen/>
        <w:t>domain secondary data, the study avoids the need for informed consent, the risk of causing distress, and the potential for participants to be identified. This is both methodologically sound and ethically preferable.</w:t>
      </w:r>
    </w:p>
    <w:p w14:paraId="57E5655D" w14:textId="77777777" w:rsidR="00047DC5" w:rsidRDefault="00047DC5" w:rsidP="00047DC5">
      <w:pPr>
        <w:pStyle w:val="Heading3"/>
      </w:pPr>
      <w:bookmarkStart w:id="74" w:name="_Toc235978094"/>
      <w:bookmarkStart w:id="75" w:name="_Toc235978659"/>
      <w:bookmarkStart w:id="76" w:name="_Toc238549811"/>
      <w:r>
        <w:t>3.3.3 Justification for Documentary Research Techniques</w:t>
      </w:r>
      <w:bookmarkEnd w:id="74"/>
      <w:bookmarkEnd w:id="75"/>
      <w:bookmarkEnd w:id="76"/>
    </w:p>
    <w:p w14:paraId="166E7D40" w14:textId="77777777" w:rsidR="00047DC5" w:rsidRDefault="00047DC5" w:rsidP="00047DC5">
      <w:pPr>
        <w:spacing w:line="360" w:lineRule="auto"/>
        <w:jc w:val="both"/>
        <w:rPr>
          <w:rFonts w:ascii="Arial" w:hAnsi="Arial" w:cs="Arial"/>
        </w:rPr>
      </w:pPr>
      <w:r>
        <w:rPr>
          <w:rFonts w:ascii="Arial" w:hAnsi="Arial" w:cs="Arial"/>
        </w:rPr>
        <w:t xml:space="preserve">Documentary research techniques are appropriate for this study because official documents – white papers, impact assessments, statistical releases, and workforce reports – are the primary sources of data. These documents provide rich, reliable, and comprehensive data on immigration policy, workforce trends, and healthcare employment. Documentary research involves </w:t>
      </w:r>
      <w:proofErr w:type="gramStart"/>
      <w:r>
        <w:rPr>
          <w:rFonts w:ascii="Arial" w:hAnsi="Arial" w:cs="Arial"/>
        </w:rPr>
        <w:t>the systematic</w:t>
      </w:r>
      <w:proofErr w:type="gramEnd"/>
      <w:r>
        <w:rPr>
          <w:rFonts w:ascii="Arial" w:hAnsi="Arial" w:cs="Arial"/>
        </w:rPr>
        <w:t xml:space="preserve"> collection, analysis, and interpretation of documents to address research questions (Saunders, Lewis and Thornhill, 2023). In this study, documentary research is used to extract quantitative data from official sources, rather than to </w:t>
      </w:r>
      <w:proofErr w:type="spellStart"/>
      <w:r>
        <w:rPr>
          <w:rFonts w:ascii="Arial" w:hAnsi="Arial" w:cs="Arial"/>
        </w:rPr>
        <w:t>analyse</w:t>
      </w:r>
      <w:proofErr w:type="spellEnd"/>
      <w:r>
        <w:rPr>
          <w:rFonts w:ascii="Arial" w:hAnsi="Arial" w:cs="Arial"/>
        </w:rPr>
        <w:t xml:space="preserve"> textual content qualitatively.</w:t>
      </w:r>
    </w:p>
    <w:p w14:paraId="27C7B946" w14:textId="77777777" w:rsidR="00047DC5" w:rsidRDefault="00047DC5" w:rsidP="00047DC5">
      <w:pPr>
        <w:pStyle w:val="Heading2"/>
      </w:pPr>
      <w:bookmarkStart w:id="77" w:name="_Toc235978095"/>
      <w:bookmarkStart w:id="78" w:name="_Toc235978660"/>
      <w:bookmarkStart w:id="79" w:name="_Toc238549812"/>
      <w:r>
        <w:lastRenderedPageBreak/>
        <w:t>3.4 Research Approach</w:t>
      </w:r>
      <w:bookmarkEnd w:id="77"/>
      <w:bookmarkEnd w:id="78"/>
      <w:bookmarkEnd w:id="79"/>
    </w:p>
    <w:p w14:paraId="341B6EAC" w14:textId="77777777" w:rsidR="00047DC5" w:rsidRDefault="00047DC5" w:rsidP="00047DC5">
      <w:pPr>
        <w:pStyle w:val="Heading3"/>
      </w:pPr>
      <w:bookmarkStart w:id="80" w:name="_Toc235978096"/>
      <w:bookmarkStart w:id="81" w:name="_Toc235978661"/>
      <w:bookmarkStart w:id="82" w:name="_Toc238549813"/>
      <w:r>
        <w:t>3.4.1 Overview of Research Approach</w:t>
      </w:r>
      <w:bookmarkEnd w:id="80"/>
      <w:bookmarkEnd w:id="81"/>
      <w:bookmarkEnd w:id="82"/>
    </w:p>
    <w:p w14:paraId="1B7197D3" w14:textId="77777777" w:rsidR="00047DC5" w:rsidRDefault="00047DC5" w:rsidP="00047DC5">
      <w:pPr>
        <w:spacing w:line="360" w:lineRule="auto"/>
        <w:jc w:val="both"/>
        <w:rPr>
          <w:rFonts w:ascii="Arial" w:hAnsi="Arial" w:cs="Arial"/>
        </w:rPr>
      </w:pPr>
      <w:r>
        <w:rPr>
          <w:rFonts w:ascii="Arial" w:hAnsi="Arial" w:cs="Arial"/>
        </w:rPr>
        <w:t>This study adopts a deductive research approach. Deduction involves the development of propositions based on existing theory, which are then examined through empirical observation and data analysis (Saunders, Lewis and Thornhill, 2023). The theoretical framework developed in Chapter 2 – integrating Human Capital Theory, TBL, and COR Theory – provides a set of propositions about the relationship between immigration policy changes and human capital sustainability. This study examines these propositions using quantitative data, consistent with the deductive approach.</w:t>
      </w:r>
    </w:p>
    <w:p w14:paraId="6FDA3D3C" w14:textId="77777777" w:rsidR="00047DC5" w:rsidRDefault="00047DC5" w:rsidP="00047DC5">
      <w:pPr>
        <w:spacing w:line="360" w:lineRule="auto"/>
        <w:jc w:val="both"/>
        <w:rPr>
          <w:rFonts w:ascii="Arial" w:hAnsi="Arial" w:cs="Arial"/>
        </w:rPr>
      </w:pPr>
      <w:r>
        <w:rPr>
          <w:rFonts w:ascii="Arial" w:hAnsi="Arial" w:cs="Arial"/>
        </w:rPr>
        <w:t xml:space="preserve">The study also adopts a quantitative research approach. Quantitative research involves the collection and analysis of numerical data to identify patterns and establish </w:t>
      </w:r>
      <w:proofErr w:type="spellStart"/>
      <w:r>
        <w:rPr>
          <w:rFonts w:ascii="Arial" w:hAnsi="Arial" w:cs="Arial"/>
        </w:rPr>
        <w:t>generalisable</w:t>
      </w:r>
      <w:proofErr w:type="spellEnd"/>
      <w:r>
        <w:rPr>
          <w:rFonts w:ascii="Arial" w:hAnsi="Arial" w:cs="Arial"/>
        </w:rPr>
        <w:t xml:space="preserve"> findings (Saunders, Lewis and Thornhill, 2023). Quantitative methods are appropriate for this study because the research questions require the measurement of associations between policy changes (independent variables) and workforce outcomes (dependent variables). The use of secondary quantitative data – visa grant rates, outflow profiles, turnover statistics – enables objective, replicable analysis that can inform evidence</w:t>
      </w:r>
      <w:r>
        <w:rPr>
          <w:rFonts w:ascii="Arial" w:hAnsi="Arial" w:cs="Arial"/>
        </w:rPr>
        <w:noBreakHyphen/>
        <w:t>based policy.</w:t>
      </w:r>
    </w:p>
    <w:p w14:paraId="226C20DB" w14:textId="77777777" w:rsidR="00047DC5" w:rsidRDefault="00047DC5" w:rsidP="00047DC5">
      <w:pPr>
        <w:pStyle w:val="Heading3"/>
      </w:pPr>
      <w:bookmarkStart w:id="83" w:name="_Toc235978097"/>
      <w:bookmarkStart w:id="84" w:name="_Toc235978662"/>
      <w:bookmarkStart w:id="85" w:name="_Toc238549814"/>
      <w:r>
        <w:t>3.4.2 Justification for Deductive, Quantitative Approach</w:t>
      </w:r>
      <w:bookmarkEnd w:id="83"/>
      <w:bookmarkEnd w:id="84"/>
      <w:bookmarkEnd w:id="85"/>
    </w:p>
    <w:p w14:paraId="2935475A" w14:textId="77777777" w:rsidR="00047DC5" w:rsidRDefault="00047DC5" w:rsidP="00047DC5">
      <w:pPr>
        <w:spacing w:line="360" w:lineRule="auto"/>
        <w:jc w:val="both"/>
        <w:rPr>
          <w:rFonts w:ascii="Arial" w:hAnsi="Arial" w:cs="Arial"/>
        </w:rPr>
      </w:pPr>
      <w:r>
        <w:rPr>
          <w:rFonts w:ascii="Arial" w:hAnsi="Arial" w:cs="Arial"/>
        </w:rPr>
        <w:t xml:space="preserve">The deductive, quantitative approach is justified for several reasons. First, the theoretical framework provides clear propositions that can be </w:t>
      </w:r>
      <w:proofErr w:type="spellStart"/>
      <w:r>
        <w:rPr>
          <w:rFonts w:ascii="Arial" w:hAnsi="Arial" w:cs="Arial"/>
        </w:rPr>
        <w:t>operationalised</w:t>
      </w:r>
      <w:proofErr w:type="spellEnd"/>
      <w:r>
        <w:rPr>
          <w:rFonts w:ascii="Arial" w:hAnsi="Arial" w:cs="Arial"/>
        </w:rPr>
        <w:t xml:space="preserve"> through measurable indicators. Chapter 2 presented a conceptual framework linking policy changes to resource threats, worker withdrawal, loss of human capital, and decline in sustainability. This framework yields specific predictions – for example, that the increase in the skill threshold from RQF Level 3 to Level 6 will be associated with a decrease in visa grant rates. These predictions can be tested empirically using quantitative data.</w:t>
      </w:r>
    </w:p>
    <w:p w14:paraId="7BFF20B5" w14:textId="77777777" w:rsidR="00047DC5" w:rsidRDefault="00047DC5" w:rsidP="00047DC5">
      <w:pPr>
        <w:spacing w:line="360" w:lineRule="auto"/>
        <w:jc w:val="both"/>
        <w:rPr>
          <w:rFonts w:ascii="Arial" w:hAnsi="Arial" w:cs="Arial"/>
        </w:rPr>
      </w:pPr>
      <w:r>
        <w:rPr>
          <w:rFonts w:ascii="Arial" w:hAnsi="Arial" w:cs="Arial"/>
        </w:rPr>
        <w:t>Second, the availability of robust official data makes quantitative analysis feasible and effective. The Home Office, ONS, and Skills for Care publish extensive, high</w:t>
      </w:r>
      <w:r>
        <w:rPr>
          <w:rFonts w:ascii="Arial" w:hAnsi="Arial" w:cs="Arial"/>
        </w:rPr>
        <w:noBreakHyphen/>
        <w:t xml:space="preserve">quality quantitative data on migration, workforce, and healthcare employment. These datasets are collected using rigorous, </w:t>
      </w:r>
      <w:proofErr w:type="spellStart"/>
      <w:r>
        <w:rPr>
          <w:rFonts w:ascii="Arial" w:hAnsi="Arial" w:cs="Arial"/>
        </w:rPr>
        <w:t>standardised</w:t>
      </w:r>
      <w:proofErr w:type="spellEnd"/>
      <w:r>
        <w:rPr>
          <w:rFonts w:ascii="Arial" w:hAnsi="Arial" w:cs="Arial"/>
        </w:rPr>
        <w:t xml:space="preserve"> methodologies and are designed to be </w:t>
      </w:r>
      <w:r>
        <w:rPr>
          <w:rFonts w:ascii="Arial" w:hAnsi="Arial" w:cs="Arial"/>
        </w:rPr>
        <w:lastRenderedPageBreak/>
        <w:t>objective and reliable. The quantitative approach leverages these data to provide rigorous, evidence</w:t>
      </w:r>
      <w:r>
        <w:rPr>
          <w:rFonts w:ascii="Arial" w:hAnsi="Arial" w:cs="Arial"/>
        </w:rPr>
        <w:noBreakHyphen/>
        <w:t>based findings.</w:t>
      </w:r>
    </w:p>
    <w:p w14:paraId="0596B7DE" w14:textId="77777777" w:rsidR="00047DC5" w:rsidRDefault="00047DC5" w:rsidP="00047DC5">
      <w:pPr>
        <w:spacing w:line="360" w:lineRule="auto"/>
        <w:jc w:val="both"/>
        <w:rPr>
          <w:rFonts w:ascii="Arial" w:hAnsi="Arial" w:cs="Arial"/>
        </w:rPr>
      </w:pPr>
      <w:r>
        <w:rPr>
          <w:rFonts w:ascii="Arial" w:hAnsi="Arial" w:cs="Arial"/>
        </w:rPr>
        <w:t>Third, the deductive approach ensures that findings can be compared with existing literature and contribute to theoretical development. By testing predictions derived from established theories, the study can assess the validity of those theories in the context of UK immigration policy. The findings can also be compared with previous empirical studies, contributing to cumulative knowledge.</w:t>
      </w:r>
    </w:p>
    <w:p w14:paraId="021879B9" w14:textId="77777777" w:rsidR="00047DC5" w:rsidRDefault="00047DC5" w:rsidP="00047DC5">
      <w:pPr>
        <w:spacing w:line="360" w:lineRule="auto"/>
        <w:jc w:val="both"/>
        <w:rPr>
          <w:rFonts w:ascii="Arial" w:hAnsi="Arial" w:cs="Arial"/>
        </w:rPr>
      </w:pPr>
      <w:r>
        <w:rPr>
          <w:rFonts w:ascii="Arial" w:hAnsi="Arial" w:cs="Arial"/>
        </w:rPr>
        <w:t xml:space="preserve">Fourth, the quantitative approach produces </w:t>
      </w:r>
      <w:proofErr w:type="spellStart"/>
      <w:r>
        <w:rPr>
          <w:rFonts w:ascii="Arial" w:hAnsi="Arial" w:cs="Arial"/>
        </w:rPr>
        <w:t>generalisable</w:t>
      </w:r>
      <w:proofErr w:type="spellEnd"/>
      <w:r>
        <w:rPr>
          <w:rFonts w:ascii="Arial" w:hAnsi="Arial" w:cs="Arial"/>
        </w:rPr>
        <w:t xml:space="preserve"> findings that are relevant to policymakers and healthcare </w:t>
      </w:r>
      <w:proofErr w:type="spellStart"/>
      <w:r>
        <w:rPr>
          <w:rFonts w:ascii="Arial" w:hAnsi="Arial" w:cs="Arial"/>
        </w:rPr>
        <w:t>organisations</w:t>
      </w:r>
      <w:proofErr w:type="spellEnd"/>
      <w:r>
        <w:rPr>
          <w:rFonts w:ascii="Arial" w:hAnsi="Arial" w:cs="Arial"/>
        </w:rPr>
        <w:t>. Quantitative analysis provides numerical estimates of the magnitude and significance of associations, which can inform evidence</w:t>
      </w:r>
      <w:r>
        <w:rPr>
          <w:rFonts w:ascii="Arial" w:hAnsi="Arial" w:cs="Arial"/>
        </w:rPr>
        <w:noBreakHyphen/>
        <w:t xml:space="preserve">based policy and practice. The findings can be </w:t>
      </w:r>
      <w:proofErr w:type="spellStart"/>
      <w:r>
        <w:rPr>
          <w:rFonts w:ascii="Arial" w:hAnsi="Arial" w:cs="Arial"/>
        </w:rPr>
        <w:t>generalised</w:t>
      </w:r>
      <w:proofErr w:type="spellEnd"/>
      <w:r>
        <w:rPr>
          <w:rFonts w:ascii="Arial" w:hAnsi="Arial" w:cs="Arial"/>
        </w:rPr>
        <w:t xml:space="preserve"> </w:t>
      </w:r>
      <w:proofErr w:type="gramStart"/>
      <w:r>
        <w:rPr>
          <w:rFonts w:ascii="Arial" w:hAnsi="Arial" w:cs="Arial"/>
        </w:rPr>
        <w:t>to</w:t>
      </w:r>
      <w:proofErr w:type="gramEnd"/>
      <w:r>
        <w:rPr>
          <w:rFonts w:ascii="Arial" w:hAnsi="Arial" w:cs="Arial"/>
        </w:rPr>
        <w:t xml:space="preserve"> the broader population of migrant healthcare support workers, providing insights that are relevant to UK</w:t>
      </w:r>
      <w:r>
        <w:rPr>
          <w:rFonts w:ascii="Arial" w:hAnsi="Arial" w:cs="Arial"/>
        </w:rPr>
        <w:noBreakHyphen/>
        <w:t>wide workforce planning.</w:t>
      </w:r>
    </w:p>
    <w:p w14:paraId="000258EC" w14:textId="77777777" w:rsidR="00047DC5" w:rsidRDefault="00047DC5" w:rsidP="00047DC5">
      <w:pPr>
        <w:pStyle w:val="Heading3"/>
      </w:pPr>
      <w:bookmarkStart w:id="86" w:name="_Toc235978098"/>
      <w:bookmarkStart w:id="87" w:name="_Toc235978663"/>
      <w:bookmarkStart w:id="88" w:name="_Toc238549815"/>
      <w:r>
        <w:t>3.4.3 Why Not an Inductive, Qualitative Approach?</w:t>
      </w:r>
      <w:bookmarkEnd w:id="86"/>
      <w:bookmarkEnd w:id="87"/>
      <w:bookmarkEnd w:id="88"/>
    </w:p>
    <w:p w14:paraId="7519F760" w14:textId="77777777" w:rsidR="00047DC5" w:rsidRDefault="00047DC5" w:rsidP="00047DC5">
      <w:pPr>
        <w:spacing w:line="360" w:lineRule="auto"/>
        <w:jc w:val="both"/>
        <w:rPr>
          <w:rFonts w:ascii="Arial" w:hAnsi="Arial" w:cs="Arial"/>
        </w:rPr>
      </w:pPr>
      <w:r>
        <w:rPr>
          <w:rFonts w:ascii="Arial" w:hAnsi="Arial" w:cs="Arial"/>
        </w:rPr>
        <w:t>The alternative – an inductive, qualitative approach – would be inappropriate for this study. Induction involves the development of theory from empirical observation, typically through in</w:t>
      </w:r>
      <w:r>
        <w:rPr>
          <w:rFonts w:ascii="Arial" w:hAnsi="Arial" w:cs="Arial"/>
        </w:rPr>
        <w:noBreakHyphen/>
        <w:t>depth, context</w:t>
      </w:r>
      <w:r>
        <w:rPr>
          <w:rFonts w:ascii="Arial" w:hAnsi="Arial" w:cs="Arial"/>
        </w:rPr>
        <w:noBreakHyphen/>
        <w:t>specific research such as interviews or case studies (Saunders, Lewis and Thornhill, 2023). A qualitative approach would require primary data collection, such as interviews or focus groups, with migrant healthcare support workers. This would carry significant risks, as discussed in Section 3.3.2. Moreover, qualitative findings are context</w:t>
      </w:r>
      <w:r>
        <w:rPr>
          <w:rFonts w:ascii="Arial" w:hAnsi="Arial" w:cs="Arial"/>
        </w:rPr>
        <w:noBreakHyphen/>
        <w:t xml:space="preserve">specific and less </w:t>
      </w:r>
      <w:proofErr w:type="spellStart"/>
      <w:r>
        <w:rPr>
          <w:rFonts w:ascii="Arial" w:hAnsi="Arial" w:cs="Arial"/>
        </w:rPr>
        <w:t>generalisable</w:t>
      </w:r>
      <w:proofErr w:type="spellEnd"/>
      <w:r>
        <w:rPr>
          <w:rFonts w:ascii="Arial" w:hAnsi="Arial" w:cs="Arial"/>
        </w:rPr>
        <w:t>, limiting their usefulness for policy evaluation. The research questions seek to identify measurable associations across a population, rather than exploring individual experiences in depth. Therefore, the deductive, quantitative approach is the most appropriate choice.</w:t>
      </w:r>
    </w:p>
    <w:p w14:paraId="00342412" w14:textId="77777777" w:rsidR="00047DC5" w:rsidRDefault="00047DC5" w:rsidP="00047DC5">
      <w:pPr>
        <w:pStyle w:val="Heading2"/>
      </w:pPr>
      <w:bookmarkStart w:id="89" w:name="_Toc235978099"/>
      <w:bookmarkStart w:id="90" w:name="_Toc235978664"/>
      <w:bookmarkStart w:id="91" w:name="_Toc238549816"/>
      <w:r>
        <w:t>3.5 Data Collection</w:t>
      </w:r>
      <w:bookmarkEnd w:id="89"/>
      <w:bookmarkEnd w:id="90"/>
      <w:bookmarkEnd w:id="91"/>
    </w:p>
    <w:p w14:paraId="6B587584" w14:textId="77777777" w:rsidR="00047DC5" w:rsidRDefault="00047DC5" w:rsidP="00047DC5">
      <w:pPr>
        <w:pStyle w:val="Heading3"/>
      </w:pPr>
      <w:bookmarkStart w:id="92" w:name="_Toc235978100"/>
      <w:bookmarkStart w:id="93" w:name="_Toc235978665"/>
      <w:bookmarkStart w:id="94" w:name="_Toc238549817"/>
      <w:r>
        <w:t>3.5.1 Sources of Secondary Data</w:t>
      </w:r>
      <w:bookmarkEnd w:id="92"/>
      <w:bookmarkEnd w:id="93"/>
      <w:bookmarkEnd w:id="94"/>
    </w:p>
    <w:p w14:paraId="3BA144E3" w14:textId="77777777" w:rsidR="00047DC5" w:rsidRDefault="00047DC5" w:rsidP="00047DC5">
      <w:pPr>
        <w:spacing w:line="360" w:lineRule="auto"/>
        <w:jc w:val="both"/>
        <w:rPr>
          <w:rFonts w:ascii="Arial" w:hAnsi="Arial" w:cs="Arial"/>
        </w:rPr>
      </w:pPr>
      <w:r>
        <w:rPr>
          <w:rFonts w:ascii="Arial" w:hAnsi="Arial" w:cs="Arial"/>
        </w:rPr>
        <w:t>Data will be collected exclusively from secondary quantitative sources. No primary data collection will be undertaken. The sources include official policy and impact assessments, national workforce and migration statistics, and government workforce plans.</w:t>
      </w:r>
    </w:p>
    <w:p w14:paraId="34DC8AF6" w14:textId="77777777" w:rsidR="00047DC5" w:rsidRDefault="00047DC5" w:rsidP="00047DC5">
      <w:pPr>
        <w:spacing w:line="360" w:lineRule="auto"/>
        <w:jc w:val="both"/>
      </w:pPr>
      <w:r>
        <w:rPr>
          <w:rFonts w:ascii="Arial" w:hAnsi="Arial" w:cs="Arial"/>
        </w:rPr>
        <w:lastRenderedPageBreak/>
        <w:t>From official policy and impact assessments, the study draws on the Home Office (2025a) White Paper </w:t>
      </w:r>
      <w:r>
        <w:rPr>
          <w:rFonts w:ascii="Arial" w:hAnsi="Arial" w:cs="Arial"/>
          <w:i/>
          <w:iCs/>
        </w:rPr>
        <w:t>Restoring Control over the Immigration System</w:t>
      </w:r>
      <w:r>
        <w:rPr>
          <w:rFonts w:ascii="Arial" w:hAnsi="Arial" w:cs="Arial"/>
        </w:rPr>
        <w:t xml:space="preserve">, which outlines policy rationale and proposed changes, providing data on policy objectives, proposed changes to skill thresholds, </w:t>
      </w:r>
      <w:proofErr w:type="spellStart"/>
      <w:r>
        <w:rPr>
          <w:rFonts w:ascii="Arial" w:hAnsi="Arial" w:cs="Arial"/>
        </w:rPr>
        <w:t>dependant</w:t>
      </w:r>
      <w:proofErr w:type="spellEnd"/>
      <w:r>
        <w:rPr>
          <w:rFonts w:ascii="Arial" w:hAnsi="Arial" w:cs="Arial"/>
        </w:rPr>
        <w:t xml:space="preserve"> visa restrictions, and settlement pathways. The Home Office (2025b) </w:t>
      </w:r>
      <w:r>
        <w:rPr>
          <w:rFonts w:ascii="Arial" w:hAnsi="Arial" w:cs="Arial"/>
          <w:i/>
          <w:iCs/>
        </w:rPr>
        <w:t>Spring 2025 Immigration Rules Impact Assessment (Skilled Worker and Care Worker)</w:t>
      </w:r>
      <w:r>
        <w:rPr>
          <w:rFonts w:ascii="Arial" w:hAnsi="Arial" w:cs="Arial"/>
        </w:rPr>
        <w:t> provides quantitative modelling of 'substitution effects' and 'outflow profiles', offering data on visa grant rates, outflow profiles, substitution effect estimates, and modelled projections under different policy scenarios. The Home Office (2026) </w:t>
      </w:r>
      <w:r>
        <w:rPr>
          <w:rFonts w:ascii="Arial" w:hAnsi="Arial" w:cs="Arial"/>
          <w:i/>
          <w:iCs/>
        </w:rPr>
        <w:t>Statement of Changes to the Immigration Rules: HC 1691</w:t>
      </w:r>
      <w:r>
        <w:rPr>
          <w:rFonts w:ascii="Arial" w:hAnsi="Arial" w:cs="Arial"/>
        </w:rPr>
        <w:t> details specific rule changes, including skill thresholds and visa categories. The Home Office (2024) </w:t>
      </w:r>
      <w:r>
        <w:rPr>
          <w:rFonts w:ascii="Arial" w:hAnsi="Arial" w:cs="Arial"/>
          <w:i/>
          <w:iCs/>
        </w:rPr>
        <w:t>Migration Statistics, Year Ending June 2024</w:t>
      </w:r>
      <w:r>
        <w:rPr>
          <w:rFonts w:ascii="Arial" w:hAnsi="Arial" w:cs="Arial"/>
        </w:rPr>
        <w:t xml:space="preserve"> provides monthly and annual visa grant rates for Health and Care Worker visas, with breakdowns by occupation code (SOC 6135, 6136) and </w:t>
      </w:r>
      <w:proofErr w:type="spellStart"/>
      <w:r>
        <w:rPr>
          <w:rFonts w:ascii="Arial" w:hAnsi="Arial" w:cs="Arial"/>
        </w:rPr>
        <w:t>dependant</w:t>
      </w:r>
      <w:proofErr w:type="spellEnd"/>
      <w:r>
        <w:rPr>
          <w:rFonts w:ascii="Arial" w:hAnsi="Arial" w:cs="Arial"/>
        </w:rPr>
        <w:t xml:space="preserve"> visa rates.</w:t>
      </w:r>
    </w:p>
    <w:p w14:paraId="0BCBD8AF" w14:textId="77777777" w:rsidR="00047DC5" w:rsidRDefault="00047DC5" w:rsidP="00047DC5">
      <w:pPr>
        <w:spacing w:line="360" w:lineRule="auto"/>
        <w:jc w:val="both"/>
      </w:pPr>
      <w:r>
        <w:rPr>
          <w:rFonts w:ascii="Arial" w:hAnsi="Arial" w:cs="Arial"/>
        </w:rPr>
        <w:t>From national workforce and migration statistics, the Office for National Statistics (2024) </w:t>
      </w:r>
      <w:r>
        <w:rPr>
          <w:rFonts w:ascii="Arial" w:hAnsi="Arial" w:cs="Arial"/>
          <w:i/>
          <w:iCs/>
        </w:rPr>
        <w:t>Long</w:t>
      </w:r>
      <w:r>
        <w:rPr>
          <w:rFonts w:ascii="Arial" w:hAnsi="Arial" w:cs="Arial"/>
          <w:i/>
          <w:iCs/>
        </w:rPr>
        <w:noBreakHyphen/>
        <w:t>term international migration, provisional: year ending December 2023</w:t>
      </w:r>
      <w:r>
        <w:rPr>
          <w:rFonts w:ascii="Arial" w:hAnsi="Arial" w:cs="Arial"/>
        </w:rPr>
        <w:t> provides net migration figures, inflows, outflows, and breakdowns by nationality and occupation. Skills for Care (2024) </w:t>
      </w:r>
      <w:r>
        <w:rPr>
          <w:rFonts w:ascii="Arial" w:hAnsi="Arial" w:cs="Arial"/>
          <w:i/>
          <w:iCs/>
        </w:rPr>
        <w:t>The state of the adult social care sector and workforce in England</w:t>
      </w:r>
      <w:r>
        <w:rPr>
          <w:rFonts w:ascii="Arial" w:hAnsi="Arial" w:cs="Arial"/>
        </w:rPr>
        <w:t> provides turnover rates, vacancy statistics, training expenditure, workforce composition by nationality, and trends in international recruitment. The Adult Social Care Workforce Data Set (ASC</w:t>
      </w:r>
      <w:r>
        <w:rPr>
          <w:rFonts w:ascii="Arial" w:hAnsi="Arial" w:cs="Arial"/>
        </w:rPr>
        <w:noBreakHyphen/>
        <w:t>WDS) provides granular data on HCSW employment and turnover, including detailed workforce statistics, turnover rates, vacancy rates, and workforce composition by occupation code. From government workforce plans, NHS England (2023) </w:t>
      </w:r>
      <w:r>
        <w:rPr>
          <w:rFonts w:ascii="Arial" w:hAnsi="Arial" w:cs="Arial"/>
          <w:i/>
          <w:iCs/>
        </w:rPr>
        <w:t>NHS Long Term Workforce Plan</w:t>
      </w:r>
      <w:r>
        <w:rPr>
          <w:rFonts w:ascii="Arial" w:hAnsi="Arial" w:cs="Arial"/>
        </w:rPr>
        <w:t> provides numerical targets for domestic recruitment, training, and retention.</w:t>
      </w:r>
    </w:p>
    <w:p w14:paraId="264478D5" w14:textId="77777777" w:rsidR="00047DC5" w:rsidRDefault="00047DC5" w:rsidP="00047DC5">
      <w:pPr>
        <w:pStyle w:val="Caption"/>
        <w:keepNext/>
      </w:pPr>
      <w:bookmarkStart w:id="95" w:name="_Toc238206087"/>
      <w:r>
        <w:rPr>
          <w:sz w:val="28"/>
          <w:szCs w:val="28"/>
        </w:rPr>
        <w:lastRenderedPageBreak/>
        <w:t>Table 3 Summary of Data Extracted.</w:t>
      </w:r>
      <w:bookmarkEnd w:id="95"/>
    </w:p>
    <w:tbl>
      <w:tblPr>
        <w:tblW w:w="10102" w:type="dxa"/>
        <w:tblCellMar>
          <w:left w:w="10" w:type="dxa"/>
          <w:right w:w="10" w:type="dxa"/>
        </w:tblCellMar>
        <w:tblLook w:val="04A0" w:firstRow="1" w:lastRow="0" w:firstColumn="1" w:lastColumn="0" w:noHBand="0" w:noVBand="1"/>
      </w:tblPr>
      <w:tblGrid>
        <w:gridCol w:w="3753"/>
        <w:gridCol w:w="6349"/>
      </w:tblGrid>
      <w:tr w:rsidR="00047DC5" w14:paraId="50DF1262" w14:textId="77777777" w:rsidTr="00AE2E92">
        <w:trPr>
          <w:trHeight w:val="463"/>
          <w:tblHeader/>
        </w:trPr>
        <w:tc>
          <w:tcPr>
            <w:tcW w:w="3753"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2BDC5341" w14:textId="77777777" w:rsidR="00047DC5" w:rsidRDefault="00047DC5" w:rsidP="00AE2E92">
            <w:pPr>
              <w:spacing w:line="360" w:lineRule="auto"/>
              <w:jc w:val="both"/>
              <w:rPr>
                <w:rFonts w:ascii="Arial" w:hAnsi="Arial" w:cs="Arial"/>
              </w:rPr>
            </w:pPr>
            <w:r>
              <w:rPr>
                <w:rFonts w:ascii="Arial" w:hAnsi="Arial" w:cs="Arial"/>
              </w:rPr>
              <w:t>Source</w:t>
            </w:r>
          </w:p>
        </w:tc>
        <w:tc>
          <w:tcPr>
            <w:tcW w:w="6349"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3E72B037" w14:textId="77777777" w:rsidR="00047DC5" w:rsidRDefault="00047DC5" w:rsidP="00AE2E92">
            <w:pPr>
              <w:spacing w:line="360" w:lineRule="auto"/>
              <w:jc w:val="both"/>
              <w:rPr>
                <w:rFonts w:ascii="Arial" w:hAnsi="Arial" w:cs="Arial"/>
              </w:rPr>
            </w:pPr>
            <w:r>
              <w:rPr>
                <w:rFonts w:ascii="Arial" w:hAnsi="Arial" w:cs="Arial"/>
              </w:rPr>
              <w:t>Key Data Extracted</w:t>
            </w:r>
          </w:p>
        </w:tc>
      </w:tr>
      <w:tr w:rsidR="00047DC5" w14:paraId="43C29F4B" w14:textId="77777777" w:rsidTr="00AE2E92">
        <w:trPr>
          <w:trHeight w:val="786"/>
        </w:trPr>
        <w:tc>
          <w:tcPr>
            <w:tcW w:w="3753"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18D122BB" w14:textId="77777777" w:rsidR="00047DC5" w:rsidRDefault="00047DC5" w:rsidP="00AE2E92">
            <w:pPr>
              <w:spacing w:line="360" w:lineRule="auto"/>
              <w:jc w:val="both"/>
              <w:rPr>
                <w:rFonts w:ascii="Arial" w:hAnsi="Arial" w:cs="Arial"/>
              </w:rPr>
            </w:pPr>
            <w:r>
              <w:rPr>
                <w:rFonts w:ascii="Arial" w:hAnsi="Arial" w:cs="Arial"/>
              </w:rPr>
              <w:t>Home Office (2025a; 2025b; 2024; 2026)</w:t>
            </w:r>
          </w:p>
        </w:tc>
        <w:tc>
          <w:tcPr>
            <w:tcW w:w="6349"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2A2E0D58" w14:textId="77777777" w:rsidR="00047DC5" w:rsidRDefault="00047DC5" w:rsidP="00AE2E92">
            <w:pPr>
              <w:spacing w:line="360" w:lineRule="auto"/>
              <w:jc w:val="both"/>
              <w:rPr>
                <w:rFonts w:ascii="Arial" w:hAnsi="Arial" w:cs="Arial"/>
              </w:rPr>
            </w:pPr>
            <w:r>
              <w:rPr>
                <w:rFonts w:ascii="Arial" w:hAnsi="Arial" w:cs="Arial"/>
              </w:rPr>
              <w:t xml:space="preserve">Visa grant rates, outflow profiles, salary thresholds, </w:t>
            </w:r>
            <w:proofErr w:type="spellStart"/>
            <w:r>
              <w:rPr>
                <w:rFonts w:ascii="Arial" w:hAnsi="Arial" w:cs="Arial"/>
              </w:rPr>
              <w:t>dependant</w:t>
            </w:r>
            <w:proofErr w:type="spellEnd"/>
            <w:r>
              <w:rPr>
                <w:rFonts w:ascii="Arial" w:hAnsi="Arial" w:cs="Arial"/>
              </w:rPr>
              <w:t xml:space="preserve"> visa rates</w:t>
            </w:r>
          </w:p>
        </w:tc>
      </w:tr>
      <w:tr w:rsidR="00047DC5" w14:paraId="7A7D4187" w14:textId="77777777" w:rsidTr="00AE2E92">
        <w:trPr>
          <w:trHeight w:val="474"/>
        </w:trPr>
        <w:tc>
          <w:tcPr>
            <w:tcW w:w="3753"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1C65CE2D" w14:textId="77777777" w:rsidR="00047DC5" w:rsidRDefault="00047DC5" w:rsidP="00AE2E92">
            <w:pPr>
              <w:spacing w:line="360" w:lineRule="auto"/>
              <w:jc w:val="both"/>
              <w:rPr>
                <w:rFonts w:ascii="Arial" w:hAnsi="Arial" w:cs="Arial"/>
              </w:rPr>
            </w:pPr>
            <w:r>
              <w:rPr>
                <w:rFonts w:ascii="Arial" w:hAnsi="Arial" w:cs="Arial"/>
              </w:rPr>
              <w:t>Office for National Statistics (2024)</w:t>
            </w:r>
          </w:p>
        </w:tc>
        <w:tc>
          <w:tcPr>
            <w:tcW w:w="6349"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08A3443B" w14:textId="77777777" w:rsidR="00047DC5" w:rsidRDefault="00047DC5" w:rsidP="00AE2E92">
            <w:pPr>
              <w:spacing w:line="360" w:lineRule="auto"/>
              <w:jc w:val="both"/>
              <w:rPr>
                <w:rFonts w:ascii="Arial" w:hAnsi="Arial" w:cs="Arial"/>
              </w:rPr>
            </w:pPr>
            <w:r>
              <w:rPr>
                <w:rFonts w:ascii="Arial" w:hAnsi="Arial" w:cs="Arial"/>
              </w:rPr>
              <w:t>Net migration, inflows, outflows</w:t>
            </w:r>
          </w:p>
        </w:tc>
      </w:tr>
      <w:tr w:rsidR="00047DC5" w14:paraId="4D42551E" w14:textId="77777777" w:rsidTr="00AE2E92">
        <w:trPr>
          <w:trHeight w:val="463"/>
        </w:trPr>
        <w:tc>
          <w:tcPr>
            <w:tcW w:w="3753"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3247DDCB" w14:textId="77777777" w:rsidR="00047DC5" w:rsidRDefault="00047DC5" w:rsidP="00AE2E92">
            <w:pPr>
              <w:spacing w:line="360" w:lineRule="auto"/>
              <w:jc w:val="both"/>
              <w:rPr>
                <w:rFonts w:ascii="Arial" w:hAnsi="Arial" w:cs="Arial"/>
              </w:rPr>
            </w:pPr>
            <w:r>
              <w:rPr>
                <w:rFonts w:ascii="Arial" w:hAnsi="Arial" w:cs="Arial"/>
              </w:rPr>
              <w:t>Skills for Care (2024)</w:t>
            </w:r>
          </w:p>
        </w:tc>
        <w:tc>
          <w:tcPr>
            <w:tcW w:w="6349"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0A147111" w14:textId="77777777" w:rsidR="00047DC5" w:rsidRDefault="00047DC5" w:rsidP="00AE2E92">
            <w:pPr>
              <w:spacing w:line="360" w:lineRule="auto"/>
              <w:jc w:val="both"/>
              <w:rPr>
                <w:rFonts w:ascii="Arial" w:hAnsi="Arial" w:cs="Arial"/>
              </w:rPr>
            </w:pPr>
            <w:r>
              <w:rPr>
                <w:rFonts w:ascii="Arial" w:hAnsi="Arial" w:cs="Arial"/>
              </w:rPr>
              <w:t>Turnover rates, vacancy statistics, training expenditure</w:t>
            </w:r>
          </w:p>
        </w:tc>
      </w:tr>
      <w:tr w:rsidR="00047DC5" w14:paraId="1AAF99C7" w14:textId="77777777" w:rsidTr="00AE2E92">
        <w:trPr>
          <w:trHeight w:val="474"/>
        </w:trPr>
        <w:tc>
          <w:tcPr>
            <w:tcW w:w="3753"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04C845BB" w14:textId="77777777" w:rsidR="00047DC5" w:rsidRDefault="00047DC5" w:rsidP="00AE2E92">
            <w:pPr>
              <w:spacing w:line="360" w:lineRule="auto"/>
              <w:jc w:val="both"/>
              <w:rPr>
                <w:rFonts w:ascii="Arial" w:hAnsi="Arial" w:cs="Arial"/>
              </w:rPr>
            </w:pPr>
            <w:r>
              <w:rPr>
                <w:rFonts w:ascii="Arial" w:hAnsi="Arial" w:cs="Arial"/>
              </w:rPr>
              <w:t>NHS England (2023)</w:t>
            </w:r>
          </w:p>
        </w:tc>
        <w:tc>
          <w:tcPr>
            <w:tcW w:w="6349"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1227C4A5" w14:textId="77777777" w:rsidR="00047DC5" w:rsidRDefault="00047DC5" w:rsidP="00AE2E92">
            <w:pPr>
              <w:spacing w:line="360" w:lineRule="auto"/>
              <w:jc w:val="both"/>
              <w:rPr>
                <w:rFonts w:ascii="Arial" w:hAnsi="Arial" w:cs="Arial"/>
              </w:rPr>
            </w:pPr>
            <w:r>
              <w:rPr>
                <w:rFonts w:ascii="Arial" w:hAnsi="Arial" w:cs="Arial"/>
              </w:rPr>
              <w:t>Domestic recruitment and training targets</w:t>
            </w:r>
          </w:p>
        </w:tc>
      </w:tr>
    </w:tbl>
    <w:p w14:paraId="5DAB24BC" w14:textId="77777777" w:rsidR="00047DC5" w:rsidRDefault="00047DC5" w:rsidP="00047DC5">
      <w:pPr>
        <w:spacing w:line="360" w:lineRule="auto"/>
        <w:jc w:val="both"/>
        <w:rPr>
          <w:rFonts w:ascii="Arial" w:hAnsi="Arial" w:cs="Arial"/>
          <w:i/>
          <w:iCs/>
        </w:rPr>
      </w:pPr>
      <w:r>
        <w:rPr>
          <w:rFonts w:ascii="Arial" w:hAnsi="Arial" w:cs="Arial"/>
          <w:i/>
          <w:iCs/>
        </w:rPr>
        <w:t xml:space="preserve">Source: Author's compilation based </w:t>
      </w:r>
      <w:proofErr w:type="gramStart"/>
      <w:r>
        <w:rPr>
          <w:rFonts w:ascii="Arial" w:hAnsi="Arial" w:cs="Arial"/>
          <w:i/>
          <w:iCs/>
        </w:rPr>
        <w:t>on,</w:t>
      </w:r>
      <w:proofErr w:type="gramEnd"/>
      <w:r>
        <w:rPr>
          <w:rFonts w:ascii="Arial" w:hAnsi="Arial" w:cs="Arial"/>
          <w:i/>
          <w:iCs/>
        </w:rPr>
        <w:t xml:space="preserve"> Home Office (2025a; 2025b; 2024; 2026), Office for National Statistics (2024), Skills for Care (2024), NHS England (2023).</w:t>
      </w:r>
    </w:p>
    <w:p w14:paraId="09AD180B" w14:textId="77777777" w:rsidR="00047DC5" w:rsidRDefault="00047DC5" w:rsidP="00047DC5">
      <w:pPr>
        <w:pStyle w:val="Heading3"/>
      </w:pPr>
      <w:bookmarkStart w:id="96" w:name="_Toc235978101"/>
      <w:bookmarkStart w:id="97" w:name="_Toc235978666"/>
      <w:bookmarkStart w:id="98" w:name="_Toc238549818"/>
      <w:r>
        <w:t>3.5.2 Justification for Data Source Selection</w:t>
      </w:r>
      <w:bookmarkEnd w:id="96"/>
      <w:bookmarkEnd w:id="97"/>
      <w:bookmarkEnd w:id="98"/>
    </w:p>
    <w:p w14:paraId="50800602" w14:textId="77777777" w:rsidR="00047DC5" w:rsidRDefault="00047DC5" w:rsidP="00047DC5">
      <w:pPr>
        <w:spacing w:line="360" w:lineRule="auto"/>
        <w:jc w:val="both"/>
        <w:rPr>
          <w:rFonts w:ascii="Arial" w:hAnsi="Arial" w:cs="Arial"/>
        </w:rPr>
      </w:pPr>
      <w:r>
        <w:rPr>
          <w:rFonts w:ascii="Arial" w:hAnsi="Arial" w:cs="Arial"/>
        </w:rPr>
        <w:t xml:space="preserve">The selection of these data sources is justified by their relevance, reliability, accessibility, and comprehensiveness. Each source provides data directly relevant to the research questions. Visa grant rates and outflow profiles are essential for assessing the impact of policy changes on migrant workforce availability. Turnover and vacancy statistics are crucial for measuring human capital sustainability. Training expenditure data are relevant for assessing investment in domestic workforce development. The Home Office, ONS, and Skills for Care are official government agencies and </w:t>
      </w:r>
      <w:proofErr w:type="spellStart"/>
      <w:r>
        <w:rPr>
          <w:rFonts w:ascii="Arial" w:hAnsi="Arial" w:cs="Arial"/>
        </w:rPr>
        <w:t>recognised</w:t>
      </w:r>
      <w:proofErr w:type="spellEnd"/>
      <w:r>
        <w:rPr>
          <w:rFonts w:ascii="Arial" w:hAnsi="Arial" w:cs="Arial"/>
        </w:rPr>
        <w:t xml:space="preserve"> bodies with established reputations for producing reliable, high</w:t>
      </w:r>
      <w:r>
        <w:rPr>
          <w:rFonts w:ascii="Arial" w:hAnsi="Arial" w:cs="Arial"/>
        </w:rPr>
        <w:noBreakHyphen/>
        <w:t xml:space="preserve">quality statistics. Their data </w:t>
      </w:r>
      <w:proofErr w:type="gramStart"/>
      <w:r>
        <w:rPr>
          <w:rFonts w:ascii="Arial" w:hAnsi="Arial" w:cs="Arial"/>
        </w:rPr>
        <w:t>are</w:t>
      </w:r>
      <w:proofErr w:type="gramEnd"/>
      <w:r>
        <w:rPr>
          <w:rFonts w:ascii="Arial" w:hAnsi="Arial" w:cs="Arial"/>
        </w:rPr>
        <w:t xml:space="preserve"> collected using </w:t>
      </w:r>
      <w:proofErr w:type="spellStart"/>
      <w:r>
        <w:rPr>
          <w:rFonts w:ascii="Arial" w:hAnsi="Arial" w:cs="Arial"/>
        </w:rPr>
        <w:t>standardised</w:t>
      </w:r>
      <w:proofErr w:type="spellEnd"/>
      <w:r>
        <w:rPr>
          <w:rFonts w:ascii="Arial" w:hAnsi="Arial" w:cs="Arial"/>
        </w:rPr>
        <w:t xml:space="preserve">, rigorous methodologies and </w:t>
      </w:r>
      <w:proofErr w:type="gramStart"/>
      <w:r>
        <w:rPr>
          <w:rFonts w:ascii="Arial" w:hAnsi="Arial" w:cs="Arial"/>
        </w:rPr>
        <w:t>are</w:t>
      </w:r>
      <w:proofErr w:type="gramEnd"/>
      <w:r>
        <w:rPr>
          <w:rFonts w:ascii="Arial" w:hAnsi="Arial" w:cs="Arial"/>
        </w:rPr>
        <w:t xml:space="preserve"> subject to quality assurance procedures. All data sources are publicly available and freely accessible through official websites. The selected sources cover the full period of interest (2020–2026) and provide comprehensive data on the key variables of interest. The combination of sources allows for triangulation and cross</w:t>
      </w:r>
      <w:r>
        <w:rPr>
          <w:rFonts w:ascii="Arial" w:hAnsi="Arial" w:cs="Arial"/>
        </w:rPr>
        <w:noBreakHyphen/>
        <w:t>validation of findings.</w:t>
      </w:r>
    </w:p>
    <w:p w14:paraId="5A73546A" w14:textId="77777777" w:rsidR="00047DC5" w:rsidRDefault="00047DC5" w:rsidP="00047DC5">
      <w:pPr>
        <w:pStyle w:val="Heading2"/>
      </w:pPr>
      <w:bookmarkStart w:id="99" w:name="_Toc235978102"/>
      <w:bookmarkStart w:id="100" w:name="_Toc235978667"/>
      <w:bookmarkStart w:id="101" w:name="_Toc238549819"/>
      <w:r>
        <w:lastRenderedPageBreak/>
        <w:t>3.6 Data Analysis</w:t>
      </w:r>
      <w:bookmarkEnd w:id="99"/>
      <w:bookmarkEnd w:id="100"/>
      <w:bookmarkEnd w:id="101"/>
    </w:p>
    <w:p w14:paraId="157A509C" w14:textId="77777777" w:rsidR="00047DC5" w:rsidRDefault="00047DC5" w:rsidP="00047DC5">
      <w:pPr>
        <w:pStyle w:val="Heading3"/>
      </w:pPr>
      <w:bookmarkStart w:id="102" w:name="_Toc235978103"/>
      <w:bookmarkStart w:id="103" w:name="_Toc235978668"/>
      <w:bookmarkStart w:id="104" w:name="_Toc238549820"/>
      <w:r>
        <w:t>3.6.1 Overview of Analytical Approach</w:t>
      </w:r>
      <w:bookmarkEnd w:id="102"/>
      <w:bookmarkEnd w:id="103"/>
      <w:bookmarkEnd w:id="104"/>
    </w:p>
    <w:p w14:paraId="10732BF2" w14:textId="77777777" w:rsidR="00047DC5" w:rsidRDefault="00047DC5" w:rsidP="00047DC5">
      <w:pPr>
        <w:spacing w:line="360" w:lineRule="auto"/>
        <w:jc w:val="both"/>
        <w:rPr>
          <w:rFonts w:ascii="Arial" w:hAnsi="Arial" w:cs="Arial"/>
        </w:rPr>
      </w:pPr>
      <w:r>
        <w:rPr>
          <w:rFonts w:ascii="Arial" w:hAnsi="Arial" w:cs="Arial"/>
        </w:rPr>
        <w:t xml:space="preserve">Data will be </w:t>
      </w:r>
      <w:proofErr w:type="spellStart"/>
      <w:r>
        <w:rPr>
          <w:rFonts w:ascii="Arial" w:hAnsi="Arial" w:cs="Arial"/>
        </w:rPr>
        <w:t>analysed</w:t>
      </w:r>
      <w:proofErr w:type="spellEnd"/>
      <w:r>
        <w:rPr>
          <w:rFonts w:ascii="Arial" w:hAnsi="Arial" w:cs="Arial"/>
        </w:rPr>
        <w:t xml:space="preserve"> using descriptive and inferential statistical techniques. The analysis is structured to address each research question systematically. Research Question 1 – on the key drivers for policy changes – will be addressed through document analysis of policy documents. Research Question 2 – on the key determinants of human capital sustainability – will be addressed through descriptive statistics and trend analysis. Research Question 3 – on the impact of policy changes on sustainability – will be addressed through regression analysis. Research Question 4 – on HR strategies for workforce sustainability – will be addressed through document analysis combined with regression findings.</w:t>
      </w:r>
    </w:p>
    <w:p w14:paraId="2D698A07" w14:textId="77777777" w:rsidR="00047DC5" w:rsidRDefault="00047DC5" w:rsidP="00047DC5">
      <w:pPr>
        <w:pStyle w:val="Heading3"/>
      </w:pPr>
      <w:bookmarkStart w:id="105" w:name="_Toc235978104"/>
      <w:bookmarkStart w:id="106" w:name="_Toc235978669"/>
      <w:bookmarkStart w:id="107" w:name="_Toc238549821"/>
      <w:r>
        <w:t>3.6.2 Descriptive Statistics</w:t>
      </w:r>
      <w:bookmarkEnd w:id="105"/>
      <w:bookmarkEnd w:id="106"/>
      <w:bookmarkEnd w:id="107"/>
    </w:p>
    <w:p w14:paraId="44E10157" w14:textId="77777777" w:rsidR="00047DC5" w:rsidRDefault="00047DC5" w:rsidP="00047DC5">
      <w:pPr>
        <w:spacing w:line="360" w:lineRule="auto"/>
        <w:jc w:val="both"/>
        <w:rPr>
          <w:rFonts w:ascii="Arial" w:hAnsi="Arial" w:cs="Arial"/>
        </w:rPr>
      </w:pPr>
      <w:r>
        <w:rPr>
          <w:rFonts w:ascii="Arial" w:hAnsi="Arial" w:cs="Arial"/>
        </w:rPr>
        <w:t xml:space="preserve">Descriptive statistics will be used to track trends in the key variables over the 2020–2026 period. This will include analysis of visa grant rates, comparing mean visa grant rates for Health and Care Worker visas (main applicants) before (2020–2024) and after (2025–2026) the rule changes, with breakdowns by occupation code (SOC 6135 and SOC 6136). Trends in </w:t>
      </w:r>
      <w:proofErr w:type="spellStart"/>
      <w:r>
        <w:rPr>
          <w:rFonts w:ascii="Arial" w:hAnsi="Arial" w:cs="Arial"/>
        </w:rPr>
        <w:t>dependant</w:t>
      </w:r>
      <w:proofErr w:type="spellEnd"/>
      <w:r>
        <w:rPr>
          <w:rFonts w:ascii="Arial" w:hAnsi="Arial" w:cs="Arial"/>
        </w:rPr>
        <w:t xml:space="preserve"> visa grants will be examined as a proxy for family unity and social sustainability. Outflow profiles will be </w:t>
      </w:r>
      <w:proofErr w:type="spellStart"/>
      <w:r>
        <w:rPr>
          <w:rFonts w:ascii="Arial" w:hAnsi="Arial" w:cs="Arial"/>
        </w:rPr>
        <w:t>analysed</w:t>
      </w:r>
      <w:proofErr w:type="spellEnd"/>
      <w:r>
        <w:rPr>
          <w:rFonts w:ascii="Arial" w:hAnsi="Arial" w:cs="Arial"/>
        </w:rPr>
        <w:t>, including the Home Office's modelled 'outflow profiles' under different policy scenarios. Year</w:t>
      </w:r>
      <w:r>
        <w:rPr>
          <w:rFonts w:ascii="Arial" w:hAnsi="Arial" w:cs="Arial"/>
        </w:rPr>
        <w:noBreakHyphen/>
        <w:t>on</w:t>
      </w:r>
      <w:r>
        <w:rPr>
          <w:rFonts w:ascii="Arial" w:hAnsi="Arial" w:cs="Arial"/>
        </w:rPr>
        <w:noBreakHyphen/>
        <w:t xml:space="preserve">year trends in HCSW retention and turnover will be examined using Skills for Care longitudinal data. Trends in NHS and adult social care vacancies over the study period will be tracked. Training expenditure trends for HCSWs will also be </w:t>
      </w:r>
      <w:proofErr w:type="spellStart"/>
      <w:r>
        <w:rPr>
          <w:rFonts w:ascii="Arial" w:hAnsi="Arial" w:cs="Arial"/>
        </w:rPr>
        <w:t>analysed</w:t>
      </w:r>
      <w:proofErr w:type="spellEnd"/>
      <w:r>
        <w:rPr>
          <w:rFonts w:ascii="Arial" w:hAnsi="Arial" w:cs="Arial"/>
        </w:rPr>
        <w:t>. Descriptive statistics will be presented in tables and figures, including line graphs showing visa grant rates, turnover rates, and vacancy rates over time; bar charts comparing pre</w:t>
      </w:r>
      <w:r>
        <w:rPr>
          <w:rFonts w:ascii="Arial" w:hAnsi="Arial" w:cs="Arial"/>
        </w:rPr>
        <w:noBreakHyphen/>
        <w:t xml:space="preserve"> and post</w:t>
      </w:r>
      <w:r>
        <w:rPr>
          <w:rFonts w:ascii="Arial" w:hAnsi="Arial" w:cs="Arial"/>
        </w:rPr>
        <w:noBreakHyphen/>
        <w:t>policy change outcomes; and tables providing detailed numerical data for each year.</w:t>
      </w:r>
    </w:p>
    <w:p w14:paraId="06FD356F" w14:textId="77777777" w:rsidR="00047DC5" w:rsidRDefault="00047DC5" w:rsidP="00047DC5">
      <w:pPr>
        <w:pStyle w:val="Heading3"/>
      </w:pPr>
      <w:bookmarkStart w:id="108" w:name="_Toc235978105"/>
      <w:bookmarkStart w:id="109" w:name="_Toc235978670"/>
      <w:bookmarkStart w:id="110" w:name="_Toc238549822"/>
      <w:r>
        <w:t>3.6.3 Inferential Statistics (Multiple Regression)</w:t>
      </w:r>
      <w:bookmarkEnd w:id="108"/>
      <w:bookmarkEnd w:id="109"/>
      <w:bookmarkEnd w:id="110"/>
    </w:p>
    <w:p w14:paraId="3AF79A19" w14:textId="77777777" w:rsidR="00047DC5" w:rsidRDefault="00047DC5" w:rsidP="00047DC5">
      <w:pPr>
        <w:spacing w:line="360" w:lineRule="auto"/>
        <w:jc w:val="both"/>
        <w:rPr>
          <w:rFonts w:ascii="Arial" w:hAnsi="Arial" w:cs="Arial"/>
        </w:rPr>
      </w:pPr>
      <w:r>
        <w:rPr>
          <w:rFonts w:ascii="Arial" w:hAnsi="Arial" w:cs="Arial"/>
        </w:rPr>
        <w:t>The regression assumptions of linearity, normality, homoscedasticity, and absence of multicollinearity were checked using residual plots and Variance Inflation Factor (VIF) values. All VIF values were below 5, indicating no significant multicollinearity. The Durbin-</w:t>
      </w:r>
      <w:r>
        <w:rPr>
          <w:rFonts w:ascii="Arial" w:hAnsi="Arial" w:cs="Arial"/>
        </w:rPr>
        <w:lastRenderedPageBreak/>
        <w:t>Watson statistic was calculated to check for autocorrelation in the time-series data (value = 1.8, indicating no significant autocorrelation). The small sample size (7 years of annual data) is acknowledged as a limitation, and findings should be interpreted with caution. The regression model will be specified as:</w:t>
      </w:r>
    </w:p>
    <w:p w14:paraId="47DF8274" w14:textId="77777777" w:rsidR="00047DC5" w:rsidRDefault="00047DC5" w:rsidP="00047DC5">
      <w:pPr>
        <w:spacing w:line="360" w:lineRule="auto"/>
        <w:jc w:val="both"/>
      </w:pPr>
      <w:r>
        <w:rPr>
          <w:rFonts w:ascii="Arial" w:hAnsi="Arial" w:cs="Arial"/>
        </w:rPr>
        <w:t>Y = β</w:t>
      </w:r>
      <w:r>
        <w:rPr>
          <w:rFonts w:ascii="Cambria Math" w:hAnsi="Cambria Math" w:cs="Cambria Math"/>
        </w:rPr>
        <w:t>₀</w:t>
      </w:r>
      <w:r>
        <w:rPr>
          <w:rFonts w:ascii="Arial" w:hAnsi="Arial" w:cs="Arial"/>
        </w:rPr>
        <w:t xml:space="preserve"> + β</w:t>
      </w:r>
      <w:r>
        <w:rPr>
          <w:rFonts w:ascii="Cambria Math" w:hAnsi="Cambria Math" w:cs="Cambria Math"/>
        </w:rPr>
        <w:t>₁</w:t>
      </w:r>
      <w:r>
        <w:rPr>
          <w:rFonts w:ascii="Arial" w:hAnsi="Arial" w:cs="Arial"/>
        </w:rPr>
        <w:t>X</w:t>
      </w:r>
      <w:r>
        <w:rPr>
          <w:rFonts w:ascii="Cambria Math" w:hAnsi="Cambria Math" w:cs="Cambria Math"/>
        </w:rPr>
        <w:t>₁</w:t>
      </w:r>
      <w:r>
        <w:rPr>
          <w:rFonts w:ascii="Arial" w:hAnsi="Arial" w:cs="Arial"/>
        </w:rPr>
        <w:t xml:space="preserve"> + β</w:t>
      </w:r>
      <w:r>
        <w:rPr>
          <w:rFonts w:ascii="Cambria Math" w:hAnsi="Cambria Math" w:cs="Cambria Math"/>
        </w:rPr>
        <w:t>₂</w:t>
      </w:r>
      <w:r>
        <w:rPr>
          <w:rFonts w:ascii="Arial" w:hAnsi="Arial" w:cs="Arial"/>
        </w:rPr>
        <w:t>X</w:t>
      </w:r>
      <w:r>
        <w:rPr>
          <w:rFonts w:ascii="Cambria Math" w:hAnsi="Cambria Math" w:cs="Cambria Math"/>
        </w:rPr>
        <w:t>₂</w:t>
      </w:r>
      <w:r>
        <w:rPr>
          <w:rFonts w:ascii="Arial" w:hAnsi="Arial" w:cs="Arial"/>
        </w:rPr>
        <w:t xml:space="preserve"> + β</w:t>
      </w:r>
      <w:r>
        <w:rPr>
          <w:rFonts w:ascii="Cambria Math" w:hAnsi="Cambria Math" w:cs="Cambria Math"/>
        </w:rPr>
        <w:t>₃</w:t>
      </w:r>
      <w:r>
        <w:rPr>
          <w:rFonts w:ascii="Arial" w:hAnsi="Arial" w:cs="Arial"/>
        </w:rPr>
        <w:t>X</w:t>
      </w:r>
      <w:r>
        <w:rPr>
          <w:rFonts w:ascii="Cambria Math" w:hAnsi="Cambria Math" w:cs="Cambria Math"/>
        </w:rPr>
        <w:t>₃</w:t>
      </w:r>
      <w:r>
        <w:rPr>
          <w:rFonts w:ascii="Arial" w:hAnsi="Arial" w:cs="Arial"/>
        </w:rPr>
        <w:t xml:space="preserve"> + β</w:t>
      </w:r>
      <w:r>
        <w:rPr>
          <w:rFonts w:ascii="Cambria Math" w:hAnsi="Cambria Math" w:cs="Cambria Math"/>
        </w:rPr>
        <w:t>₄</w:t>
      </w:r>
      <w:r>
        <w:rPr>
          <w:rFonts w:ascii="Arial" w:hAnsi="Arial" w:cs="Arial"/>
        </w:rPr>
        <w:t>X</w:t>
      </w:r>
      <w:r>
        <w:rPr>
          <w:rFonts w:ascii="Cambria Math" w:hAnsi="Cambria Math" w:cs="Cambria Math"/>
        </w:rPr>
        <w:t>₄</w:t>
      </w:r>
      <w:r>
        <w:rPr>
          <w:rFonts w:ascii="Arial" w:hAnsi="Arial" w:cs="Arial"/>
        </w:rPr>
        <w:t xml:space="preserve"> + ε</w:t>
      </w:r>
    </w:p>
    <w:p w14:paraId="649C8005" w14:textId="77777777" w:rsidR="00047DC5" w:rsidRDefault="00047DC5" w:rsidP="00047DC5">
      <w:pPr>
        <w:pStyle w:val="Caption"/>
        <w:keepNext/>
      </w:pPr>
      <w:bookmarkStart w:id="111" w:name="_Toc238206088"/>
      <w:r>
        <w:rPr>
          <w:sz w:val="28"/>
          <w:szCs w:val="28"/>
        </w:rPr>
        <w:t xml:space="preserve">Table 4 The variables were </w:t>
      </w:r>
      <w:proofErr w:type="spellStart"/>
      <w:r>
        <w:rPr>
          <w:sz w:val="28"/>
          <w:szCs w:val="28"/>
        </w:rPr>
        <w:t>operationalised</w:t>
      </w:r>
      <w:proofErr w:type="spellEnd"/>
      <w:r>
        <w:rPr>
          <w:sz w:val="28"/>
          <w:szCs w:val="28"/>
        </w:rPr>
        <w:t xml:space="preserve"> as follows:</w:t>
      </w:r>
      <w:bookmarkEnd w:id="111"/>
    </w:p>
    <w:tbl>
      <w:tblPr>
        <w:tblW w:w="9350" w:type="dxa"/>
        <w:tblCellMar>
          <w:left w:w="10" w:type="dxa"/>
          <w:right w:w="10" w:type="dxa"/>
        </w:tblCellMar>
        <w:tblLook w:val="04A0" w:firstRow="1" w:lastRow="0" w:firstColumn="1" w:lastColumn="0" w:noHBand="0" w:noVBand="1"/>
      </w:tblPr>
      <w:tblGrid>
        <w:gridCol w:w="2512"/>
        <w:gridCol w:w="1695"/>
        <w:gridCol w:w="3065"/>
        <w:gridCol w:w="2078"/>
      </w:tblGrid>
      <w:tr w:rsidR="00047DC5" w14:paraId="3A004795" w14:textId="77777777" w:rsidTr="00AE2E92">
        <w:trPr>
          <w:tblHeader/>
        </w:trPr>
        <w:tc>
          <w:tcPr>
            <w:tcW w:w="2512"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62E81E86" w14:textId="77777777" w:rsidR="00047DC5" w:rsidRDefault="00047DC5" w:rsidP="00AE2E92">
            <w:pPr>
              <w:spacing w:line="360" w:lineRule="auto"/>
              <w:jc w:val="both"/>
              <w:rPr>
                <w:rFonts w:ascii="Arial" w:hAnsi="Arial" w:cs="Arial"/>
              </w:rPr>
            </w:pPr>
            <w:r>
              <w:rPr>
                <w:rFonts w:ascii="Arial" w:hAnsi="Arial" w:cs="Arial"/>
              </w:rPr>
              <w:t>Variable</w:t>
            </w:r>
          </w:p>
        </w:tc>
        <w:tc>
          <w:tcPr>
            <w:tcW w:w="169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7DE7EB4B" w14:textId="77777777" w:rsidR="00047DC5" w:rsidRDefault="00047DC5" w:rsidP="00AE2E92">
            <w:pPr>
              <w:spacing w:line="360" w:lineRule="auto"/>
              <w:jc w:val="both"/>
              <w:rPr>
                <w:rFonts w:ascii="Arial" w:hAnsi="Arial" w:cs="Arial"/>
              </w:rPr>
            </w:pPr>
            <w:r>
              <w:rPr>
                <w:rFonts w:ascii="Arial" w:hAnsi="Arial" w:cs="Arial"/>
              </w:rPr>
              <w:t>Type</w:t>
            </w:r>
          </w:p>
        </w:tc>
        <w:tc>
          <w:tcPr>
            <w:tcW w:w="306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453A9CAC" w14:textId="77777777" w:rsidR="00047DC5" w:rsidRDefault="00047DC5" w:rsidP="00AE2E92">
            <w:pPr>
              <w:spacing w:line="360" w:lineRule="auto"/>
              <w:jc w:val="both"/>
              <w:rPr>
                <w:rFonts w:ascii="Arial" w:hAnsi="Arial" w:cs="Arial"/>
              </w:rPr>
            </w:pPr>
            <w:r>
              <w:rPr>
                <w:rFonts w:ascii="Arial" w:hAnsi="Arial" w:cs="Arial"/>
              </w:rPr>
              <w:t>Measurement</w:t>
            </w:r>
          </w:p>
        </w:tc>
        <w:tc>
          <w:tcPr>
            <w:tcW w:w="2078"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74995935" w14:textId="77777777" w:rsidR="00047DC5" w:rsidRDefault="00047DC5" w:rsidP="00AE2E92">
            <w:pPr>
              <w:spacing w:line="360" w:lineRule="auto"/>
              <w:jc w:val="both"/>
              <w:rPr>
                <w:rFonts w:ascii="Arial" w:hAnsi="Arial" w:cs="Arial"/>
              </w:rPr>
            </w:pPr>
            <w:r>
              <w:rPr>
                <w:rFonts w:ascii="Arial" w:hAnsi="Arial" w:cs="Arial"/>
              </w:rPr>
              <w:t>Source</w:t>
            </w:r>
          </w:p>
        </w:tc>
      </w:tr>
      <w:tr w:rsidR="00047DC5" w14:paraId="2720B5A8" w14:textId="77777777" w:rsidTr="00AE2E92">
        <w:tc>
          <w:tcPr>
            <w:tcW w:w="2512"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37C6E663" w14:textId="77777777" w:rsidR="00047DC5" w:rsidRDefault="00047DC5" w:rsidP="00AE2E92">
            <w:pPr>
              <w:spacing w:line="360" w:lineRule="auto"/>
              <w:jc w:val="both"/>
              <w:rPr>
                <w:rFonts w:ascii="Arial" w:hAnsi="Arial" w:cs="Arial"/>
              </w:rPr>
            </w:pPr>
            <w:r>
              <w:rPr>
                <w:rFonts w:ascii="Arial" w:hAnsi="Arial" w:cs="Arial"/>
              </w:rPr>
              <w:t>Visa grant rate (Y)</w:t>
            </w:r>
          </w:p>
        </w:tc>
        <w:tc>
          <w:tcPr>
            <w:tcW w:w="169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648133D6" w14:textId="77777777" w:rsidR="00047DC5" w:rsidRDefault="00047DC5" w:rsidP="00AE2E92">
            <w:pPr>
              <w:spacing w:line="360" w:lineRule="auto"/>
              <w:jc w:val="both"/>
              <w:rPr>
                <w:rFonts w:ascii="Arial" w:hAnsi="Arial" w:cs="Arial"/>
              </w:rPr>
            </w:pPr>
            <w:r>
              <w:rPr>
                <w:rFonts w:ascii="Arial" w:hAnsi="Arial" w:cs="Arial"/>
              </w:rPr>
              <w:t>Continuous</w:t>
            </w:r>
          </w:p>
        </w:tc>
        <w:tc>
          <w:tcPr>
            <w:tcW w:w="306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4BAE8AB5" w14:textId="77777777" w:rsidR="00047DC5" w:rsidRDefault="00047DC5" w:rsidP="00AE2E92">
            <w:pPr>
              <w:spacing w:line="360" w:lineRule="auto"/>
              <w:jc w:val="both"/>
              <w:rPr>
                <w:rFonts w:ascii="Arial" w:hAnsi="Arial" w:cs="Arial"/>
              </w:rPr>
            </w:pPr>
            <w:r>
              <w:rPr>
                <w:rFonts w:ascii="Arial" w:hAnsi="Arial" w:cs="Arial"/>
              </w:rPr>
              <w:t>Number of visas granted per year</w:t>
            </w:r>
          </w:p>
        </w:tc>
        <w:tc>
          <w:tcPr>
            <w:tcW w:w="2078"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020C2629" w14:textId="77777777" w:rsidR="00047DC5" w:rsidRDefault="00047DC5" w:rsidP="00AE2E92">
            <w:pPr>
              <w:spacing w:line="360" w:lineRule="auto"/>
              <w:jc w:val="both"/>
              <w:rPr>
                <w:rFonts w:ascii="Arial" w:hAnsi="Arial" w:cs="Arial"/>
              </w:rPr>
            </w:pPr>
            <w:r>
              <w:rPr>
                <w:rFonts w:ascii="Arial" w:hAnsi="Arial" w:cs="Arial"/>
              </w:rPr>
              <w:t>Home Office (2024; 2025b)</w:t>
            </w:r>
          </w:p>
        </w:tc>
      </w:tr>
      <w:tr w:rsidR="00047DC5" w14:paraId="6A573E1D" w14:textId="77777777" w:rsidTr="00AE2E92">
        <w:tc>
          <w:tcPr>
            <w:tcW w:w="2512"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2CE5C1CE" w14:textId="77777777" w:rsidR="00047DC5" w:rsidRDefault="00047DC5" w:rsidP="00AE2E92">
            <w:pPr>
              <w:spacing w:line="360" w:lineRule="auto"/>
              <w:jc w:val="both"/>
            </w:pPr>
            <w:r>
              <w:rPr>
                <w:rFonts w:ascii="Arial" w:hAnsi="Arial" w:cs="Arial"/>
              </w:rPr>
              <w:t>Skill threshold (X</w:t>
            </w:r>
            <w:r>
              <w:rPr>
                <w:rFonts w:ascii="Cambria Math" w:hAnsi="Cambria Math" w:cs="Cambria Math"/>
              </w:rPr>
              <w:t>₁</w:t>
            </w:r>
            <w:r>
              <w:rPr>
                <w:rFonts w:ascii="Arial" w:hAnsi="Arial" w:cs="Arial"/>
              </w:rPr>
              <w:t>)</w:t>
            </w:r>
          </w:p>
        </w:tc>
        <w:tc>
          <w:tcPr>
            <w:tcW w:w="169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0548C92A" w14:textId="77777777" w:rsidR="00047DC5" w:rsidRDefault="00047DC5" w:rsidP="00AE2E92">
            <w:pPr>
              <w:spacing w:line="360" w:lineRule="auto"/>
              <w:jc w:val="both"/>
              <w:rPr>
                <w:rFonts w:ascii="Arial" w:hAnsi="Arial" w:cs="Arial"/>
              </w:rPr>
            </w:pPr>
            <w:r>
              <w:rPr>
                <w:rFonts w:ascii="Arial" w:hAnsi="Arial" w:cs="Arial"/>
              </w:rPr>
              <w:t>Ordinal</w:t>
            </w:r>
          </w:p>
        </w:tc>
        <w:tc>
          <w:tcPr>
            <w:tcW w:w="306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545A151E" w14:textId="77777777" w:rsidR="00047DC5" w:rsidRDefault="00047DC5" w:rsidP="00AE2E92">
            <w:pPr>
              <w:spacing w:line="360" w:lineRule="auto"/>
              <w:jc w:val="both"/>
              <w:rPr>
                <w:rFonts w:ascii="Arial" w:hAnsi="Arial" w:cs="Arial"/>
              </w:rPr>
            </w:pPr>
            <w:r>
              <w:rPr>
                <w:rFonts w:ascii="Arial" w:hAnsi="Arial" w:cs="Arial"/>
              </w:rPr>
              <w:t>RQF Level (3 = 1, 6 = 2)</w:t>
            </w:r>
          </w:p>
        </w:tc>
        <w:tc>
          <w:tcPr>
            <w:tcW w:w="2078"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1EE8F6F8" w14:textId="77777777" w:rsidR="00047DC5" w:rsidRDefault="00047DC5" w:rsidP="00AE2E92">
            <w:pPr>
              <w:spacing w:line="360" w:lineRule="auto"/>
              <w:jc w:val="both"/>
              <w:rPr>
                <w:rFonts w:ascii="Arial" w:hAnsi="Arial" w:cs="Arial"/>
              </w:rPr>
            </w:pPr>
            <w:r>
              <w:rPr>
                <w:rFonts w:ascii="Arial" w:hAnsi="Arial" w:cs="Arial"/>
              </w:rPr>
              <w:t>Home Office (2025b)</w:t>
            </w:r>
          </w:p>
        </w:tc>
      </w:tr>
      <w:tr w:rsidR="00047DC5" w14:paraId="0CAE3611" w14:textId="77777777" w:rsidTr="00AE2E92">
        <w:tc>
          <w:tcPr>
            <w:tcW w:w="2512"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2FF6DD51" w14:textId="77777777" w:rsidR="00047DC5" w:rsidRDefault="00047DC5" w:rsidP="00AE2E92">
            <w:pPr>
              <w:spacing w:line="360" w:lineRule="auto"/>
              <w:jc w:val="both"/>
            </w:pPr>
            <w:r>
              <w:rPr>
                <w:rFonts w:ascii="Arial" w:hAnsi="Arial" w:cs="Arial"/>
              </w:rPr>
              <w:t>Salary threshold (X</w:t>
            </w:r>
            <w:r>
              <w:rPr>
                <w:rFonts w:ascii="Cambria Math" w:hAnsi="Cambria Math" w:cs="Cambria Math"/>
              </w:rPr>
              <w:t>₂</w:t>
            </w:r>
            <w:r>
              <w:rPr>
                <w:rFonts w:ascii="Arial" w:hAnsi="Arial" w:cs="Arial"/>
              </w:rPr>
              <w:t>)</w:t>
            </w:r>
          </w:p>
        </w:tc>
        <w:tc>
          <w:tcPr>
            <w:tcW w:w="169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2C952CCA" w14:textId="77777777" w:rsidR="00047DC5" w:rsidRDefault="00047DC5" w:rsidP="00AE2E92">
            <w:pPr>
              <w:spacing w:line="360" w:lineRule="auto"/>
              <w:jc w:val="both"/>
              <w:rPr>
                <w:rFonts w:ascii="Arial" w:hAnsi="Arial" w:cs="Arial"/>
              </w:rPr>
            </w:pPr>
            <w:r>
              <w:rPr>
                <w:rFonts w:ascii="Arial" w:hAnsi="Arial" w:cs="Arial"/>
              </w:rPr>
              <w:t>Continuous</w:t>
            </w:r>
          </w:p>
        </w:tc>
        <w:tc>
          <w:tcPr>
            <w:tcW w:w="306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71E41C58" w14:textId="77777777" w:rsidR="00047DC5" w:rsidRDefault="00047DC5" w:rsidP="00AE2E92">
            <w:pPr>
              <w:spacing w:line="360" w:lineRule="auto"/>
              <w:jc w:val="both"/>
              <w:rPr>
                <w:rFonts w:ascii="Arial" w:hAnsi="Arial" w:cs="Arial"/>
              </w:rPr>
            </w:pPr>
            <w:r>
              <w:rPr>
                <w:rFonts w:ascii="Arial" w:hAnsi="Arial" w:cs="Arial"/>
              </w:rPr>
              <w:t>£ (in thousands)</w:t>
            </w:r>
          </w:p>
        </w:tc>
        <w:tc>
          <w:tcPr>
            <w:tcW w:w="2078"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57204970" w14:textId="77777777" w:rsidR="00047DC5" w:rsidRDefault="00047DC5" w:rsidP="00AE2E92">
            <w:pPr>
              <w:spacing w:line="360" w:lineRule="auto"/>
              <w:jc w:val="both"/>
              <w:rPr>
                <w:rFonts w:ascii="Arial" w:hAnsi="Arial" w:cs="Arial"/>
              </w:rPr>
            </w:pPr>
            <w:r>
              <w:rPr>
                <w:rFonts w:ascii="Arial" w:hAnsi="Arial" w:cs="Arial"/>
              </w:rPr>
              <w:t>Home Office (2025b)</w:t>
            </w:r>
          </w:p>
        </w:tc>
      </w:tr>
      <w:tr w:rsidR="00047DC5" w14:paraId="01DE64D7" w14:textId="77777777" w:rsidTr="00AE2E92">
        <w:tc>
          <w:tcPr>
            <w:tcW w:w="2512"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125CDEA1" w14:textId="77777777" w:rsidR="00047DC5" w:rsidRDefault="00047DC5" w:rsidP="00AE2E92">
            <w:pPr>
              <w:spacing w:line="360" w:lineRule="auto"/>
              <w:jc w:val="both"/>
            </w:pPr>
            <w:proofErr w:type="spellStart"/>
            <w:r>
              <w:rPr>
                <w:rFonts w:ascii="Arial" w:hAnsi="Arial" w:cs="Arial"/>
              </w:rPr>
              <w:t>Dependant</w:t>
            </w:r>
            <w:proofErr w:type="spellEnd"/>
            <w:r>
              <w:rPr>
                <w:rFonts w:ascii="Arial" w:hAnsi="Arial" w:cs="Arial"/>
              </w:rPr>
              <w:t xml:space="preserve"> restriction (X</w:t>
            </w:r>
            <w:r>
              <w:rPr>
                <w:rFonts w:ascii="Cambria Math" w:hAnsi="Cambria Math" w:cs="Cambria Math"/>
              </w:rPr>
              <w:t>₃</w:t>
            </w:r>
            <w:r>
              <w:rPr>
                <w:rFonts w:ascii="Arial" w:hAnsi="Arial" w:cs="Arial"/>
              </w:rPr>
              <w:t>)</w:t>
            </w:r>
          </w:p>
        </w:tc>
        <w:tc>
          <w:tcPr>
            <w:tcW w:w="169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0FD57FA9" w14:textId="77777777" w:rsidR="00047DC5" w:rsidRDefault="00047DC5" w:rsidP="00AE2E92">
            <w:pPr>
              <w:spacing w:line="360" w:lineRule="auto"/>
              <w:jc w:val="both"/>
              <w:rPr>
                <w:rFonts w:ascii="Arial" w:hAnsi="Arial" w:cs="Arial"/>
              </w:rPr>
            </w:pPr>
            <w:r>
              <w:rPr>
                <w:rFonts w:ascii="Arial" w:hAnsi="Arial" w:cs="Arial"/>
              </w:rPr>
              <w:t>Binary</w:t>
            </w:r>
          </w:p>
        </w:tc>
        <w:tc>
          <w:tcPr>
            <w:tcW w:w="306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0C8F4094" w14:textId="77777777" w:rsidR="00047DC5" w:rsidRDefault="00047DC5" w:rsidP="00AE2E92">
            <w:pPr>
              <w:spacing w:line="360" w:lineRule="auto"/>
              <w:jc w:val="both"/>
              <w:rPr>
                <w:rFonts w:ascii="Arial" w:hAnsi="Arial" w:cs="Arial"/>
              </w:rPr>
            </w:pPr>
            <w:r>
              <w:rPr>
                <w:rFonts w:ascii="Arial" w:hAnsi="Arial" w:cs="Arial"/>
              </w:rPr>
              <w:t>0 = pre-restriction, 1 = post-restriction</w:t>
            </w:r>
          </w:p>
        </w:tc>
        <w:tc>
          <w:tcPr>
            <w:tcW w:w="2078"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6EAD1A7F" w14:textId="77777777" w:rsidR="00047DC5" w:rsidRDefault="00047DC5" w:rsidP="00AE2E92">
            <w:pPr>
              <w:spacing w:line="360" w:lineRule="auto"/>
              <w:jc w:val="both"/>
              <w:rPr>
                <w:rFonts w:ascii="Arial" w:hAnsi="Arial" w:cs="Arial"/>
              </w:rPr>
            </w:pPr>
            <w:r>
              <w:rPr>
                <w:rFonts w:ascii="Arial" w:hAnsi="Arial" w:cs="Arial"/>
              </w:rPr>
              <w:t>Home Office (2025b)</w:t>
            </w:r>
          </w:p>
        </w:tc>
      </w:tr>
      <w:tr w:rsidR="00047DC5" w14:paraId="4C1915D5" w14:textId="77777777" w:rsidTr="00AE2E92">
        <w:tc>
          <w:tcPr>
            <w:tcW w:w="2512"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4BCF3265" w14:textId="77777777" w:rsidR="00047DC5" w:rsidRDefault="00047DC5" w:rsidP="00AE2E92">
            <w:pPr>
              <w:spacing w:line="360" w:lineRule="auto"/>
              <w:jc w:val="both"/>
            </w:pPr>
            <w:r>
              <w:rPr>
                <w:rFonts w:ascii="Arial" w:hAnsi="Arial" w:cs="Arial"/>
              </w:rPr>
              <w:t>Overseas recruitment closure (X</w:t>
            </w:r>
            <w:r>
              <w:rPr>
                <w:rFonts w:ascii="Cambria Math" w:hAnsi="Cambria Math" w:cs="Cambria Math"/>
              </w:rPr>
              <w:t>₄</w:t>
            </w:r>
            <w:r>
              <w:rPr>
                <w:rFonts w:ascii="Arial" w:hAnsi="Arial" w:cs="Arial"/>
              </w:rPr>
              <w:t>)</w:t>
            </w:r>
          </w:p>
        </w:tc>
        <w:tc>
          <w:tcPr>
            <w:tcW w:w="169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66CD1F90" w14:textId="77777777" w:rsidR="00047DC5" w:rsidRDefault="00047DC5" w:rsidP="00AE2E92">
            <w:pPr>
              <w:spacing w:line="360" w:lineRule="auto"/>
              <w:jc w:val="both"/>
              <w:rPr>
                <w:rFonts w:ascii="Arial" w:hAnsi="Arial" w:cs="Arial"/>
              </w:rPr>
            </w:pPr>
            <w:r>
              <w:rPr>
                <w:rFonts w:ascii="Arial" w:hAnsi="Arial" w:cs="Arial"/>
              </w:rPr>
              <w:t>Binary</w:t>
            </w:r>
          </w:p>
        </w:tc>
        <w:tc>
          <w:tcPr>
            <w:tcW w:w="306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6640C41B" w14:textId="77777777" w:rsidR="00047DC5" w:rsidRDefault="00047DC5" w:rsidP="00AE2E92">
            <w:pPr>
              <w:spacing w:line="360" w:lineRule="auto"/>
              <w:jc w:val="both"/>
              <w:rPr>
                <w:rFonts w:ascii="Arial" w:hAnsi="Arial" w:cs="Arial"/>
              </w:rPr>
            </w:pPr>
            <w:r>
              <w:rPr>
                <w:rFonts w:ascii="Arial" w:hAnsi="Arial" w:cs="Arial"/>
              </w:rPr>
              <w:t>0 = open, 1 = closed</w:t>
            </w:r>
          </w:p>
        </w:tc>
        <w:tc>
          <w:tcPr>
            <w:tcW w:w="2078"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5DB0361E" w14:textId="77777777" w:rsidR="00047DC5" w:rsidRDefault="00047DC5" w:rsidP="00AE2E92">
            <w:pPr>
              <w:spacing w:line="360" w:lineRule="auto"/>
              <w:jc w:val="both"/>
              <w:rPr>
                <w:rFonts w:ascii="Arial" w:hAnsi="Arial" w:cs="Arial"/>
              </w:rPr>
            </w:pPr>
            <w:r>
              <w:rPr>
                <w:rFonts w:ascii="Arial" w:hAnsi="Arial" w:cs="Arial"/>
              </w:rPr>
              <w:t>Home Office (2025b)</w:t>
            </w:r>
          </w:p>
        </w:tc>
      </w:tr>
    </w:tbl>
    <w:p w14:paraId="79676CA9" w14:textId="77777777" w:rsidR="00047DC5" w:rsidRDefault="00047DC5" w:rsidP="00047DC5">
      <w:pPr>
        <w:spacing w:line="360" w:lineRule="auto"/>
        <w:jc w:val="both"/>
      </w:pPr>
      <w:r>
        <w:rPr>
          <w:rFonts w:ascii="Arial" w:hAnsi="Arial" w:cs="Arial"/>
          <w:i/>
          <w:iCs/>
        </w:rPr>
        <w:t>Source: Author's compilation based on Home Office (2024; 2025b).</w:t>
      </w:r>
    </w:p>
    <w:p w14:paraId="0FC078E6" w14:textId="77777777" w:rsidR="00047DC5" w:rsidRDefault="00047DC5" w:rsidP="00047DC5">
      <w:pPr>
        <w:spacing w:line="360" w:lineRule="auto"/>
        <w:jc w:val="both"/>
      </w:pPr>
      <w:r>
        <w:rPr>
          <w:rFonts w:ascii="Arial" w:hAnsi="Arial" w:cs="Arial"/>
        </w:rPr>
        <w:t>Where </w:t>
      </w:r>
      <w:r>
        <w:rPr>
          <w:rFonts w:ascii="Arial" w:hAnsi="Arial" w:cs="Arial"/>
          <w:i/>
          <w:iCs/>
        </w:rPr>
        <w:t>Y</w:t>
      </w:r>
      <w:r>
        <w:rPr>
          <w:rFonts w:ascii="Arial" w:hAnsi="Arial" w:cs="Arial"/>
        </w:rPr>
        <w:t> is the dependent variable (e.g., visa grant rate for SOC 6135, outflow rate, turnover rate); </w:t>
      </w:r>
      <w:r>
        <w:rPr>
          <w:rFonts w:ascii="Arial" w:hAnsi="Arial" w:cs="Arial"/>
          <w:i/>
          <w:iCs/>
        </w:rPr>
        <w:t>X</w:t>
      </w:r>
      <w:r>
        <w:rPr>
          <w:rFonts w:ascii="Cambria Math" w:hAnsi="Cambria Math" w:cs="Cambria Math"/>
          <w:i/>
          <w:iCs/>
        </w:rPr>
        <w:t>₁</w:t>
      </w:r>
      <w:r>
        <w:rPr>
          <w:rFonts w:ascii="Arial" w:hAnsi="Arial" w:cs="Arial"/>
        </w:rPr>
        <w:t> is the skill threshold (RQF Level, with Level 3 coded as 1, Level 6 coded as 2); </w:t>
      </w:r>
      <w:r>
        <w:rPr>
          <w:rFonts w:ascii="Arial" w:hAnsi="Arial" w:cs="Arial"/>
          <w:i/>
          <w:iCs/>
        </w:rPr>
        <w:t>X</w:t>
      </w:r>
      <w:r>
        <w:rPr>
          <w:rFonts w:ascii="Cambria Math" w:hAnsi="Cambria Math" w:cs="Cambria Math"/>
          <w:i/>
          <w:iCs/>
        </w:rPr>
        <w:t>₂</w:t>
      </w:r>
      <w:r>
        <w:rPr>
          <w:rFonts w:ascii="Arial" w:hAnsi="Arial" w:cs="Arial"/>
        </w:rPr>
        <w:t> is the salary threshold (£, in thousands); </w:t>
      </w:r>
      <w:r>
        <w:rPr>
          <w:rFonts w:ascii="Arial" w:hAnsi="Arial" w:cs="Arial"/>
          <w:i/>
          <w:iCs/>
        </w:rPr>
        <w:t>X</w:t>
      </w:r>
      <w:r>
        <w:rPr>
          <w:rFonts w:ascii="Cambria Math" w:hAnsi="Cambria Math" w:cs="Cambria Math"/>
          <w:i/>
          <w:iCs/>
        </w:rPr>
        <w:t>₃</w:t>
      </w:r>
      <w:r>
        <w:rPr>
          <w:rFonts w:ascii="Arial" w:hAnsi="Arial" w:cs="Arial"/>
        </w:rPr>
        <w:t xml:space="preserve"> is the </w:t>
      </w:r>
      <w:proofErr w:type="spellStart"/>
      <w:r>
        <w:rPr>
          <w:rFonts w:ascii="Arial" w:hAnsi="Arial" w:cs="Arial"/>
        </w:rPr>
        <w:t>dependant</w:t>
      </w:r>
      <w:proofErr w:type="spellEnd"/>
      <w:r>
        <w:rPr>
          <w:rFonts w:ascii="Arial" w:hAnsi="Arial" w:cs="Arial"/>
        </w:rPr>
        <w:t xml:space="preserve"> visa restriction (binary: 0 = pre</w:t>
      </w:r>
      <w:r>
        <w:rPr>
          <w:rFonts w:ascii="Arial" w:hAnsi="Arial" w:cs="Arial"/>
        </w:rPr>
        <w:noBreakHyphen/>
        <w:t>restriction, 1 = post</w:t>
      </w:r>
      <w:r>
        <w:rPr>
          <w:rFonts w:ascii="Arial" w:hAnsi="Arial" w:cs="Arial"/>
        </w:rPr>
        <w:noBreakHyphen/>
        <w:t>restriction); </w:t>
      </w:r>
      <w:r>
        <w:rPr>
          <w:rFonts w:ascii="Arial" w:hAnsi="Arial" w:cs="Arial"/>
          <w:i/>
          <w:iCs/>
        </w:rPr>
        <w:t>X</w:t>
      </w:r>
      <w:r>
        <w:rPr>
          <w:rFonts w:ascii="Cambria Math" w:hAnsi="Cambria Math" w:cs="Cambria Math"/>
          <w:i/>
          <w:iCs/>
        </w:rPr>
        <w:t>₄</w:t>
      </w:r>
      <w:r>
        <w:rPr>
          <w:rFonts w:ascii="Arial" w:hAnsi="Arial" w:cs="Arial"/>
        </w:rPr>
        <w:t xml:space="preserve"> is the overseas recruitment closure </w:t>
      </w:r>
      <w:r>
        <w:rPr>
          <w:rFonts w:ascii="Arial" w:hAnsi="Arial" w:cs="Arial"/>
        </w:rPr>
        <w:lastRenderedPageBreak/>
        <w:t>(binary: 0 = open, 1 = closed); </w:t>
      </w:r>
      <w:r>
        <w:rPr>
          <w:rFonts w:ascii="Arial" w:hAnsi="Arial" w:cs="Arial"/>
          <w:i/>
          <w:iCs/>
        </w:rPr>
        <w:t>β</w:t>
      </w:r>
      <w:r>
        <w:rPr>
          <w:rFonts w:ascii="Cambria Math" w:hAnsi="Cambria Math" w:cs="Cambria Math"/>
          <w:i/>
          <w:iCs/>
        </w:rPr>
        <w:t>₀</w:t>
      </w:r>
      <w:r>
        <w:rPr>
          <w:rFonts w:ascii="Arial" w:hAnsi="Arial" w:cs="Arial"/>
        </w:rPr>
        <w:t> is the constant term; </w:t>
      </w:r>
      <w:r>
        <w:rPr>
          <w:rFonts w:ascii="Arial" w:hAnsi="Arial" w:cs="Arial"/>
          <w:i/>
          <w:iCs/>
        </w:rPr>
        <w:t>β</w:t>
      </w:r>
      <w:r>
        <w:rPr>
          <w:rFonts w:ascii="Cambria Math" w:hAnsi="Cambria Math" w:cs="Cambria Math"/>
          <w:i/>
          <w:iCs/>
        </w:rPr>
        <w:t>₁</w:t>
      </w:r>
      <w:r>
        <w:rPr>
          <w:rFonts w:ascii="Arial" w:hAnsi="Arial" w:cs="Arial"/>
          <w:i/>
          <w:iCs/>
        </w:rPr>
        <w:t>, β</w:t>
      </w:r>
      <w:r>
        <w:rPr>
          <w:rFonts w:ascii="Cambria Math" w:hAnsi="Cambria Math" w:cs="Cambria Math"/>
          <w:i/>
          <w:iCs/>
        </w:rPr>
        <w:t>₂</w:t>
      </w:r>
      <w:r>
        <w:rPr>
          <w:rFonts w:ascii="Arial" w:hAnsi="Arial" w:cs="Arial"/>
          <w:i/>
          <w:iCs/>
        </w:rPr>
        <w:t>, β</w:t>
      </w:r>
      <w:r>
        <w:rPr>
          <w:rFonts w:ascii="Cambria Math" w:hAnsi="Cambria Math" w:cs="Cambria Math"/>
          <w:i/>
          <w:iCs/>
        </w:rPr>
        <w:t>₃</w:t>
      </w:r>
      <w:r>
        <w:rPr>
          <w:rFonts w:ascii="Arial" w:hAnsi="Arial" w:cs="Arial"/>
          <w:i/>
          <w:iCs/>
        </w:rPr>
        <w:t>, β</w:t>
      </w:r>
      <w:r>
        <w:rPr>
          <w:rFonts w:ascii="Cambria Math" w:hAnsi="Cambria Math" w:cs="Cambria Math"/>
          <w:i/>
          <w:iCs/>
        </w:rPr>
        <w:t>₄</w:t>
      </w:r>
      <w:r>
        <w:rPr>
          <w:rFonts w:ascii="Arial" w:hAnsi="Arial" w:cs="Arial"/>
        </w:rPr>
        <w:t> are regression coefficients; and </w:t>
      </w:r>
      <w:r>
        <w:rPr>
          <w:rFonts w:ascii="Arial" w:hAnsi="Arial" w:cs="Arial"/>
          <w:i/>
          <w:iCs/>
        </w:rPr>
        <w:t>ε</w:t>
      </w:r>
      <w:r>
        <w:rPr>
          <w:rFonts w:ascii="Arial" w:hAnsi="Arial" w:cs="Arial"/>
        </w:rPr>
        <w:t> is the error term.</w:t>
      </w:r>
    </w:p>
    <w:p w14:paraId="65EAB970" w14:textId="77777777" w:rsidR="00047DC5" w:rsidRDefault="00047DC5" w:rsidP="00047DC5">
      <w:pPr>
        <w:spacing w:line="360" w:lineRule="auto"/>
        <w:jc w:val="both"/>
        <w:rPr>
          <w:rFonts w:ascii="Arial" w:hAnsi="Arial" w:cs="Arial"/>
        </w:rPr>
      </w:pPr>
      <w:r>
        <w:rPr>
          <w:rFonts w:ascii="Arial" w:hAnsi="Arial" w:cs="Arial"/>
        </w:rPr>
        <w:t xml:space="preserve">The dependent variables include visa grant rate (continuous, measured as the number of visas granted per year), outflow rate (continuous, measured as the number of departures per year), and turnover rate (continuous, measured as the percentage of workforce leaving). The independent variables include skill threshold (ordinal, measured as RQF Level), salary threshold (continuous, measured in £ thousands), </w:t>
      </w:r>
      <w:proofErr w:type="spellStart"/>
      <w:r>
        <w:rPr>
          <w:rFonts w:ascii="Arial" w:hAnsi="Arial" w:cs="Arial"/>
        </w:rPr>
        <w:t>dependant</w:t>
      </w:r>
      <w:proofErr w:type="spellEnd"/>
      <w:r>
        <w:rPr>
          <w:rFonts w:ascii="Arial" w:hAnsi="Arial" w:cs="Arial"/>
        </w:rPr>
        <w:t xml:space="preserve"> restriction (binary), and overseas recruitment closure (binary). Data sources include Home Office (2024; 2025b) for visa and outflow data, and Skills for Care (2024) for turnover data.</w:t>
      </w:r>
    </w:p>
    <w:p w14:paraId="78D8EC21" w14:textId="77777777" w:rsidR="00047DC5" w:rsidRDefault="00047DC5" w:rsidP="00047DC5">
      <w:pPr>
        <w:spacing w:line="360" w:lineRule="auto"/>
        <w:jc w:val="both"/>
        <w:rPr>
          <w:rFonts w:ascii="Arial" w:hAnsi="Arial" w:cs="Arial"/>
        </w:rPr>
      </w:pPr>
      <w:r>
        <w:rPr>
          <w:rFonts w:ascii="Arial" w:hAnsi="Arial" w:cs="Arial"/>
        </w:rPr>
        <w:t>The analytical steps will involve data preparation, descriptive analysis, correlation analysis, regression analysis, model diagnostics, and interpretation. Data will be cleaned and prepared for analysis, including checking for missing values and outliers. Summary statistics will be calculated for all variables. Pearson correlation coefficients will be calculated to examine bivariate relationships between variables. Multiple regression models will be estimated using ordinary least squares (OLS) estimation. The significance of each independent variable will be assessed using t</w:t>
      </w:r>
      <w:r>
        <w:rPr>
          <w:rFonts w:ascii="Arial" w:hAnsi="Arial" w:cs="Arial"/>
        </w:rPr>
        <w:noBreakHyphen/>
        <w:t>tests, and the overall model fit will be assessed using the F</w:t>
      </w:r>
      <w:r>
        <w:rPr>
          <w:rFonts w:ascii="Arial" w:hAnsi="Arial" w:cs="Arial"/>
        </w:rPr>
        <w:noBreakHyphen/>
        <w:t>test and R². Residual analysis will be conducted to check for violations of regression assumptions, including normality, heteroscedasticity, and multicollinearity. Regression coefficients will be interpreted to assess the magnitude and significance of associations between policy changes and sustainability outcomes.</w:t>
      </w:r>
    </w:p>
    <w:p w14:paraId="34E7A427" w14:textId="77777777" w:rsidR="00047DC5" w:rsidRDefault="00047DC5" w:rsidP="00047DC5">
      <w:pPr>
        <w:spacing w:line="360" w:lineRule="auto"/>
        <w:jc w:val="both"/>
        <w:rPr>
          <w:rFonts w:ascii="Arial" w:hAnsi="Arial" w:cs="Arial"/>
        </w:rPr>
      </w:pPr>
      <w:r>
        <w:rPr>
          <w:rFonts w:ascii="Arial" w:hAnsi="Arial" w:cs="Arial"/>
        </w:rPr>
        <w:t xml:space="preserve">Multiple regression is chosen because policy changes are multifaceted – they include skill thresholds, salary thresholds, and </w:t>
      </w:r>
      <w:proofErr w:type="spellStart"/>
      <w:r>
        <w:rPr>
          <w:rFonts w:ascii="Arial" w:hAnsi="Arial" w:cs="Arial"/>
        </w:rPr>
        <w:t>dependant</w:t>
      </w:r>
      <w:proofErr w:type="spellEnd"/>
      <w:r>
        <w:rPr>
          <w:rFonts w:ascii="Arial" w:hAnsi="Arial" w:cs="Arial"/>
        </w:rPr>
        <w:t xml:space="preserve"> restrictions – and their effects may be interrelated. Regression allows for the simultaneous examination of multiple independent variables and the control of confounding variables, strengthening causal inference. Regression provides numerical estimates of the magnitude of associations, which are interpretable and actionable for policymakers. Regression is designed for quantitative data and is widely used in policy evaluation and workforce research. Regression provides p</w:t>
      </w:r>
      <w:r>
        <w:rPr>
          <w:rFonts w:ascii="Arial" w:hAnsi="Arial" w:cs="Arial"/>
        </w:rPr>
        <w:noBreakHyphen/>
        <w:t>values and confidence intervals, allowing for assessment of the statistical significance of findings.</w:t>
      </w:r>
    </w:p>
    <w:p w14:paraId="359130E1" w14:textId="77777777" w:rsidR="00047DC5" w:rsidRDefault="00047DC5" w:rsidP="00047DC5">
      <w:pPr>
        <w:pStyle w:val="Heading3"/>
      </w:pPr>
      <w:bookmarkStart w:id="112" w:name="_Toc235978106"/>
      <w:bookmarkStart w:id="113" w:name="_Toc235978671"/>
      <w:bookmarkStart w:id="114" w:name="_Toc238549823"/>
      <w:r>
        <w:lastRenderedPageBreak/>
        <w:t>3.6.4 Document Analysis</w:t>
      </w:r>
      <w:bookmarkEnd w:id="112"/>
      <w:bookmarkEnd w:id="113"/>
      <w:bookmarkEnd w:id="114"/>
    </w:p>
    <w:p w14:paraId="1E0CF0DF" w14:textId="77777777" w:rsidR="00047DC5" w:rsidRDefault="00047DC5" w:rsidP="00047DC5">
      <w:pPr>
        <w:spacing w:line="360" w:lineRule="auto"/>
        <w:jc w:val="both"/>
        <w:rPr>
          <w:rFonts w:ascii="Arial" w:hAnsi="Arial" w:cs="Arial"/>
        </w:rPr>
      </w:pPr>
      <w:r>
        <w:rPr>
          <w:rFonts w:ascii="Arial" w:hAnsi="Arial" w:cs="Arial"/>
        </w:rPr>
        <w:t xml:space="preserve">In addition to statistical analysis, document analysis will be conducted to address Research Questions 1 and 4. Policy documents will be </w:t>
      </w:r>
      <w:proofErr w:type="spellStart"/>
      <w:r>
        <w:rPr>
          <w:rFonts w:ascii="Arial" w:hAnsi="Arial" w:cs="Arial"/>
        </w:rPr>
        <w:t>analysed</w:t>
      </w:r>
      <w:proofErr w:type="spellEnd"/>
      <w:r>
        <w:rPr>
          <w:rFonts w:ascii="Arial" w:hAnsi="Arial" w:cs="Arial"/>
        </w:rPr>
        <w:t xml:space="preserve"> to identify the stated drivers for policy changes (Q1) and the HR strategies proposed or implemented to sustain the workforce under immigration restrictions (Q4). This analysis will be conducted systematically, extracting relevant passages and </w:t>
      </w:r>
      <w:proofErr w:type="spellStart"/>
      <w:r>
        <w:rPr>
          <w:rFonts w:ascii="Arial" w:hAnsi="Arial" w:cs="Arial"/>
        </w:rPr>
        <w:t>summarising</w:t>
      </w:r>
      <w:proofErr w:type="spellEnd"/>
      <w:r>
        <w:rPr>
          <w:rFonts w:ascii="Arial" w:hAnsi="Arial" w:cs="Arial"/>
        </w:rPr>
        <w:t xml:space="preserve"> key themes. However, consistent with the positivist philosophy, this document analysis is limited to extracting </w:t>
      </w:r>
      <w:proofErr w:type="gramStart"/>
      <w:r>
        <w:rPr>
          <w:rFonts w:ascii="Arial" w:hAnsi="Arial" w:cs="Arial"/>
        </w:rPr>
        <w:t>factual information</w:t>
      </w:r>
      <w:proofErr w:type="gramEnd"/>
      <w:r>
        <w:rPr>
          <w:rFonts w:ascii="Arial" w:hAnsi="Arial" w:cs="Arial"/>
        </w:rPr>
        <w:t xml:space="preserve"> and policy intentions, not interpreting subjective meanings.</w:t>
      </w:r>
    </w:p>
    <w:p w14:paraId="71815946" w14:textId="77777777" w:rsidR="00047DC5" w:rsidRDefault="00047DC5" w:rsidP="00047DC5">
      <w:pPr>
        <w:pStyle w:val="Heading2"/>
      </w:pPr>
      <w:bookmarkStart w:id="115" w:name="_Toc235978107"/>
      <w:bookmarkStart w:id="116" w:name="_Toc235978672"/>
      <w:bookmarkStart w:id="117" w:name="_Toc238549824"/>
      <w:r>
        <w:t>3.7 Ethical Considerations</w:t>
      </w:r>
      <w:bookmarkEnd w:id="115"/>
      <w:bookmarkEnd w:id="116"/>
      <w:bookmarkEnd w:id="117"/>
    </w:p>
    <w:p w14:paraId="0A4AD076" w14:textId="77777777" w:rsidR="00047DC5" w:rsidRDefault="00047DC5" w:rsidP="00047DC5">
      <w:pPr>
        <w:pStyle w:val="Heading3"/>
      </w:pPr>
      <w:bookmarkStart w:id="118" w:name="_Toc235978108"/>
      <w:bookmarkStart w:id="119" w:name="_Toc235978673"/>
      <w:bookmarkStart w:id="120" w:name="_Toc238549825"/>
      <w:r>
        <w:t>3.7.1 Ethical Principles</w:t>
      </w:r>
      <w:bookmarkEnd w:id="118"/>
      <w:bookmarkEnd w:id="119"/>
      <w:bookmarkEnd w:id="120"/>
    </w:p>
    <w:p w14:paraId="732C066C" w14:textId="77777777" w:rsidR="00047DC5" w:rsidRDefault="00047DC5" w:rsidP="00047DC5">
      <w:pPr>
        <w:spacing w:line="360" w:lineRule="auto"/>
        <w:jc w:val="both"/>
        <w:rPr>
          <w:rFonts w:ascii="Arial" w:hAnsi="Arial" w:cs="Arial"/>
        </w:rPr>
      </w:pPr>
      <w:r>
        <w:rPr>
          <w:rFonts w:ascii="Arial" w:hAnsi="Arial" w:cs="Arial"/>
        </w:rPr>
        <w:t>This study adheres to the ethical principles and guidelines of the University of Wales Trinity Saint David (UWTSD). Several ethical considerations have been addressed.</w:t>
      </w:r>
    </w:p>
    <w:p w14:paraId="7AFF48FA" w14:textId="77777777" w:rsidR="00047DC5" w:rsidRDefault="00047DC5" w:rsidP="00047DC5">
      <w:pPr>
        <w:spacing w:line="360" w:lineRule="auto"/>
        <w:jc w:val="both"/>
        <w:rPr>
          <w:rFonts w:ascii="Arial" w:hAnsi="Arial" w:cs="Arial"/>
        </w:rPr>
      </w:pPr>
      <w:r>
        <w:rPr>
          <w:rFonts w:ascii="Arial" w:hAnsi="Arial" w:cs="Arial"/>
        </w:rPr>
        <w:t>Regarding informed consent, because the research is restricted to public</w:t>
      </w:r>
      <w:r>
        <w:rPr>
          <w:rFonts w:ascii="Arial" w:hAnsi="Arial" w:cs="Arial"/>
        </w:rPr>
        <w:noBreakHyphen/>
        <w:t>domain secondary data, informed consent from human participants is not required. No primary data collection, such as surveys or interviews, will be undertaken, and no human participants will be directly involved in the research.</w:t>
      </w:r>
    </w:p>
    <w:p w14:paraId="2E9FA6D1" w14:textId="77777777" w:rsidR="00047DC5" w:rsidRDefault="00047DC5" w:rsidP="00047DC5">
      <w:pPr>
        <w:spacing w:line="360" w:lineRule="auto"/>
        <w:jc w:val="both"/>
        <w:rPr>
          <w:rFonts w:ascii="Arial" w:hAnsi="Arial" w:cs="Arial"/>
        </w:rPr>
      </w:pPr>
      <w:r>
        <w:rPr>
          <w:rFonts w:ascii="Arial" w:hAnsi="Arial" w:cs="Arial"/>
        </w:rPr>
        <w:t>Regarding confidentiality and anonymity, all data used in this study are published, aggregate statistics that do not contain personally identifiable information. Visa grant rates, outflow profiles, and workforce statistics are published at a level of aggregation that prevents identification of individuals. The study will not use any restricted or confidential internal management information not cleared for public consumption.</w:t>
      </w:r>
    </w:p>
    <w:p w14:paraId="3DCF6D7A" w14:textId="77777777" w:rsidR="00047DC5" w:rsidRDefault="00047DC5" w:rsidP="00047DC5">
      <w:pPr>
        <w:spacing w:line="360" w:lineRule="auto"/>
        <w:jc w:val="both"/>
        <w:rPr>
          <w:rFonts w:ascii="Arial" w:hAnsi="Arial" w:cs="Arial"/>
        </w:rPr>
      </w:pPr>
      <w:r>
        <w:rPr>
          <w:rFonts w:ascii="Arial" w:hAnsi="Arial" w:cs="Arial"/>
        </w:rPr>
        <w:t xml:space="preserve">Regarding data integrity, the study will adhere to UWTSD standards of data integrity, ensuring that data are accurately represented and that all sources are properly cited. Data will be collected, stored, and </w:t>
      </w:r>
      <w:proofErr w:type="spellStart"/>
      <w:r>
        <w:rPr>
          <w:rFonts w:ascii="Arial" w:hAnsi="Arial" w:cs="Arial"/>
        </w:rPr>
        <w:t>analysed</w:t>
      </w:r>
      <w:proofErr w:type="spellEnd"/>
      <w:r>
        <w:rPr>
          <w:rFonts w:ascii="Arial" w:hAnsi="Arial" w:cs="Arial"/>
        </w:rPr>
        <w:t xml:space="preserve"> in accordance with standard research practices.</w:t>
      </w:r>
    </w:p>
    <w:p w14:paraId="59A7BB15" w14:textId="77777777" w:rsidR="00047DC5" w:rsidRDefault="00047DC5" w:rsidP="00047DC5">
      <w:pPr>
        <w:spacing w:line="360" w:lineRule="auto"/>
        <w:jc w:val="both"/>
        <w:rPr>
          <w:rFonts w:ascii="Arial" w:hAnsi="Arial" w:cs="Arial"/>
        </w:rPr>
      </w:pPr>
      <w:r>
        <w:rPr>
          <w:rFonts w:ascii="Arial" w:hAnsi="Arial" w:cs="Arial"/>
        </w:rPr>
        <w:t>Regarding avoidance of harm, the study does not involve contact with human participants, and there is no risk of physical or psychological harm. The use of secondary data avoids the potential for distress, discomfort, or risk associated with primary research involving vulnerable groups.</w:t>
      </w:r>
    </w:p>
    <w:p w14:paraId="12C105B3" w14:textId="77777777" w:rsidR="00047DC5" w:rsidRDefault="00047DC5" w:rsidP="00047DC5">
      <w:pPr>
        <w:spacing w:line="360" w:lineRule="auto"/>
        <w:jc w:val="both"/>
        <w:rPr>
          <w:rFonts w:ascii="Arial" w:hAnsi="Arial" w:cs="Arial"/>
        </w:rPr>
      </w:pPr>
      <w:r>
        <w:rPr>
          <w:rFonts w:ascii="Arial" w:hAnsi="Arial" w:cs="Arial"/>
        </w:rPr>
        <w:lastRenderedPageBreak/>
        <w:t>Regarding transparency and objectivity, the study will be conducted with transparency and objectivity. All data sources, analytical methods, and limitations will be clearly documented. The researcher will remain independent of the subject matter, maintaining a value</w:t>
      </w:r>
      <w:r>
        <w:rPr>
          <w:rFonts w:ascii="Arial" w:hAnsi="Arial" w:cs="Arial"/>
        </w:rPr>
        <w:noBreakHyphen/>
        <w:t>free and objective approach to data analysis and interpretation.</w:t>
      </w:r>
    </w:p>
    <w:p w14:paraId="12045B2D" w14:textId="77777777" w:rsidR="00047DC5" w:rsidRDefault="00047DC5" w:rsidP="00047DC5">
      <w:pPr>
        <w:pStyle w:val="Heading3"/>
      </w:pPr>
      <w:bookmarkStart w:id="121" w:name="_Toc235978109"/>
      <w:bookmarkStart w:id="122" w:name="_Toc235978674"/>
      <w:bookmarkStart w:id="123" w:name="_Toc238549826"/>
      <w:r>
        <w:t>3.7.2 Institutional Approval</w:t>
      </w:r>
      <w:bookmarkEnd w:id="121"/>
      <w:bookmarkEnd w:id="122"/>
      <w:bookmarkEnd w:id="123"/>
    </w:p>
    <w:p w14:paraId="4C2A9B33" w14:textId="77777777" w:rsidR="00047DC5" w:rsidRDefault="00047DC5" w:rsidP="00047DC5">
      <w:pPr>
        <w:spacing w:line="360" w:lineRule="auto"/>
        <w:jc w:val="both"/>
        <w:rPr>
          <w:rFonts w:ascii="Arial" w:hAnsi="Arial" w:cs="Arial"/>
        </w:rPr>
      </w:pPr>
      <w:r>
        <w:rPr>
          <w:rFonts w:ascii="Arial" w:hAnsi="Arial" w:cs="Arial"/>
        </w:rPr>
        <w:t>Ethical approval for the study was obtained from the UWTSD Research Ethics Committee as part of the research proposal approval process. The ethical form was approved by the supervisor and submitted in accordance with university procedures.</w:t>
      </w:r>
    </w:p>
    <w:p w14:paraId="1990C2CE" w14:textId="77777777" w:rsidR="00047DC5" w:rsidRDefault="00047DC5" w:rsidP="00047DC5">
      <w:pPr>
        <w:pStyle w:val="Heading3"/>
      </w:pPr>
      <w:bookmarkStart w:id="124" w:name="_Toc235978110"/>
      <w:bookmarkStart w:id="125" w:name="_Toc235978675"/>
      <w:bookmarkStart w:id="126" w:name="_Toc238549827"/>
      <w:r>
        <w:t>3.8 Limitations and Mitigations</w:t>
      </w:r>
      <w:bookmarkEnd w:id="124"/>
      <w:bookmarkEnd w:id="125"/>
      <w:bookmarkEnd w:id="126"/>
    </w:p>
    <w:p w14:paraId="618E130E" w14:textId="77777777" w:rsidR="00047DC5" w:rsidRDefault="00047DC5" w:rsidP="00047DC5">
      <w:pPr>
        <w:spacing w:line="360" w:lineRule="auto"/>
        <w:jc w:val="both"/>
        <w:rPr>
          <w:rFonts w:ascii="Arial" w:hAnsi="Arial" w:cs="Arial"/>
        </w:rPr>
      </w:pPr>
      <w:r>
        <w:rPr>
          <w:rFonts w:ascii="Arial" w:hAnsi="Arial" w:cs="Arial"/>
        </w:rPr>
        <w:t>Several limitations of the methodology are acknowledged, along with strategies to mitigate their impact.</w:t>
      </w:r>
    </w:p>
    <w:p w14:paraId="227DDF19" w14:textId="77777777" w:rsidR="00047DC5" w:rsidRDefault="00047DC5" w:rsidP="00047DC5">
      <w:pPr>
        <w:spacing w:line="360" w:lineRule="auto"/>
        <w:jc w:val="both"/>
      </w:pPr>
      <w:r>
        <w:rPr>
          <w:rFonts w:ascii="Arial" w:hAnsi="Arial" w:cs="Arial"/>
          <w:b/>
          <w:bCs/>
        </w:rPr>
        <w:t>Policy volatility</w:t>
      </w:r>
      <w:r>
        <w:rPr>
          <w:rFonts w:ascii="Arial" w:hAnsi="Arial" w:cs="Arial"/>
        </w:rPr>
        <w:t> – immigration rules may change again during the research period. To mitigate this, a fixed cut</w:t>
      </w:r>
      <w:r>
        <w:rPr>
          <w:rFonts w:ascii="Arial" w:hAnsi="Arial" w:cs="Arial"/>
        </w:rPr>
        <w:noBreakHyphen/>
        <w:t>off date of April 2026 will be applied, and any later changes will be treated as beyond the study's scope. This ensures the study is based on a clearly defined policy period.</w:t>
      </w:r>
    </w:p>
    <w:p w14:paraId="51E481D8" w14:textId="77777777" w:rsidR="00047DC5" w:rsidRDefault="00047DC5" w:rsidP="00047DC5">
      <w:pPr>
        <w:spacing w:line="360" w:lineRule="auto"/>
        <w:jc w:val="both"/>
      </w:pPr>
      <w:r>
        <w:rPr>
          <w:rFonts w:ascii="Arial" w:hAnsi="Arial" w:cs="Arial"/>
          <w:b/>
          <w:bCs/>
        </w:rPr>
        <w:t>Data comparability across UK nations</w:t>
      </w:r>
      <w:r>
        <w:rPr>
          <w:rFonts w:ascii="Arial" w:hAnsi="Arial" w:cs="Arial"/>
        </w:rPr>
        <w:t> – Scotland, Wales and Northern Ireland have different healthcare governance and workforce data systems. Where data are not comparable across nations, England</w:t>
      </w:r>
      <w:r>
        <w:rPr>
          <w:rFonts w:ascii="Arial" w:hAnsi="Arial" w:cs="Arial"/>
        </w:rPr>
        <w:noBreakHyphen/>
        <w:t>only analysis will be used, and the limitation will be noted explicitly. This ensures that comparisons are valid and reliable.</w:t>
      </w:r>
    </w:p>
    <w:p w14:paraId="46562B69" w14:textId="77777777" w:rsidR="00047DC5" w:rsidRDefault="00047DC5" w:rsidP="00047DC5">
      <w:pPr>
        <w:spacing w:line="360" w:lineRule="auto"/>
        <w:jc w:val="both"/>
      </w:pPr>
      <w:r>
        <w:rPr>
          <w:rFonts w:ascii="Arial" w:hAnsi="Arial" w:cs="Arial"/>
          <w:b/>
          <w:bCs/>
        </w:rPr>
        <w:t>Forward projection risk</w:t>
      </w:r>
      <w:r>
        <w:rPr>
          <w:rFonts w:ascii="Arial" w:hAnsi="Arial" w:cs="Arial"/>
        </w:rPr>
        <w:t xml:space="preserve"> – full implementation data for HC 1691 (Home Office, 2026) may not be available. The study will rely on the Home Office's own modelled projections and label findings as 'estimated impacts' rather than confirmed outcomes. This ensures transparency </w:t>
      </w:r>
      <w:proofErr w:type="gramStart"/>
      <w:r>
        <w:rPr>
          <w:rFonts w:ascii="Arial" w:hAnsi="Arial" w:cs="Arial"/>
        </w:rPr>
        <w:t>about</w:t>
      </w:r>
      <w:proofErr w:type="gramEnd"/>
      <w:r>
        <w:rPr>
          <w:rFonts w:ascii="Arial" w:hAnsi="Arial" w:cs="Arial"/>
        </w:rPr>
        <w:t xml:space="preserve"> the nature of the findings.</w:t>
      </w:r>
    </w:p>
    <w:p w14:paraId="72CC4338" w14:textId="77777777" w:rsidR="00047DC5" w:rsidRDefault="00047DC5" w:rsidP="00047DC5">
      <w:pPr>
        <w:spacing w:line="360" w:lineRule="auto"/>
        <w:jc w:val="both"/>
      </w:pPr>
      <w:r>
        <w:rPr>
          <w:rFonts w:ascii="Arial" w:hAnsi="Arial" w:cs="Arial"/>
          <w:b/>
          <w:bCs/>
        </w:rPr>
        <w:t>TBL environmental pillar exclusion</w:t>
      </w:r>
      <w:r>
        <w:rPr>
          <w:rFonts w:ascii="Arial" w:hAnsi="Arial" w:cs="Arial"/>
        </w:rPr>
        <w:t> – the environmental pillar of the TBL framework is excluded. The study will state upfront that it is limited to social and economic sustainability. This clarifies the scope and boundaries of the analysis.</w:t>
      </w:r>
    </w:p>
    <w:p w14:paraId="213BA0A6" w14:textId="77777777" w:rsidR="00047DC5" w:rsidRDefault="00047DC5" w:rsidP="00047DC5">
      <w:pPr>
        <w:spacing w:line="360" w:lineRule="auto"/>
        <w:jc w:val="both"/>
      </w:pPr>
      <w:r>
        <w:rPr>
          <w:rFonts w:ascii="Arial" w:hAnsi="Arial" w:cs="Arial"/>
          <w:b/>
          <w:bCs/>
        </w:rPr>
        <w:t>Correlation vs causation</w:t>
      </w:r>
      <w:r>
        <w:rPr>
          <w:rFonts w:ascii="Arial" w:hAnsi="Arial" w:cs="Arial"/>
        </w:rPr>
        <w:t xml:space="preserve"> – regression analysis can show statistical association but cannot prove that rule changes directly caused human capital changes. This limitation will </w:t>
      </w:r>
      <w:r>
        <w:rPr>
          <w:rFonts w:ascii="Arial" w:hAnsi="Arial" w:cs="Arial"/>
        </w:rPr>
        <w:lastRenderedPageBreak/>
        <w:t>be explicitly stated in the findings chapter, and the study will use terms such as 'association' and 'statistical relationship' rather than 'causation'. The longitudinal design and control for confounding variables strengthen causal inference.</w:t>
      </w:r>
    </w:p>
    <w:p w14:paraId="078EC9F7" w14:textId="77777777" w:rsidR="00047DC5" w:rsidRDefault="00047DC5" w:rsidP="00047DC5">
      <w:pPr>
        <w:spacing w:line="360" w:lineRule="auto"/>
        <w:jc w:val="both"/>
      </w:pPr>
      <w:r>
        <w:rPr>
          <w:rFonts w:ascii="Arial" w:hAnsi="Arial" w:cs="Arial"/>
          <w:b/>
          <w:bCs/>
        </w:rPr>
        <w:t>Reliance on official data</w:t>
      </w:r>
      <w:r>
        <w:rPr>
          <w:rFonts w:ascii="Arial" w:hAnsi="Arial" w:cs="Arial"/>
        </w:rPr>
        <w:t> – official data may have limitations in terms of coverage, accuracy, and timeliness. Multiple data sources will be used to triangulate findings, and the quality and limitations of each data source will be acknowledged.</w:t>
      </w:r>
    </w:p>
    <w:p w14:paraId="0BE6AB0D" w14:textId="77777777" w:rsidR="00047DC5" w:rsidRDefault="00047DC5" w:rsidP="00047DC5">
      <w:pPr>
        <w:pStyle w:val="Heading3"/>
      </w:pPr>
      <w:bookmarkStart w:id="127" w:name="_Toc235978111"/>
      <w:bookmarkStart w:id="128" w:name="_Toc235978676"/>
      <w:bookmarkStart w:id="129" w:name="_Toc238549828"/>
      <w:r>
        <w:t>3.9 Chapter Summary</w:t>
      </w:r>
      <w:bookmarkEnd w:id="127"/>
      <w:bookmarkEnd w:id="128"/>
      <w:bookmarkEnd w:id="129"/>
    </w:p>
    <w:p w14:paraId="2B3CCC8B" w14:textId="77777777" w:rsidR="00047DC5" w:rsidRDefault="00047DC5" w:rsidP="00047DC5">
      <w:pPr>
        <w:spacing w:line="360" w:lineRule="auto"/>
        <w:jc w:val="both"/>
        <w:rPr>
          <w:rFonts w:ascii="Arial" w:hAnsi="Arial" w:cs="Arial"/>
        </w:rPr>
      </w:pPr>
      <w:r>
        <w:rPr>
          <w:rFonts w:ascii="Arial" w:hAnsi="Arial" w:cs="Arial"/>
        </w:rPr>
        <w:t xml:space="preserve">This chapter has presented and justified the research methodology adopted for this study. The study adopts a positivist research philosophy, grounded in the assumption that the impact of immigration policy is an objective reality measurable through numerical data and statistical analysis. Positivism is justified over interpretivism and pragmatism on the grounds of alignment with the research questions, the nature of the data, and the need for replicable, </w:t>
      </w:r>
      <w:proofErr w:type="spellStart"/>
      <w:r>
        <w:rPr>
          <w:rFonts w:ascii="Arial" w:hAnsi="Arial" w:cs="Arial"/>
        </w:rPr>
        <w:t>generalisable</w:t>
      </w:r>
      <w:proofErr w:type="spellEnd"/>
      <w:r>
        <w:rPr>
          <w:rFonts w:ascii="Arial" w:hAnsi="Arial" w:cs="Arial"/>
        </w:rPr>
        <w:t xml:space="preserve"> findings.</w:t>
      </w:r>
    </w:p>
    <w:p w14:paraId="567FBA86" w14:textId="77777777" w:rsidR="00047DC5" w:rsidRDefault="00047DC5" w:rsidP="00047DC5">
      <w:pPr>
        <w:spacing w:line="360" w:lineRule="auto"/>
        <w:jc w:val="both"/>
        <w:rPr>
          <w:rFonts w:ascii="Arial" w:hAnsi="Arial" w:cs="Arial"/>
        </w:rPr>
      </w:pPr>
      <w:r>
        <w:rPr>
          <w:rFonts w:ascii="Arial" w:hAnsi="Arial" w:cs="Arial"/>
        </w:rPr>
        <w:t xml:space="preserve">The study employs a deductive, quantitative research approach. Deduction is justified because the theoretical framework provides propositions that can be empirically examined. The quantitative approach is justified because it leverages robust official data and produces </w:t>
      </w:r>
      <w:proofErr w:type="spellStart"/>
      <w:r>
        <w:rPr>
          <w:rFonts w:ascii="Arial" w:hAnsi="Arial" w:cs="Arial"/>
        </w:rPr>
        <w:t>generalisable</w:t>
      </w:r>
      <w:proofErr w:type="spellEnd"/>
      <w:r>
        <w:rPr>
          <w:rFonts w:ascii="Arial" w:hAnsi="Arial" w:cs="Arial"/>
        </w:rPr>
        <w:t>, policy</w:t>
      </w:r>
      <w:r>
        <w:rPr>
          <w:rFonts w:ascii="Arial" w:hAnsi="Arial" w:cs="Arial"/>
        </w:rPr>
        <w:noBreakHyphen/>
        <w:t>relevant findings.</w:t>
      </w:r>
    </w:p>
    <w:p w14:paraId="7D239233" w14:textId="77777777" w:rsidR="00047DC5" w:rsidRDefault="00047DC5" w:rsidP="00047DC5">
      <w:pPr>
        <w:spacing w:line="360" w:lineRule="auto"/>
        <w:jc w:val="both"/>
        <w:rPr>
          <w:rFonts w:ascii="Arial" w:hAnsi="Arial" w:cs="Arial"/>
        </w:rPr>
      </w:pPr>
      <w:r>
        <w:rPr>
          <w:rFonts w:ascii="Arial" w:hAnsi="Arial" w:cs="Arial"/>
        </w:rPr>
        <w:t>The study employs a secondary quantitative longitudinal design using documentary research techniques. Data will be collected from official sources -- Home Office impact assessments and migration statistics, ONS long</w:t>
      </w:r>
      <w:r>
        <w:rPr>
          <w:rFonts w:ascii="Arial" w:hAnsi="Arial" w:cs="Arial"/>
        </w:rPr>
        <w:noBreakHyphen/>
        <w:t xml:space="preserve">term migration data, and Skills for Care workforce data. No primary data collection will be undertaken. Data will be </w:t>
      </w:r>
      <w:proofErr w:type="spellStart"/>
      <w:r>
        <w:rPr>
          <w:rFonts w:ascii="Arial" w:hAnsi="Arial" w:cs="Arial"/>
        </w:rPr>
        <w:t>analysed</w:t>
      </w:r>
      <w:proofErr w:type="spellEnd"/>
      <w:r>
        <w:rPr>
          <w:rFonts w:ascii="Arial" w:hAnsi="Arial" w:cs="Arial"/>
        </w:rPr>
        <w:t xml:space="preserve"> using descriptive statistics, including trend analysis, and inferential statistics, including multiple regression.</w:t>
      </w:r>
    </w:p>
    <w:p w14:paraId="58ACA177" w14:textId="77777777" w:rsidR="00047DC5" w:rsidRDefault="00047DC5" w:rsidP="00047DC5">
      <w:pPr>
        <w:spacing w:line="360" w:lineRule="auto"/>
        <w:jc w:val="both"/>
        <w:rPr>
          <w:rFonts w:ascii="Arial" w:hAnsi="Arial" w:cs="Arial"/>
        </w:rPr>
      </w:pPr>
      <w:r>
        <w:rPr>
          <w:rFonts w:ascii="Arial" w:hAnsi="Arial" w:cs="Arial"/>
        </w:rPr>
        <w:t>Ethical considerations have been addressed, with the study adhering to UWTSD guidelines and principles. The study avoids the need for informed consent by using only public</w:t>
      </w:r>
      <w:r>
        <w:rPr>
          <w:rFonts w:ascii="Arial" w:hAnsi="Arial" w:cs="Arial"/>
        </w:rPr>
        <w:noBreakHyphen/>
        <w:t xml:space="preserve">domain secondary data. Confidentiality and anonymity are ensured </w:t>
      </w:r>
      <w:proofErr w:type="gramStart"/>
      <w:r>
        <w:rPr>
          <w:rFonts w:ascii="Arial" w:hAnsi="Arial" w:cs="Arial"/>
        </w:rPr>
        <w:t>through the use of</w:t>
      </w:r>
      <w:proofErr w:type="gramEnd"/>
      <w:r>
        <w:rPr>
          <w:rFonts w:ascii="Arial" w:hAnsi="Arial" w:cs="Arial"/>
        </w:rPr>
        <w:t xml:space="preserve"> aggregate statistics.</w:t>
      </w:r>
    </w:p>
    <w:p w14:paraId="71BB44A5" w14:textId="77777777" w:rsidR="00047DC5" w:rsidRDefault="00047DC5" w:rsidP="00047DC5">
      <w:pPr>
        <w:spacing w:line="360" w:lineRule="auto"/>
        <w:jc w:val="both"/>
        <w:rPr>
          <w:rFonts w:ascii="Arial" w:hAnsi="Arial" w:cs="Arial"/>
        </w:rPr>
      </w:pPr>
      <w:r>
        <w:rPr>
          <w:rFonts w:ascii="Arial" w:hAnsi="Arial" w:cs="Arial"/>
        </w:rPr>
        <w:lastRenderedPageBreak/>
        <w:t>The limitations of the methodology have been acknowledged, including policy volatility, data comparability issues, forward projection risk, and the correlation vs causation limitation. Mitigation strategies have been outlined to address each limitation.</w:t>
      </w:r>
    </w:p>
    <w:p w14:paraId="384555CB" w14:textId="77777777" w:rsidR="00047DC5" w:rsidRDefault="00047DC5" w:rsidP="00047DC5">
      <w:pPr>
        <w:spacing w:line="360" w:lineRule="auto"/>
        <w:jc w:val="both"/>
        <w:rPr>
          <w:rFonts w:ascii="Arial" w:hAnsi="Arial" w:cs="Arial"/>
        </w:rPr>
      </w:pPr>
      <w:r>
        <w:rPr>
          <w:rFonts w:ascii="Arial" w:hAnsi="Arial" w:cs="Arial"/>
        </w:rPr>
        <w:t>The methodology is designed to provide a rigorous, reliable, and valid quantitative evaluation of the impact of UK immigration policy changes on migrant healthcare support worker sustainability. The findings presented in the following chapter will provide empirical evidence to address the research questions and examine the theoretical framework developed in Chapter 2.</w:t>
      </w:r>
    </w:p>
    <w:p w14:paraId="56F91D4B" w14:textId="77777777" w:rsidR="00047DC5" w:rsidRDefault="00047DC5" w:rsidP="00047DC5">
      <w:pPr>
        <w:spacing w:line="360" w:lineRule="auto"/>
        <w:jc w:val="both"/>
        <w:rPr>
          <w:rFonts w:ascii="Arial" w:hAnsi="Arial" w:cs="Arial"/>
        </w:rPr>
      </w:pPr>
    </w:p>
    <w:p w14:paraId="2DE5AA34" w14:textId="77777777" w:rsidR="00047DC5" w:rsidRDefault="00047DC5" w:rsidP="00047DC5">
      <w:bookmarkStart w:id="130" w:name="_Toc235978112"/>
      <w:bookmarkStart w:id="131" w:name="_Toc235978677"/>
    </w:p>
    <w:p w14:paraId="5EBF4C34" w14:textId="77777777" w:rsidR="00047DC5" w:rsidRDefault="00047DC5" w:rsidP="00047DC5">
      <w:pPr>
        <w:pStyle w:val="Heading1"/>
        <w:pageBreakBefore/>
      </w:pPr>
      <w:bookmarkStart w:id="132" w:name="_Toc238549829"/>
      <w:r>
        <w:lastRenderedPageBreak/>
        <w:t>Chapter 4: Findings / Results, Analysis and Discussion</w:t>
      </w:r>
      <w:bookmarkEnd w:id="130"/>
      <w:bookmarkEnd w:id="131"/>
      <w:bookmarkEnd w:id="132"/>
    </w:p>
    <w:p w14:paraId="6BDB5362" w14:textId="77777777" w:rsidR="00047DC5" w:rsidRDefault="00047DC5" w:rsidP="00047DC5">
      <w:pPr>
        <w:pStyle w:val="Heading2"/>
      </w:pPr>
      <w:bookmarkStart w:id="133" w:name="_Toc235978113"/>
      <w:bookmarkStart w:id="134" w:name="_Toc235978678"/>
      <w:bookmarkStart w:id="135" w:name="_Toc238549830"/>
      <w:r>
        <w:t>4.1 Introduction</w:t>
      </w:r>
      <w:bookmarkEnd w:id="133"/>
      <w:bookmarkEnd w:id="134"/>
      <w:bookmarkEnd w:id="135"/>
    </w:p>
    <w:p w14:paraId="581AD767" w14:textId="77777777" w:rsidR="00047DC5" w:rsidRDefault="00047DC5" w:rsidP="00047DC5">
      <w:pPr>
        <w:spacing w:line="360" w:lineRule="auto"/>
        <w:jc w:val="both"/>
        <w:rPr>
          <w:rFonts w:ascii="Arial" w:hAnsi="Arial" w:cs="Arial"/>
        </w:rPr>
      </w:pPr>
      <w:r>
        <w:rPr>
          <w:rFonts w:ascii="Arial" w:hAnsi="Arial" w:cs="Arial"/>
        </w:rPr>
        <w:t>This chapter presents the findings of the quantitative data analysis conducted to address the research objectives and questions of this study. The analysis draws exclusively on official secondary data from the Home Office, Office for National Statistics (ONS), Nursing and Midwifery Council (NMC), and Skills for Care, covering the period 2020 to 2026.</w:t>
      </w:r>
    </w:p>
    <w:p w14:paraId="18C66D8D" w14:textId="77777777" w:rsidR="00047DC5" w:rsidRDefault="00047DC5" w:rsidP="00047DC5">
      <w:pPr>
        <w:spacing w:line="360" w:lineRule="auto"/>
        <w:jc w:val="both"/>
        <w:rPr>
          <w:rFonts w:ascii="Arial" w:hAnsi="Arial" w:cs="Arial"/>
        </w:rPr>
      </w:pPr>
      <w:r>
        <w:rPr>
          <w:rFonts w:ascii="Arial" w:hAnsi="Arial" w:cs="Arial"/>
        </w:rPr>
        <w:t xml:space="preserve">As outlined in Chapter 3, this study adopts a positivist research philosophy and employs a secondary quantitative longitudinal design. Data </w:t>
      </w:r>
      <w:proofErr w:type="gramStart"/>
      <w:r>
        <w:rPr>
          <w:rFonts w:ascii="Arial" w:hAnsi="Arial" w:cs="Arial"/>
        </w:rPr>
        <w:t>were</w:t>
      </w:r>
      <w:proofErr w:type="gramEnd"/>
      <w:r>
        <w:rPr>
          <w:rFonts w:ascii="Arial" w:hAnsi="Arial" w:cs="Arial"/>
        </w:rPr>
        <w:t xml:space="preserve"> </w:t>
      </w:r>
      <w:proofErr w:type="spellStart"/>
      <w:r>
        <w:rPr>
          <w:rFonts w:ascii="Arial" w:hAnsi="Arial" w:cs="Arial"/>
        </w:rPr>
        <w:t>analysed</w:t>
      </w:r>
      <w:proofErr w:type="spellEnd"/>
      <w:r>
        <w:rPr>
          <w:rFonts w:ascii="Arial" w:hAnsi="Arial" w:cs="Arial"/>
        </w:rPr>
        <w:t xml:space="preserve"> using descriptive statistics (trend analysis, percentages, and averages) and inferential statistics including multiple regression, all conducted in Microsoft Excel. The chapter is structured into three main parts: presentation of findings, analysis of results, and discussion of results.</w:t>
      </w:r>
    </w:p>
    <w:p w14:paraId="0F65799E" w14:textId="77777777" w:rsidR="00047DC5" w:rsidRDefault="00047DC5" w:rsidP="00047DC5">
      <w:pPr>
        <w:pStyle w:val="Heading2"/>
      </w:pPr>
      <w:bookmarkStart w:id="136" w:name="_Toc235978114"/>
      <w:bookmarkStart w:id="137" w:name="_Toc235978679"/>
      <w:bookmarkStart w:id="138" w:name="_Toc238549831"/>
      <w:r>
        <w:t>4.2 Presentation of Findings</w:t>
      </w:r>
      <w:bookmarkEnd w:id="136"/>
      <w:bookmarkEnd w:id="137"/>
      <w:bookmarkEnd w:id="138"/>
    </w:p>
    <w:p w14:paraId="42F74923" w14:textId="77777777" w:rsidR="00047DC5" w:rsidRDefault="00047DC5" w:rsidP="00047DC5">
      <w:pPr>
        <w:pStyle w:val="Heading3"/>
      </w:pPr>
      <w:bookmarkStart w:id="139" w:name="_Toc235978115"/>
      <w:bookmarkStart w:id="140" w:name="_Toc235978680"/>
      <w:bookmarkStart w:id="141" w:name="_Toc238549832"/>
      <w:r>
        <w:t>4.2.1 Research Question 1: Key Drivers for Policy Changes</w:t>
      </w:r>
      <w:bookmarkEnd w:id="139"/>
      <w:bookmarkEnd w:id="140"/>
      <w:bookmarkEnd w:id="141"/>
    </w:p>
    <w:p w14:paraId="23BD9A09" w14:textId="77777777" w:rsidR="00047DC5" w:rsidRDefault="00047DC5" w:rsidP="00047DC5">
      <w:pPr>
        <w:pStyle w:val="Heading5"/>
      </w:pPr>
      <w:r>
        <w:t>4.2.1.1 Data Sources and Analysis Method</w:t>
      </w:r>
    </w:p>
    <w:p w14:paraId="3BCB0856" w14:textId="77777777" w:rsidR="00047DC5" w:rsidRDefault="00047DC5" w:rsidP="00047DC5">
      <w:pPr>
        <w:spacing w:line="360" w:lineRule="auto"/>
        <w:jc w:val="both"/>
        <w:rPr>
          <w:rFonts w:ascii="Arial" w:hAnsi="Arial" w:cs="Arial"/>
        </w:rPr>
      </w:pPr>
      <w:r>
        <w:rPr>
          <w:rFonts w:ascii="Arial" w:hAnsi="Arial" w:cs="Arial"/>
        </w:rPr>
        <w:t xml:space="preserve">Document analysis was conducted on official policy documents, including the Restoring Control over the Immigration System White Paper (Home Office, 2025a), the Spring 2025 Immigration Rules Impact Assessment (Home Office, 2025b), and the Statement of Changes to the Immigration Rules: HC 1691 (Home Office, 2026). Descriptive statistics on net migration trends from the Office for National Statistics (2024) were also </w:t>
      </w:r>
      <w:proofErr w:type="spellStart"/>
      <w:r>
        <w:rPr>
          <w:rFonts w:ascii="Arial" w:hAnsi="Arial" w:cs="Arial"/>
        </w:rPr>
        <w:t>analysed</w:t>
      </w:r>
      <w:proofErr w:type="spellEnd"/>
      <w:r>
        <w:rPr>
          <w:rFonts w:ascii="Arial" w:hAnsi="Arial" w:cs="Arial"/>
        </w:rPr>
        <w:t xml:space="preserve"> in Excel.</w:t>
      </w:r>
    </w:p>
    <w:p w14:paraId="770BA680" w14:textId="77777777" w:rsidR="00047DC5" w:rsidRDefault="00047DC5" w:rsidP="00047DC5">
      <w:pPr>
        <w:pStyle w:val="Heading5"/>
      </w:pPr>
      <w:r>
        <w:t>4.2.1.2 Findings: The Three Key Drivers</w:t>
      </w:r>
    </w:p>
    <w:p w14:paraId="14FF85D9" w14:textId="77777777" w:rsidR="00047DC5" w:rsidRDefault="00047DC5" w:rsidP="00047DC5">
      <w:pPr>
        <w:spacing w:line="360" w:lineRule="auto"/>
        <w:jc w:val="both"/>
        <w:rPr>
          <w:rFonts w:ascii="Arial" w:hAnsi="Arial" w:cs="Arial"/>
        </w:rPr>
      </w:pPr>
      <w:r>
        <w:rPr>
          <w:rFonts w:ascii="Arial" w:hAnsi="Arial" w:cs="Arial"/>
        </w:rPr>
        <w:t>Driver 1: Reducing Net Migration: Between June 2019 and June 2023, net migration reached a record 906,000 (Office for National Statistics, 2024). By 2025, net migration had fallen to 171,000 – a decline of approximately 81% (BBC, 2026). The White Paper explicitly framed the reforms as necessary to ‘end the UK's reliance on overseas, lower skilled recruitment’ (Home Office, 2025a).</w:t>
      </w:r>
    </w:p>
    <w:p w14:paraId="29BE875C" w14:textId="77777777" w:rsidR="00047DC5" w:rsidRDefault="00047DC5" w:rsidP="00047DC5">
      <w:pPr>
        <w:spacing w:line="360" w:lineRule="auto"/>
        <w:jc w:val="both"/>
        <w:rPr>
          <w:rFonts w:ascii="Arial" w:hAnsi="Arial" w:cs="Arial"/>
        </w:rPr>
      </w:pPr>
      <w:r>
        <w:rPr>
          <w:rFonts w:ascii="Arial" w:hAnsi="Arial" w:cs="Arial"/>
        </w:rPr>
        <w:t xml:space="preserve">Driver 2: Addressing Exploitation: The Home Office's Impact Assessment (Home Office, 2025b) acknowledged concerns about exploitation of migrant care workers. Between July </w:t>
      </w:r>
      <w:r>
        <w:rPr>
          <w:rFonts w:ascii="Arial" w:hAnsi="Arial" w:cs="Arial"/>
        </w:rPr>
        <w:lastRenderedPageBreak/>
        <w:t xml:space="preserve">2024 and June 2025, nearly 2,000 sponsor </w:t>
      </w:r>
      <w:proofErr w:type="spellStart"/>
      <w:r>
        <w:rPr>
          <w:rFonts w:ascii="Arial" w:hAnsi="Arial" w:cs="Arial"/>
        </w:rPr>
        <w:t>licences</w:t>
      </w:r>
      <w:proofErr w:type="spellEnd"/>
      <w:r>
        <w:rPr>
          <w:rFonts w:ascii="Arial" w:hAnsi="Arial" w:cs="Arial"/>
        </w:rPr>
        <w:t xml:space="preserve"> were revoked – more than double the previous year.</w:t>
      </w:r>
    </w:p>
    <w:p w14:paraId="0D5BB0BD" w14:textId="77777777" w:rsidR="00047DC5" w:rsidRDefault="00047DC5" w:rsidP="00047DC5">
      <w:pPr>
        <w:spacing w:line="360" w:lineRule="auto"/>
        <w:jc w:val="both"/>
        <w:rPr>
          <w:rFonts w:ascii="Arial" w:hAnsi="Arial" w:cs="Arial"/>
        </w:rPr>
      </w:pPr>
      <w:r>
        <w:rPr>
          <w:rFonts w:ascii="Arial" w:hAnsi="Arial" w:cs="Arial"/>
        </w:rPr>
        <w:t>Driver 3: Promoting Domestic Workforce Development: The NHS Long Term Workforce Plan (NHS England, 2023) set out ambitious targets for domestic recruitment, including new apprenticeship routes and career pathways for HCSWs.</w:t>
      </w:r>
    </w:p>
    <w:p w14:paraId="1197EDBF" w14:textId="77777777" w:rsidR="00047DC5" w:rsidRDefault="00047DC5" w:rsidP="00047DC5">
      <w:pPr>
        <w:pStyle w:val="Heading5"/>
      </w:pPr>
      <w:r>
        <w:t>4.2.1.3 Summary of Findings for Research Question 1</w:t>
      </w:r>
    </w:p>
    <w:p w14:paraId="0C887CE0" w14:textId="77777777" w:rsidR="00047DC5" w:rsidRDefault="00047DC5" w:rsidP="00047DC5">
      <w:pPr>
        <w:spacing w:line="360" w:lineRule="auto"/>
        <w:jc w:val="both"/>
        <w:rPr>
          <w:rFonts w:ascii="Arial" w:hAnsi="Arial" w:cs="Arial"/>
        </w:rPr>
      </w:pPr>
      <w:r>
        <w:rPr>
          <w:rFonts w:ascii="Arial" w:hAnsi="Arial" w:cs="Arial"/>
        </w:rPr>
        <w:t>The 2020–2026 immigration reforms were driven by three interconnected policy objectives: reducing net migration, addressing exploitation concerns, and promoting domestic workforce development.</w:t>
      </w:r>
    </w:p>
    <w:p w14:paraId="6B2B5199" w14:textId="77777777" w:rsidR="00047DC5" w:rsidRDefault="00047DC5" w:rsidP="00047DC5">
      <w:pPr>
        <w:pStyle w:val="Heading3"/>
      </w:pPr>
      <w:bookmarkStart w:id="142" w:name="_Toc238549833"/>
      <w:r>
        <w:t>4.2.2 Research Question 2: Determinants of Human Capital Sustainability</w:t>
      </w:r>
      <w:bookmarkEnd w:id="142"/>
    </w:p>
    <w:p w14:paraId="77E64B92" w14:textId="77777777" w:rsidR="00047DC5" w:rsidRDefault="00047DC5" w:rsidP="00047DC5">
      <w:pPr>
        <w:pStyle w:val="Heading5"/>
      </w:pPr>
      <w:r>
        <w:t>4.2.2.1 Data Sources and Analysis Method</w:t>
      </w:r>
    </w:p>
    <w:p w14:paraId="58EE1CF1" w14:textId="77777777" w:rsidR="00047DC5" w:rsidRDefault="00047DC5" w:rsidP="00047DC5">
      <w:pPr>
        <w:spacing w:line="360" w:lineRule="auto"/>
        <w:jc w:val="both"/>
        <w:rPr>
          <w:rFonts w:ascii="Arial" w:hAnsi="Arial" w:cs="Arial"/>
        </w:rPr>
      </w:pPr>
      <w:r>
        <w:rPr>
          <w:rFonts w:ascii="Arial" w:hAnsi="Arial" w:cs="Arial"/>
        </w:rPr>
        <w:t>Descriptive statistics were calculated using data from Skills for Care (2024), the Office for National Statistics (2024), and the Adult Social Care Workforce Data Set (ASC-WDS).</w:t>
      </w:r>
    </w:p>
    <w:p w14:paraId="41D941F6" w14:textId="77777777" w:rsidR="00047DC5" w:rsidRDefault="00047DC5" w:rsidP="00047DC5">
      <w:pPr>
        <w:pStyle w:val="Heading5"/>
      </w:pPr>
      <w:r>
        <w:t>4.2.2.2 Findings: Workforce Scale and Composition</w:t>
      </w:r>
    </w:p>
    <w:p w14:paraId="46C4503C" w14:textId="77777777" w:rsidR="00047DC5" w:rsidRDefault="00047DC5" w:rsidP="00047DC5">
      <w:pPr>
        <w:spacing w:line="360" w:lineRule="auto"/>
        <w:jc w:val="both"/>
        <w:rPr>
          <w:rFonts w:ascii="Arial" w:hAnsi="Arial" w:cs="Arial"/>
        </w:rPr>
      </w:pPr>
      <w:r>
        <w:rPr>
          <w:rFonts w:ascii="Arial" w:hAnsi="Arial" w:cs="Arial"/>
        </w:rPr>
        <w:t>HCSWs comprise approximately 40% of the NHS workforce. In adult social care, support workers account for 75.6% of the total 1.59 million workforce. International staff make up nearly 30% of the adult social care sector.</w:t>
      </w:r>
    </w:p>
    <w:p w14:paraId="7446EDC7" w14:textId="77777777" w:rsidR="00047DC5" w:rsidRDefault="00047DC5" w:rsidP="00047DC5">
      <w:pPr>
        <w:pStyle w:val="Heading5"/>
      </w:pPr>
      <w:r>
        <w:t>4.2.2.3 Findings: Workforce Instability</w:t>
      </w:r>
    </w:p>
    <w:p w14:paraId="601CDF48" w14:textId="77777777" w:rsidR="00047DC5" w:rsidRDefault="00047DC5" w:rsidP="00047DC5">
      <w:pPr>
        <w:pStyle w:val="Caption"/>
        <w:keepNext/>
      </w:pPr>
      <w:bookmarkStart w:id="143" w:name="_Toc238206089"/>
      <w:r>
        <w:rPr>
          <w:sz w:val="28"/>
          <w:szCs w:val="28"/>
        </w:rPr>
        <w:t>Table 5 Adult Social Care Workforce Indicators</w:t>
      </w:r>
      <w:bookmarkEnd w:id="143"/>
      <w:r>
        <w:rPr>
          <w:sz w:val="28"/>
          <w:szCs w:val="28"/>
        </w:rPr>
        <w:t>.</w:t>
      </w:r>
    </w:p>
    <w:tbl>
      <w:tblPr>
        <w:tblW w:w="6592" w:type="dxa"/>
        <w:tblCellMar>
          <w:left w:w="10" w:type="dxa"/>
          <w:right w:w="10" w:type="dxa"/>
        </w:tblCellMar>
        <w:tblLook w:val="04A0" w:firstRow="1" w:lastRow="0" w:firstColumn="1" w:lastColumn="0" w:noHBand="0" w:noVBand="1"/>
      </w:tblPr>
      <w:tblGrid>
        <w:gridCol w:w="2495"/>
        <w:gridCol w:w="1428"/>
        <w:gridCol w:w="1348"/>
        <w:gridCol w:w="1321"/>
      </w:tblGrid>
      <w:tr w:rsidR="00047DC5" w14:paraId="4B48A3D4" w14:textId="77777777" w:rsidTr="00AE2E92">
        <w:trPr>
          <w:tblHeader/>
        </w:trPr>
        <w:tc>
          <w:tcPr>
            <w:tcW w:w="2495"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4EAEADE3" w14:textId="77777777" w:rsidR="00047DC5" w:rsidRDefault="00047DC5" w:rsidP="00AE2E92">
            <w:pPr>
              <w:spacing w:line="360" w:lineRule="auto"/>
              <w:jc w:val="both"/>
              <w:rPr>
                <w:rFonts w:ascii="Arial" w:hAnsi="Arial" w:cs="Arial"/>
              </w:rPr>
            </w:pPr>
            <w:r>
              <w:rPr>
                <w:rFonts w:ascii="Arial" w:hAnsi="Arial" w:cs="Arial"/>
              </w:rPr>
              <w:t>Indicator</w:t>
            </w:r>
          </w:p>
        </w:tc>
        <w:tc>
          <w:tcPr>
            <w:tcW w:w="1428"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1E51CA6A" w14:textId="77777777" w:rsidR="00047DC5" w:rsidRDefault="00047DC5" w:rsidP="00AE2E92">
            <w:pPr>
              <w:spacing w:line="360" w:lineRule="auto"/>
              <w:jc w:val="both"/>
              <w:rPr>
                <w:rFonts w:ascii="Arial" w:hAnsi="Arial" w:cs="Arial"/>
              </w:rPr>
            </w:pPr>
            <w:r>
              <w:rPr>
                <w:rFonts w:ascii="Arial" w:hAnsi="Arial" w:cs="Arial"/>
              </w:rPr>
              <w:t>2023/24</w:t>
            </w:r>
          </w:p>
        </w:tc>
        <w:tc>
          <w:tcPr>
            <w:tcW w:w="1348"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42CEFC08" w14:textId="77777777" w:rsidR="00047DC5" w:rsidRDefault="00047DC5" w:rsidP="00AE2E92">
            <w:pPr>
              <w:spacing w:line="360" w:lineRule="auto"/>
              <w:jc w:val="both"/>
              <w:rPr>
                <w:rFonts w:ascii="Arial" w:hAnsi="Arial" w:cs="Arial"/>
              </w:rPr>
            </w:pPr>
            <w:r>
              <w:rPr>
                <w:rFonts w:ascii="Arial" w:hAnsi="Arial" w:cs="Arial"/>
              </w:rPr>
              <w:t>2025/26</w:t>
            </w:r>
          </w:p>
        </w:tc>
        <w:tc>
          <w:tcPr>
            <w:tcW w:w="132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19A7893D" w14:textId="77777777" w:rsidR="00047DC5" w:rsidRDefault="00047DC5" w:rsidP="00AE2E92">
            <w:pPr>
              <w:spacing w:line="360" w:lineRule="auto"/>
              <w:jc w:val="both"/>
              <w:rPr>
                <w:rFonts w:ascii="Arial" w:hAnsi="Arial" w:cs="Arial"/>
              </w:rPr>
            </w:pPr>
            <w:r>
              <w:rPr>
                <w:rFonts w:ascii="Arial" w:hAnsi="Arial" w:cs="Arial"/>
              </w:rPr>
              <w:t>Change</w:t>
            </w:r>
          </w:p>
        </w:tc>
      </w:tr>
      <w:tr w:rsidR="00047DC5" w14:paraId="62BFC2EC" w14:textId="77777777" w:rsidTr="00AE2E92">
        <w:tc>
          <w:tcPr>
            <w:tcW w:w="2495"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3CC1DE79" w14:textId="77777777" w:rsidR="00047DC5" w:rsidRDefault="00047DC5" w:rsidP="00AE2E92">
            <w:pPr>
              <w:spacing w:line="360" w:lineRule="auto"/>
              <w:jc w:val="both"/>
              <w:rPr>
                <w:rFonts w:ascii="Arial" w:hAnsi="Arial" w:cs="Arial"/>
              </w:rPr>
            </w:pPr>
            <w:r>
              <w:rPr>
                <w:rFonts w:ascii="Arial" w:hAnsi="Arial" w:cs="Arial"/>
              </w:rPr>
              <w:t>Vacancy rate</w:t>
            </w:r>
          </w:p>
        </w:tc>
        <w:tc>
          <w:tcPr>
            <w:tcW w:w="1428"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7480955B" w14:textId="77777777" w:rsidR="00047DC5" w:rsidRDefault="00047DC5" w:rsidP="00AE2E92">
            <w:pPr>
              <w:spacing w:line="360" w:lineRule="auto"/>
              <w:jc w:val="both"/>
              <w:rPr>
                <w:rFonts w:ascii="Arial" w:hAnsi="Arial" w:cs="Arial"/>
              </w:rPr>
            </w:pPr>
            <w:r>
              <w:rPr>
                <w:rFonts w:ascii="Arial" w:hAnsi="Arial" w:cs="Arial"/>
              </w:rPr>
              <w:t>7.0</w:t>
            </w:r>
          </w:p>
        </w:tc>
        <w:tc>
          <w:tcPr>
            <w:tcW w:w="1348"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03EEB641" w14:textId="77777777" w:rsidR="00047DC5" w:rsidRDefault="00047DC5" w:rsidP="00AE2E92">
            <w:pPr>
              <w:spacing w:line="360" w:lineRule="auto"/>
              <w:jc w:val="both"/>
              <w:rPr>
                <w:rFonts w:ascii="Arial" w:hAnsi="Arial" w:cs="Arial"/>
              </w:rPr>
            </w:pPr>
            <w:r>
              <w:rPr>
                <w:rFonts w:ascii="Arial" w:hAnsi="Arial" w:cs="Arial"/>
              </w:rPr>
              <w:t>6.2</w:t>
            </w:r>
          </w:p>
        </w:tc>
        <w:tc>
          <w:tcPr>
            <w:tcW w:w="132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77D28831" w14:textId="77777777" w:rsidR="00047DC5" w:rsidRDefault="00047DC5" w:rsidP="00AE2E92">
            <w:pPr>
              <w:spacing w:line="360" w:lineRule="auto"/>
              <w:jc w:val="both"/>
              <w:rPr>
                <w:rFonts w:ascii="Arial" w:hAnsi="Arial" w:cs="Arial"/>
              </w:rPr>
            </w:pPr>
            <w:r>
              <w:rPr>
                <w:rFonts w:ascii="Arial" w:hAnsi="Arial" w:cs="Arial"/>
              </w:rPr>
              <w:t>↓ 0.8</w:t>
            </w:r>
          </w:p>
        </w:tc>
      </w:tr>
      <w:tr w:rsidR="00047DC5" w14:paraId="4CF23144" w14:textId="77777777" w:rsidTr="00AE2E92">
        <w:tc>
          <w:tcPr>
            <w:tcW w:w="2495"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71A5D323" w14:textId="77777777" w:rsidR="00047DC5" w:rsidRDefault="00047DC5" w:rsidP="00AE2E92">
            <w:pPr>
              <w:spacing w:line="360" w:lineRule="auto"/>
              <w:jc w:val="both"/>
              <w:rPr>
                <w:rFonts w:ascii="Arial" w:hAnsi="Arial" w:cs="Arial"/>
              </w:rPr>
            </w:pPr>
            <w:r>
              <w:rPr>
                <w:rFonts w:ascii="Arial" w:hAnsi="Arial" w:cs="Arial"/>
              </w:rPr>
              <w:t>Number of vacancies</w:t>
            </w:r>
          </w:p>
        </w:tc>
        <w:tc>
          <w:tcPr>
            <w:tcW w:w="1428"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01A1EC24" w14:textId="77777777" w:rsidR="00047DC5" w:rsidRDefault="00047DC5" w:rsidP="00AE2E92">
            <w:pPr>
              <w:spacing w:line="360" w:lineRule="auto"/>
              <w:jc w:val="both"/>
              <w:rPr>
                <w:rFonts w:ascii="Arial" w:hAnsi="Arial" w:cs="Arial"/>
              </w:rPr>
            </w:pPr>
            <w:r>
              <w:rPr>
                <w:rFonts w:ascii="Arial" w:hAnsi="Arial" w:cs="Arial"/>
              </w:rPr>
              <w:t>131,000</w:t>
            </w:r>
          </w:p>
        </w:tc>
        <w:tc>
          <w:tcPr>
            <w:tcW w:w="1348"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3BECCF76" w14:textId="77777777" w:rsidR="00047DC5" w:rsidRDefault="00047DC5" w:rsidP="00AE2E92">
            <w:pPr>
              <w:spacing w:line="360" w:lineRule="auto"/>
              <w:jc w:val="both"/>
              <w:rPr>
                <w:rFonts w:ascii="Arial" w:hAnsi="Arial" w:cs="Arial"/>
              </w:rPr>
            </w:pPr>
            <w:r>
              <w:rPr>
                <w:rFonts w:ascii="Arial" w:hAnsi="Arial" w:cs="Arial"/>
              </w:rPr>
              <w:t>96,000</w:t>
            </w:r>
          </w:p>
        </w:tc>
        <w:tc>
          <w:tcPr>
            <w:tcW w:w="132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06DFA60F" w14:textId="77777777" w:rsidR="00047DC5" w:rsidRDefault="00047DC5" w:rsidP="00AE2E92">
            <w:pPr>
              <w:spacing w:line="360" w:lineRule="auto"/>
              <w:jc w:val="both"/>
              <w:rPr>
                <w:rFonts w:ascii="Arial" w:hAnsi="Arial" w:cs="Arial"/>
              </w:rPr>
            </w:pPr>
            <w:r>
              <w:rPr>
                <w:rFonts w:ascii="Arial" w:hAnsi="Arial" w:cs="Arial"/>
              </w:rPr>
              <w:t>↓ 35,000</w:t>
            </w:r>
          </w:p>
        </w:tc>
      </w:tr>
      <w:tr w:rsidR="00047DC5" w14:paraId="375BF544" w14:textId="77777777" w:rsidTr="00AE2E92">
        <w:tc>
          <w:tcPr>
            <w:tcW w:w="2495"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0258D0CD" w14:textId="77777777" w:rsidR="00047DC5" w:rsidRDefault="00047DC5" w:rsidP="00AE2E92">
            <w:pPr>
              <w:spacing w:line="360" w:lineRule="auto"/>
              <w:jc w:val="both"/>
              <w:rPr>
                <w:rFonts w:ascii="Arial" w:hAnsi="Arial" w:cs="Arial"/>
              </w:rPr>
            </w:pPr>
            <w:r>
              <w:rPr>
                <w:rFonts w:ascii="Arial" w:hAnsi="Arial" w:cs="Arial"/>
              </w:rPr>
              <w:t>Turnover rate</w:t>
            </w:r>
          </w:p>
        </w:tc>
        <w:tc>
          <w:tcPr>
            <w:tcW w:w="1428"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244F0CCF" w14:textId="77777777" w:rsidR="00047DC5" w:rsidRDefault="00047DC5" w:rsidP="00AE2E92">
            <w:pPr>
              <w:spacing w:line="360" w:lineRule="auto"/>
              <w:jc w:val="both"/>
              <w:rPr>
                <w:rFonts w:ascii="Arial" w:hAnsi="Arial" w:cs="Arial"/>
              </w:rPr>
            </w:pPr>
            <w:r>
              <w:rPr>
                <w:rFonts w:ascii="Arial" w:hAnsi="Arial" w:cs="Arial"/>
              </w:rPr>
              <w:t>25.8</w:t>
            </w:r>
          </w:p>
        </w:tc>
        <w:tc>
          <w:tcPr>
            <w:tcW w:w="1348"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07AB2DDB" w14:textId="77777777" w:rsidR="00047DC5" w:rsidRDefault="00047DC5" w:rsidP="00AE2E92">
            <w:pPr>
              <w:spacing w:line="360" w:lineRule="auto"/>
              <w:jc w:val="both"/>
              <w:rPr>
                <w:rFonts w:ascii="Arial" w:hAnsi="Arial" w:cs="Arial"/>
              </w:rPr>
            </w:pPr>
            <w:r>
              <w:rPr>
                <w:rFonts w:ascii="Arial" w:hAnsi="Arial" w:cs="Arial"/>
              </w:rPr>
              <w:t>23.6</w:t>
            </w:r>
          </w:p>
        </w:tc>
        <w:tc>
          <w:tcPr>
            <w:tcW w:w="132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4D0AEE12" w14:textId="77777777" w:rsidR="00047DC5" w:rsidRDefault="00047DC5" w:rsidP="00AE2E92">
            <w:pPr>
              <w:spacing w:line="360" w:lineRule="auto"/>
              <w:jc w:val="both"/>
              <w:rPr>
                <w:rFonts w:ascii="Arial" w:hAnsi="Arial" w:cs="Arial"/>
              </w:rPr>
            </w:pPr>
            <w:r>
              <w:rPr>
                <w:rFonts w:ascii="Arial" w:hAnsi="Arial" w:cs="Arial"/>
              </w:rPr>
              <w:t>↓ 2.2</w:t>
            </w:r>
          </w:p>
        </w:tc>
      </w:tr>
    </w:tbl>
    <w:p w14:paraId="5DDD0B8A" w14:textId="77777777" w:rsidR="00047DC5" w:rsidRDefault="00047DC5" w:rsidP="00047DC5">
      <w:pPr>
        <w:spacing w:line="360" w:lineRule="auto"/>
        <w:jc w:val="both"/>
      </w:pPr>
      <w:r>
        <w:rPr>
          <w:rFonts w:ascii="Arial" w:hAnsi="Arial" w:cs="Arial"/>
          <w:i/>
          <w:iCs/>
        </w:rPr>
        <w:t>Source: Skills for Care (2024; 2025/2026).</w:t>
      </w:r>
    </w:p>
    <w:p w14:paraId="0410A52C" w14:textId="77777777" w:rsidR="00047DC5" w:rsidRDefault="00047DC5" w:rsidP="00047DC5">
      <w:pPr>
        <w:spacing w:line="360" w:lineRule="auto"/>
        <w:jc w:val="both"/>
        <w:rPr>
          <w:rFonts w:ascii="Arial" w:hAnsi="Arial" w:cs="Arial"/>
        </w:rPr>
      </w:pPr>
      <w:r>
        <w:rPr>
          <w:rFonts w:ascii="Arial" w:hAnsi="Arial" w:cs="Arial"/>
        </w:rPr>
        <w:lastRenderedPageBreak/>
        <w:t>While the vacancy rate has fallen to 6.2% – its lowest level in a decade – this remains more than three times the UK-wide job vacancy rate of 2.3%.</w:t>
      </w:r>
    </w:p>
    <w:p w14:paraId="0D9D3C04" w14:textId="77777777" w:rsidR="00047DC5" w:rsidRDefault="00047DC5" w:rsidP="00047DC5">
      <w:pPr>
        <w:pStyle w:val="Heading5"/>
      </w:pPr>
      <w:r>
        <w:t>4.2.2.4 Findings: International Recruitment Dependency</w:t>
      </w:r>
    </w:p>
    <w:p w14:paraId="64140D50" w14:textId="77777777" w:rsidR="00047DC5" w:rsidRDefault="00047DC5" w:rsidP="00047DC5">
      <w:pPr>
        <w:spacing w:line="360" w:lineRule="auto"/>
        <w:jc w:val="both"/>
        <w:rPr>
          <w:rFonts w:ascii="Arial" w:hAnsi="Arial" w:cs="Arial"/>
        </w:rPr>
      </w:pPr>
      <w:r>
        <w:rPr>
          <w:rFonts w:ascii="Arial" w:hAnsi="Arial" w:cs="Arial"/>
        </w:rPr>
        <w:t>At its 2023 peak, the caring personal services category received over 108,000 work visa grants (out of a total of 145,823 Health and Care Worker visas granted in that year).</w:t>
      </w:r>
    </w:p>
    <w:p w14:paraId="704FA82D" w14:textId="77777777" w:rsidR="00047DC5" w:rsidRDefault="00047DC5" w:rsidP="00047DC5">
      <w:pPr>
        <w:pStyle w:val="Heading5"/>
      </w:pPr>
      <w:r>
        <w:t>4.2.2.5 Findings: Training Investment</w:t>
      </w:r>
    </w:p>
    <w:p w14:paraId="3AF3B8B0" w14:textId="77777777" w:rsidR="00047DC5" w:rsidRDefault="00047DC5" w:rsidP="00047DC5">
      <w:pPr>
        <w:spacing w:line="360" w:lineRule="auto"/>
        <w:jc w:val="both"/>
        <w:rPr>
          <w:rFonts w:ascii="Arial" w:hAnsi="Arial" w:cs="Arial"/>
        </w:rPr>
      </w:pPr>
      <w:r>
        <w:rPr>
          <w:rFonts w:ascii="Arial" w:hAnsi="Arial" w:cs="Arial"/>
        </w:rPr>
        <w:t>HCSWs receive only 5% of training budgets (Skills for Care, 2024). The proportion of care workers with a Level 2 qualification has fallen to 38% – down from 48% in 2018/19 (Skills for Care, 2024).</w:t>
      </w:r>
    </w:p>
    <w:p w14:paraId="330118F9" w14:textId="77777777" w:rsidR="00047DC5" w:rsidRDefault="00047DC5" w:rsidP="00047DC5">
      <w:pPr>
        <w:pStyle w:val="Heading5"/>
      </w:pPr>
      <w:r>
        <w:t>4.2.2.6 Summary of Findings for Research Question 2</w:t>
      </w:r>
    </w:p>
    <w:p w14:paraId="4C27C48D" w14:textId="77777777" w:rsidR="00047DC5" w:rsidRDefault="00047DC5" w:rsidP="00047DC5">
      <w:pPr>
        <w:spacing w:line="360" w:lineRule="auto"/>
        <w:jc w:val="both"/>
        <w:rPr>
          <w:rFonts w:ascii="Arial" w:hAnsi="Arial" w:cs="Arial"/>
        </w:rPr>
      </w:pPr>
      <w:r>
        <w:rPr>
          <w:rFonts w:ascii="Arial" w:hAnsi="Arial" w:cs="Arial"/>
        </w:rPr>
        <w:t>The sustainability of the HCSW workforce is critically dependent on international recruitment. The collapse in visa grants represents a fundamental threat to human capital sustainability. Domestic recruitment has not compensated for this decline.</w:t>
      </w:r>
    </w:p>
    <w:p w14:paraId="2CAC22A0" w14:textId="77777777" w:rsidR="00047DC5" w:rsidRDefault="00047DC5" w:rsidP="00047DC5">
      <w:pPr>
        <w:pStyle w:val="Heading3"/>
      </w:pPr>
      <w:bookmarkStart w:id="144" w:name="_Toc238549834"/>
      <w:r>
        <w:t>4.2.3 Research Question 3: Impact of Immigration Rule Changes on Sustainability</w:t>
      </w:r>
      <w:bookmarkEnd w:id="144"/>
    </w:p>
    <w:p w14:paraId="62B91FF3" w14:textId="77777777" w:rsidR="00047DC5" w:rsidRDefault="00047DC5" w:rsidP="00047DC5">
      <w:pPr>
        <w:pStyle w:val="Heading5"/>
      </w:pPr>
      <w:r>
        <w:t>4.2.3.1 Data Sources and Analysis Method</w:t>
      </w:r>
    </w:p>
    <w:p w14:paraId="730BA695" w14:textId="77777777" w:rsidR="00047DC5" w:rsidRDefault="00047DC5" w:rsidP="00047DC5">
      <w:pPr>
        <w:spacing w:line="360" w:lineRule="auto"/>
        <w:jc w:val="both"/>
        <w:rPr>
          <w:rFonts w:ascii="Arial" w:hAnsi="Arial" w:cs="Arial"/>
        </w:rPr>
      </w:pPr>
      <w:r>
        <w:rPr>
          <w:rFonts w:ascii="Arial" w:hAnsi="Arial" w:cs="Arial"/>
        </w:rPr>
        <w:t xml:space="preserve">Data </w:t>
      </w:r>
      <w:proofErr w:type="gramStart"/>
      <w:r>
        <w:rPr>
          <w:rFonts w:ascii="Arial" w:hAnsi="Arial" w:cs="Arial"/>
        </w:rPr>
        <w:t>were</w:t>
      </w:r>
      <w:proofErr w:type="gramEnd"/>
      <w:r>
        <w:rPr>
          <w:rFonts w:ascii="Arial" w:hAnsi="Arial" w:cs="Arial"/>
        </w:rPr>
        <w:t xml:space="preserve"> extracted from Home Office monthly visa statistics (2024; 2025; 2026), NMC register data, and Skills for Care workforce statistics. Descriptive statistics and multiple regression analysis were conducted using Microsoft Excel.</w:t>
      </w:r>
    </w:p>
    <w:p w14:paraId="2102A541" w14:textId="77777777" w:rsidR="00047DC5" w:rsidRDefault="00047DC5" w:rsidP="00047DC5">
      <w:pPr>
        <w:pStyle w:val="Heading5"/>
      </w:pPr>
      <w:r>
        <w:t>4.2.3.2 Findings: Collapse in Visa Grants</w:t>
      </w:r>
    </w:p>
    <w:p w14:paraId="7D8A83A7" w14:textId="77777777" w:rsidR="00047DC5" w:rsidRDefault="00047DC5" w:rsidP="00047DC5">
      <w:pPr>
        <w:pStyle w:val="Caption"/>
        <w:keepNext/>
      </w:pPr>
      <w:bookmarkStart w:id="145" w:name="_Toc238206090"/>
      <w:r>
        <w:rPr>
          <w:sz w:val="28"/>
          <w:szCs w:val="28"/>
        </w:rPr>
        <w:t>Table 6 Health and Care Worker Visa Grants.</w:t>
      </w:r>
      <w:bookmarkEnd w:id="145"/>
    </w:p>
    <w:tbl>
      <w:tblPr>
        <w:tblW w:w="9288" w:type="dxa"/>
        <w:tblCellMar>
          <w:left w:w="10" w:type="dxa"/>
          <w:right w:w="10" w:type="dxa"/>
        </w:tblCellMar>
        <w:tblLook w:val="04A0" w:firstRow="1" w:lastRow="0" w:firstColumn="1" w:lastColumn="0" w:noHBand="0" w:noVBand="1"/>
      </w:tblPr>
      <w:tblGrid>
        <w:gridCol w:w="3138"/>
        <w:gridCol w:w="3702"/>
        <w:gridCol w:w="2448"/>
      </w:tblGrid>
      <w:tr w:rsidR="00047DC5" w14:paraId="382B5D91" w14:textId="77777777" w:rsidTr="00AE2E92">
        <w:trPr>
          <w:trHeight w:val="463"/>
          <w:tblHeader/>
        </w:trPr>
        <w:tc>
          <w:tcPr>
            <w:tcW w:w="3138"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45E9A417" w14:textId="77777777" w:rsidR="00047DC5" w:rsidRDefault="00047DC5" w:rsidP="00AE2E92">
            <w:pPr>
              <w:spacing w:line="360" w:lineRule="auto"/>
              <w:jc w:val="both"/>
              <w:rPr>
                <w:rFonts w:ascii="Arial" w:hAnsi="Arial" w:cs="Arial"/>
              </w:rPr>
            </w:pPr>
            <w:r>
              <w:rPr>
                <w:rFonts w:ascii="Arial" w:hAnsi="Arial" w:cs="Arial"/>
              </w:rPr>
              <w:t>Period</w:t>
            </w:r>
          </w:p>
        </w:tc>
        <w:tc>
          <w:tcPr>
            <w:tcW w:w="3702"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2F48DB1A" w14:textId="77777777" w:rsidR="00047DC5" w:rsidRDefault="00047DC5" w:rsidP="00AE2E92">
            <w:pPr>
              <w:spacing w:line="360" w:lineRule="auto"/>
              <w:jc w:val="both"/>
              <w:rPr>
                <w:rFonts w:ascii="Arial" w:hAnsi="Arial" w:cs="Arial"/>
              </w:rPr>
            </w:pPr>
            <w:r>
              <w:rPr>
                <w:rFonts w:ascii="Arial" w:hAnsi="Arial" w:cs="Arial"/>
              </w:rPr>
              <w:t>Main Applicant Applications</w:t>
            </w:r>
          </w:p>
        </w:tc>
        <w:tc>
          <w:tcPr>
            <w:tcW w:w="2448"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190A38A2" w14:textId="77777777" w:rsidR="00047DC5" w:rsidRDefault="00047DC5" w:rsidP="00AE2E92">
            <w:pPr>
              <w:spacing w:line="360" w:lineRule="auto"/>
              <w:jc w:val="both"/>
              <w:rPr>
                <w:rFonts w:ascii="Arial" w:hAnsi="Arial" w:cs="Arial"/>
              </w:rPr>
            </w:pPr>
            <w:r>
              <w:rPr>
                <w:rFonts w:ascii="Arial" w:hAnsi="Arial" w:cs="Arial"/>
              </w:rPr>
              <w:t>Change</w:t>
            </w:r>
          </w:p>
        </w:tc>
      </w:tr>
      <w:tr w:rsidR="00047DC5" w14:paraId="20936280" w14:textId="77777777" w:rsidTr="00AE2E92">
        <w:trPr>
          <w:trHeight w:val="463"/>
        </w:trPr>
        <w:tc>
          <w:tcPr>
            <w:tcW w:w="3138"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72B15EC9" w14:textId="77777777" w:rsidR="00047DC5" w:rsidRDefault="00047DC5" w:rsidP="00AE2E92">
            <w:pPr>
              <w:spacing w:line="360" w:lineRule="auto"/>
              <w:jc w:val="both"/>
              <w:rPr>
                <w:rFonts w:ascii="Arial" w:hAnsi="Arial" w:cs="Arial"/>
              </w:rPr>
            </w:pPr>
            <w:r>
              <w:rPr>
                <w:rFonts w:ascii="Arial" w:hAnsi="Arial" w:cs="Arial"/>
              </w:rPr>
              <w:t>Peak (August 2023)</w:t>
            </w:r>
          </w:p>
        </w:tc>
        <w:tc>
          <w:tcPr>
            <w:tcW w:w="3702"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198E406E" w14:textId="77777777" w:rsidR="00047DC5" w:rsidRDefault="00047DC5" w:rsidP="00AE2E92">
            <w:pPr>
              <w:spacing w:line="360" w:lineRule="auto"/>
              <w:jc w:val="both"/>
              <w:rPr>
                <w:rFonts w:ascii="Arial" w:hAnsi="Arial" w:cs="Arial"/>
              </w:rPr>
            </w:pPr>
            <w:r>
              <w:rPr>
                <w:rFonts w:ascii="Arial" w:hAnsi="Arial" w:cs="Arial"/>
              </w:rPr>
              <w:t>18,300 monthly</w:t>
            </w:r>
          </w:p>
        </w:tc>
        <w:tc>
          <w:tcPr>
            <w:tcW w:w="2448"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014A75BC" w14:textId="77777777" w:rsidR="00047DC5" w:rsidRDefault="00047DC5" w:rsidP="00AE2E92">
            <w:pPr>
              <w:spacing w:line="360" w:lineRule="auto"/>
              <w:jc w:val="both"/>
              <w:rPr>
                <w:rFonts w:ascii="Arial" w:hAnsi="Arial" w:cs="Arial"/>
              </w:rPr>
            </w:pPr>
            <w:r>
              <w:rPr>
                <w:rFonts w:ascii="Arial" w:hAnsi="Arial" w:cs="Arial"/>
              </w:rPr>
              <w:t>–</w:t>
            </w:r>
          </w:p>
        </w:tc>
      </w:tr>
      <w:tr w:rsidR="00047DC5" w14:paraId="4800621D" w14:textId="77777777" w:rsidTr="00AE2E92">
        <w:trPr>
          <w:trHeight w:val="463"/>
        </w:trPr>
        <w:tc>
          <w:tcPr>
            <w:tcW w:w="3138"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51367AA1" w14:textId="77777777" w:rsidR="00047DC5" w:rsidRDefault="00047DC5" w:rsidP="00AE2E92">
            <w:pPr>
              <w:spacing w:line="360" w:lineRule="auto"/>
              <w:jc w:val="both"/>
              <w:rPr>
                <w:rFonts w:ascii="Arial" w:hAnsi="Arial" w:cs="Arial"/>
              </w:rPr>
            </w:pPr>
            <w:r>
              <w:rPr>
                <w:rFonts w:ascii="Arial" w:hAnsi="Arial" w:cs="Arial"/>
              </w:rPr>
              <w:t>Year Ending March 2025</w:t>
            </w:r>
          </w:p>
        </w:tc>
        <w:tc>
          <w:tcPr>
            <w:tcW w:w="3702"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320B4553" w14:textId="77777777" w:rsidR="00047DC5" w:rsidRDefault="00047DC5" w:rsidP="00AE2E92">
            <w:pPr>
              <w:spacing w:line="360" w:lineRule="auto"/>
              <w:jc w:val="both"/>
              <w:rPr>
                <w:rFonts w:ascii="Arial" w:hAnsi="Arial" w:cs="Arial"/>
              </w:rPr>
            </w:pPr>
            <w:r>
              <w:rPr>
                <w:rFonts w:ascii="Arial" w:hAnsi="Arial" w:cs="Arial"/>
              </w:rPr>
              <w:t>22,582 grants</w:t>
            </w:r>
          </w:p>
        </w:tc>
        <w:tc>
          <w:tcPr>
            <w:tcW w:w="2448"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756F403D" w14:textId="77777777" w:rsidR="00047DC5" w:rsidRDefault="00047DC5" w:rsidP="00AE2E92">
            <w:pPr>
              <w:spacing w:line="360" w:lineRule="auto"/>
              <w:jc w:val="both"/>
              <w:rPr>
                <w:rFonts w:ascii="Arial" w:hAnsi="Arial" w:cs="Arial"/>
              </w:rPr>
            </w:pPr>
            <w:r>
              <w:rPr>
                <w:rFonts w:ascii="Arial" w:hAnsi="Arial" w:cs="Arial"/>
              </w:rPr>
              <w:t>–</w:t>
            </w:r>
          </w:p>
        </w:tc>
      </w:tr>
      <w:tr w:rsidR="00047DC5" w14:paraId="3F9ABCD5" w14:textId="77777777" w:rsidTr="00AE2E92">
        <w:trPr>
          <w:trHeight w:val="463"/>
        </w:trPr>
        <w:tc>
          <w:tcPr>
            <w:tcW w:w="3138"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51C0D969" w14:textId="77777777" w:rsidR="00047DC5" w:rsidRDefault="00047DC5" w:rsidP="00AE2E92">
            <w:pPr>
              <w:spacing w:line="360" w:lineRule="auto"/>
              <w:jc w:val="both"/>
              <w:rPr>
                <w:rFonts w:ascii="Arial" w:hAnsi="Arial" w:cs="Arial"/>
              </w:rPr>
            </w:pPr>
            <w:r>
              <w:rPr>
                <w:rFonts w:ascii="Arial" w:hAnsi="Arial" w:cs="Arial"/>
              </w:rPr>
              <w:lastRenderedPageBreak/>
              <w:t>January 2026</w:t>
            </w:r>
          </w:p>
        </w:tc>
        <w:tc>
          <w:tcPr>
            <w:tcW w:w="3702"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6E617A0B" w14:textId="77777777" w:rsidR="00047DC5" w:rsidRDefault="00047DC5" w:rsidP="00AE2E92">
            <w:pPr>
              <w:spacing w:line="360" w:lineRule="auto"/>
              <w:jc w:val="both"/>
              <w:rPr>
                <w:rFonts w:ascii="Arial" w:hAnsi="Arial" w:cs="Arial"/>
              </w:rPr>
            </w:pPr>
            <w:r>
              <w:rPr>
                <w:rFonts w:ascii="Arial" w:hAnsi="Arial" w:cs="Arial"/>
              </w:rPr>
              <w:t>500 applications</w:t>
            </w:r>
          </w:p>
        </w:tc>
        <w:tc>
          <w:tcPr>
            <w:tcW w:w="2448"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2C93DD3A" w14:textId="77777777" w:rsidR="00047DC5" w:rsidRDefault="00047DC5" w:rsidP="00AE2E92">
            <w:pPr>
              <w:spacing w:line="360" w:lineRule="auto"/>
              <w:jc w:val="both"/>
              <w:rPr>
                <w:rFonts w:ascii="Arial" w:hAnsi="Arial" w:cs="Arial"/>
              </w:rPr>
            </w:pPr>
            <w:r>
              <w:rPr>
                <w:rFonts w:ascii="Arial" w:hAnsi="Arial" w:cs="Arial"/>
              </w:rPr>
              <w:t>↓ 97.0 from peak</w:t>
            </w:r>
          </w:p>
        </w:tc>
      </w:tr>
      <w:tr w:rsidR="00047DC5" w14:paraId="291AF146" w14:textId="77777777" w:rsidTr="00AE2E92">
        <w:trPr>
          <w:trHeight w:val="463"/>
        </w:trPr>
        <w:tc>
          <w:tcPr>
            <w:tcW w:w="3138"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2E4B0B26" w14:textId="77777777" w:rsidR="00047DC5" w:rsidRDefault="00047DC5" w:rsidP="00AE2E92">
            <w:pPr>
              <w:spacing w:line="360" w:lineRule="auto"/>
              <w:jc w:val="both"/>
              <w:rPr>
                <w:rFonts w:ascii="Arial" w:hAnsi="Arial" w:cs="Arial"/>
              </w:rPr>
            </w:pPr>
            <w:r>
              <w:rPr>
                <w:rFonts w:ascii="Arial" w:hAnsi="Arial" w:cs="Arial"/>
              </w:rPr>
              <w:t>Q1 2026</w:t>
            </w:r>
          </w:p>
        </w:tc>
        <w:tc>
          <w:tcPr>
            <w:tcW w:w="3702"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0FF78D7F" w14:textId="77777777" w:rsidR="00047DC5" w:rsidRDefault="00047DC5" w:rsidP="00AE2E92">
            <w:pPr>
              <w:spacing w:line="360" w:lineRule="auto"/>
              <w:jc w:val="both"/>
              <w:rPr>
                <w:rFonts w:ascii="Arial" w:hAnsi="Arial" w:cs="Arial"/>
              </w:rPr>
            </w:pPr>
            <w:r>
              <w:rPr>
                <w:rFonts w:ascii="Arial" w:hAnsi="Arial" w:cs="Arial"/>
              </w:rPr>
              <w:t>11 grants</w:t>
            </w:r>
          </w:p>
        </w:tc>
        <w:tc>
          <w:tcPr>
            <w:tcW w:w="2448"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26FBE8B3" w14:textId="77777777" w:rsidR="00047DC5" w:rsidRDefault="00047DC5" w:rsidP="00AE2E92">
            <w:pPr>
              <w:spacing w:line="360" w:lineRule="auto"/>
              <w:jc w:val="both"/>
              <w:rPr>
                <w:rFonts w:ascii="Arial" w:hAnsi="Arial" w:cs="Arial"/>
              </w:rPr>
            </w:pPr>
            <w:r>
              <w:rPr>
                <w:rFonts w:ascii="Arial" w:hAnsi="Arial" w:cs="Arial"/>
              </w:rPr>
              <w:t>Near-total collapse</w:t>
            </w:r>
          </w:p>
        </w:tc>
      </w:tr>
    </w:tbl>
    <w:p w14:paraId="09A6C088" w14:textId="77777777" w:rsidR="00047DC5" w:rsidRDefault="00047DC5" w:rsidP="00047DC5">
      <w:pPr>
        <w:spacing w:line="360" w:lineRule="auto"/>
        <w:jc w:val="both"/>
      </w:pPr>
      <w:r>
        <w:rPr>
          <w:rFonts w:ascii="Arial" w:hAnsi="Arial" w:cs="Arial"/>
          <w:i/>
          <w:iCs/>
        </w:rPr>
        <w:t>Source: Home Office (2024; 2025b; 2026).</w:t>
      </w:r>
    </w:p>
    <w:p w14:paraId="5D34DA6D" w14:textId="77777777" w:rsidR="00047DC5" w:rsidRDefault="00047DC5" w:rsidP="00047DC5">
      <w:pPr>
        <w:spacing w:line="360" w:lineRule="auto"/>
        <w:jc w:val="both"/>
        <w:rPr>
          <w:rFonts w:ascii="Arial" w:hAnsi="Arial" w:cs="Arial"/>
        </w:rPr>
      </w:pPr>
      <w:r>
        <w:rPr>
          <w:rFonts w:ascii="Arial" w:hAnsi="Arial" w:cs="Arial"/>
        </w:rPr>
        <w:t>The closure of overseas recruitment for care workers under SOC codes 6135 and 6136 from 22 July 2025 has effectively ended new international inflows into these critical roles.</w:t>
      </w:r>
    </w:p>
    <w:p w14:paraId="4FAC6A34" w14:textId="77777777" w:rsidR="00047DC5" w:rsidRDefault="00047DC5" w:rsidP="00047DC5">
      <w:pPr>
        <w:pStyle w:val="Caption"/>
        <w:keepNext/>
        <w:jc w:val="both"/>
      </w:pPr>
      <w:r>
        <w:rPr>
          <w:sz w:val="28"/>
          <w:szCs w:val="28"/>
        </w:rPr>
        <w:t xml:space="preserve">Figure 2 </w:t>
      </w:r>
      <w:r>
        <w:rPr>
          <w:rFonts w:cs="Arial"/>
          <w:sz w:val="28"/>
          <w:szCs w:val="28"/>
        </w:rPr>
        <w:t>Health and Care Worker Visa Grants (2020–2026).</w:t>
      </w:r>
    </w:p>
    <w:p w14:paraId="2473283B" w14:textId="77777777" w:rsidR="00047DC5" w:rsidRDefault="00047DC5" w:rsidP="00047DC5">
      <w:pPr>
        <w:spacing w:line="360" w:lineRule="auto"/>
        <w:jc w:val="both"/>
      </w:pPr>
      <w:r>
        <w:rPr>
          <w:rFonts w:ascii="Arial" w:hAnsi="Arial" w:cs="Arial"/>
          <w:noProof/>
        </w:rPr>
        <w:drawing>
          <wp:inline distT="0" distB="0" distL="0" distR="0" wp14:anchorId="71DFF3AF" wp14:editId="37947AEF">
            <wp:extent cx="4717417" cy="2343150"/>
            <wp:effectExtent l="0" t="0" r="0" b="0"/>
            <wp:docPr id="207485264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0DB2304" w14:textId="77777777" w:rsidR="00047DC5" w:rsidRDefault="00047DC5" w:rsidP="00047DC5">
      <w:pPr>
        <w:spacing w:line="360" w:lineRule="auto"/>
        <w:jc w:val="both"/>
        <w:rPr>
          <w:rFonts w:ascii="Arial" w:hAnsi="Arial" w:cs="Arial"/>
          <w:i/>
          <w:iCs/>
        </w:rPr>
      </w:pPr>
      <w:r>
        <w:rPr>
          <w:rFonts w:ascii="Arial" w:hAnsi="Arial" w:cs="Arial"/>
          <w:i/>
          <w:iCs/>
        </w:rPr>
        <w:t>Source: Home Office (2024; 2025b; 2026).</w:t>
      </w:r>
    </w:p>
    <w:p w14:paraId="21DB4A83" w14:textId="77777777" w:rsidR="00047DC5" w:rsidRDefault="00047DC5" w:rsidP="00047DC5">
      <w:pPr>
        <w:spacing w:line="360" w:lineRule="auto"/>
        <w:jc w:val="both"/>
        <w:rPr>
          <w:rFonts w:ascii="Arial" w:hAnsi="Arial" w:cs="Arial"/>
        </w:rPr>
      </w:pPr>
      <w:r>
        <w:rPr>
          <w:rFonts w:ascii="Arial" w:hAnsi="Arial" w:cs="Arial"/>
        </w:rPr>
        <w:t xml:space="preserve">Figure 2 illustrates the dramatic decline in Health and Care Worker visa grants over the study period. The chart reveals a clear pattern: visa grants increased sharply from 31,800 in 2020 to a peak of 145,823 in 2023, following the expansion of the Health and Care Worker visa route in 2022. However, following the introduction of </w:t>
      </w:r>
      <w:proofErr w:type="spellStart"/>
      <w:r>
        <w:rPr>
          <w:rFonts w:ascii="Arial" w:hAnsi="Arial" w:cs="Arial"/>
        </w:rPr>
        <w:t>dependant</w:t>
      </w:r>
      <w:proofErr w:type="spellEnd"/>
      <w:r>
        <w:rPr>
          <w:rFonts w:ascii="Arial" w:hAnsi="Arial" w:cs="Arial"/>
        </w:rPr>
        <w:t xml:space="preserve"> visa restrictions in March 2024 and the closure of overseas recruitment in July 2025, visa grants collapsed to just 12,300 in 2026 – a decline of 91.6% from the peak.</w:t>
      </w:r>
    </w:p>
    <w:p w14:paraId="74C65961" w14:textId="77777777" w:rsidR="00047DC5" w:rsidRDefault="00047DC5" w:rsidP="00047DC5">
      <w:pPr>
        <w:pageBreakBefore/>
        <w:rPr>
          <w:rFonts w:ascii="Arial" w:hAnsi="Arial" w:cs="Arial"/>
        </w:rPr>
      </w:pPr>
    </w:p>
    <w:p w14:paraId="785FDD9D" w14:textId="77777777" w:rsidR="00047DC5" w:rsidRDefault="00047DC5" w:rsidP="00047DC5">
      <w:pPr>
        <w:pStyle w:val="Caption"/>
        <w:keepNext/>
        <w:jc w:val="both"/>
      </w:pPr>
      <w:r>
        <w:rPr>
          <w:sz w:val="28"/>
          <w:szCs w:val="28"/>
        </w:rPr>
        <w:t xml:space="preserve">Figure 3 </w:t>
      </w:r>
      <w:r w:rsidRPr="006E06BC">
        <w:rPr>
          <w:rFonts w:asciiTheme="minorHAnsi" w:hAnsiTheme="minorHAnsi" w:cs="Arial"/>
          <w:sz w:val="28"/>
          <w:szCs w:val="28"/>
        </w:rPr>
        <w:t>Average Visa Grants.</w:t>
      </w:r>
    </w:p>
    <w:p w14:paraId="10C5C826" w14:textId="77777777" w:rsidR="00047DC5" w:rsidRDefault="00047DC5" w:rsidP="00047DC5">
      <w:pPr>
        <w:spacing w:line="360" w:lineRule="auto"/>
        <w:jc w:val="both"/>
      </w:pPr>
      <w:r>
        <w:rPr>
          <w:rFonts w:ascii="Arial" w:hAnsi="Arial" w:cs="Arial"/>
          <w:noProof/>
        </w:rPr>
        <w:drawing>
          <wp:inline distT="0" distB="0" distL="0" distR="0" wp14:anchorId="563CEE20" wp14:editId="7A883084">
            <wp:extent cx="4572000" cy="2743200"/>
            <wp:effectExtent l="0" t="0" r="0" b="0"/>
            <wp:docPr id="123120803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E9C13E1" w14:textId="77777777" w:rsidR="00047DC5" w:rsidRDefault="00047DC5" w:rsidP="00047DC5">
      <w:pPr>
        <w:spacing w:line="360" w:lineRule="auto"/>
        <w:jc w:val="both"/>
      </w:pPr>
      <w:r>
        <w:rPr>
          <w:rFonts w:ascii="Arial" w:hAnsi="Arial" w:cs="Arial"/>
          <w:i/>
          <w:iCs/>
        </w:rPr>
        <w:t>Source: Home Office (2024; 2025b; 2026).</w:t>
      </w:r>
    </w:p>
    <w:p w14:paraId="14B34973" w14:textId="77777777" w:rsidR="00047DC5" w:rsidRDefault="00047DC5" w:rsidP="00047DC5">
      <w:pPr>
        <w:spacing w:line="360" w:lineRule="auto"/>
        <w:jc w:val="both"/>
        <w:rPr>
          <w:rFonts w:ascii="Arial" w:hAnsi="Arial" w:cs="Arial"/>
        </w:rPr>
      </w:pPr>
      <w:r>
        <w:rPr>
          <w:rFonts w:ascii="Arial" w:hAnsi="Arial" w:cs="Arial"/>
        </w:rPr>
        <w:t>Figure 3 compares the average visa grants before and after the 2025 policy changes. The average visa grants fell from 76,260 in the pre-2025 period (2020–2023) to just 20,685 in the post-2025 period (2024–2026) – a decline of 72.9%. This provides further evidence of the significant impact of the immigration policy changes on the inflow of migrant healthcare support workers.</w:t>
      </w:r>
    </w:p>
    <w:p w14:paraId="3D1588C9" w14:textId="77777777" w:rsidR="00047DC5" w:rsidRDefault="00047DC5" w:rsidP="00047DC5">
      <w:pPr>
        <w:pStyle w:val="Heading5"/>
      </w:pPr>
      <w:r>
        <w:t xml:space="preserve">4.2.3.3 Findings: Decline in </w:t>
      </w:r>
      <w:proofErr w:type="spellStart"/>
      <w:r>
        <w:t>Dependant</w:t>
      </w:r>
      <w:proofErr w:type="spellEnd"/>
      <w:r>
        <w:t xml:space="preserve"> Visas</w:t>
      </w:r>
    </w:p>
    <w:p w14:paraId="7E2D4FD9" w14:textId="77777777" w:rsidR="00047DC5" w:rsidRDefault="00047DC5" w:rsidP="00047DC5">
      <w:pPr>
        <w:spacing w:line="360" w:lineRule="auto"/>
        <w:jc w:val="both"/>
        <w:rPr>
          <w:rFonts w:ascii="Arial" w:hAnsi="Arial" w:cs="Arial"/>
        </w:rPr>
      </w:pPr>
      <w:r>
        <w:rPr>
          <w:rFonts w:ascii="Arial" w:hAnsi="Arial" w:cs="Arial"/>
        </w:rPr>
        <w:t xml:space="preserve">Applications for </w:t>
      </w:r>
      <w:proofErr w:type="spellStart"/>
      <w:r>
        <w:rPr>
          <w:rFonts w:ascii="Arial" w:hAnsi="Arial" w:cs="Arial"/>
        </w:rPr>
        <w:t>dependants</w:t>
      </w:r>
      <w:proofErr w:type="spellEnd"/>
      <w:r>
        <w:rPr>
          <w:rFonts w:ascii="Arial" w:hAnsi="Arial" w:cs="Arial"/>
        </w:rPr>
        <w:t xml:space="preserve"> peaked at 23,300 in August 2023 and fell sharply following the introduction of </w:t>
      </w:r>
      <w:proofErr w:type="spellStart"/>
      <w:r>
        <w:rPr>
          <w:rFonts w:ascii="Arial" w:hAnsi="Arial" w:cs="Arial"/>
        </w:rPr>
        <w:t>dependant</w:t>
      </w:r>
      <w:proofErr w:type="spellEnd"/>
      <w:r>
        <w:rPr>
          <w:rFonts w:ascii="Arial" w:hAnsi="Arial" w:cs="Arial"/>
        </w:rPr>
        <w:t xml:space="preserve"> restrictions on 11 March 2024 – a decline of 87%.</w:t>
      </w:r>
    </w:p>
    <w:p w14:paraId="2B5D26F4" w14:textId="77777777" w:rsidR="00047DC5" w:rsidRDefault="00047DC5" w:rsidP="00047DC5">
      <w:pPr>
        <w:pStyle w:val="Heading5"/>
      </w:pPr>
      <w:r>
        <w:t>4.2.3.4 Findings: Impact on International Nursing Workforce</w:t>
      </w:r>
    </w:p>
    <w:p w14:paraId="2FAC2081" w14:textId="77777777" w:rsidR="00047DC5" w:rsidRDefault="00047DC5" w:rsidP="00047DC5">
      <w:pPr>
        <w:spacing w:line="360" w:lineRule="auto"/>
        <w:jc w:val="both"/>
        <w:rPr>
          <w:rFonts w:ascii="Arial" w:hAnsi="Arial" w:cs="Arial"/>
        </w:rPr>
      </w:pPr>
      <w:r>
        <w:rPr>
          <w:rFonts w:ascii="Arial" w:hAnsi="Arial" w:cs="Arial"/>
        </w:rPr>
        <w:t>In the twelve months to March 2025, 5,276 internationally educated nurses and midwives left the NMC register – a 33% increase (Florence Nightingale Foundation, 2025). New international nursing arrivals fell by 30%.</w:t>
      </w:r>
    </w:p>
    <w:p w14:paraId="7967C1BD" w14:textId="77777777" w:rsidR="00047DC5" w:rsidRDefault="00047DC5" w:rsidP="00047DC5">
      <w:pPr>
        <w:pStyle w:val="Heading5"/>
        <w:spacing w:line="360" w:lineRule="auto"/>
        <w:jc w:val="both"/>
        <w:rPr>
          <w:rFonts w:ascii="Arial" w:hAnsi="Arial" w:cs="Arial"/>
        </w:rPr>
      </w:pPr>
      <w:r>
        <w:rPr>
          <w:rFonts w:ascii="Arial" w:hAnsi="Arial" w:cs="Arial"/>
        </w:rPr>
        <w:t>4.2.3.5 Findings: Regression Analysis Results</w:t>
      </w:r>
    </w:p>
    <w:p w14:paraId="1C805770" w14:textId="77777777" w:rsidR="00047DC5" w:rsidRDefault="00047DC5" w:rsidP="00047DC5">
      <w:pPr>
        <w:spacing w:line="360" w:lineRule="auto"/>
        <w:jc w:val="both"/>
        <w:rPr>
          <w:rFonts w:ascii="Arial" w:hAnsi="Arial" w:cs="Arial"/>
          <w:b/>
          <w:bCs/>
        </w:rPr>
      </w:pPr>
    </w:p>
    <w:p w14:paraId="02A72D32" w14:textId="77777777" w:rsidR="00047DC5" w:rsidRDefault="00047DC5" w:rsidP="00047DC5">
      <w:pPr>
        <w:spacing w:line="360" w:lineRule="auto"/>
        <w:jc w:val="both"/>
        <w:rPr>
          <w:rFonts w:ascii="Arial" w:hAnsi="Arial" w:cs="Arial"/>
          <w:b/>
          <w:bCs/>
        </w:rPr>
      </w:pPr>
    </w:p>
    <w:p w14:paraId="627D91E8" w14:textId="77777777" w:rsidR="00047DC5" w:rsidRDefault="00047DC5" w:rsidP="00047DC5">
      <w:pPr>
        <w:spacing w:line="360" w:lineRule="auto"/>
        <w:jc w:val="both"/>
        <w:rPr>
          <w:rFonts w:ascii="Arial" w:hAnsi="Arial" w:cs="Arial"/>
          <w:b/>
          <w:bCs/>
        </w:rPr>
      </w:pPr>
    </w:p>
    <w:p w14:paraId="06535AB6" w14:textId="77777777" w:rsidR="00047DC5" w:rsidRDefault="00047DC5" w:rsidP="00047DC5">
      <w:pPr>
        <w:pStyle w:val="Caption"/>
        <w:keepNext/>
      </w:pPr>
      <w:bookmarkStart w:id="146" w:name="_Toc238206091"/>
      <w:r>
        <w:rPr>
          <w:sz w:val="28"/>
          <w:szCs w:val="28"/>
        </w:rPr>
        <w:t>Table 7 Multiple Regression Results.</w:t>
      </w:r>
      <w:bookmarkEnd w:id="146"/>
    </w:p>
    <w:tbl>
      <w:tblPr>
        <w:tblW w:w="9350" w:type="dxa"/>
        <w:tblCellMar>
          <w:left w:w="10" w:type="dxa"/>
          <w:right w:w="10" w:type="dxa"/>
        </w:tblCellMar>
        <w:tblLook w:val="04A0" w:firstRow="1" w:lastRow="0" w:firstColumn="1" w:lastColumn="0" w:noHBand="0" w:noVBand="1"/>
      </w:tblPr>
      <w:tblGrid>
        <w:gridCol w:w="3132"/>
        <w:gridCol w:w="1627"/>
        <w:gridCol w:w="1916"/>
        <w:gridCol w:w="1445"/>
        <w:gridCol w:w="1230"/>
      </w:tblGrid>
      <w:tr w:rsidR="00047DC5" w14:paraId="0597EAAF" w14:textId="77777777" w:rsidTr="00AE2E92">
        <w:trPr>
          <w:tblHeader/>
        </w:trPr>
        <w:tc>
          <w:tcPr>
            <w:tcW w:w="3132"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46CBB209" w14:textId="77777777" w:rsidR="00047DC5" w:rsidRDefault="00047DC5" w:rsidP="00AE2E92">
            <w:r>
              <w:t>Variable</w:t>
            </w:r>
          </w:p>
        </w:tc>
        <w:tc>
          <w:tcPr>
            <w:tcW w:w="1627"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0F79ECC6" w14:textId="77777777" w:rsidR="00047DC5" w:rsidRDefault="00047DC5" w:rsidP="00AE2E92">
            <w:r>
              <w:t>Coefficient</w:t>
            </w:r>
          </w:p>
        </w:tc>
        <w:tc>
          <w:tcPr>
            <w:tcW w:w="1916"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537D11D0" w14:textId="77777777" w:rsidR="00047DC5" w:rsidRDefault="00047DC5" w:rsidP="00AE2E92">
            <w:r>
              <w:t>Standard Error</w:t>
            </w:r>
          </w:p>
        </w:tc>
        <w:tc>
          <w:tcPr>
            <w:tcW w:w="144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00214703" w14:textId="77777777" w:rsidR="00047DC5" w:rsidRDefault="00047DC5" w:rsidP="00AE2E92">
            <w:r>
              <w:t>t-statistic</w:t>
            </w:r>
          </w:p>
        </w:tc>
        <w:tc>
          <w:tcPr>
            <w:tcW w:w="1230"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17ADE787" w14:textId="77777777" w:rsidR="00047DC5" w:rsidRDefault="00047DC5" w:rsidP="00AE2E92">
            <w:r>
              <w:t>p-value</w:t>
            </w:r>
          </w:p>
        </w:tc>
      </w:tr>
      <w:tr w:rsidR="00047DC5" w14:paraId="4B77EB0A" w14:textId="77777777" w:rsidTr="00AE2E92">
        <w:tc>
          <w:tcPr>
            <w:tcW w:w="3132"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3012E5BE" w14:textId="77777777" w:rsidR="00047DC5" w:rsidRDefault="00047DC5" w:rsidP="00AE2E92">
            <w:r>
              <w:t>Intercept</w:t>
            </w:r>
          </w:p>
        </w:tc>
        <w:tc>
          <w:tcPr>
            <w:tcW w:w="1627"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60046F76" w14:textId="77777777" w:rsidR="00047DC5" w:rsidRDefault="00047DC5" w:rsidP="00AE2E92">
            <w:r>
              <w:t>85,992.75</w:t>
            </w:r>
          </w:p>
        </w:tc>
        <w:tc>
          <w:tcPr>
            <w:tcW w:w="1916"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2534F230" w14:textId="77777777" w:rsidR="00047DC5" w:rsidRDefault="00047DC5" w:rsidP="00AE2E92">
            <w:r>
              <w:t>61,218.59</w:t>
            </w:r>
          </w:p>
        </w:tc>
        <w:tc>
          <w:tcPr>
            <w:tcW w:w="144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7B3BD9A0" w14:textId="77777777" w:rsidR="00047DC5" w:rsidRDefault="00047DC5" w:rsidP="00AE2E92">
            <w:r>
              <w:t>1.40</w:t>
            </w:r>
          </w:p>
        </w:tc>
        <w:tc>
          <w:tcPr>
            <w:tcW w:w="1230"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4218C630" w14:textId="77777777" w:rsidR="00047DC5" w:rsidRDefault="00047DC5" w:rsidP="00AE2E92">
            <w:r>
              <w:t>0.2328</w:t>
            </w:r>
          </w:p>
        </w:tc>
      </w:tr>
      <w:tr w:rsidR="00047DC5" w14:paraId="419072D5" w14:textId="77777777" w:rsidTr="00AE2E92">
        <w:tc>
          <w:tcPr>
            <w:tcW w:w="3132"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5280C309" w14:textId="77777777" w:rsidR="00047DC5" w:rsidRDefault="00047DC5" w:rsidP="00AE2E92">
            <w:r>
              <w:t>RQF Level</w:t>
            </w:r>
          </w:p>
        </w:tc>
        <w:tc>
          <w:tcPr>
            <w:tcW w:w="1627"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30C71965" w14:textId="77777777" w:rsidR="00047DC5" w:rsidRDefault="00047DC5" w:rsidP="00AE2E92">
            <w:r>
              <w:t>-3,244.33</w:t>
            </w:r>
          </w:p>
        </w:tc>
        <w:tc>
          <w:tcPr>
            <w:tcW w:w="1916"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61260B76" w14:textId="77777777" w:rsidR="00047DC5" w:rsidRDefault="00047DC5" w:rsidP="00AE2E92">
            <w:r>
              <w:t>18,892.47</w:t>
            </w:r>
          </w:p>
        </w:tc>
        <w:tc>
          <w:tcPr>
            <w:tcW w:w="144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0B928A8F" w14:textId="77777777" w:rsidR="00047DC5" w:rsidRDefault="00047DC5" w:rsidP="00AE2E92">
            <w:r>
              <w:t>-0.17</w:t>
            </w:r>
          </w:p>
        </w:tc>
        <w:tc>
          <w:tcPr>
            <w:tcW w:w="1230"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0FDA3784" w14:textId="77777777" w:rsidR="00047DC5" w:rsidRDefault="00047DC5" w:rsidP="00AE2E92">
            <w:r>
              <w:t>0.8720</w:t>
            </w:r>
          </w:p>
        </w:tc>
      </w:tr>
      <w:tr w:rsidR="00047DC5" w14:paraId="0E69F194" w14:textId="77777777" w:rsidTr="00AE2E92">
        <w:tc>
          <w:tcPr>
            <w:tcW w:w="3132"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5D9231D7" w14:textId="77777777" w:rsidR="00047DC5" w:rsidRDefault="00047DC5" w:rsidP="00AE2E92">
            <w:r>
              <w:t>Salary Threshold (£'000)</w:t>
            </w:r>
          </w:p>
        </w:tc>
        <w:tc>
          <w:tcPr>
            <w:tcW w:w="1627"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4C8EE47D" w14:textId="77777777" w:rsidR="00047DC5" w:rsidRDefault="00047DC5" w:rsidP="00AE2E92">
            <w:r>
              <w:t>0</w:t>
            </w:r>
          </w:p>
        </w:tc>
        <w:tc>
          <w:tcPr>
            <w:tcW w:w="1916"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20E07205" w14:textId="77777777" w:rsidR="00047DC5" w:rsidRDefault="00047DC5" w:rsidP="00AE2E92">
            <w:r>
              <w:t>0</w:t>
            </w:r>
          </w:p>
        </w:tc>
        <w:tc>
          <w:tcPr>
            <w:tcW w:w="144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5D82DECA" w14:textId="77777777" w:rsidR="00047DC5" w:rsidRDefault="00047DC5" w:rsidP="00AE2E92">
            <w:r>
              <w:t>#NUM!</w:t>
            </w:r>
          </w:p>
        </w:tc>
        <w:tc>
          <w:tcPr>
            <w:tcW w:w="1230"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00A9D556" w14:textId="77777777" w:rsidR="00047DC5" w:rsidRDefault="00047DC5" w:rsidP="00AE2E92">
            <w:r>
              <w:t>#NUM!</w:t>
            </w:r>
          </w:p>
        </w:tc>
      </w:tr>
      <w:tr w:rsidR="00047DC5" w14:paraId="43F884A3" w14:textId="77777777" w:rsidTr="00AE2E92">
        <w:tc>
          <w:tcPr>
            <w:tcW w:w="3132"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11656A20" w14:textId="77777777" w:rsidR="00047DC5" w:rsidRDefault="00047DC5" w:rsidP="00AE2E92">
            <w:proofErr w:type="spellStart"/>
            <w:r>
              <w:t>Dependant</w:t>
            </w:r>
            <w:proofErr w:type="spellEnd"/>
            <w:r>
              <w:t xml:space="preserve"> Restriction (binary)</w:t>
            </w:r>
          </w:p>
        </w:tc>
        <w:tc>
          <w:tcPr>
            <w:tcW w:w="1627"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7AA504CE" w14:textId="77777777" w:rsidR="00047DC5" w:rsidRDefault="00047DC5" w:rsidP="00AE2E92">
            <w:r>
              <w:t>-49,085.75</w:t>
            </w:r>
          </w:p>
        </w:tc>
        <w:tc>
          <w:tcPr>
            <w:tcW w:w="1916"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27B65DB8" w14:textId="77777777" w:rsidR="00047DC5" w:rsidRDefault="00047DC5" w:rsidP="00AE2E92">
            <w:r>
              <w:t>51,739.15</w:t>
            </w:r>
          </w:p>
        </w:tc>
        <w:tc>
          <w:tcPr>
            <w:tcW w:w="144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1A3615EA" w14:textId="77777777" w:rsidR="00047DC5" w:rsidRDefault="00047DC5" w:rsidP="00AE2E92">
            <w:r>
              <w:t>-0.95</w:t>
            </w:r>
          </w:p>
        </w:tc>
        <w:tc>
          <w:tcPr>
            <w:tcW w:w="1230"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27F38315" w14:textId="77777777" w:rsidR="00047DC5" w:rsidRDefault="00047DC5" w:rsidP="00AE2E92">
            <w:r>
              <w:t>0.3965</w:t>
            </w:r>
          </w:p>
        </w:tc>
      </w:tr>
      <w:tr w:rsidR="00047DC5" w14:paraId="286B7513" w14:textId="77777777" w:rsidTr="00AE2E92">
        <w:tc>
          <w:tcPr>
            <w:tcW w:w="3132"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30052A0C" w14:textId="77777777" w:rsidR="00047DC5" w:rsidRDefault="00047DC5" w:rsidP="00AE2E92">
            <w:r>
              <w:t>Overseas Closure (binary)</w:t>
            </w:r>
          </w:p>
        </w:tc>
        <w:tc>
          <w:tcPr>
            <w:tcW w:w="1627"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512AD71D" w14:textId="77777777" w:rsidR="00047DC5" w:rsidRDefault="00047DC5" w:rsidP="00AE2E92">
            <w:r>
              <w:t>0</w:t>
            </w:r>
          </w:p>
        </w:tc>
        <w:tc>
          <w:tcPr>
            <w:tcW w:w="1916"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738B5BAF" w14:textId="77777777" w:rsidR="00047DC5" w:rsidRDefault="00047DC5" w:rsidP="00AE2E92">
            <w:r>
              <w:t>0</w:t>
            </w:r>
          </w:p>
        </w:tc>
        <w:tc>
          <w:tcPr>
            <w:tcW w:w="144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444934D8" w14:textId="77777777" w:rsidR="00047DC5" w:rsidRDefault="00047DC5" w:rsidP="00AE2E92">
            <w:r>
              <w:t>#NUM!</w:t>
            </w:r>
          </w:p>
        </w:tc>
        <w:tc>
          <w:tcPr>
            <w:tcW w:w="1230"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477D2E71" w14:textId="77777777" w:rsidR="00047DC5" w:rsidRDefault="00047DC5" w:rsidP="00AE2E92">
            <w:r>
              <w:t>#NUM!</w:t>
            </w:r>
          </w:p>
        </w:tc>
      </w:tr>
    </w:tbl>
    <w:p w14:paraId="3D773371" w14:textId="77777777" w:rsidR="00047DC5" w:rsidRDefault="00047DC5" w:rsidP="00047DC5">
      <w:pPr>
        <w:spacing w:line="360" w:lineRule="auto"/>
        <w:jc w:val="both"/>
        <w:rPr>
          <w:rFonts w:ascii="Arial" w:hAnsi="Arial" w:cs="Arial"/>
        </w:rPr>
      </w:pPr>
      <w:r>
        <w:rPr>
          <w:rFonts w:ascii="Arial" w:hAnsi="Arial" w:cs="Arial"/>
        </w:rPr>
        <w:t>R² = 0.3848, Adjusted R² = -0.4228, F = 1.2509, p = 0.4896</w:t>
      </w:r>
    </w:p>
    <w:p w14:paraId="20FD5237" w14:textId="77777777" w:rsidR="00047DC5" w:rsidRDefault="00047DC5" w:rsidP="00047DC5">
      <w:pPr>
        <w:spacing w:line="360" w:lineRule="auto"/>
        <w:jc w:val="both"/>
        <w:rPr>
          <w:rFonts w:ascii="Arial" w:hAnsi="Arial" w:cs="Arial"/>
        </w:rPr>
      </w:pPr>
      <w:r>
        <w:rPr>
          <w:rFonts w:ascii="Arial" w:hAnsi="Arial" w:cs="Arial"/>
        </w:rPr>
        <w:t>Source: Regression analysis of Home Office visa statistics (2020–2026) conducted in Microsoft Excel.</w:t>
      </w:r>
    </w:p>
    <w:p w14:paraId="3147CB7E" w14:textId="77777777" w:rsidR="00047DC5" w:rsidRDefault="00047DC5" w:rsidP="00047DC5">
      <w:pPr>
        <w:spacing w:line="360" w:lineRule="auto"/>
        <w:jc w:val="both"/>
        <w:rPr>
          <w:rFonts w:ascii="Arial" w:hAnsi="Arial" w:cs="Arial"/>
        </w:rPr>
      </w:pPr>
      <w:r>
        <w:rPr>
          <w:rFonts w:ascii="Arial" w:hAnsi="Arial" w:cs="Arial"/>
        </w:rPr>
        <w:t>The regression analysis shows that the model explains approximately 38.5% of the variance in visa grant rates (R² = 0.3848). However, the overall model is not statistically significant (F = 1.2509, p = 0.4896), indicating that the independent variables do not collectively predict visa grant rates with statistical confidence.</w:t>
      </w:r>
    </w:p>
    <w:p w14:paraId="2A566D80" w14:textId="77777777" w:rsidR="00047DC5" w:rsidRDefault="00047DC5" w:rsidP="00047DC5">
      <w:pPr>
        <w:spacing w:line="360" w:lineRule="auto"/>
        <w:jc w:val="both"/>
        <w:rPr>
          <w:rFonts w:ascii="Arial" w:hAnsi="Arial" w:cs="Arial"/>
        </w:rPr>
      </w:pPr>
      <w:r>
        <w:rPr>
          <w:rFonts w:ascii="Arial" w:hAnsi="Arial" w:cs="Arial"/>
        </w:rPr>
        <w:t>The lack of statistical significance can be attributed to three factors. First, the small sample size – only seven years of annual data – limits the statistical power of the regression. Second, multicollinearity – the policy variables are highly correlated with each other, as the reforms were implemented simultaneously, making it difficult to isolate individual effects. Third, the #NUM! errors </w:t>
      </w:r>
      <w:proofErr w:type="gramStart"/>
      <w:r>
        <w:rPr>
          <w:rFonts w:ascii="Arial" w:hAnsi="Arial" w:cs="Arial"/>
        </w:rPr>
        <w:t>for</w:t>
      </w:r>
      <w:proofErr w:type="gramEnd"/>
      <w:r>
        <w:rPr>
          <w:rFonts w:ascii="Arial" w:hAnsi="Arial" w:cs="Arial"/>
        </w:rPr>
        <w:t xml:space="preserve"> Salary Threshold and Overseas Closure indicate that these variables could not be reliably estimated due to perfect multicollinearity.</w:t>
      </w:r>
    </w:p>
    <w:p w14:paraId="50B3A157" w14:textId="77777777" w:rsidR="00047DC5" w:rsidRDefault="00047DC5" w:rsidP="00047DC5">
      <w:pPr>
        <w:spacing w:line="360" w:lineRule="auto"/>
        <w:jc w:val="both"/>
        <w:rPr>
          <w:rFonts w:ascii="Arial" w:hAnsi="Arial" w:cs="Arial"/>
        </w:rPr>
      </w:pPr>
      <w:r>
        <w:rPr>
          <w:rFonts w:ascii="Arial" w:hAnsi="Arial" w:cs="Arial"/>
        </w:rPr>
        <w:lastRenderedPageBreak/>
        <w:t xml:space="preserve">Despite the non-significant regression, the correlation analysis provides stronger evidence of negative associations between policy changes and visa grants, with </w:t>
      </w:r>
      <w:proofErr w:type="spellStart"/>
      <w:r>
        <w:rPr>
          <w:rFonts w:ascii="Arial" w:hAnsi="Arial" w:cs="Arial"/>
        </w:rPr>
        <w:t>Dependant</w:t>
      </w:r>
      <w:proofErr w:type="spellEnd"/>
      <w:r>
        <w:rPr>
          <w:rFonts w:ascii="Arial" w:hAnsi="Arial" w:cs="Arial"/>
        </w:rPr>
        <w:t xml:space="preserve"> Restriction showing the strongest correlation (r = -0.62), followed by RQF Level, Salary Threshold, and Overseas Closure (r = -0.50 each). These findings are consistent with the theoretical predictions of Human Capital Theory and Conservation of Resources Theory.</w:t>
      </w:r>
    </w:p>
    <w:p w14:paraId="16415848" w14:textId="77777777" w:rsidR="00047DC5" w:rsidRDefault="00047DC5" w:rsidP="00047DC5">
      <w:pPr>
        <w:pStyle w:val="Heading5"/>
      </w:pPr>
      <w:r>
        <w:t>4.2.3.6 Summary of Findings for Research Question 3</w:t>
      </w:r>
    </w:p>
    <w:p w14:paraId="63E4752E" w14:textId="77777777" w:rsidR="00047DC5" w:rsidRDefault="00047DC5" w:rsidP="00047DC5">
      <w:pPr>
        <w:spacing w:line="360" w:lineRule="auto"/>
        <w:jc w:val="both"/>
        <w:rPr>
          <w:rFonts w:ascii="Arial" w:hAnsi="Arial" w:cs="Arial"/>
        </w:rPr>
      </w:pPr>
      <w:r>
        <w:rPr>
          <w:rFonts w:ascii="Arial" w:hAnsi="Arial" w:cs="Arial"/>
        </w:rPr>
        <w:t>The immigration rule changes have had a significant impact. The near-total collapse of the care worker visa route – from over 108,000 at peak to 11 in Q1 2026 – combined with the 33% increase in internationally educated nurses leaving, represents a fundamental threat to human capital sustainability.</w:t>
      </w:r>
    </w:p>
    <w:p w14:paraId="4E705A4C" w14:textId="77777777" w:rsidR="00047DC5" w:rsidRDefault="00047DC5" w:rsidP="00047DC5">
      <w:pPr>
        <w:pStyle w:val="Heading3"/>
      </w:pPr>
      <w:bookmarkStart w:id="147" w:name="_Toc235978116"/>
      <w:bookmarkStart w:id="148" w:name="_Toc235978681"/>
      <w:bookmarkStart w:id="149" w:name="_Toc238549835"/>
      <w:r>
        <w:t>4.2.4 Research Question 4: HR Strategies for Workforce Sustainability</w:t>
      </w:r>
      <w:bookmarkEnd w:id="147"/>
      <w:bookmarkEnd w:id="148"/>
      <w:bookmarkEnd w:id="149"/>
    </w:p>
    <w:p w14:paraId="474507BA" w14:textId="77777777" w:rsidR="00047DC5" w:rsidRDefault="00047DC5" w:rsidP="00047DC5">
      <w:pPr>
        <w:pStyle w:val="Heading5"/>
      </w:pPr>
      <w:r>
        <w:t>4.2.4.1 Data Sources and Analysis Method</w:t>
      </w:r>
    </w:p>
    <w:p w14:paraId="3E46368C" w14:textId="77777777" w:rsidR="00047DC5" w:rsidRDefault="00047DC5" w:rsidP="00047DC5">
      <w:pPr>
        <w:spacing w:line="360" w:lineRule="auto"/>
        <w:jc w:val="both"/>
        <w:rPr>
          <w:rFonts w:ascii="Arial" w:hAnsi="Arial" w:cs="Arial"/>
        </w:rPr>
      </w:pPr>
      <w:r>
        <w:rPr>
          <w:rFonts w:ascii="Arial" w:hAnsi="Arial" w:cs="Arial"/>
        </w:rPr>
        <w:t>Document analysis was conducted on the NHS Long Term Workforce Plan (NHS England, 2023), Skills for Care workforce reports (2024), and the literature review from Chapter 2.</w:t>
      </w:r>
    </w:p>
    <w:p w14:paraId="26A779BE" w14:textId="77777777" w:rsidR="00047DC5" w:rsidRDefault="00047DC5" w:rsidP="00047DC5">
      <w:pPr>
        <w:pStyle w:val="Heading5"/>
      </w:pPr>
      <w:r>
        <w:t>4.2.4.2 Findings: Domestic Upskilling</w:t>
      </w:r>
    </w:p>
    <w:p w14:paraId="01F6428C" w14:textId="77777777" w:rsidR="00047DC5" w:rsidRDefault="00047DC5" w:rsidP="00047DC5">
      <w:pPr>
        <w:spacing w:line="360" w:lineRule="auto"/>
        <w:jc w:val="both"/>
        <w:rPr>
          <w:rFonts w:ascii="Arial" w:hAnsi="Arial" w:cs="Arial"/>
        </w:rPr>
      </w:pPr>
      <w:r>
        <w:rPr>
          <w:rFonts w:ascii="Arial" w:hAnsi="Arial" w:cs="Arial"/>
        </w:rPr>
        <w:t>The NHS Long Term Workforce Plan sets out ambitious targets for domestic recruitment. Research by Skills for Care shows that training reduces turnover:</w:t>
      </w:r>
    </w:p>
    <w:p w14:paraId="5F63A423" w14:textId="77777777" w:rsidR="00047DC5" w:rsidRDefault="00047DC5" w:rsidP="00047DC5">
      <w:pPr>
        <w:pStyle w:val="Caption"/>
        <w:keepNext/>
      </w:pPr>
      <w:bookmarkStart w:id="150" w:name="_Toc238206092"/>
      <w:r>
        <w:rPr>
          <w:sz w:val="28"/>
          <w:szCs w:val="28"/>
        </w:rPr>
        <w:t>Table 8 Training Instances and Turnover Rates.</w:t>
      </w:r>
      <w:bookmarkEnd w:id="150"/>
    </w:p>
    <w:tbl>
      <w:tblPr>
        <w:tblW w:w="8000" w:type="dxa"/>
        <w:tblCellMar>
          <w:left w:w="10" w:type="dxa"/>
          <w:right w:w="10" w:type="dxa"/>
        </w:tblCellMar>
        <w:tblLook w:val="04A0" w:firstRow="1" w:lastRow="0" w:firstColumn="1" w:lastColumn="0" w:noHBand="0" w:noVBand="1"/>
      </w:tblPr>
      <w:tblGrid>
        <w:gridCol w:w="4026"/>
        <w:gridCol w:w="3974"/>
      </w:tblGrid>
      <w:tr w:rsidR="00047DC5" w14:paraId="2045A239" w14:textId="77777777" w:rsidTr="00AE2E92">
        <w:trPr>
          <w:trHeight w:val="438"/>
          <w:tblHeader/>
        </w:trPr>
        <w:tc>
          <w:tcPr>
            <w:tcW w:w="4026"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0C9CC429" w14:textId="77777777" w:rsidR="00047DC5" w:rsidRDefault="00047DC5" w:rsidP="00AE2E92">
            <w:pPr>
              <w:spacing w:line="360" w:lineRule="auto"/>
              <w:jc w:val="both"/>
              <w:rPr>
                <w:rFonts w:ascii="Arial" w:hAnsi="Arial" w:cs="Arial"/>
              </w:rPr>
            </w:pPr>
            <w:r>
              <w:rPr>
                <w:rFonts w:ascii="Arial" w:hAnsi="Arial" w:cs="Arial"/>
              </w:rPr>
              <w:t>Training Instances</w:t>
            </w:r>
          </w:p>
        </w:tc>
        <w:tc>
          <w:tcPr>
            <w:tcW w:w="3974"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751E2385" w14:textId="77777777" w:rsidR="00047DC5" w:rsidRDefault="00047DC5" w:rsidP="00AE2E92">
            <w:pPr>
              <w:spacing w:line="360" w:lineRule="auto"/>
              <w:jc w:val="both"/>
              <w:rPr>
                <w:rFonts w:ascii="Arial" w:hAnsi="Arial" w:cs="Arial"/>
              </w:rPr>
            </w:pPr>
            <w:r>
              <w:rPr>
                <w:rFonts w:ascii="Arial" w:hAnsi="Arial" w:cs="Arial"/>
              </w:rPr>
              <w:t>Turnover Rate (in %)</w:t>
            </w:r>
          </w:p>
        </w:tc>
      </w:tr>
      <w:tr w:rsidR="00047DC5" w14:paraId="66A1002A" w14:textId="77777777" w:rsidTr="00AE2E92">
        <w:trPr>
          <w:trHeight w:val="438"/>
        </w:trPr>
        <w:tc>
          <w:tcPr>
            <w:tcW w:w="4026"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2A6D36C1" w14:textId="77777777" w:rsidR="00047DC5" w:rsidRDefault="00047DC5" w:rsidP="00AE2E92">
            <w:pPr>
              <w:spacing w:line="360" w:lineRule="auto"/>
              <w:jc w:val="both"/>
              <w:rPr>
                <w:rFonts w:ascii="Arial" w:hAnsi="Arial" w:cs="Arial"/>
              </w:rPr>
            </w:pPr>
            <w:r>
              <w:rPr>
                <w:rFonts w:ascii="Arial" w:hAnsi="Arial" w:cs="Arial"/>
              </w:rPr>
              <w:t>1–5 instances</w:t>
            </w:r>
          </w:p>
        </w:tc>
        <w:tc>
          <w:tcPr>
            <w:tcW w:w="3974"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3ADA5FFB" w14:textId="77777777" w:rsidR="00047DC5" w:rsidRDefault="00047DC5" w:rsidP="00AE2E92">
            <w:pPr>
              <w:spacing w:line="360" w:lineRule="auto"/>
              <w:jc w:val="both"/>
              <w:rPr>
                <w:rFonts w:ascii="Arial" w:hAnsi="Arial" w:cs="Arial"/>
              </w:rPr>
            </w:pPr>
            <w:r>
              <w:rPr>
                <w:rFonts w:ascii="Arial" w:hAnsi="Arial" w:cs="Arial"/>
              </w:rPr>
              <w:t>26.3</w:t>
            </w:r>
          </w:p>
        </w:tc>
      </w:tr>
      <w:tr w:rsidR="00047DC5" w14:paraId="040A7E59" w14:textId="77777777" w:rsidTr="00AE2E92">
        <w:trPr>
          <w:trHeight w:val="438"/>
        </w:trPr>
        <w:tc>
          <w:tcPr>
            <w:tcW w:w="4026"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49903F3F" w14:textId="77777777" w:rsidR="00047DC5" w:rsidRDefault="00047DC5" w:rsidP="00AE2E92">
            <w:pPr>
              <w:spacing w:line="360" w:lineRule="auto"/>
              <w:jc w:val="both"/>
              <w:rPr>
                <w:rFonts w:ascii="Arial" w:hAnsi="Arial" w:cs="Arial"/>
              </w:rPr>
            </w:pPr>
            <w:r>
              <w:rPr>
                <w:rFonts w:ascii="Arial" w:hAnsi="Arial" w:cs="Arial"/>
              </w:rPr>
              <w:t>6–10 instances</w:t>
            </w:r>
          </w:p>
        </w:tc>
        <w:tc>
          <w:tcPr>
            <w:tcW w:w="3974"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3DD7349F" w14:textId="77777777" w:rsidR="00047DC5" w:rsidRDefault="00047DC5" w:rsidP="00AE2E92">
            <w:pPr>
              <w:spacing w:line="360" w:lineRule="auto"/>
              <w:jc w:val="both"/>
              <w:rPr>
                <w:rFonts w:ascii="Arial" w:hAnsi="Arial" w:cs="Arial"/>
              </w:rPr>
            </w:pPr>
            <w:r>
              <w:rPr>
                <w:rFonts w:ascii="Arial" w:hAnsi="Arial" w:cs="Arial"/>
              </w:rPr>
              <w:t>25.1</w:t>
            </w:r>
          </w:p>
        </w:tc>
      </w:tr>
      <w:tr w:rsidR="00047DC5" w14:paraId="1673DF80" w14:textId="77777777" w:rsidTr="00AE2E92">
        <w:trPr>
          <w:trHeight w:val="438"/>
        </w:trPr>
        <w:tc>
          <w:tcPr>
            <w:tcW w:w="4026"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219DD3DB" w14:textId="77777777" w:rsidR="00047DC5" w:rsidRDefault="00047DC5" w:rsidP="00AE2E92">
            <w:pPr>
              <w:spacing w:line="360" w:lineRule="auto"/>
              <w:jc w:val="both"/>
              <w:rPr>
                <w:rFonts w:ascii="Arial" w:hAnsi="Arial" w:cs="Arial"/>
              </w:rPr>
            </w:pPr>
            <w:r>
              <w:rPr>
                <w:rFonts w:ascii="Arial" w:hAnsi="Arial" w:cs="Arial"/>
              </w:rPr>
              <w:t>11–20 instances</w:t>
            </w:r>
          </w:p>
        </w:tc>
        <w:tc>
          <w:tcPr>
            <w:tcW w:w="3974"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3ED542E3" w14:textId="77777777" w:rsidR="00047DC5" w:rsidRDefault="00047DC5" w:rsidP="00AE2E92">
            <w:pPr>
              <w:spacing w:line="360" w:lineRule="auto"/>
              <w:jc w:val="both"/>
              <w:rPr>
                <w:rFonts w:ascii="Arial" w:hAnsi="Arial" w:cs="Arial"/>
              </w:rPr>
            </w:pPr>
            <w:r>
              <w:rPr>
                <w:rFonts w:ascii="Arial" w:hAnsi="Arial" w:cs="Arial"/>
              </w:rPr>
              <w:t>24.2</w:t>
            </w:r>
          </w:p>
        </w:tc>
      </w:tr>
      <w:tr w:rsidR="00047DC5" w14:paraId="745578A9" w14:textId="77777777" w:rsidTr="00AE2E92">
        <w:trPr>
          <w:trHeight w:val="438"/>
        </w:trPr>
        <w:tc>
          <w:tcPr>
            <w:tcW w:w="4026"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7651ED97" w14:textId="77777777" w:rsidR="00047DC5" w:rsidRDefault="00047DC5" w:rsidP="00AE2E92">
            <w:pPr>
              <w:spacing w:line="360" w:lineRule="auto"/>
              <w:jc w:val="both"/>
              <w:rPr>
                <w:rFonts w:ascii="Arial" w:hAnsi="Arial" w:cs="Arial"/>
              </w:rPr>
            </w:pPr>
            <w:r>
              <w:rPr>
                <w:rFonts w:ascii="Arial" w:hAnsi="Arial" w:cs="Arial"/>
              </w:rPr>
              <w:lastRenderedPageBreak/>
              <w:t>21–30 instances</w:t>
            </w:r>
          </w:p>
        </w:tc>
        <w:tc>
          <w:tcPr>
            <w:tcW w:w="3974"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4014AD9F" w14:textId="77777777" w:rsidR="00047DC5" w:rsidRDefault="00047DC5" w:rsidP="00AE2E92">
            <w:pPr>
              <w:spacing w:line="360" w:lineRule="auto"/>
              <w:jc w:val="both"/>
              <w:rPr>
                <w:rFonts w:ascii="Arial" w:hAnsi="Arial" w:cs="Arial"/>
              </w:rPr>
            </w:pPr>
            <w:r>
              <w:rPr>
                <w:rFonts w:ascii="Arial" w:hAnsi="Arial" w:cs="Arial"/>
              </w:rPr>
              <w:t>23.4</w:t>
            </w:r>
          </w:p>
        </w:tc>
      </w:tr>
      <w:tr w:rsidR="00047DC5" w14:paraId="307CE6E5" w14:textId="77777777" w:rsidTr="00AE2E92">
        <w:trPr>
          <w:trHeight w:val="438"/>
        </w:trPr>
        <w:tc>
          <w:tcPr>
            <w:tcW w:w="4026"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0E02EBAD" w14:textId="77777777" w:rsidR="00047DC5" w:rsidRDefault="00047DC5" w:rsidP="00AE2E92">
            <w:pPr>
              <w:spacing w:line="360" w:lineRule="auto"/>
              <w:jc w:val="both"/>
              <w:rPr>
                <w:rFonts w:ascii="Arial" w:hAnsi="Arial" w:cs="Arial"/>
              </w:rPr>
            </w:pPr>
            <w:r>
              <w:rPr>
                <w:rFonts w:ascii="Arial" w:hAnsi="Arial" w:cs="Arial"/>
              </w:rPr>
              <w:t>More than 30 instances</w:t>
            </w:r>
          </w:p>
        </w:tc>
        <w:tc>
          <w:tcPr>
            <w:tcW w:w="3974"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2117FE20" w14:textId="77777777" w:rsidR="00047DC5" w:rsidRDefault="00047DC5" w:rsidP="00AE2E92">
            <w:pPr>
              <w:spacing w:line="360" w:lineRule="auto"/>
              <w:jc w:val="both"/>
              <w:rPr>
                <w:rFonts w:ascii="Arial" w:hAnsi="Arial" w:cs="Arial"/>
              </w:rPr>
            </w:pPr>
            <w:r>
              <w:rPr>
                <w:rFonts w:ascii="Arial" w:hAnsi="Arial" w:cs="Arial"/>
              </w:rPr>
              <w:t>22.9</w:t>
            </w:r>
          </w:p>
        </w:tc>
      </w:tr>
    </w:tbl>
    <w:p w14:paraId="42B2ADCB" w14:textId="77777777" w:rsidR="00047DC5" w:rsidRDefault="00047DC5" w:rsidP="00047DC5">
      <w:pPr>
        <w:spacing w:line="360" w:lineRule="auto"/>
        <w:jc w:val="both"/>
        <w:rPr>
          <w:rFonts w:ascii="Arial" w:hAnsi="Arial" w:cs="Arial"/>
          <w:i/>
          <w:iCs/>
        </w:rPr>
      </w:pPr>
      <w:r>
        <w:rPr>
          <w:rFonts w:ascii="Arial" w:hAnsi="Arial" w:cs="Arial"/>
          <w:i/>
          <w:iCs/>
        </w:rPr>
        <w:t>Source: Skills for Care (2024).</w:t>
      </w:r>
    </w:p>
    <w:p w14:paraId="5BC20CFA" w14:textId="77777777" w:rsidR="00047DC5" w:rsidRDefault="00047DC5" w:rsidP="00047DC5">
      <w:pPr>
        <w:spacing w:line="360" w:lineRule="auto"/>
        <w:jc w:val="both"/>
        <w:rPr>
          <w:rFonts w:ascii="Arial" w:hAnsi="Arial" w:cs="Arial"/>
        </w:rPr>
      </w:pPr>
      <w:r>
        <w:rPr>
          <w:rFonts w:ascii="Arial" w:hAnsi="Arial" w:cs="Arial"/>
        </w:rPr>
        <w:t>The average turnover rate amongst care workers with 1–5 instances of training was 26.3%, decreasing to 22.9% for those with more than 30 instances. This suggests that investment in training can improve retention.</w:t>
      </w:r>
    </w:p>
    <w:p w14:paraId="3E78B08E" w14:textId="77777777" w:rsidR="00047DC5" w:rsidRDefault="00047DC5" w:rsidP="00047DC5">
      <w:pPr>
        <w:pStyle w:val="Heading4"/>
        <w:spacing w:line="360" w:lineRule="auto"/>
        <w:jc w:val="both"/>
        <w:rPr>
          <w:rFonts w:ascii="Arial" w:hAnsi="Arial" w:cs="Arial"/>
          <w:i w:val="0"/>
          <w:iCs w:val="0"/>
        </w:rPr>
      </w:pPr>
      <w:r>
        <w:rPr>
          <w:rFonts w:ascii="Arial" w:hAnsi="Arial" w:cs="Arial"/>
          <w:i w:val="0"/>
          <w:iCs w:val="0"/>
        </w:rPr>
        <w:t>4.2.4.3 Findings: Domestic Recruitment Challenges</w:t>
      </w:r>
    </w:p>
    <w:p w14:paraId="371A1A58" w14:textId="77777777" w:rsidR="00047DC5" w:rsidRDefault="00047DC5" w:rsidP="00047DC5">
      <w:pPr>
        <w:spacing w:line="360" w:lineRule="auto"/>
        <w:jc w:val="both"/>
        <w:rPr>
          <w:rFonts w:ascii="Arial" w:hAnsi="Arial" w:cs="Arial"/>
        </w:rPr>
      </w:pPr>
      <w:r>
        <w:rPr>
          <w:rFonts w:ascii="Arial" w:hAnsi="Arial" w:cs="Arial"/>
        </w:rPr>
        <w:t>The 2.6% decline in workers of British nationality over the 2023/24 period highlights the challenges of domestic recruitment.</w:t>
      </w:r>
    </w:p>
    <w:p w14:paraId="7F7164E0" w14:textId="77777777" w:rsidR="00047DC5" w:rsidRDefault="00047DC5" w:rsidP="00047DC5">
      <w:pPr>
        <w:pStyle w:val="Heading5"/>
      </w:pPr>
      <w:r>
        <w:t>4.2.4.4 Findings: Retention Strategies</w:t>
      </w:r>
    </w:p>
    <w:p w14:paraId="3C37ED72" w14:textId="77777777" w:rsidR="00047DC5" w:rsidRDefault="00047DC5" w:rsidP="00047DC5">
      <w:pPr>
        <w:spacing w:line="360" w:lineRule="auto"/>
        <w:jc w:val="both"/>
        <w:rPr>
          <w:rFonts w:ascii="Arial" w:hAnsi="Arial" w:cs="Arial"/>
        </w:rPr>
      </w:pPr>
      <w:r>
        <w:rPr>
          <w:rFonts w:ascii="Arial" w:hAnsi="Arial" w:cs="Arial"/>
        </w:rPr>
        <w:t>Key strategies include investment in training, supportive working environments, and family unity support (</w:t>
      </w:r>
      <w:proofErr w:type="spellStart"/>
      <w:r>
        <w:rPr>
          <w:rFonts w:ascii="Arial" w:hAnsi="Arial" w:cs="Arial"/>
        </w:rPr>
        <w:t>Sarre</w:t>
      </w:r>
      <w:proofErr w:type="spellEnd"/>
      <w:r>
        <w:rPr>
          <w:rFonts w:ascii="Arial" w:hAnsi="Arial" w:cs="Arial"/>
        </w:rPr>
        <w:t xml:space="preserve"> et al., 2025; Anderson et al., 2021).</w:t>
      </w:r>
    </w:p>
    <w:p w14:paraId="489D02DC" w14:textId="77777777" w:rsidR="00047DC5" w:rsidRDefault="00047DC5" w:rsidP="00047DC5">
      <w:pPr>
        <w:pStyle w:val="Heading5"/>
      </w:pPr>
      <w:r>
        <w:t>4.2.4.5 Summary of Findings for Research Question 4</w:t>
      </w:r>
    </w:p>
    <w:p w14:paraId="4A838099" w14:textId="77777777" w:rsidR="00047DC5" w:rsidRDefault="00047DC5" w:rsidP="00047DC5">
      <w:pPr>
        <w:spacing w:line="360" w:lineRule="auto"/>
        <w:jc w:val="both"/>
        <w:rPr>
          <w:rFonts w:ascii="Arial" w:hAnsi="Arial" w:cs="Arial"/>
        </w:rPr>
      </w:pPr>
      <w:r>
        <w:rPr>
          <w:rFonts w:ascii="Arial" w:hAnsi="Arial" w:cs="Arial"/>
        </w:rPr>
        <w:t xml:space="preserve">While HR strategies have been proposed, there is limited evidence </w:t>
      </w:r>
      <w:proofErr w:type="gramStart"/>
      <w:r>
        <w:rPr>
          <w:rFonts w:ascii="Arial" w:hAnsi="Arial" w:cs="Arial"/>
        </w:rPr>
        <w:t>on</w:t>
      </w:r>
      <w:proofErr w:type="gramEnd"/>
      <w:r>
        <w:rPr>
          <w:rFonts w:ascii="Arial" w:hAnsi="Arial" w:cs="Arial"/>
        </w:rPr>
        <w:t xml:space="preserve"> their effectiveness. Training reduces turnover, but domestic recruitment faces significant challenges. The near-total collapse of the care worker visa route cannot be </w:t>
      </w:r>
      <w:proofErr w:type="gramStart"/>
      <w:r>
        <w:rPr>
          <w:rFonts w:ascii="Arial" w:hAnsi="Arial" w:cs="Arial"/>
        </w:rPr>
        <w:t>compensated</w:t>
      </w:r>
      <w:proofErr w:type="gramEnd"/>
      <w:r>
        <w:rPr>
          <w:rFonts w:ascii="Arial" w:hAnsi="Arial" w:cs="Arial"/>
        </w:rPr>
        <w:t xml:space="preserve"> by domestic recruitment alone. The findings have several practical implications for healthcare </w:t>
      </w:r>
      <w:proofErr w:type="spellStart"/>
      <w:r>
        <w:rPr>
          <w:rFonts w:ascii="Arial" w:hAnsi="Arial" w:cs="Arial"/>
        </w:rPr>
        <w:t>organisations</w:t>
      </w:r>
      <w:proofErr w:type="spellEnd"/>
      <w:r>
        <w:rPr>
          <w:rFonts w:ascii="Arial" w:hAnsi="Arial" w:cs="Arial"/>
        </w:rPr>
        <w:t xml:space="preserve">. First, investment in training and career progression is essential – the evidence shows that training reduces turnover from 26.3% to 22.9%. Second, supportive working environments are critical – research has shown that workplace culture is a significant predictor of retention (RCN, 2025). Third, family unity support is important – workers who can bring family members to the UK are more likely to remain (Stewart and Mulvey, 2014). </w:t>
      </w:r>
      <w:proofErr w:type="spellStart"/>
      <w:r>
        <w:rPr>
          <w:rFonts w:ascii="Arial" w:hAnsi="Arial" w:cs="Arial"/>
        </w:rPr>
        <w:t>Organisations</w:t>
      </w:r>
      <w:proofErr w:type="spellEnd"/>
      <w:r>
        <w:rPr>
          <w:rFonts w:ascii="Arial" w:hAnsi="Arial" w:cs="Arial"/>
        </w:rPr>
        <w:t xml:space="preserve"> should consider flexible working arrangements, access to family housing, and assistance with </w:t>
      </w:r>
      <w:proofErr w:type="spellStart"/>
      <w:r>
        <w:rPr>
          <w:rFonts w:ascii="Arial" w:hAnsi="Arial" w:cs="Arial"/>
        </w:rPr>
        <w:t>dependant</w:t>
      </w:r>
      <w:proofErr w:type="spellEnd"/>
      <w:r>
        <w:rPr>
          <w:rFonts w:ascii="Arial" w:hAnsi="Arial" w:cs="Arial"/>
        </w:rPr>
        <w:t xml:space="preserve"> applications. These strategies, combined with advocacy for policy change, can help mitigate the impact of immigration restrictions.</w:t>
      </w:r>
    </w:p>
    <w:p w14:paraId="31E93CC8" w14:textId="77777777" w:rsidR="00047DC5" w:rsidRDefault="00047DC5" w:rsidP="00047DC5">
      <w:pPr>
        <w:pStyle w:val="Heading2"/>
      </w:pPr>
      <w:bookmarkStart w:id="151" w:name="_Toc235978117"/>
      <w:bookmarkStart w:id="152" w:name="_Toc235978682"/>
      <w:bookmarkStart w:id="153" w:name="_Toc238549836"/>
      <w:r>
        <w:lastRenderedPageBreak/>
        <w:t>4.3 Analysis of Results</w:t>
      </w:r>
      <w:bookmarkEnd w:id="151"/>
      <w:bookmarkEnd w:id="152"/>
      <w:bookmarkEnd w:id="153"/>
    </w:p>
    <w:p w14:paraId="5BCD9E45" w14:textId="77777777" w:rsidR="00047DC5" w:rsidRDefault="00047DC5" w:rsidP="00047DC5">
      <w:pPr>
        <w:pStyle w:val="Heading3"/>
      </w:pPr>
      <w:bookmarkStart w:id="154" w:name="_Toc238549837"/>
      <w:r>
        <w:t>4.3.1 Statistical Analysis</w:t>
      </w:r>
      <w:bookmarkEnd w:id="154"/>
    </w:p>
    <w:p w14:paraId="7A3DA031" w14:textId="77777777" w:rsidR="00047DC5" w:rsidRDefault="00047DC5" w:rsidP="00047DC5">
      <w:pPr>
        <w:spacing w:line="360" w:lineRule="auto"/>
        <w:jc w:val="both"/>
        <w:rPr>
          <w:rFonts w:ascii="Arial" w:hAnsi="Arial" w:cs="Arial"/>
        </w:rPr>
      </w:pPr>
      <w:r>
        <w:rPr>
          <w:rFonts w:ascii="Arial" w:hAnsi="Arial" w:cs="Arial"/>
        </w:rPr>
        <w:t>The multiple regression analysis demonstrates that the model explains approximately 38.5% of the variance in visa grant rates (R² = 0.3848). However, the overall model is not statistically significant (F = 1.2509, p = 0.4896), indicating that the independent variables do not collectively predict visa grant rates with statistical confidence. The lack of significance is likely due to the small sample size (7 years of annual data) and multicollinearity, as all policy reforms were implemented simultaneously.</w:t>
      </w:r>
    </w:p>
    <w:p w14:paraId="293783EB" w14:textId="77777777" w:rsidR="00047DC5" w:rsidRDefault="00047DC5" w:rsidP="00047DC5">
      <w:pPr>
        <w:spacing w:line="360" w:lineRule="auto"/>
        <w:jc w:val="both"/>
        <w:rPr>
          <w:rFonts w:ascii="Arial" w:hAnsi="Arial" w:cs="Arial"/>
        </w:rPr>
      </w:pPr>
      <w:r>
        <w:rPr>
          <w:rFonts w:ascii="Arial" w:hAnsi="Arial" w:cs="Arial"/>
        </w:rPr>
        <w:t xml:space="preserve">Despite the non-significant regression, the correlation analysis provides initial evidence that all four policy variables are negatively associated with visa grant rates, with </w:t>
      </w:r>
      <w:proofErr w:type="spellStart"/>
      <w:r>
        <w:rPr>
          <w:rFonts w:ascii="Arial" w:hAnsi="Arial" w:cs="Arial"/>
        </w:rPr>
        <w:t>Dependant</w:t>
      </w:r>
      <w:proofErr w:type="spellEnd"/>
      <w:r>
        <w:rPr>
          <w:rFonts w:ascii="Arial" w:hAnsi="Arial" w:cs="Arial"/>
        </w:rPr>
        <w:t xml:space="preserve"> Restriction showing the strongest correlation (r = -0.62). These findings should be interpreted with caution and supplemented by </w:t>
      </w:r>
      <w:proofErr w:type="gramStart"/>
      <w:r>
        <w:rPr>
          <w:rFonts w:ascii="Arial" w:hAnsi="Arial" w:cs="Arial"/>
        </w:rPr>
        <w:t>the correlation</w:t>
      </w:r>
      <w:proofErr w:type="gramEnd"/>
      <w:r>
        <w:rPr>
          <w:rFonts w:ascii="Arial" w:hAnsi="Arial" w:cs="Arial"/>
        </w:rPr>
        <w:t xml:space="preserve"> analysis and descriptive statistics.</w:t>
      </w:r>
    </w:p>
    <w:p w14:paraId="51CC9B9F" w14:textId="77777777" w:rsidR="00047DC5" w:rsidRDefault="00047DC5" w:rsidP="00047DC5">
      <w:pPr>
        <w:pStyle w:val="Heading3"/>
      </w:pPr>
      <w:bookmarkStart w:id="155" w:name="_Toc238549838"/>
      <w:r>
        <w:t>4.3.2 Trend Analysis</w:t>
      </w:r>
      <w:bookmarkEnd w:id="155"/>
    </w:p>
    <w:p w14:paraId="317B0704" w14:textId="77777777" w:rsidR="00047DC5" w:rsidRDefault="00047DC5" w:rsidP="00047DC5">
      <w:pPr>
        <w:spacing w:line="360" w:lineRule="auto"/>
        <w:jc w:val="both"/>
        <w:rPr>
          <w:rFonts w:ascii="Arial" w:hAnsi="Arial" w:cs="Arial"/>
        </w:rPr>
      </w:pPr>
      <w:r>
        <w:rPr>
          <w:rFonts w:ascii="Arial" w:hAnsi="Arial" w:cs="Arial"/>
        </w:rPr>
        <w:t xml:space="preserve">The trend analysis reveals a clear pattern: visa grants increased sharply following the 2022 expansion of the Health and Care Worker route, </w:t>
      </w:r>
      <w:proofErr w:type="gramStart"/>
      <w:r>
        <w:rPr>
          <w:rFonts w:ascii="Arial" w:hAnsi="Arial" w:cs="Arial"/>
        </w:rPr>
        <w:t>peaked</w:t>
      </w:r>
      <w:proofErr w:type="gramEnd"/>
      <w:r>
        <w:rPr>
          <w:rFonts w:ascii="Arial" w:hAnsi="Arial" w:cs="Arial"/>
        </w:rPr>
        <w:t xml:space="preserve"> in mid-2023, and then collapsed following the 2024 and 2025 policy changes. The near-total collapse in Q1 2026 confirms that the policy changes have been effective in reducing inflows – but at a significant cost to workforce sustainability.</w:t>
      </w:r>
    </w:p>
    <w:p w14:paraId="57C8FFA4" w14:textId="77777777" w:rsidR="00047DC5" w:rsidRDefault="00047DC5" w:rsidP="00047DC5">
      <w:pPr>
        <w:pStyle w:val="Heading2"/>
      </w:pPr>
      <w:bookmarkStart w:id="156" w:name="_Toc235978118"/>
      <w:bookmarkStart w:id="157" w:name="_Toc235978683"/>
      <w:bookmarkStart w:id="158" w:name="_Toc238549839"/>
      <w:r>
        <w:t>4.4 Discussion of Results</w:t>
      </w:r>
      <w:bookmarkEnd w:id="156"/>
      <w:bookmarkEnd w:id="157"/>
      <w:bookmarkEnd w:id="158"/>
    </w:p>
    <w:p w14:paraId="55041297" w14:textId="77777777" w:rsidR="00047DC5" w:rsidRDefault="00047DC5" w:rsidP="00047DC5">
      <w:pPr>
        <w:pStyle w:val="Heading3"/>
      </w:pPr>
      <w:bookmarkStart w:id="159" w:name="_Toc235978119"/>
      <w:bookmarkStart w:id="160" w:name="_Toc235978684"/>
      <w:bookmarkStart w:id="161" w:name="_Toc238549840"/>
      <w:r>
        <w:t>4.4.1 Discussion in Relation to Research Questions</w:t>
      </w:r>
      <w:bookmarkEnd w:id="159"/>
      <w:bookmarkEnd w:id="160"/>
      <w:bookmarkEnd w:id="161"/>
    </w:p>
    <w:p w14:paraId="184A06CC" w14:textId="77777777" w:rsidR="00047DC5" w:rsidRDefault="00047DC5" w:rsidP="00047DC5">
      <w:pPr>
        <w:pStyle w:val="Heading5"/>
      </w:pPr>
      <w:r>
        <w:t>4.4.1.1 Research Question 1: Drivers for Policy Changes</w:t>
      </w:r>
    </w:p>
    <w:p w14:paraId="6AF36EB6" w14:textId="77777777" w:rsidR="00047DC5" w:rsidRDefault="00047DC5" w:rsidP="00047DC5">
      <w:pPr>
        <w:spacing w:line="360" w:lineRule="auto"/>
        <w:jc w:val="both"/>
        <w:rPr>
          <w:rFonts w:ascii="Arial" w:hAnsi="Arial" w:cs="Arial"/>
        </w:rPr>
      </w:pPr>
      <w:r>
        <w:rPr>
          <w:rFonts w:ascii="Arial" w:hAnsi="Arial" w:cs="Arial"/>
        </w:rPr>
        <w:t xml:space="preserve">The findings confirm that the reforms were driven by the government's stated objectives of reducing net migration, addressing exploitation, and promoting domestic workforce development (Home Office, 2025a). However, the findings also reveal a fundamental tension: while the government has </w:t>
      </w:r>
      <w:proofErr w:type="spellStart"/>
      <w:r>
        <w:rPr>
          <w:rFonts w:ascii="Arial" w:hAnsi="Arial" w:cs="Arial"/>
        </w:rPr>
        <w:t>emphasised</w:t>
      </w:r>
      <w:proofErr w:type="spellEnd"/>
      <w:r>
        <w:rPr>
          <w:rFonts w:ascii="Arial" w:hAnsi="Arial" w:cs="Arial"/>
        </w:rPr>
        <w:t xml:space="preserve"> domestic workforce development, domestic recruitment alone cannot compensate for the loss of migrant workers.</w:t>
      </w:r>
    </w:p>
    <w:p w14:paraId="17EB3B93" w14:textId="77777777" w:rsidR="00047DC5" w:rsidRDefault="00047DC5" w:rsidP="00047DC5">
      <w:pPr>
        <w:pStyle w:val="Heading4"/>
        <w:spacing w:line="360" w:lineRule="auto"/>
        <w:jc w:val="both"/>
        <w:rPr>
          <w:rFonts w:ascii="Arial" w:hAnsi="Arial" w:cs="Arial"/>
          <w:i w:val="0"/>
          <w:iCs w:val="0"/>
        </w:rPr>
      </w:pPr>
      <w:r>
        <w:rPr>
          <w:rFonts w:ascii="Arial" w:hAnsi="Arial" w:cs="Arial"/>
          <w:i w:val="0"/>
          <w:iCs w:val="0"/>
        </w:rPr>
        <w:lastRenderedPageBreak/>
        <w:t>4.4.1.2 Research Question 2: Determinants of Sustainability</w:t>
      </w:r>
    </w:p>
    <w:p w14:paraId="365928D4" w14:textId="77777777" w:rsidR="00047DC5" w:rsidRDefault="00047DC5" w:rsidP="00047DC5">
      <w:pPr>
        <w:spacing w:line="360" w:lineRule="auto"/>
        <w:jc w:val="both"/>
        <w:rPr>
          <w:rFonts w:ascii="Arial" w:hAnsi="Arial" w:cs="Arial"/>
        </w:rPr>
      </w:pPr>
      <w:r>
        <w:rPr>
          <w:rFonts w:ascii="Arial" w:hAnsi="Arial" w:cs="Arial"/>
        </w:rPr>
        <w:t>The findings confirm that workforce sustainability is critically dependent on international recruitment. The high vacancy rates and turnover rates, combined with the collapse of the care worker visa route, indicate that the sector is facing a sustainability crisis.</w:t>
      </w:r>
    </w:p>
    <w:p w14:paraId="15803039" w14:textId="77777777" w:rsidR="00047DC5" w:rsidRDefault="00047DC5" w:rsidP="00047DC5">
      <w:pPr>
        <w:pStyle w:val="Heading5"/>
      </w:pPr>
      <w:r>
        <w:t>4.4.1.3 Research Question 3: Impact of Immigration Rule Changes</w:t>
      </w:r>
    </w:p>
    <w:p w14:paraId="71C6C110" w14:textId="77777777" w:rsidR="00047DC5" w:rsidRDefault="00047DC5" w:rsidP="00047DC5">
      <w:pPr>
        <w:spacing w:line="360" w:lineRule="auto"/>
        <w:jc w:val="both"/>
        <w:rPr>
          <w:rFonts w:ascii="Arial" w:hAnsi="Arial" w:cs="Arial"/>
        </w:rPr>
      </w:pPr>
      <w:r>
        <w:rPr>
          <w:rFonts w:ascii="Arial" w:hAnsi="Arial" w:cs="Arial"/>
        </w:rPr>
        <w:t xml:space="preserve">The findings provide quantitative evidence that </w:t>
      </w:r>
      <w:proofErr w:type="gramStart"/>
      <w:r>
        <w:rPr>
          <w:rFonts w:ascii="Arial" w:hAnsi="Arial" w:cs="Arial"/>
        </w:rPr>
        <w:t>the policy</w:t>
      </w:r>
      <w:proofErr w:type="gramEnd"/>
      <w:r>
        <w:rPr>
          <w:rFonts w:ascii="Arial" w:hAnsi="Arial" w:cs="Arial"/>
        </w:rPr>
        <w:t xml:space="preserve"> changes have had a significant impact on human capital sustainability. The near-total collapse of the care worker visa route and the 33% increase in internationally educated nurses leaving represent a fundamental threat to workforce sustainability.</w:t>
      </w:r>
    </w:p>
    <w:p w14:paraId="70E97227" w14:textId="77777777" w:rsidR="00047DC5" w:rsidRDefault="00047DC5" w:rsidP="00047DC5">
      <w:pPr>
        <w:pStyle w:val="Heading4"/>
        <w:spacing w:line="360" w:lineRule="auto"/>
        <w:jc w:val="both"/>
        <w:rPr>
          <w:rFonts w:ascii="Arial" w:hAnsi="Arial" w:cs="Arial"/>
          <w:i w:val="0"/>
          <w:iCs w:val="0"/>
        </w:rPr>
      </w:pPr>
      <w:r>
        <w:rPr>
          <w:rFonts w:ascii="Arial" w:hAnsi="Arial" w:cs="Arial"/>
          <w:i w:val="0"/>
          <w:iCs w:val="0"/>
        </w:rPr>
        <w:t>4.4.1.4 Research Question 4: HR Strategies</w:t>
      </w:r>
    </w:p>
    <w:p w14:paraId="46CD3F60" w14:textId="77777777" w:rsidR="00047DC5" w:rsidRDefault="00047DC5" w:rsidP="00047DC5">
      <w:pPr>
        <w:spacing w:line="360" w:lineRule="auto"/>
        <w:jc w:val="both"/>
        <w:rPr>
          <w:rFonts w:ascii="Arial" w:hAnsi="Arial" w:cs="Arial"/>
        </w:rPr>
      </w:pPr>
      <w:r>
        <w:rPr>
          <w:rFonts w:ascii="Arial" w:hAnsi="Arial" w:cs="Arial"/>
        </w:rPr>
        <w:t xml:space="preserve">The findings reveal that while HR strategies have been proposed, there is limited evidence </w:t>
      </w:r>
      <w:proofErr w:type="gramStart"/>
      <w:r>
        <w:rPr>
          <w:rFonts w:ascii="Arial" w:hAnsi="Arial" w:cs="Arial"/>
        </w:rPr>
        <w:t>on</w:t>
      </w:r>
      <w:proofErr w:type="gramEnd"/>
      <w:r>
        <w:rPr>
          <w:rFonts w:ascii="Arial" w:hAnsi="Arial" w:cs="Arial"/>
        </w:rPr>
        <w:t xml:space="preserve"> their effectiveness. The 2.6% decline in British workers suggests that domestic recruitment faces significant challenges.</w:t>
      </w:r>
    </w:p>
    <w:p w14:paraId="4B050D6E" w14:textId="77777777" w:rsidR="00047DC5" w:rsidRDefault="00047DC5" w:rsidP="00047DC5">
      <w:pPr>
        <w:pStyle w:val="Heading3"/>
      </w:pPr>
      <w:bookmarkStart w:id="162" w:name="_Toc235978120"/>
      <w:bookmarkStart w:id="163" w:name="_Toc235978685"/>
      <w:bookmarkStart w:id="164" w:name="_Toc238549841"/>
      <w:r>
        <w:t>4.4.2 Linking Results Back to Literature</w:t>
      </w:r>
      <w:bookmarkEnd w:id="162"/>
      <w:bookmarkEnd w:id="163"/>
      <w:bookmarkEnd w:id="164"/>
    </w:p>
    <w:p w14:paraId="1BE120B6" w14:textId="77777777" w:rsidR="00047DC5" w:rsidRDefault="00047DC5" w:rsidP="00047DC5">
      <w:pPr>
        <w:pStyle w:val="Heading5"/>
      </w:pPr>
      <w:r>
        <w:t>4.4.2.1 Human Capital Theory</w:t>
      </w:r>
    </w:p>
    <w:p w14:paraId="26B0A13D" w14:textId="77777777" w:rsidR="00047DC5" w:rsidRDefault="00047DC5" w:rsidP="00047DC5">
      <w:pPr>
        <w:spacing w:line="360" w:lineRule="auto"/>
        <w:jc w:val="both"/>
        <w:rPr>
          <w:rFonts w:ascii="Arial" w:hAnsi="Arial" w:cs="Arial"/>
        </w:rPr>
      </w:pPr>
      <w:r>
        <w:rPr>
          <w:rFonts w:ascii="Arial" w:hAnsi="Arial" w:cs="Arial"/>
        </w:rPr>
        <w:t xml:space="preserve">The findings are consistent with Human Capital Theory (Becker, 1964; </w:t>
      </w:r>
      <w:proofErr w:type="spellStart"/>
      <w:r>
        <w:rPr>
          <w:rFonts w:ascii="Arial" w:hAnsi="Arial" w:cs="Arial"/>
        </w:rPr>
        <w:t>Slaus</w:t>
      </w:r>
      <w:proofErr w:type="spellEnd"/>
      <w:r>
        <w:rPr>
          <w:rFonts w:ascii="Arial" w:hAnsi="Arial" w:cs="Arial"/>
        </w:rPr>
        <w:t xml:space="preserve"> and Jacobs, 2011). The loss of migrant workers represents a loss of specific human capital – knowledge of NHS protocols, local patient populations, and team dynamics – that is costly to replace and retrain. The near-total collapse of the care worker visa route means that this specific human capital is not being replenished.</w:t>
      </w:r>
    </w:p>
    <w:p w14:paraId="612660B3" w14:textId="77777777" w:rsidR="00047DC5" w:rsidRDefault="00047DC5" w:rsidP="00047DC5">
      <w:pPr>
        <w:pStyle w:val="Heading5"/>
      </w:pPr>
      <w:bookmarkStart w:id="165" w:name="_Toc235978121"/>
      <w:bookmarkStart w:id="166" w:name="_Toc235978686"/>
      <w:r>
        <w:t>4.4.2.2 Conservation of Resources (COR) Theory</w:t>
      </w:r>
      <w:bookmarkEnd w:id="165"/>
      <w:bookmarkEnd w:id="166"/>
    </w:p>
    <w:p w14:paraId="18588E11" w14:textId="77777777" w:rsidR="00047DC5" w:rsidRDefault="00047DC5" w:rsidP="00047DC5">
      <w:pPr>
        <w:spacing w:line="360" w:lineRule="auto"/>
        <w:jc w:val="both"/>
        <w:rPr>
          <w:rFonts w:ascii="Arial" w:hAnsi="Arial" w:cs="Arial"/>
        </w:rPr>
      </w:pPr>
      <w:r>
        <w:rPr>
          <w:rFonts w:ascii="Arial" w:hAnsi="Arial" w:cs="Arial"/>
        </w:rPr>
        <w:t>The findings are consistent with COR Theory (</w:t>
      </w:r>
      <w:proofErr w:type="spellStart"/>
      <w:r>
        <w:rPr>
          <w:rFonts w:ascii="Arial" w:hAnsi="Arial" w:cs="Arial"/>
        </w:rPr>
        <w:t>Hobfoll</w:t>
      </w:r>
      <w:proofErr w:type="spellEnd"/>
      <w:r>
        <w:rPr>
          <w:rFonts w:ascii="Arial" w:hAnsi="Arial" w:cs="Arial"/>
        </w:rPr>
        <w:t xml:space="preserve">, 1989; Lee, 2015). The 2025 immigration reforms threaten precisely the resources that migrant workers value: family unity (through </w:t>
      </w:r>
      <w:proofErr w:type="spellStart"/>
      <w:r>
        <w:rPr>
          <w:rFonts w:ascii="Arial" w:hAnsi="Arial" w:cs="Arial"/>
        </w:rPr>
        <w:t>dependant</w:t>
      </w:r>
      <w:proofErr w:type="spellEnd"/>
      <w:r>
        <w:rPr>
          <w:rFonts w:ascii="Arial" w:hAnsi="Arial" w:cs="Arial"/>
        </w:rPr>
        <w:t xml:space="preserve"> visa restrictions) and permanent residency (through the closure of pathways to settlement). The 33% increase in internationally educated nurses leaving provides empirical evidence of withdrawal </w:t>
      </w:r>
      <w:proofErr w:type="spellStart"/>
      <w:r>
        <w:rPr>
          <w:rFonts w:ascii="Arial" w:hAnsi="Arial" w:cs="Arial"/>
        </w:rPr>
        <w:t>behaviour</w:t>
      </w:r>
      <w:proofErr w:type="spellEnd"/>
      <w:r>
        <w:rPr>
          <w:rFonts w:ascii="Arial" w:hAnsi="Arial" w:cs="Arial"/>
        </w:rPr>
        <w:t>.</w:t>
      </w:r>
    </w:p>
    <w:p w14:paraId="184EF041" w14:textId="77777777" w:rsidR="00047DC5" w:rsidRDefault="00047DC5" w:rsidP="00047DC5">
      <w:pPr>
        <w:pStyle w:val="Heading5"/>
      </w:pPr>
      <w:bookmarkStart w:id="167" w:name="_Toc235978122"/>
      <w:bookmarkStart w:id="168" w:name="_Toc235978687"/>
      <w:r>
        <w:lastRenderedPageBreak/>
        <w:t>4.4.2.3 Triple Bottom Line (TBL) Framework</w:t>
      </w:r>
      <w:bookmarkEnd w:id="167"/>
      <w:bookmarkEnd w:id="168"/>
    </w:p>
    <w:p w14:paraId="2763AB6E" w14:textId="77777777" w:rsidR="00047DC5" w:rsidRDefault="00047DC5" w:rsidP="00047DC5">
      <w:pPr>
        <w:spacing w:line="360" w:lineRule="auto"/>
        <w:jc w:val="both"/>
        <w:rPr>
          <w:rFonts w:ascii="Arial" w:hAnsi="Arial" w:cs="Arial"/>
        </w:rPr>
      </w:pPr>
      <w:r>
        <w:rPr>
          <w:rFonts w:ascii="Arial" w:hAnsi="Arial" w:cs="Arial"/>
        </w:rPr>
        <w:t>The findings reveal clear trade-offs between social and economic sustainability (</w:t>
      </w:r>
      <w:proofErr w:type="spellStart"/>
      <w:r>
        <w:rPr>
          <w:rFonts w:ascii="Arial" w:hAnsi="Arial" w:cs="Arial"/>
        </w:rPr>
        <w:t>Alhaddi</w:t>
      </w:r>
      <w:proofErr w:type="spellEnd"/>
      <w:r>
        <w:rPr>
          <w:rFonts w:ascii="Arial" w:hAnsi="Arial" w:cs="Arial"/>
        </w:rPr>
        <w:t xml:space="preserve">, 2015). The decline in </w:t>
      </w:r>
      <w:proofErr w:type="spellStart"/>
      <w:r>
        <w:rPr>
          <w:rFonts w:ascii="Arial" w:hAnsi="Arial" w:cs="Arial"/>
        </w:rPr>
        <w:t>dependant</w:t>
      </w:r>
      <w:proofErr w:type="spellEnd"/>
      <w:r>
        <w:rPr>
          <w:rFonts w:ascii="Arial" w:hAnsi="Arial" w:cs="Arial"/>
        </w:rPr>
        <w:t xml:space="preserve"> visas represents a loss of social sustainability, while the collapse of the care worker visa route represents a loss of economic sustainability.</w:t>
      </w:r>
    </w:p>
    <w:p w14:paraId="35B46F2E" w14:textId="77777777" w:rsidR="00047DC5" w:rsidRDefault="00047DC5" w:rsidP="00047DC5">
      <w:pPr>
        <w:pStyle w:val="Heading5"/>
      </w:pPr>
      <w:bookmarkStart w:id="169" w:name="_Toc235978123"/>
      <w:bookmarkStart w:id="170" w:name="_Toc235978688"/>
      <w:r>
        <w:t>4.4.2.4 Comparison with Existing Literature</w:t>
      </w:r>
      <w:bookmarkEnd w:id="169"/>
      <w:bookmarkEnd w:id="170"/>
    </w:p>
    <w:p w14:paraId="661A17D8" w14:textId="77777777" w:rsidR="00047DC5" w:rsidRDefault="00047DC5" w:rsidP="00047DC5">
      <w:pPr>
        <w:spacing w:line="360" w:lineRule="auto"/>
        <w:jc w:val="both"/>
        <w:rPr>
          <w:rFonts w:ascii="Arial" w:hAnsi="Arial" w:cs="Arial"/>
        </w:rPr>
      </w:pPr>
      <w:r>
        <w:rPr>
          <w:rFonts w:ascii="Arial" w:hAnsi="Arial" w:cs="Arial"/>
        </w:rPr>
        <w:t xml:space="preserve">The findings confirm and extend the work </w:t>
      </w:r>
      <w:proofErr w:type="gramStart"/>
      <w:r>
        <w:rPr>
          <w:rFonts w:ascii="Arial" w:hAnsi="Arial" w:cs="Arial"/>
        </w:rPr>
        <w:t>of  Anderson</w:t>
      </w:r>
      <w:proofErr w:type="gramEnd"/>
      <w:r>
        <w:rPr>
          <w:rFonts w:ascii="Arial" w:hAnsi="Arial" w:cs="Arial"/>
        </w:rPr>
        <w:t xml:space="preserve"> et al., (2021), who highlighted the under-researched status of healthcare support workers. They extend the work of Davda, Gallagher and Radford (2018) by quantifying the impact of specific policy changes. They confirm Hatton's (2005) </w:t>
      </w:r>
      <w:proofErr w:type="gramStart"/>
      <w:r>
        <w:rPr>
          <w:rFonts w:ascii="Arial" w:hAnsi="Arial" w:cs="Arial"/>
        </w:rPr>
        <w:t>finding</w:t>
      </w:r>
      <w:proofErr w:type="gramEnd"/>
      <w:r>
        <w:rPr>
          <w:rFonts w:ascii="Arial" w:hAnsi="Arial" w:cs="Arial"/>
        </w:rPr>
        <w:t xml:space="preserve"> that government policy interventions play a major role in shaping migration decisions. They extend Stewart and Mulvey's (2014) analysis of 'liminality' to the healthcare support worker context.</w:t>
      </w:r>
    </w:p>
    <w:p w14:paraId="12119509" w14:textId="77777777" w:rsidR="00047DC5" w:rsidRDefault="00047DC5" w:rsidP="00047DC5">
      <w:pPr>
        <w:pStyle w:val="Caption"/>
        <w:keepNext/>
      </w:pPr>
      <w:bookmarkStart w:id="171" w:name="_Toc238206093"/>
      <w:r>
        <w:rPr>
          <w:sz w:val="28"/>
          <w:szCs w:val="28"/>
        </w:rPr>
        <w:t>Table 9 Summary of Chapter 4</w:t>
      </w:r>
      <w:bookmarkEnd w:id="171"/>
    </w:p>
    <w:tbl>
      <w:tblPr>
        <w:tblW w:w="10366" w:type="dxa"/>
        <w:tblCellMar>
          <w:left w:w="10" w:type="dxa"/>
          <w:right w:w="10" w:type="dxa"/>
        </w:tblCellMar>
        <w:tblLook w:val="04A0" w:firstRow="1" w:lastRow="0" w:firstColumn="1" w:lastColumn="0" w:noHBand="0" w:noVBand="1"/>
      </w:tblPr>
      <w:tblGrid>
        <w:gridCol w:w="2835"/>
        <w:gridCol w:w="7531"/>
      </w:tblGrid>
      <w:tr w:rsidR="00047DC5" w14:paraId="559308CE" w14:textId="77777777" w:rsidTr="00AE2E92">
        <w:trPr>
          <w:trHeight w:val="369"/>
          <w:tblHeader/>
        </w:trPr>
        <w:tc>
          <w:tcPr>
            <w:tcW w:w="2835"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478F2C65" w14:textId="77777777" w:rsidR="00047DC5" w:rsidRDefault="00047DC5" w:rsidP="00AE2E92">
            <w:pPr>
              <w:spacing w:line="360" w:lineRule="auto"/>
              <w:jc w:val="both"/>
              <w:rPr>
                <w:rFonts w:ascii="Arial" w:hAnsi="Arial" w:cs="Arial"/>
              </w:rPr>
            </w:pPr>
            <w:r>
              <w:rPr>
                <w:rFonts w:ascii="Arial" w:hAnsi="Arial" w:cs="Arial"/>
              </w:rPr>
              <w:t>Research Question</w:t>
            </w:r>
          </w:p>
        </w:tc>
        <w:tc>
          <w:tcPr>
            <w:tcW w:w="753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5AA70C63" w14:textId="77777777" w:rsidR="00047DC5" w:rsidRDefault="00047DC5" w:rsidP="00AE2E92">
            <w:pPr>
              <w:spacing w:line="360" w:lineRule="auto"/>
              <w:jc w:val="both"/>
              <w:rPr>
                <w:rFonts w:ascii="Arial" w:hAnsi="Arial" w:cs="Arial"/>
              </w:rPr>
            </w:pPr>
            <w:r>
              <w:rPr>
                <w:rFonts w:ascii="Arial" w:hAnsi="Arial" w:cs="Arial"/>
              </w:rPr>
              <w:t>Key Finding</w:t>
            </w:r>
          </w:p>
        </w:tc>
      </w:tr>
      <w:tr w:rsidR="00047DC5" w14:paraId="4222DE83" w14:textId="77777777" w:rsidTr="00AE2E92">
        <w:trPr>
          <w:trHeight w:val="626"/>
        </w:trPr>
        <w:tc>
          <w:tcPr>
            <w:tcW w:w="2835"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04C5B4AF" w14:textId="77777777" w:rsidR="00047DC5" w:rsidRDefault="00047DC5" w:rsidP="00AE2E92">
            <w:pPr>
              <w:spacing w:line="360" w:lineRule="auto"/>
              <w:jc w:val="both"/>
              <w:rPr>
                <w:rFonts w:ascii="Arial" w:hAnsi="Arial" w:cs="Arial"/>
              </w:rPr>
            </w:pPr>
            <w:r>
              <w:rPr>
                <w:rFonts w:ascii="Arial" w:hAnsi="Arial" w:cs="Arial"/>
              </w:rPr>
              <w:t>Q1: Drivers for policy changes</w:t>
            </w:r>
          </w:p>
        </w:tc>
        <w:tc>
          <w:tcPr>
            <w:tcW w:w="753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2FB15BFE" w14:textId="77777777" w:rsidR="00047DC5" w:rsidRDefault="00047DC5" w:rsidP="00AE2E92">
            <w:pPr>
              <w:spacing w:line="360" w:lineRule="auto"/>
              <w:jc w:val="both"/>
              <w:rPr>
                <w:rFonts w:ascii="Arial" w:hAnsi="Arial" w:cs="Arial"/>
              </w:rPr>
            </w:pPr>
            <w:r>
              <w:rPr>
                <w:rFonts w:ascii="Arial" w:hAnsi="Arial" w:cs="Arial"/>
              </w:rPr>
              <w:t>Reforms driven by reducing net migration, addressing exploitation, and promoting domestic workforce development.</w:t>
            </w:r>
          </w:p>
        </w:tc>
      </w:tr>
      <w:tr w:rsidR="00047DC5" w14:paraId="0F8E8930" w14:textId="77777777" w:rsidTr="00AE2E92">
        <w:trPr>
          <w:trHeight w:val="616"/>
        </w:trPr>
        <w:tc>
          <w:tcPr>
            <w:tcW w:w="2835"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4EBF2D1E" w14:textId="77777777" w:rsidR="00047DC5" w:rsidRDefault="00047DC5" w:rsidP="00AE2E92">
            <w:pPr>
              <w:spacing w:line="360" w:lineRule="auto"/>
              <w:jc w:val="both"/>
              <w:rPr>
                <w:rFonts w:ascii="Arial" w:hAnsi="Arial" w:cs="Arial"/>
              </w:rPr>
            </w:pPr>
            <w:r>
              <w:rPr>
                <w:rFonts w:ascii="Arial" w:hAnsi="Arial" w:cs="Arial"/>
              </w:rPr>
              <w:t>Q2: Determinants of sustainability</w:t>
            </w:r>
          </w:p>
        </w:tc>
        <w:tc>
          <w:tcPr>
            <w:tcW w:w="753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1732B676" w14:textId="77777777" w:rsidR="00047DC5" w:rsidRDefault="00047DC5" w:rsidP="00AE2E92">
            <w:pPr>
              <w:spacing w:line="360" w:lineRule="auto"/>
              <w:jc w:val="both"/>
              <w:rPr>
                <w:rFonts w:ascii="Arial" w:hAnsi="Arial" w:cs="Arial"/>
              </w:rPr>
            </w:pPr>
            <w:r>
              <w:rPr>
                <w:rFonts w:ascii="Arial" w:hAnsi="Arial" w:cs="Arial"/>
              </w:rPr>
              <w:t>Workforce sustainability is critically dependent on international recruitment.</w:t>
            </w:r>
          </w:p>
        </w:tc>
      </w:tr>
      <w:tr w:rsidR="00047DC5" w14:paraId="65EF753E" w14:textId="77777777" w:rsidTr="00AE2E92">
        <w:trPr>
          <w:trHeight w:val="626"/>
        </w:trPr>
        <w:tc>
          <w:tcPr>
            <w:tcW w:w="2835"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6A31B261" w14:textId="77777777" w:rsidR="00047DC5" w:rsidRDefault="00047DC5" w:rsidP="00AE2E92">
            <w:pPr>
              <w:spacing w:line="360" w:lineRule="auto"/>
              <w:jc w:val="both"/>
              <w:rPr>
                <w:rFonts w:ascii="Arial" w:hAnsi="Arial" w:cs="Arial"/>
              </w:rPr>
            </w:pPr>
            <w:r>
              <w:rPr>
                <w:rFonts w:ascii="Arial" w:hAnsi="Arial" w:cs="Arial"/>
              </w:rPr>
              <w:t>Q3: Impact on human capital sustainability</w:t>
            </w:r>
          </w:p>
        </w:tc>
        <w:tc>
          <w:tcPr>
            <w:tcW w:w="753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0F951912" w14:textId="77777777" w:rsidR="00047DC5" w:rsidRDefault="00047DC5" w:rsidP="00AE2E92">
            <w:pPr>
              <w:spacing w:line="360" w:lineRule="auto"/>
              <w:jc w:val="both"/>
              <w:rPr>
                <w:rFonts w:ascii="Arial" w:hAnsi="Arial" w:cs="Arial"/>
              </w:rPr>
            </w:pPr>
            <w:r>
              <w:rPr>
                <w:rFonts w:ascii="Arial" w:hAnsi="Arial" w:cs="Arial"/>
              </w:rPr>
              <w:t xml:space="preserve">Near-total collapse of care worker visa route (108,000 to 11 grants) and 33% increase in nurses leaving. Regression analysis shows R² = 0.3848 (not significant, p = 0.4896); correlation analysis shows strongest association with </w:t>
            </w:r>
            <w:proofErr w:type="spellStart"/>
            <w:r>
              <w:rPr>
                <w:rFonts w:ascii="Arial" w:hAnsi="Arial" w:cs="Arial"/>
              </w:rPr>
              <w:t>Dependant</w:t>
            </w:r>
            <w:proofErr w:type="spellEnd"/>
            <w:r>
              <w:rPr>
                <w:rFonts w:ascii="Arial" w:hAnsi="Arial" w:cs="Arial"/>
              </w:rPr>
              <w:t xml:space="preserve"> Restriction (r = -0.62).</w:t>
            </w:r>
          </w:p>
        </w:tc>
      </w:tr>
      <w:tr w:rsidR="00047DC5" w14:paraId="024DA312" w14:textId="77777777" w:rsidTr="00AE2E92">
        <w:trPr>
          <w:trHeight w:val="616"/>
        </w:trPr>
        <w:tc>
          <w:tcPr>
            <w:tcW w:w="2835"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2E71C416" w14:textId="77777777" w:rsidR="00047DC5" w:rsidRDefault="00047DC5" w:rsidP="00AE2E92">
            <w:pPr>
              <w:spacing w:line="360" w:lineRule="auto"/>
              <w:jc w:val="both"/>
              <w:rPr>
                <w:rFonts w:ascii="Arial" w:hAnsi="Arial" w:cs="Arial"/>
              </w:rPr>
            </w:pPr>
            <w:r>
              <w:rPr>
                <w:rFonts w:ascii="Arial" w:hAnsi="Arial" w:cs="Arial"/>
              </w:rPr>
              <w:t>Q4: HR strategies</w:t>
            </w:r>
          </w:p>
        </w:tc>
        <w:tc>
          <w:tcPr>
            <w:tcW w:w="753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5D7C3D6F" w14:textId="77777777" w:rsidR="00047DC5" w:rsidRDefault="00047DC5" w:rsidP="00AE2E92">
            <w:pPr>
              <w:spacing w:line="360" w:lineRule="auto"/>
              <w:jc w:val="both"/>
              <w:rPr>
                <w:rFonts w:ascii="Arial" w:hAnsi="Arial" w:cs="Arial"/>
              </w:rPr>
            </w:pPr>
            <w:r>
              <w:rPr>
                <w:rFonts w:ascii="Arial" w:hAnsi="Arial" w:cs="Arial"/>
              </w:rPr>
              <w:t xml:space="preserve">Limited evidence on effectiveness; training reduces </w:t>
            </w:r>
            <w:proofErr w:type="gramStart"/>
            <w:r>
              <w:rPr>
                <w:rFonts w:ascii="Arial" w:hAnsi="Arial" w:cs="Arial"/>
              </w:rPr>
              <w:t>turnover</w:t>
            </w:r>
            <w:proofErr w:type="gramEnd"/>
            <w:r>
              <w:rPr>
                <w:rFonts w:ascii="Arial" w:hAnsi="Arial" w:cs="Arial"/>
              </w:rPr>
              <w:t xml:space="preserve"> but domestic recruitment faces significant challenges.</w:t>
            </w:r>
          </w:p>
        </w:tc>
      </w:tr>
    </w:tbl>
    <w:p w14:paraId="7775918C" w14:textId="77777777" w:rsidR="00047DC5" w:rsidRDefault="00047DC5" w:rsidP="00047DC5">
      <w:pPr>
        <w:spacing w:line="360" w:lineRule="auto"/>
        <w:jc w:val="both"/>
        <w:rPr>
          <w:rFonts w:ascii="Arial" w:hAnsi="Arial" w:cs="Arial"/>
          <w:i/>
          <w:iCs/>
        </w:rPr>
      </w:pPr>
      <w:r>
        <w:rPr>
          <w:rFonts w:ascii="Arial" w:hAnsi="Arial" w:cs="Arial"/>
          <w:i/>
          <w:iCs/>
        </w:rPr>
        <w:t>Source: Author's compilation from Chapter 4 findings.</w:t>
      </w:r>
    </w:p>
    <w:p w14:paraId="745DA7E9" w14:textId="77777777" w:rsidR="00047DC5" w:rsidRDefault="00047DC5" w:rsidP="00047DC5">
      <w:pPr>
        <w:pStyle w:val="Heading1"/>
      </w:pPr>
      <w:bookmarkStart w:id="172" w:name="_Toc238549842"/>
      <w:r>
        <w:lastRenderedPageBreak/>
        <w:t>Chapter 5: Conclusions and Recommendations</w:t>
      </w:r>
      <w:bookmarkEnd w:id="172"/>
    </w:p>
    <w:p w14:paraId="47FF96BF" w14:textId="77777777" w:rsidR="00047DC5" w:rsidRDefault="00047DC5" w:rsidP="00047DC5">
      <w:pPr>
        <w:pStyle w:val="Heading2"/>
      </w:pPr>
      <w:bookmarkStart w:id="173" w:name="_Toc238549843"/>
      <w:r>
        <w:t>5.1 Introduction</w:t>
      </w:r>
      <w:bookmarkEnd w:id="173"/>
    </w:p>
    <w:p w14:paraId="3346F607" w14:textId="77777777" w:rsidR="00047DC5" w:rsidRDefault="00047DC5" w:rsidP="00047DC5">
      <w:pPr>
        <w:spacing w:line="360" w:lineRule="auto"/>
        <w:jc w:val="both"/>
        <w:rPr>
          <w:rFonts w:ascii="Arial" w:hAnsi="Arial" w:cs="Arial"/>
        </w:rPr>
      </w:pPr>
      <w:r>
        <w:rPr>
          <w:rFonts w:ascii="Arial" w:hAnsi="Arial" w:cs="Arial"/>
        </w:rPr>
        <w:t xml:space="preserve">This chapter concludes the dissertation by </w:t>
      </w:r>
      <w:proofErr w:type="spellStart"/>
      <w:r>
        <w:rPr>
          <w:rFonts w:ascii="Arial" w:hAnsi="Arial" w:cs="Arial"/>
        </w:rPr>
        <w:t>synthesising</w:t>
      </w:r>
      <w:proofErr w:type="spellEnd"/>
      <w:r>
        <w:rPr>
          <w:rFonts w:ascii="Arial" w:hAnsi="Arial" w:cs="Arial"/>
        </w:rPr>
        <w:t xml:space="preserve"> the key findings, drawing conclusions based on the four research questions, and presenting practical and theoretical recommendations. The chapter also acknowledges the limitations of the study and provides guidance for future researchers. The recommendations are structured to clearly link findings to their implications and actionable steps for policymakers and healthcare </w:t>
      </w:r>
      <w:proofErr w:type="spellStart"/>
      <w:r>
        <w:rPr>
          <w:rFonts w:ascii="Arial" w:hAnsi="Arial" w:cs="Arial"/>
        </w:rPr>
        <w:t>organisations</w:t>
      </w:r>
      <w:proofErr w:type="spellEnd"/>
      <w:r>
        <w:rPr>
          <w:rFonts w:ascii="Arial" w:hAnsi="Arial" w:cs="Arial"/>
        </w:rPr>
        <w:t>.</w:t>
      </w:r>
    </w:p>
    <w:p w14:paraId="44593FD0" w14:textId="77777777" w:rsidR="00047DC5" w:rsidRDefault="00047DC5" w:rsidP="00047DC5">
      <w:pPr>
        <w:pStyle w:val="Heading2"/>
      </w:pPr>
      <w:bookmarkStart w:id="174" w:name="_Toc238549844"/>
      <w:r>
        <w:t>5.2 Summary of Main Findings</w:t>
      </w:r>
      <w:bookmarkEnd w:id="174"/>
    </w:p>
    <w:p w14:paraId="2EF1DD2A" w14:textId="77777777" w:rsidR="00047DC5" w:rsidRDefault="00047DC5" w:rsidP="00047DC5">
      <w:pPr>
        <w:spacing w:line="360" w:lineRule="auto"/>
        <w:jc w:val="both"/>
        <w:rPr>
          <w:rFonts w:ascii="Arial" w:hAnsi="Arial" w:cs="Arial"/>
        </w:rPr>
      </w:pPr>
      <w:r>
        <w:rPr>
          <w:rFonts w:ascii="Arial" w:hAnsi="Arial" w:cs="Arial"/>
        </w:rPr>
        <w:t>This study empirically evaluated the impact of UK immigration rule changes (2020–2026) on human capital sustainability among migrant healthcare support workers. Analysis of Home Office visa statistics, ONS migration data, NMC register data, and Skills for Care workforce data reveals six key findings.</w:t>
      </w:r>
    </w:p>
    <w:p w14:paraId="0FBE5C7E" w14:textId="77777777" w:rsidR="00047DC5" w:rsidRDefault="00047DC5" w:rsidP="00047DC5">
      <w:pPr>
        <w:spacing w:line="360" w:lineRule="auto"/>
        <w:jc w:val="both"/>
        <w:rPr>
          <w:rFonts w:ascii="Arial" w:hAnsi="Arial" w:cs="Arial"/>
        </w:rPr>
      </w:pPr>
      <w:r>
        <w:rPr>
          <w:rFonts w:ascii="Arial" w:hAnsi="Arial" w:cs="Arial"/>
        </w:rPr>
        <w:t xml:space="preserve">First, visa grants have collapsed dramatically. Health and Care Worker visa grants plummeted from 145,823 in 2023 to just 27,174 in 2024 – an 81% drop. In Q1 2026, only 11 care worker visas were granted – a near-total collapse from the peak of over 108,000. Regression analysis confirms </w:t>
      </w:r>
      <w:proofErr w:type="gramStart"/>
      <w:r>
        <w:rPr>
          <w:rFonts w:ascii="Arial" w:hAnsi="Arial" w:cs="Arial"/>
        </w:rPr>
        <w:t>these policy</w:t>
      </w:r>
      <w:proofErr w:type="gramEnd"/>
      <w:r>
        <w:rPr>
          <w:rFonts w:ascii="Arial" w:hAnsi="Arial" w:cs="Arial"/>
        </w:rPr>
        <w:t xml:space="preserve"> changes explain 89% of the variance in visa grant rates (R² = 0.89).</w:t>
      </w:r>
    </w:p>
    <w:p w14:paraId="14EF0526" w14:textId="77777777" w:rsidR="00047DC5" w:rsidRDefault="00047DC5" w:rsidP="00047DC5">
      <w:pPr>
        <w:spacing w:line="360" w:lineRule="auto"/>
        <w:jc w:val="both"/>
        <w:rPr>
          <w:rFonts w:ascii="Arial" w:hAnsi="Arial" w:cs="Arial"/>
        </w:rPr>
      </w:pPr>
      <w:r>
        <w:rPr>
          <w:rFonts w:ascii="Arial" w:hAnsi="Arial" w:cs="Arial"/>
        </w:rPr>
        <w:t xml:space="preserve">Second, </w:t>
      </w:r>
      <w:proofErr w:type="spellStart"/>
      <w:r>
        <w:rPr>
          <w:rFonts w:ascii="Arial" w:hAnsi="Arial" w:cs="Arial"/>
        </w:rPr>
        <w:t>dependant</w:t>
      </w:r>
      <w:proofErr w:type="spellEnd"/>
      <w:r>
        <w:rPr>
          <w:rFonts w:ascii="Arial" w:hAnsi="Arial" w:cs="Arial"/>
        </w:rPr>
        <w:t xml:space="preserve"> visas have declined sharply, falling by 77% following restrictions introduced on 11 March 2024. Applications peaked at 23,300 in August 2023 and fell to just 3,100 by March 2024 – an 87% decline, representing a significant erosion of social sustainability.</w:t>
      </w:r>
    </w:p>
    <w:p w14:paraId="30A53F33" w14:textId="77777777" w:rsidR="00047DC5" w:rsidRDefault="00047DC5" w:rsidP="00047DC5">
      <w:pPr>
        <w:spacing w:line="360" w:lineRule="auto"/>
        <w:jc w:val="both"/>
        <w:rPr>
          <w:rFonts w:ascii="Arial" w:hAnsi="Arial" w:cs="Arial"/>
        </w:rPr>
      </w:pPr>
      <w:r>
        <w:rPr>
          <w:rFonts w:ascii="Arial" w:hAnsi="Arial" w:cs="Arial"/>
        </w:rPr>
        <w:t>Third, internationally educated nurses are leaving at an accelerating rate. In the twelve months to March 2025, 5,276 left the NMC register – a 33% increase – while new international nursing arrivals fell by 30%.</w:t>
      </w:r>
    </w:p>
    <w:p w14:paraId="4E764A70" w14:textId="77777777" w:rsidR="00047DC5" w:rsidRDefault="00047DC5" w:rsidP="00047DC5">
      <w:pPr>
        <w:spacing w:line="360" w:lineRule="auto"/>
        <w:jc w:val="both"/>
        <w:rPr>
          <w:rFonts w:ascii="Arial" w:hAnsi="Arial" w:cs="Arial"/>
        </w:rPr>
      </w:pPr>
      <w:r>
        <w:rPr>
          <w:rFonts w:ascii="Arial" w:hAnsi="Arial" w:cs="Arial"/>
        </w:rPr>
        <w:t>Fourth, workforce instability persists. The adult social care vacancy rate is 7.0% – more than three times the UK average of 2.3% – with a turnover rate of 23.6%. HCSWs receive only 5% of training budgets, and workers with British nationality declined by 2.6%.</w:t>
      </w:r>
    </w:p>
    <w:p w14:paraId="2B128C65" w14:textId="77777777" w:rsidR="00047DC5" w:rsidRDefault="00047DC5" w:rsidP="00047DC5">
      <w:pPr>
        <w:spacing w:line="360" w:lineRule="auto"/>
        <w:jc w:val="both"/>
        <w:rPr>
          <w:rFonts w:ascii="Arial" w:hAnsi="Arial" w:cs="Arial"/>
        </w:rPr>
      </w:pPr>
      <w:r>
        <w:rPr>
          <w:rFonts w:ascii="Arial" w:hAnsi="Arial" w:cs="Arial"/>
        </w:rPr>
        <w:lastRenderedPageBreak/>
        <w:t xml:space="preserve">Fifth, regression analysis shows that the model explains approximately 38.5% of the variance in visa grant rates (R² = 0.3848). However, the overall model is not statistically significant (F = 1.2509, p = 0.4896), likely due to the small sample size (7 years of annual data) and multicollinearity among the policy variables. The correlation analysis provides stronger evidence of negative associations, with </w:t>
      </w:r>
      <w:proofErr w:type="spellStart"/>
      <w:r>
        <w:rPr>
          <w:rFonts w:ascii="Arial" w:hAnsi="Arial" w:cs="Arial"/>
        </w:rPr>
        <w:t>Dependant</w:t>
      </w:r>
      <w:proofErr w:type="spellEnd"/>
      <w:r>
        <w:rPr>
          <w:rFonts w:ascii="Arial" w:hAnsi="Arial" w:cs="Arial"/>
        </w:rPr>
        <w:t xml:space="preserve"> Restriction showing the strongest correlation (r = -0.62), followed by RQF Level, Salary Threshold, and Overseas Closure (r = -0.50 each).</w:t>
      </w:r>
    </w:p>
    <w:p w14:paraId="01A0D324" w14:textId="77777777" w:rsidR="00047DC5" w:rsidRDefault="00047DC5" w:rsidP="00047DC5">
      <w:pPr>
        <w:spacing w:line="360" w:lineRule="auto"/>
        <w:jc w:val="both"/>
        <w:rPr>
          <w:rFonts w:ascii="Arial" w:hAnsi="Arial" w:cs="Arial"/>
        </w:rPr>
      </w:pPr>
      <w:r>
        <w:rPr>
          <w:rFonts w:ascii="Arial" w:hAnsi="Arial" w:cs="Arial"/>
        </w:rPr>
        <w:t xml:space="preserve">Sixth, HR strategies show limited effectiveness. While training reduces turnover – from 26.3% to 22.9% – domestic recruitment faces significant challenges. The near-total collapse of the care worker visa route cannot be </w:t>
      </w:r>
      <w:proofErr w:type="gramStart"/>
      <w:r>
        <w:rPr>
          <w:rFonts w:ascii="Arial" w:hAnsi="Arial" w:cs="Arial"/>
        </w:rPr>
        <w:t>compensated</w:t>
      </w:r>
      <w:proofErr w:type="gramEnd"/>
      <w:r>
        <w:rPr>
          <w:rFonts w:ascii="Arial" w:hAnsi="Arial" w:cs="Arial"/>
        </w:rPr>
        <w:t xml:space="preserve"> by domestic recruitment alone.</w:t>
      </w:r>
    </w:p>
    <w:p w14:paraId="11D0B465" w14:textId="77777777" w:rsidR="00047DC5" w:rsidRDefault="00047DC5" w:rsidP="00047DC5">
      <w:pPr>
        <w:pStyle w:val="Heading2"/>
      </w:pPr>
      <w:bookmarkStart w:id="175" w:name="_Toc238549845"/>
      <w:r>
        <w:t>5.3 Conclusion Based on the Research Questions</w:t>
      </w:r>
      <w:bookmarkEnd w:id="175"/>
    </w:p>
    <w:p w14:paraId="0EA52F88" w14:textId="77777777" w:rsidR="00047DC5" w:rsidRDefault="00047DC5" w:rsidP="00047DC5">
      <w:pPr>
        <w:spacing w:line="360" w:lineRule="auto"/>
        <w:jc w:val="both"/>
      </w:pPr>
      <w:r>
        <w:rPr>
          <w:rFonts w:ascii="Arial" w:hAnsi="Arial" w:cs="Arial"/>
          <w:b/>
          <w:bCs/>
        </w:rPr>
        <w:t>Research Question 1:</w:t>
      </w:r>
      <w:r>
        <w:rPr>
          <w:rFonts w:ascii="Arial" w:hAnsi="Arial" w:cs="Arial"/>
        </w:rPr>
        <w:t> The 2020–2026 immigration reforms were driven by three interconnected objectives: reducing net migration, addressing exploitation, and promoting domestic workforce development (Home Office, 2025a; NHS England, 2023). However, this study's evidence reveals significant unintended consequences. The near-total collapse of the care worker visa route – from over 108,000 at peak to 11 in Q1 2026 – and the 33% increase in internationally educated nurses leaving demonstrate a significant impact on workforce sustainability (Anderson et al., 2021).</w:t>
      </w:r>
    </w:p>
    <w:p w14:paraId="721D3328" w14:textId="77777777" w:rsidR="00047DC5" w:rsidRDefault="00047DC5" w:rsidP="00047DC5">
      <w:pPr>
        <w:spacing w:line="360" w:lineRule="auto"/>
        <w:jc w:val="both"/>
      </w:pPr>
      <w:r>
        <w:rPr>
          <w:rFonts w:ascii="Arial" w:hAnsi="Arial" w:cs="Arial"/>
          <w:b/>
          <w:bCs/>
        </w:rPr>
        <w:t>Research Question 2:</w:t>
      </w:r>
      <w:r>
        <w:rPr>
          <w:rFonts w:ascii="Arial" w:hAnsi="Arial" w:cs="Arial"/>
        </w:rPr>
        <w:t xml:space="preserve"> The sustainability of the HCSW workforce is critically dependent on international recruitment, which comprises nearly 30% of the adult social care sector. The high </w:t>
      </w:r>
      <w:proofErr w:type="gramStart"/>
      <w:r>
        <w:rPr>
          <w:rFonts w:ascii="Arial" w:hAnsi="Arial" w:cs="Arial"/>
        </w:rPr>
        <w:t>vacancy rate</w:t>
      </w:r>
      <w:proofErr w:type="gramEnd"/>
      <w:r>
        <w:rPr>
          <w:rFonts w:ascii="Arial" w:hAnsi="Arial" w:cs="Arial"/>
        </w:rPr>
        <w:t xml:space="preserve"> (6.2%, more than three times the UK average) and turnover rate (23.6%) indicate persistent instability. Domestic recruitment faces significant challenges, evidenced by the 2.6% decline in British workers. These findings are consistent with Human Capital Theory (Becker, 1964; </w:t>
      </w:r>
      <w:proofErr w:type="spellStart"/>
      <w:r>
        <w:rPr>
          <w:rFonts w:ascii="Arial" w:hAnsi="Arial" w:cs="Arial"/>
        </w:rPr>
        <w:t>Slaus</w:t>
      </w:r>
      <w:proofErr w:type="spellEnd"/>
      <w:r>
        <w:rPr>
          <w:rFonts w:ascii="Arial" w:hAnsi="Arial" w:cs="Arial"/>
        </w:rPr>
        <w:t xml:space="preserve"> and Jacobs, 2011). The loss of migrant workers represents a loss of specific human capital – knowledge of NHS protocols, local patient populations, and team dynamics – that is costly to replace and retrain.</w:t>
      </w:r>
    </w:p>
    <w:p w14:paraId="6540774F" w14:textId="77777777" w:rsidR="00047DC5" w:rsidRDefault="00047DC5" w:rsidP="00047DC5">
      <w:pPr>
        <w:spacing w:line="360" w:lineRule="auto"/>
        <w:jc w:val="both"/>
      </w:pPr>
      <w:r>
        <w:rPr>
          <w:rFonts w:ascii="Arial" w:hAnsi="Arial" w:cs="Arial"/>
          <w:b/>
          <w:bCs/>
        </w:rPr>
        <w:t>Research Question 3:</w:t>
      </w:r>
      <w:r>
        <w:rPr>
          <w:rFonts w:ascii="Arial" w:hAnsi="Arial" w:cs="Arial"/>
        </w:rPr>
        <w:t> The immigration rule changes have had a significant impact on human capital sustainability. The near</w:t>
      </w:r>
      <w:r>
        <w:rPr>
          <w:rFonts w:ascii="Arial" w:hAnsi="Arial" w:cs="Arial"/>
        </w:rPr>
        <w:noBreakHyphen/>
        <w:t xml:space="preserve">total collapse of the care worker visa route – from </w:t>
      </w:r>
      <w:r>
        <w:rPr>
          <w:rFonts w:ascii="Arial" w:hAnsi="Arial" w:cs="Arial"/>
        </w:rPr>
        <w:lastRenderedPageBreak/>
        <w:t xml:space="preserve">over 108,000 at peak to 11 in Q1 2026 – combined with the 33% increase in internationally educated nurses leaving the NMC register, represents a fundamental threat to workforce sustainability. While regression analysis shows the model explains 38.5% of the variance in visa grant rates (R² = 0.3848), the model is not statistically significant (F = 1.2509, p = 0.4896), likely due to the small sample size and multicollinearity among the policy variables. The correlation analysis provides stronger evidence, with </w:t>
      </w:r>
      <w:proofErr w:type="spellStart"/>
      <w:r>
        <w:rPr>
          <w:rFonts w:ascii="Arial" w:hAnsi="Arial" w:cs="Arial"/>
        </w:rPr>
        <w:t>Dependant</w:t>
      </w:r>
      <w:proofErr w:type="spellEnd"/>
      <w:r>
        <w:rPr>
          <w:rFonts w:ascii="Arial" w:hAnsi="Arial" w:cs="Arial"/>
        </w:rPr>
        <w:t xml:space="preserve"> Restriction showing the strongest negative correlation (r = -0.62). These findings are consistent with Conservation of Resources Theory (</w:t>
      </w:r>
      <w:proofErr w:type="spellStart"/>
      <w:r>
        <w:rPr>
          <w:rFonts w:ascii="Arial" w:hAnsi="Arial" w:cs="Arial"/>
        </w:rPr>
        <w:t>Hobfoll</w:t>
      </w:r>
      <w:proofErr w:type="spellEnd"/>
      <w:r>
        <w:rPr>
          <w:rFonts w:ascii="Arial" w:hAnsi="Arial" w:cs="Arial"/>
        </w:rPr>
        <w:t xml:space="preserve">, 1989; Lee, 2015). The 2025 reforms threaten family unity (through </w:t>
      </w:r>
      <w:proofErr w:type="spellStart"/>
      <w:r>
        <w:rPr>
          <w:rFonts w:ascii="Arial" w:hAnsi="Arial" w:cs="Arial"/>
        </w:rPr>
        <w:t>dependant</w:t>
      </w:r>
      <w:proofErr w:type="spellEnd"/>
      <w:r>
        <w:rPr>
          <w:rFonts w:ascii="Arial" w:hAnsi="Arial" w:cs="Arial"/>
        </w:rPr>
        <w:t xml:space="preserve"> visa restrictions) and permanent residency (through closed pathways to settlement).</w:t>
      </w:r>
    </w:p>
    <w:p w14:paraId="752DF7F9" w14:textId="77777777" w:rsidR="00047DC5" w:rsidRDefault="00047DC5" w:rsidP="00047DC5">
      <w:pPr>
        <w:spacing w:line="360" w:lineRule="auto"/>
        <w:jc w:val="both"/>
      </w:pPr>
      <w:r>
        <w:rPr>
          <w:rFonts w:ascii="Arial" w:hAnsi="Arial" w:cs="Arial"/>
          <w:b/>
          <w:bCs/>
        </w:rPr>
        <w:t>Research Question 4:</w:t>
      </w:r>
      <w:r>
        <w:rPr>
          <w:rFonts w:ascii="Arial" w:hAnsi="Arial" w:cs="Arial"/>
        </w:rPr>
        <w:t> While HR strategies such as upskilling and retention initiatives have been proposed, there is limited evidence on their effectiveness. Training reduces turnover – from 26.3% to 22.9% (Skills for Care, 2024) – but domestic recruitment faces significant challenges. The Triple Bottom Line framework reveals clear trade-offs between social and economic sustainability (</w:t>
      </w:r>
      <w:proofErr w:type="spellStart"/>
      <w:r>
        <w:rPr>
          <w:rFonts w:ascii="Arial" w:hAnsi="Arial" w:cs="Arial"/>
        </w:rPr>
        <w:t>Alhaddi</w:t>
      </w:r>
      <w:proofErr w:type="spellEnd"/>
      <w:r>
        <w:rPr>
          <w:rFonts w:ascii="Arial" w:hAnsi="Arial" w:cs="Arial"/>
        </w:rPr>
        <w:t xml:space="preserve">, 2015). The decline in </w:t>
      </w:r>
      <w:proofErr w:type="spellStart"/>
      <w:r>
        <w:rPr>
          <w:rFonts w:ascii="Arial" w:hAnsi="Arial" w:cs="Arial"/>
        </w:rPr>
        <w:t>dependant</w:t>
      </w:r>
      <w:proofErr w:type="spellEnd"/>
      <w:r>
        <w:rPr>
          <w:rFonts w:ascii="Arial" w:hAnsi="Arial" w:cs="Arial"/>
        </w:rPr>
        <w:t xml:space="preserve"> visas represents a loss of social sustainability, while the collapse of the care worker visa route represents a loss of economic sustainability. A more balanced approach, supporting both migration control and workforce sustainability, is needed.</w:t>
      </w:r>
    </w:p>
    <w:p w14:paraId="7F8F0955" w14:textId="77777777" w:rsidR="00047DC5" w:rsidRDefault="00047DC5" w:rsidP="00047DC5">
      <w:pPr>
        <w:pStyle w:val="Heading2"/>
      </w:pPr>
      <w:bookmarkStart w:id="176" w:name="_Toc238549846"/>
      <w:r>
        <w:t>5.4 Recommendations</w:t>
      </w:r>
      <w:bookmarkEnd w:id="176"/>
    </w:p>
    <w:p w14:paraId="2D660814" w14:textId="77777777" w:rsidR="00047DC5" w:rsidRDefault="00047DC5" w:rsidP="00047DC5">
      <w:pPr>
        <w:pStyle w:val="Heading3"/>
      </w:pPr>
      <w:bookmarkStart w:id="177" w:name="_Toc238549847"/>
      <w:r>
        <w:t>5.4.1 Practical Recommendations</w:t>
      </w:r>
      <w:bookmarkEnd w:id="177"/>
    </w:p>
    <w:p w14:paraId="3E50A708" w14:textId="77777777" w:rsidR="00047DC5" w:rsidRDefault="00047DC5" w:rsidP="00047DC5">
      <w:pPr>
        <w:spacing w:line="360" w:lineRule="auto"/>
        <w:jc w:val="both"/>
        <w:rPr>
          <w:rFonts w:ascii="Arial" w:hAnsi="Arial" w:cs="Arial"/>
        </w:rPr>
      </w:pPr>
      <w:r>
        <w:rPr>
          <w:rFonts w:ascii="Arial" w:hAnsi="Arial" w:cs="Arial"/>
        </w:rPr>
        <w:t>Recommendation 1: Reconsider the Closure of Overseas Recruitment for Care Workers</w:t>
      </w:r>
    </w:p>
    <w:tbl>
      <w:tblPr>
        <w:tblW w:w="10506" w:type="dxa"/>
        <w:tblCellMar>
          <w:left w:w="10" w:type="dxa"/>
          <w:right w:w="10" w:type="dxa"/>
        </w:tblCellMar>
        <w:tblLook w:val="04A0" w:firstRow="1" w:lastRow="0" w:firstColumn="1" w:lastColumn="0" w:noHBand="0" w:noVBand="1"/>
      </w:tblPr>
      <w:tblGrid>
        <w:gridCol w:w="1521"/>
        <w:gridCol w:w="8985"/>
      </w:tblGrid>
      <w:tr w:rsidR="00047DC5" w14:paraId="16221291" w14:textId="77777777" w:rsidTr="00AE2E92">
        <w:trPr>
          <w:trHeight w:val="566"/>
          <w:tblHeader/>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3724A77D" w14:textId="77777777" w:rsidR="00047DC5" w:rsidRDefault="00047DC5" w:rsidP="00AE2E92">
            <w:pPr>
              <w:spacing w:line="360" w:lineRule="auto"/>
              <w:jc w:val="both"/>
              <w:rPr>
                <w:rFonts w:ascii="Arial" w:hAnsi="Arial" w:cs="Arial"/>
              </w:rPr>
            </w:pPr>
            <w:r>
              <w:rPr>
                <w:rFonts w:ascii="Arial" w:hAnsi="Arial" w:cs="Arial"/>
              </w:rPr>
              <w:t>Element</w:t>
            </w:r>
          </w:p>
        </w:tc>
        <w:tc>
          <w:tcPr>
            <w:tcW w:w="898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143A2820" w14:textId="77777777" w:rsidR="00047DC5" w:rsidRDefault="00047DC5" w:rsidP="00AE2E92">
            <w:pPr>
              <w:spacing w:line="360" w:lineRule="auto"/>
              <w:jc w:val="both"/>
              <w:rPr>
                <w:rFonts w:ascii="Arial" w:hAnsi="Arial" w:cs="Arial"/>
              </w:rPr>
            </w:pPr>
            <w:r>
              <w:rPr>
                <w:rFonts w:ascii="Arial" w:hAnsi="Arial" w:cs="Arial"/>
              </w:rPr>
              <w:t>Content</w:t>
            </w:r>
          </w:p>
        </w:tc>
      </w:tr>
      <w:tr w:rsidR="00047DC5" w14:paraId="656D9E21" w14:textId="77777777" w:rsidTr="00AE2E92">
        <w:trPr>
          <w:trHeight w:val="978"/>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342F0E55" w14:textId="77777777" w:rsidR="00047DC5" w:rsidRDefault="00047DC5" w:rsidP="00AE2E92">
            <w:pPr>
              <w:spacing w:line="360" w:lineRule="auto"/>
              <w:jc w:val="both"/>
              <w:rPr>
                <w:rFonts w:ascii="Arial" w:hAnsi="Arial" w:cs="Arial"/>
              </w:rPr>
            </w:pPr>
            <w:r>
              <w:rPr>
                <w:rFonts w:ascii="Arial" w:hAnsi="Arial" w:cs="Arial"/>
              </w:rPr>
              <w:t>Finding</w:t>
            </w:r>
          </w:p>
        </w:tc>
        <w:tc>
          <w:tcPr>
            <w:tcW w:w="898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0C459B90" w14:textId="77777777" w:rsidR="00047DC5" w:rsidRDefault="00047DC5" w:rsidP="00AE2E92">
            <w:pPr>
              <w:spacing w:line="360" w:lineRule="auto"/>
              <w:jc w:val="both"/>
              <w:rPr>
                <w:rFonts w:ascii="Arial" w:hAnsi="Arial" w:cs="Arial"/>
              </w:rPr>
            </w:pPr>
            <w:r>
              <w:rPr>
                <w:rFonts w:ascii="Arial" w:hAnsi="Arial" w:cs="Arial"/>
              </w:rPr>
              <w:t>The near-total collapse of the care worker visa route has effectively ended new international inflows into critical roles.</w:t>
            </w:r>
          </w:p>
        </w:tc>
      </w:tr>
      <w:tr w:rsidR="00047DC5" w14:paraId="72D3B16A" w14:textId="77777777" w:rsidTr="00AE2E92">
        <w:trPr>
          <w:trHeight w:val="978"/>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39584862" w14:textId="77777777" w:rsidR="00047DC5" w:rsidRDefault="00047DC5" w:rsidP="00AE2E92">
            <w:pPr>
              <w:spacing w:line="360" w:lineRule="auto"/>
              <w:jc w:val="both"/>
              <w:rPr>
                <w:rFonts w:ascii="Arial" w:hAnsi="Arial" w:cs="Arial"/>
              </w:rPr>
            </w:pPr>
            <w:r>
              <w:rPr>
                <w:rFonts w:ascii="Arial" w:hAnsi="Arial" w:cs="Arial"/>
              </w:rPr>
              <w:t>Implication</w:t>
            </w:r>
          </w:p>
        </w:tc>
        <w:tc>
          <w:tcPr>
            <w:tcW w:w="898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0ADD9CC4" w14:textId="77777777" w:rsidR="00047DC5" w:rsidRDefault="00047DC5" w:rsidP="00AE2E92">
            <w:pPr>
              <w:spacing w:line="360" w:lineRule="auto"/>
              <w:jc w:val="both"/>
              <w:rPr>
                <w:rFonts w:ascii="Arial" w:hAnsi="Arial" w:cs="Arial"/>
              </w:rPr>
            </w:pPr>
            <w:r>
              <w:rPr>
                <w:rFonts w:ascii="Arial" w:hAnsi="Arial" w:cs="Arial"/>
              </w:rPr>
              <w:t xml:space="preserve">This creates a significant workforce risk given the high </w:t>
            </w:r>
            <w:proofErr w:type="gramStart"/>
            <w:r>
              <w:rPr>
                <w:rFonts w:ascii="Arial" w:hAnsi="Arial" w:cs="Arial"/>
              </w:rPr>
              <w:t>vacancy rates</w:t>
            </w:r>
            <w:proofErr w:type="gramEnd"/>
            <w:r>
              <w:rPr>
                <w:rFonts w:ascii="Arial" w:hAnsi="Arial" w:cs="Arial"/>
              </w:rPr>
              <w:t xml:space="preserve"> and dependency on international staff.</w:t>
            </w:r>
          </w:p>
        </w:tc>
      </w:tr>
      <w:tr w:rsidR="00047DC5" w14:paraId="0AF150FC" w14:textId="77777777" w:rsidTr="00AE2E92">
        <w:trPr>
          <w:trHeight w:val="566"/>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3E4A21C6" w14:textId="77777777" w:rsidR="00047DC5" w:rsidRDefault="00047DC5" w:rsidP="00AE2E92">
            <w:pPr>
              <w:spacing w:line="360" w:lineRule="auto"/>
              <w:jc w:val="both"/>
              <w:rPr>
                <w:rFonts w:ascii="Arial" w:hAnsi="Arial" w:cs="Arial"/>
              </w:rPr>
            </w:pPr>
            <w:r>
              <w:rPr>
                <w:rFonts w:ascii="Arial" w:hAnsi="Arial" w:cs="Arial"/>
              </w:rPr>
              <w:lastRenderedPageBreak/>
              <w:t>Action</w:t>
            </w:r>
          </w:p>
        </w:tc>
        <w:tc>
          <w:tcPr>
            <w:tcW w:w="898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3CFE82EB" w14:textId="77777777" w:rsidR="00047DC5" w:rsidRDefault="00047DC5" w:rsidP="00AE2E92">
            <w:pPr>
              <w:spacing w:line="360" w:lineRule="auto"/>
              <w:jc w:val="both"/>
              <w:rPr>
                <w:rFonts w:ascii="Arial" w:hAnsi="Arial" w:cs="Arial"/>
              </w:rPr>
            </w:pPr>
            <w:r>
              <w:rPr>
                <w:rFonts w:ascii="Arial" w:hAnsi="Arial" w:cs="Arial"/>
              </w:rPr>
              <w:t>Implement a phased approach with clear pathways to settlement for essential workers.</w:t>
            </w:r>
          </w:p>
        </w:tc>
      </w:tr>
      <w:tr w:rsidR="00047DC5" w14:paraId="131C0345" w14:textId="77777777" w:rsidTr="00AE2E92">
        <w:trPr>
          <w:trHeight w:val="978"/>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66BC7E54" w14:textId="77777777" w:rsidR="00047DC5" w:rsidRDefault="00047DC5" w:rsidP="00AE2E92">
            <w:pPr>
              <w:spacing w:line="360" w:lineRule="auto"/>
              <w:jc w:val="both"/>
              <w:rPr>
                <w:rFonts w:ascii="Arial" w:hAnsi="Arial" w:cs="Arial"/>
              </w:rPr>
            </w:pPr>
            <w:r>
              <w:rPr>
                <w:rFonts w:ascii="Arial" w:hAnsi="Arial" w:cs="Arial"/>
              </w:rPr>
              <w:t>Stakeholder</w:t>
            </w:r>
          </w:p>
        </w:tc>
        <w:tc>
          <w:tcPr>
            <w:tcW w:w="898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684751DA" w14:textId="77777777" w:rsidR="00047DC5" w:rsidRDefault="00047DC5" w:rsidP="00AE2E92">
            <w:pPr>
              <w:spacing w:line="360" w:lineRule="auto"/>
              <w:jc w:val="both"/>
              <w:rPr>
                <w:rFonts w:ascii="Arial" w:hAnsi="Arial" w:cs="Arial"/>
              </w:rPr>
            </w:pPr>
            <w:r>
              <w:rPr>
                <w:rFonts w:ascii="Arial" w:hAnsi="Arial" w:cs="Arial"/>
              </w:rPr>
              <w:t>Home Office / Department of Health and Social Care – to review and amend immigration policy.</w:t>
            </w:r>
          </w:p>
        </w:tc>
      </w:tr>
      <w:tr w:rsidR="00047DC5" w14:paraId="6ACB0C69" w14:textId="77777777" w:rsidTr="00AE2E92">
        <w:trPr>
          <w:trHeight w:val="978"/>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34B63733" w14:textId="77777777" w:rsidR="00047DC5" w:rsidRDefault="00047DC5" w:rsidP="00AE2E92">
            <w:pPr>
              <w:spacing w:line="360" w:lineRule="auto"/>
              <w:jc w:val="both"/>
              <w:rPr>
                <w:rFonts w:ascii="Arial" w:hAnsi="Arial" w:cs="Arial"/>
              </w:rPr>
            </w:pPr>
            <w:r>
              <w:rPr>
                <w:rFonts w:ascii="Arial" w:hAnsi="Arial" w:cs="Arial"/>
              </w:rPr>
              <w:t>Mechanism</w:t>
            </w:r>
          </w:p>
        </w:tc>
        <w:tc>
          <w:tcPr>
            <w:tcW w:w="898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4D705DCB" w14:textId="77777777" w:rsidR="00047DC5" w:rsidRDefault="00047DC5" w:rsidP="00AE2E92">
            <w:pPr>
              <w:spacing w:line="360" w:lineRule="auto"/>
              <w:jc w:val="both"/>
              <w:rPr>
                <w:rFonts w:ascii="Arial" w:hAnsi="Arial" w:cs="Arial"/>
              </w:rPr>
            </w:pPr>
            <w:r>
              <w:rPr>
                <w:rFonts w:ascii="Arial" w:hAnsi="Arial" w:cs="Arial"/>
              </w:rPr>
              <w:t>Conduct a workforce impact assessment and consult with NHS Employers and Skills for Care on transitional arrangements.</w:t>
            </w:r>
          </w:p>
        </w:tc>
      </w:tr>
    </w:tbl>
    <w:p w14:paraId="0AA805EB" w14:textId="77777777" w:rsidR="00047DC5" w:rsidRDefault="00047DC5" w:rsidP="00047DC5">
      <w:pPr>
        <w:spacing w:line="360" w:lineRule="auto"/>
        <w:jc w:val="both"/>
        <w:rPr>
          <w:rFonts w:ascii="Arial" w:hAnsi="Arial" w:cs="Arial"/>
        </w:rPr>
      </w:pPr>
    </w:p>
    <w:p w14:paraId="6AF7BFE4" w14:textId="77777777" w:rsidR="00047DC5" w:rsidRDefault="00047DC5" w:rsidP="00047DC5">
      <w:pPr>
        <w:spacing w:line="360" w:lineRule="auto"/>
        <w:jc w:val="both"/>
        <w:rPr>
          <w:rFonts w:ascii="Arial" w:hAnsi="Arial" w:cs="Arial"/>
        </w:rPr>
      </w:pPr>
      <w:r>
        <w:rPr>
          <w:rFonts w:ascii="Arial" w:hAnsi="Arial" w:cs="Arial"/>
        </w:rPr>
        <w:t xml:space="preserve">Recommendation 2: Restore </w:t>
      </w:r>
      <w:proofErr w:type="spellStart"/>
      <w:r>
        <w:rPr>
          <w:rFonts w:ascii="Arial" w:hAnsi="Arial" w:cs="Arial"/>
        </w:rPr>
        <w:t>Dependant</w:t>
      </w:r>
      <w:proofErr w:type="spellEnd"/>
      <w:r>
        <w:rPr>
          <w:rFonts w:ascii="Arial" w:hAnsi="Arial" w:cs="Arial"/>
        </w:rPr>
        <w:t xml:space="preserve"> Rights and Provide a Clear Pathway to Settlement</w:t>
      </w:r>
    </w:p>
    <w:tbl>
      <w:tblPr>
        <w:tblW w:w="10506" w:type="dxa"/>
        <w:tblCellMar>
          <w:left w:w="10" w:type="dxa"/>
          <w:right w:w="10" w:type="dxa"/>
        </w:tblCellMar>
        <w:tblLook w:val="04A0" w:firstRow="1" w:lastRow="0" w:firstColumn="1" w:lastColumn="0" w:noHBand="0" w:noVBand="1"/>
      </w:tblPr>
      <w:tblGrid>
        <w:gridCol w:w="1521"/>
        <w:gridCol w:w="8985"/>
      </w:tblGrid>
      <w:tr w:rsidR="00047DC5" w14:paraId="29B959CA" w14:textId="77777777" w:rsidTr="00AE2E92">
        <w:trPr>
          <w:trHeight w:val="577"/>
          <w:tblHeader/>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3D897E85" w14:textId="77777777" w:rsidR="00047DC5" w:rsidRDefault="00047DC5" w:rsidP="00AE2E92">
            <w:pPr>
              <w:spacing w:line="360" w:lineRule="auto"/>
              <w:jc w:val="both"/>
              <w:rPr>
                <w:rFonts w:ascii="Arial" w:hAnsi="Arial" w:cs="Arial"/>
              </w:rPr>
            </w:pPr>
            <w:r>
              <w:rPr>
                <w:rFonts w:ascii="Arial" w:hAnsi="Arial" w:cs="Arial"/>
              </w:rPr>
              <w:t>Element</w:t>
            </w:r>
          </w:p>
        </w:tc>
        <w:tc>
          <w:tcPr>
            <w:tcW w:w="898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5EC79559" w14:textId="77777777" w:rsidR="00047DC5" w:rsidRDefault="00047DC5" w:rsidP="00AE2E92">
            <w:pPr>
              <w:spacing w:line="360" w:lineRule="auto"/>
              <w:jc w:val="both"/>
              <w:rPr>
                <w:rFonts w:ascii="Arial" w:hAnsi="Arial" w:cs="Arial"/>
              </w:rPr>
            </w:pPr>
            <w:r>
              <w:rPr>
                <w:rFonts w:ascii="Arial" w:hAnsi="Arial" w:cs="Arial"/>
              </w:rPr>
              <w:t>Content</w:t>
            </w:r>
          </w:p>
        </w:tc>
      </w:tr>
      <w:tr w:rsidR="00047DC5" w14:paraId="60C238C7" w14:textId="77777777" w:rsidTr="00AE2E92">
        <w:trPr>
          <w:trHeight w:val="577"/>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46B667C9" w14:textId="77777777" w:rsidR="00047DC5" w:rsidRDefault="00047DC5" w:rsidP="00AE2E92">
            <w:pPr>
              <w:spacing w:line="360" w:lineRule="auto"/>
              <w:jc w:val="both"/>
              <w:rPr>
                <w:rFonts w:ascii="Arial" w:hAnsi="Arial" w:cs="Arial"/>
              </w:rPr>
            </w:pPr>
            <w:r>
              <w:rPr>
                <w:rFonts w:ascii="Arial" w:hAnsi="Arial" w:cs="Arial"/>
              </w:rPr>
              <w:t>Finding</w:t>
            </w:r>
          </w:p>
        </w:tc>
        <w:tc>
          <w:tcPr>
            <w:tcW w:w="898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5EB855D8" w14:textId="77777777" w:rsidR="00047DC5" w:rsidRDefault="00047DC5" w:rsidP="00AE2E92">
            <w:pPr>
              <w:spacing w:line="360" w:lineRule="auto"/>
              <w:jc w:val="both"/>
              <w:rPr>
                <w:rFonts w:ascii="Arial" w:hAnsi="Arial" w:cs="Arial"/>
              </w:rPr>
            </w:pPr>
            <w:r>
              <w:rPr>
                <w:rFonts w:ascii="Arial" w:hAnsi="Arial" w:cs="Arial"/>
              </w:rPr>
              <w:t xml:space="preserve">The sharp decline in </w:t>
            </w:r>
            <w:proofErr w:type="spellStart"/>
            <w:r>
              <w:rPr>
                <w:rFonts w:ascii="Arial" w:hAnsi="Arial" w:cs="Arial"/>
              </w:rPr>
              <w:t>dependant</w:t>
            </w:r>
            <w:proofErr w:type="spellEnd"/>
            <w:r>
              <w:rPr>
                <w:rFonts w:ascii="Arial" w:hAnsi="Arial" w:cs="Arial"/>
              </w:rPr>
              <w:t xml:space="preserve"> visas indicates families are being separated.</w:t>
            </w:r>
          </w:p>
        </w:tc>
      </w:tr>
      <w:tr w:rsidR="00047DC5" w14:paraId="570E074E" w14:textId="77777777" w:rsidTr="00AE2E92">
        <w:trPr>
          <w:trHeight w:val="996"/>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1609070F" w14:textId="77777777" w:rsidR="00047DC5" w:rsidRDefault="00047DC5" w:rsidP="00AE2E92">
            <w:pPr>
              <w:spacing w:line="360" w:lineRule="auto"/>
              <w:jc w:val="both"/>
              <w:rPr>
                <w:rFonts w:ascii="Arial" w:hAnsi="Arial" w:cs="Arial"/>
              </w:rPr>
            </w:pPr>
            <w:r>
              <w:rPr>
                <w:rFonts w:ascii="Arial" w:hAnsi="Arial" w:cs="Arial"/>
              </w:rPr>
              <w:t>Implication</w:t>
            </w:r>
          </w:p>
        </w:tc>
        <w:tc>
          <w:tcPr>
            <w:tcW w:w="898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736078FA" w14:textId="77777777" w:rsidR="00047DC5" w:rsidRDefault="00047DC5" w:rsidP="00AE2E92">
            <w:pPr>
              <w:spacing w:line="360" w:lineRule="auto"/>
              <w:jc w:val="both"/>
              <w:rPr>
                <w:rFonts w:ascii="Arial" w:hAnsi="Arial" w:cs="Arial"/>
              </w:rPr>
            </w:pPr>
            <w:r>
              <w:rPr>
                <w:rFonts w:ascii="Arial" w:hAnsi="Arial" w:cs="Arial"/>
              </w:rPr>
              <w:t>Family separation reduces worker wellbeing, lowers retention, and increases turnover costs.</w:t>
            </w:r>
          </w:p>
        </w:tc>
      </w:tr>
      <w:tr w:rsidR="00047DC5" w14:paraId="5B6DF1D5" w14:textId="77777777" w:rsidTr="00AE2E92">
        <w:trPr>
          <w:trHeight w:val="577"/>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503B182C" w14:textId="77777777" w:rsidR="00047DC5" w:rsidRDefault="00047DC5" w:rsidP="00AE2E92">
            <w:pPr>
              <w:spacing w:line="360" w:lineRule="auto"/>
              <w:jc w:val="both"/>
              <w:rPr>
                <w:rFonts w:ascii="Arial" w:hAnsi="Arial" w:cs="Arial"/>
              </w:rPr>
            </w:pPr>
            <w:r>
              <w:rPr>
                <w:rFonts w:ascii="Arial" w:hAnsi="Arial" w:cs="Arial"/>
              </w:rPr>
              <w:t>Action</w:t>
            </w:r>
          </w:p>
        </w:tc>
        <w:tc>
          <w:tcPr>
            <w:tcW w:w="898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061B2BDA" w14:textId="77777777" w:rsidR="00047DC5" w:rsidRDefault="00047DC5" w:rsidP="00AE2E92">
            <w:pPr>
              <w:spacing w:line="360" w:lineRule="auto"/>
              <w:jc w:val="both"/>
              <w:rPr>
                <w:rFonts w:ascii="Arial" w:hAnsi="Arial" w:cs="Arial"/>
              </w:rPr>
            </w:pPr>
            <w:r>
              <w:rPr>
                <w:rFonts w:ascii="Arial" w:hAnsi="Arial" w:cs="Arial"/>
              </w:rPr>
              <w:t xml:space="preserve">Restore </w:t>
            </w:r>
            <w:proofErr w:type="spellStart"/>
            <w:r>
              <w:rPr>
                <w:rFonts w:ascii="Arial" w:hAnsi="Arial" w:cs="Arial"/>
              </w:rPr>
              <w:t>dependant</w:t>
            </w:r>
            <w:proofErr w:type="spellEnd"/>
            <w:r>
              <w:rPr>
                <w:rFonts w:ascii="Arial" w:hAnsi="Arial" w:cs="Arial"/>
              </w:rPr>
              <w:t xml:space="preserve"> rights for care workers and provide a clear pathway to settlement.</w:t>
            </w:r>
          </w:p>
        </w:tc>
      </w:tr>
      <w:tr w:rsidR="00047DC5" w14:paraId="292C0FED" w14:textId="77777777" w:rsidTr="00AE2E92">
        <w:trPr>
          <w:trHeight w:val="577"/>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23E35597" w14:textId="77777777" w:rsidR="00047DC5" w:rsidRDefault="00047DC5" w:rsidP="00AE2E92">
            <w:pPr>
              <w:spacing w:line="360" w:lineRule="auto"/>
              <w:jc w:val="both"/>
              <w:rPr>
                <w:rFonts w:ascii="Arial" w:hAnsi="Arial" w:cs="Arial"/>
              </w:rPr>
            </w:pPr>
            <w:r>
              <w:rPr>
                <w:rFonts w:ascii="Arial" w:hAnsi="Arial" w:cs="Arial"/>
              </w:rPr>
              <w:t>Stakeholder</w:t>
            </w:r>
          </w:p>
        </w:tc>
        <w:tc>
          <w:tcPr>
            <w:tcW w:w="898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63575A32" w14:textId="77777777" w:rsidR="00047DC5" w:rsidRDefault="00047DC5" w:rsidP="00AE2E92">
            <w:pPr>
              <w:spacing w:line="360" w:lineRule="auto"/>
              <w:jc w:val="both"/>
              <w:rPr>
                <w:rFonts w:ascii="Arial" w:hAnsi="Arial" w:cs="Arial"/>
              </w:rPr>
            </w:pPr>
            <w:r>
              <w:rPr>
                <w:rFonts w:ascii="Arial" w:hAnsi="Arial" w:cs="Arial"/>
              </w:rPr>
              <w:t>Home Office – to amend immigration rules.</w:t>
            </w:r>
          </w:p>
        </w:tc>
      </w:tr>
      <w:tr w:rsidR="00047DC5" w14:paraId="5B39F5A3" w14:textId="77777777" w:rsidTr="00AE2E92">
        <w:trPr>
          <w:trHeight w:val="996"/>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1A6BAFD2" w14:textId="77777777" w:rsidR="00047DC5" w:rsidRDefault="00047DC5" w:rsidP="00AE2E92">
            <w:pPr>
              <w:spacing w:line="360" w:lineRule="auto"/>
              <w:jc w:val="both"/>
              <w:rPr>
                <w:rFonts w:ascii="Arial" w:hAnsi="Arial" w:cs="Arial"/>
              </w:rPr>
            </w:pPr>
            <w:r>
              <w:rPr>
                <w:rFonts w:ascii="Arial" w:hAnsi="Arial" w:cs="Arial"/>
              </w:rPr>
              <w:t>Mechanism</w:t>
            </w:r>
          </w:p>
        </w:tc>
        <w:tc>
          <w:tcPr>
            <w:tcW w:w="8985"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3044D206" w14:textId="77777777" w:rsidR="00047DC5" w:rsidRDefault="00047DC5" w:rsidP="00AE2E92">
            <w:pPr>
              <w:spacing w:line="360" w:lineRule="auto"/>
              <w:jc w:val="both"/>
              <w:rPr>
                <w:rFonts w:ascii="Arial" w:hAnsi="Arial" w:cs="Arial"/>
              </w:rPr>
            </w:pPr>
            <w:r>
              <w:rPr>
                <w:rFonts w:ascii="Arial" w:hAnsi="Arial" w:cs="Arial"/>
              </w:rPr>
              <w:t xml:space="preserve">Introduce a new visa category for essential care workers with </w:t>
            </w:r>
            <w:proofErr w:type="spellStart"/>
            <w:r>
              <w:rPr>
                <w:rFonts w:ascii="Arial" w:hAnsi="Arial" w:cs="Arial"/>
              </w:rPr>
              <w:t>dependant</w:t>
            </w:r>
            <w:proofErr w:type="spellEnd"/>
            <w:r>
              <w:rPr>
                <w:rFonts w:ascii="Arial" w:hAnsi="Arial" w:cs="Arial"/>
              </w:rPr>
              <w:t xml:space="preserve"> rights and a five-year pathway to settlement.</w:t>
            </w:r>
          </w:p>
        </w:tc>
      </w:tr>
    </w:tbl>
    <w:p w14:paraId="599156AA" w14:textId="77777777" w:rsidR="00047DC5" w:rsidRDefault="00047DC5" w:rsidP="00047DC5">
      <w:pPr>
        <w:spacing w:line="360" w:lineRule="auto"/>
        <w:jc w:val="both"/>
        <w:rPr>
          <w:rFonts w:ascii="Arial" w:hAnsi="Arial" w:cs="Arial"/>
        </w:rPr>
      </w:pPr>
    </w:p>
    <w:p w14:paraId="37B6998A" w14:textId="77777777" w:rsidR="00047DC5" w:rsidRDefault="00047DC5" w:rsidP="00047DC5">
      <w:pPr>
        <w:spacing w:line="360" w:lineRule="auto"/>
        <w:jc w:val="both"/>
        <w:rPr>
          <w:rFonts w:ascii="Arial" w:hAnsi="Arial" w:cs="Arial"/>
        </w:rPr>
      </w:pPr>
      <w:r>
        <w:rPr>
          <w:rFonts w:ascii="Arial" w:hAnsi="Arial" w:cs="Arial"/>
        </w:rPr>
        <w:t>Recommendation 3: Invest in Domestic Training, Upskilling, and Retention</w:t>
      </w:r>
    </w:p>
    <w:tbl>
      <w:tblPr>
        <w:tblW w:w="10575" w:type="dxa"/>
        <w:tblCellMar>
          <w:left w:w="10" w:type="dxa"/>
          <w:right w:w="10" w:type="dxa"/>
        </w:tblCellMar>
        <w:tblLook w:val="04A0" w:firstRow="1" w:lastRow="0" w:firstColumn="1" w:lastColumn="0" w:noHBand="0" w:noVBand="1"/>
      </w:tblPr>
      <w:tblGrid>
        <w:gridCol w:w="1521"/>
        <w:gridCol w:w="9054"/>
      </w:tblGrid>
      <w:tr w:rsidR="00047DC5" w14:paraId="1931D129" w14:textId="77777777" w:rsidTr="00AE2E92">
        <w:trPr>
          <w:trHeight w:val="568"/>
          <w:tblHeader/>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732D1E8B" w14:textId="77777777" w:rsidR="00047DC5" w:rsidRDefault="00047DC5" w:rsidP="00AE2E92">
            <w:pPr>
              <w:spacing w:line="360" w:lineRule="auto"/>
              <w:jc w:val="both"/>
              <w:rPr>
                <w:rFonts w:ascii="Arial" w:hAnsi="Arial" w:cs="Arial"/>
              </w:rPr>
            </w:pPr>
            <w:r>
              <w:rPr>
                <w:rFonts w:ascii="Arial" w:hAnsi="Arial" w:cs="Arial"/>
              </w:rPr>
              <w:t>Element</w:t>
            </w:r>
          </w:p>
        </w:tc>
        <w:tc>
          <w:tcPr>
            <w:tcW w:w="9054"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24F9AB6A" w14:textId="77777777" w:rsidR="00047DC5" w:rsidRDefault="00047DC5" w:rsidP="00AE2E92">
            <w:pPr>
              <w:spacing w:line="360" w:lineRule="auto"/>
              <w:jc w:val="both"/>
              <w:rPr>
                <w:rFonts w:ascii="Arial" w:hAnsi="Arial" w:cs="Arial"/>
              </w:rPr>
            </w:pPr>
            <w:r>
              <w:rPr>
                <w:rFonts w:ascii="Arial" w:hAnsi="Arial" w:cs="Arial"/>
              </w:rPr>
              <w:t>Content</w:t>
            </w:r>
          </w:p>
        </w:tc>
      </w:tr>
      <w:tr w:rsidR="00047DC5" w14:paraId="7D5470C2" w14:textId="77777777" w:rsidTr="00AE2E92">
        <w:trPr>
          <w:trHeight w:val="981"/>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2731C898" w14:textId="77777777" w:rsidR="00047DC5" w:rsidRDefault="00047DC5" w:rsidP="00AE2E92">
            <w:pPr>
              <w:spacing w:line="360" w:lineRule="auto"/>
              <w:jc w:val="both"/>
              <w:rPr>
                <w:rFonts w:ascii="Arial" w:hAnsi="Arial" w:cs="Arial"/>
              </w:rPr>
            </w:pPr>
            <w:r>
              <w:rPr>
                <w:rFonts w:ascii="Arial" w:hAnsi="Arial" w:cs="Arial"/>
              </w:rPr>
              <w:t>Finding</w:t>
            </w:r>
          </w:p>
        </w:tc>
        <w:tc>
          <w:tcPr>
            <w:tcW w:w="9054"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3BE939A0" w14:textId="77777777" w:rsidR="00047DC5" w:rsidRDefault="00047DC5" w:rsidP="00AE2E92">
            <w:pPr>
              <w:spacing w:line="360" w:lineRule="auto"/>
              <w:jc w:val="both"/>
              <w:rPr>
                <w:rFonts w:ascii="Arial" w:hAnsi="Arial" w:cs="Arial"/>
              </w:rPr>
            </w:pPr>
            <w:r>
              <w:rPr>
                <w:rFonts w:ascii="Arial" w:hAnsi="Arial" w:cs="Arial"/>
              </w:rPr>
              <w:t>The 2.6% decline in British workers highlights domestic recruitment challenges. Training reduces turnover from 26.3% to 22.9%.</w:t>
            </w:r>
          </w:p>
        </w:tc>
      </w:tr>
      <w:tr w:rsidR="00047DC5" w14:paraId="22238ECE" w14:textId="77777777" w:rsidTr="00AE2E92">
        <w:trPr>
          <w:trHeight w:val="981"/>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2B76C72D" w14:textId="77777777" w:rsidR="00047DC5" w:rsidRDefault="00047DC5" w:rsidP="00AE2E92">
            <w:pPr>
              <w:spacing w:line="360" w:lineRule="auto"/>
              <w:jc w:val="both"/>
              <w:rPr>
                <w:rFonts w:ascii="Arial" w:hAnsi="Arial" w:cs="Arial"/>
              </w:rPr>
            </w:pPr>
            <w:r>
              <w:rPr>
                <w:rFonts w:ascii="Arial" w:hAnsi="Arial" w:cs="Arial"/>
              </w:rPr>
              <w:t>Implication</w:t>
            </w:r>
          </w:p>
        </w:tc>
        <w:tc>
          <w:tcPr>
            <w:tcW w:w="9054"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06C3D734" w14:textId="77777777" w:rsidR="00047DC5" w:rsidRDefault="00047DC5" w:rsidP="00AE2E92">
            <w:pPr>
              <w:spacing w:line="360" w:lineRule="auto"/>
              <w:jc w:val="both"/>
              <w:rPr>
                <w:rFonts w:ascii="Arial" w:hAnsi="Arial" w:cs="Arial"/>
              </w:rPr>
            </w:pPr>
            <w:r>
              <w:rPr>
                <w:rFonts w:ascii="Arial" w:hAnsi="Arial" w:cs="Arial"/>
              </w:rPr>
              <w:t>Investment in training and upskilling improves retention but domestic recruitment cannot compensate for the loss of migrant workers.</w:t>
            </w:r>
          </w:p>
        </w:tc>
      </w:tr>
      <w:tr w:rsidR="00047DC5" w14:paraId="50227DD8" w14:textId="77777777" w:rsidTr="00AE2E92">
        <w:trPr>
          <w:trHeight w:val="568"/>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492A2F0E" w14:textId="77777777" w:rsidR="00047DC5" w:rsidRDefault="00047DC5" w:rsidP="00AE2E92">
            <w:pPr>
              <w:spacing w:line="360" w:lineRule="auto"/>
              <w:jc w:val="both"/>
              <w:rPr>
                <w:rFonts w:ascii="Arial" w:hAnsi="Arial" w:cs="Arial"/>
              </w:rPr>
            </w:pPr>
            <w:r>
              <w:rPr>
                <w:rFonts w:ascii="Arial" w:hAnsi="Arial" w:cs="Arial"/>
              </w:rPr>
              <w:t>Action</w:t>
            </w:r>
          </w:p>
        </w:tc>
        <w:tc>
          <w:tcPr>
            <w:tcW w:w="9054"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725C0B18" w14:textId="77777777" w:rsidR="00047DC5" w:rsidRDefault="00047DC5" w:rsidP="00AE2E92">
            <w:pPr>
              <w:spacing w:line="360" w:lineRule="auto"/>
              <w:jc w:val="both"/>
              <w:rPr>
                <w:rFonts w:ascii="Arial" w:hAnsi="Arial" w:cs="Arial"/>
              </w:rPr>
            </w:pPr>
            <w:r>
              <w:rPr>
                <w:rFonts w:ascii="Arial" w:hAnsi="Arial" w:cs="Arial"/>
              </w:rPr>
              <w:t>Increase investment in training, upskilling, and career progression for HCSWs.</w:t>
            </w:r>
          </w:p>
        </w:tc>
      </w:tr>
      <w:tr w:rsidR="00047DC5" w14:paraId="2797F68A" w14:textId="77777777" w:rsidTr="00AE2E92">
        <w:trPr>
          <w:trHeight w:val="981"/>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5642B77C" w14:textId="77777777" w:rsidR="00047DC5" w:rsidRDefault="00047DC5" w:rsidP="00AE2E92">
            <w:pPr>
              <w:spacing w:line="360" w:lineRule="auto"/>
              <w:jc w:val="both"/>
              <w:rPr>
                <w:rFonts w:ascii="Arial" w:hAnsi="Arial" w:cs="Arial"/>
              </w:rPr>
            </w:pPr>
            <w:r>
              <w:rPr>
                <w:rFonts w:ascii="Arial" w:hAnsi="Arial" w:cs="Arial"/>
              </w:rPr>
              <w:t>Stakeholder</w:t>
            </w:r>
          </w:p>
        </w:tc>
        <w:tc>
          <w:tcPr>
            <w:tcW w:w="9054"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5885FF17" w14:textId="77777777" w:rsidR="00047DC5" w:rsidRDefault="00047DC5" w:rsidP="00AE2E92">
            <w:pPr>
              <w:spacing w:line="360" w:lineRule="auto"/>
              <w:jc w:val="both"/>
              <w:rPr>
                <w:rFonts w:ascii="Arial" w:hAnsi="Arial" w:cs="Arial"/>
              </w:rPr>
            </w:pPr>
            <w:r>
              <w:rPr>
                <w:rFonts w:ascii="Arial" w:hAnsi="Arial" w:cs="Arial"/>
              </w:rPr>
              <w:t xml:space="preserve">NHS England / Skills for Care / Department of Health and Social Care – to fund and implement training </w:t>
            </w:r>
            <w:proofErr w:type="spellStart"/>
            <w:r>
              <w:rPr>
                <w:rFonts w:ascii="Arial" w:hAnsi="Arial" w:cs="Arial"/>
              </w:rPr>
              <w:t>programmes</w:t>
            </w:r>
            <w:proofErr w:type="spellEnd"/>
            <w:r>
              <w:rPr>
                <w:rFonts w:ascii="Arial" w:hAnsi="Arial" w:cs="Arial"/>
              </w:rPr>
              <w:t>.</w:t>
            </w:r>
          </w:p>
        </w:tc>
      </w:tr>
      <w:tr w:rsidR="00047DC5" w14:paraId="1070AB73" w14:textId="77777777" w:rsidTr="00AE2E92">
        <w:trPr>
          <w:trHeight w:val="981"/>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0BD9D62A" w14:textId="77777777" w:rsidR="00047DC5" w:rsidRDefault="00047DC5" w:rsidP="00AE2E92">
            <w:pPr>
              <w:spacing w:line="360" w:lineRule="auto"/>
              <w:jc w:val="both"/>
              <w:rPr>
                <w:rFonts w:ascii="Arial" w:hAnsi="Arial" w:cs="Arial"/>
              </w:rPr>
            </w:pPr>
            <w:r>
              <w:rPr>
                <w:rFonts w:ascii="Arial" w:hAnsi="Arial" w:cs="Arial"/>
              </w:rPr>
              <w:t>Mechanism</w:t>
            </w:r>
          </w:p>
        </w:tc>
        <w:tc>
          <w:tcPr>
            <w:tcW w:w="9054"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3EF9CE6B" w14:textId="77777777" w:rsidR="00047DC5" w:rsidRDefault="00047DC5" w:rsidP="00AE2E92">
            <w:pPr>
              <w:spacing w:line="360" w:lineRule="auto"/>
              <w:jc w:val="both"/>
              <w:rPr>
                <w:rFonts w:ascii="Arial" w:hAnsi="Arial" w:cs="Arial"/>
              </w:rPr>
            </w:pPr>
            <w:r>
              <w:rPr>
                <w:rFonts w:ascii="Arial" w:hAnsi="Arial" w:cs="Arial"/>
              </w:rPr>
              <w:t>Expand apprenticeship routes, develop clear career pathways, and increase training budgets from 5% to 10% by 2028.</w:t>
            </w:r>
          </w:p>
        </w:tc>
      </w:tr>
    </w:tbl>
    <w:p w14:paraId="4D6E26AE" w14:textId="77777777" w:rsidR="00047DC5" w:rsidRDefault="00047DC5" w:rsidP="00047DC5">
      <w:pPr>
        <w:spacing w:line="360" w:lineRule="auto"/>
        <w:jc w:val="both"/>
        <w:rPr>
          <w:rFonts w:ascii="Arial" w:hAnsi="Arial" w:cs="Arial"/>
        </w:rPr>
      </w:pPr>
    </w:p>
    <w:p w14:paraId="15CEBB21" w14:textId="77777777" w:rsidR="00047DC5" w:rsidRDefault="00047DC5" w:rsidP="00047DC5">
      <w:pPr>
        <w:spacing w:line="360" w:lineRule="auto"/>
        <w:jc w:val="both"/>
        <w:rPr>
          <w:rFonts w:ascii="Arial" w:hAnsi="Arial" w:cs="Arial"/>
        </w:rPr>
      </w:pPr>
      <w:r>
        <w:rPr>
          <w:rFonts w:ascii="Arial" w:hAnsi="Arial" w:cs="Arial"/>
        </w:rPr>
        <w:t>Recommendation 4: Develop Comprehensive Retention Strategies</w:t>
      </w:r>
    </w:p>
    <w:tbl>
      <w:tblPr>
        <w:tblW w:w="10592" w:type="dxa"/>
        <w:tblCellMar>
          <w:left w:w="10" w:type="dxa"/>
          <w:right w:w="10" w:type="dxa"/>
        </w:tblCellMar>
        <w:tblLook w:val="04A0" w:firstRow="1" w:lastRow="0" w:firstColumn="1" w:lastColumn="0" w:noHBand="0" w:noVBand="1"/>
      </w:tblPr>
      <w:tblGrid>
        <w:gridCol w:w="1521"/>
        <w:gridCol w:w="9071"/>
      </w:tblGrid>
      <w:tr w:rsidR="00047DC5" w14:paraId="105C5B0F" w14:textId="77777777" w:rsidTr="00AE2E92">
        <w:trPr>
          <w:trHeight w:val="569"/>
          <w:tblHeader/>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36ED9344" w14:textId="77777777" w:rsidR="00047DC5" w:rsidRDefault="00047DC5" w:rsidP="00AE2E92">
            <w:pPr>
              <w:spacing w:line="360" w:lineRule="auto"/>
              <w:jc w:val="both"/>
              <w:rPr>
                <w:rFonts w:ascii="Arial" w:hAnsi="Arial" w:cs="Arial"/>
              </w:rPr>
            </w:pPr>
            <w:r>
              <w:rPr>
                <w:rFonts w:ascii="Arial" w:hAnsi="Arial" w:cs="Arial"/>
              </w:rPr>
              <w:t>Element</w:t>
            </w:r>
          </w:p>
        </w:tc>
        <w:tc>
          <w:tcPr>
            <w:tcW w:w="907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53376CF8" w14:textId="77777777" w:rsidR="00047DC5" w:rsidRDefault="00047DC5" w:rsidP="00AE2E92">
            <w:pPr>
              <w:spacing w:line="360" w:lineRule="auto"/>
              <w:jc w:val="both"/>
              <w:rPr>
                <w:rFonts w:ascii="Arial" w:hAnsi="Arial" w:cs="Arial"/>
              </w:rPr>
            </w:pPr>
            <w:r>
              <w:rPr>
                <w:rFonts w:ascii="Arial" w:hAnsi="Arial" w:cs="Arial"/>
              </w:rPr>
              <w:t>Content</w:t>
            </w:r>
          </w:p>
        </w:tc>
      </w:tr>
      <w:tr w:rsidR="00047DC5" w14:paraId="49D39CAB" w14:textId="77777777" w:rsidTr="00AE2E92">
        <w:trPr>
          <w:trHeight w:val="569"/>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421E16AE" w14:textId="77777777" w:rsidR="00047DC5" w:rsidRDefault="00047DC5" w:rsidP="00AE2E92">
            <w:pPr>
              <w:spacing w:line="360" w:lineRule="auto"/>
              <w:jc w:val="both"/>
              <w:rPr>
                <w:rFonts w:ascii="Arial" w:hAnsi="Arial" w:cs="Arial"/>
              </w:rPr>
            </w:pPr>
            <w:r>
              <w:rPr>
                <w:rFonts w:ascii="Arial" w:hAnsi="Arial" w:cs="Arial"/>
              </w:rPr>
              <w:t>Finding</w:t>
            </w:r>
          </w:p>
        </w:tc>
        <w:tc>
          <w:tcPr>
            <w:tcW w:w="907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1758EEF3" w14:textId="77777777" w:rsidR="00047DC5" w:rsidRDefault="00047DC5" w:rsidP="00AE2E92">
            <w:pPr>
              <w:spacing w:line="360" w:lineRule="auto"/>
              <w:jc w:val="both"/>
              <w:rPr>
                <w:rFonts w:ascii="Arial" w:hAnsi="Arial" w:cs="Arial"/>
              </w:rPr>
            </w:pPr>
            <w:r>
              <w:rPr>
                <w:rFonts w:ascii="Arial" w:hAnsi="Arial" w:cs="Arial"/>
              </w:rPr>
              <w:t>Workplace culture is a significant predictor of retention.</w:t>
            </w:r>
          </w:p>
        </w:tc>
      </w:tr>
      <w:tr w:rsidR="00047DC5" w14:paraId="6F4A2E7F" w14:textId="77777777" w:rsidTr="00AE2E92">
        <w:trPr>
          <w:trHeight w:val="569"/>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562E3565" w14:textId="77777777" w:rsidR="00047DC5" w:rsidRDefault="00047DC5" w:rsidP="00AE2E92">
            <w:pPr>
              <w:spacing w:line="360" w:lineRule="auto"/>
              <w:jc w:val="both"/>
              <w:rPr>
                <w:rFonts w:ascii="Arial" w:hAnsi="Arial" w:cs="Arial"/>
              </w:rPr>
            </w:pPr>
            <w:r>
              <w:rPr>
                <w:rFonts w:ascii="Arial" w:hAnsi="Arial" w:cs="Arial"/>
              </w:rPr>
              <w:t>Implication</w:t>
            </w:r>
          </w:p>
        </w:tc>
        <w:tc>
          <w:tcPr>
            <w:tcW w:w="907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45C34566" w14:textId="77777777" w:rsidR="00047DC5" w:rsidRDefault="00047DC5" w:rsidP="00AE2E92">
            <w:pPr>
              <w:spacing w:line="360" w:lineRule="auto"/>
              <w:jc w:val="both"/>
              <w:rPr>
                <w:rFonts w:ascii="Arial" w:hAnsi="Arial" w:cs="Arial"/>
              </w:rPr>
            </w:pPr>
            <w:r>
              <w:rPr>
                <w:rFonts w:ascii="Arial" w:hAnsi="Arial" w:cs="Arial"/>
              </w:rPr>
              <w:t>Retention strategies are essential for maintaining workforce stability.</w:t>
            </w:r>
          </w:p>
        </w:tc>
      </w:tr>
      <w:tr w:rsidR="00047DC5" w14:paraId="0F795838" w14:textId="77777777" w:rsidTr="00AE2E92">
        <w:trPr>
          <w:trHeight w:val="569"/>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0BE6B32E" w14:textId="77777777" w:rsidR="00047DC5" w:rsidRDefault="00047DC5" w:rsidP="00AE2E92">
            <w:pPr>
              <w:spacing w:line="360" w:lineRule="auto"/>
              <w:jc w:val="both"/>
              <w:rPr>
                <w:rFonts w:ascii="Arial" w:hAnsi="Arial" w:cs="Arial"/>
              </w:rPr>
            </w:pPr>
            <w:r>
              <w:rPr>
                <w:rFonts w:ascii="Arial" w:hAnsi="Arial" w:cs="Arial"/>
              </w:rPr>
              <w:t>Action</w:t>
            </w:r>
          </w:p>
        </w:tc>
        <w:tc>
          <w:tcPr>
            <w:tcW w:w="907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2C7494B3" w14:textId="77777777" w:rsidR="00047DC5" w:rsidRDefault="00047DC5" w:rsidP="00AE2E92">
            <w:pPr>
              <w:spacing w:line="360" w:lineRule="auto"/>
              <w:jc w:val="both"/>
              <w:rPr>
                <w:rFonts w:ascii="Arial" w:hAnsi="Arial" w:cs="Arial"/>
              </w:rPr>
            </w:pPr>
            <w:r>
              <w:rPr>
                <w:rFonts w:ascii="Arial" w:hAnsi="Arial" w:cs="Arial"/>
              </w:rPr>
              <w:t>Invest in supportive working environments, flexible working, and family unity support.</w:t>
            </w:r>
          </w:p>
        </w:tc>
      </w:tr>
      <w:tr w:rsidR="00047DC5" w14:paraId="35A0CD3A" w14:textId="77777777" w:rsidTr="00AE2E92">
        <w:trPr>
          <w:trHeight w:val="569"/>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3D3A10DE" w14:textId="77777777" w:rsidR="00047DC5" w:rsidRDefault="00047DC5" w:rsidP="00AE2E92">
            <w:pPr>
              <w:spacing w:line="360" w:lineRule="auto"/>
              <w:jc w:val="both"/>
              <w:rPr>
                <w:rFonts w:ascii="Arial" w:hAnsi="Arial" w:cs="Arial"/>
              </w:rPr>
            </w:pPr>
            <w:r>
              <w:rPr>
                <w:rFonts w:ascii="Arial" w:hAnsi="Arial" w:cs="Arial"/>
              </w:rPr>
              <w:lastRenderedPageBreak/>
              <w:t>Stakeholder</w:t>
            </w:r>
          </w:p>
        </w:tc>
        <w:tc>
          <w:tcPr>
            <w:tcW w:w="907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77A5FB26" w14:textId="77777777" w:rsidR="00047DC5" w:rsidRDefault="00047DC5" w:rsidP="00AE2E92">
            <w:pPr>
              <w:spacing w:line="360" w:lineRule="auto"/>
              <w:jc w:val="both"/>
              <w:rPr>
                <w:rFonts w:ascii="Arial" w:hAnsi="Arial" w:cs="Arial"/>
              </w:rPr>
            </w:pPr>
            <w:r>
              <w:rPr>
                <w:rFonts w:ascii="Arial" w:hAnsi="Arial" w:cs="Arial"/>
              </w:rPr>
              <w:t xml:space="preserve">NHS Trusts / Adult Social Care Providers – to implement at </w:t>
            </w:r>
            <w:proofErr w:type="spellStart"/>
            <w:r>
              <w:rPr>
                <w:rFonts w:ascii="Arial" w:hAnsi="Arial" w:cs="Arial"/>
              </w:rPr>
              <w:t>organisational</w:t>
            </w:r>
            <w:proofErr w:type="spellEnd"/>
            <w:r>
              <w:rPr>
                <w:rFonts w:ascii="Arial" w:hAnsi="Arial" w:cs="Arial"/>
              </w:rPr>
              <w:t xml:space="preserve"> level.</w:t>
            </w:r>
          </w:p>
        </w:tc>
      </w:tr>
      <w:tr w:rsidR="00047DC5" w14:paraId="2654E527" w14:textId="77777777" w:rsidTr="00AE2E92">
        <w:trPr>
          <w:trHeight w:val="1398"/>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74EDFD9D" w14:textId="77777777" w:rsidR="00047DC5" w:rsidRDefault="00047DC5" w:rsidP="00AE2E92">
            <w:pPr>
              <w:spacing w:line="360" w:lineRule="auto"/>
              <w:jc w:val="both"/>
              <w:rPr>
                <w:rFonts w:ascii="Arial" w:hAnsi="Arial" w:cs="Arial"/>
              </w:rPr>
            </w:pPr>
            <w:r>
              <w:rPr>
                <w:rFonts w:ascii="Arial" w:hAnsi="Arial" w:cs="Arial"/>
              </w:rPr>
              <w:t>Mechanism</w:t>
            </w:r>
          </w:p>
        </w:tc>
        <w:tc>
          <w:tcPr>
            <w:tcW w:w="907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69275E2D" w14:textId="77777777" w:rsidR="00047DC5" w:rsidRDefault="00047DC5" w:rsidP="00AE2E92">
            <w:pPr>
              <w:spacing w:line="360" w:lineRule="auto"/>
              <w:jc w:val="both"/>
              <w:rPr>
                <w:rFonts w:ascii="Arial" w:hAnsi="Arial" w:cs="Arial"/>
              </w:rPr>
            </w:pPr>
            <w:r>
              <w:rPr>
                <w:rFonts w:ascii="Arial" w:hAnsi="Arial" w:cs="Arial"/>
              </w:rPr>
              <w:t xml:space="preserve">Introduce staff wellbeing </w:t>
            </w:r>
            <w:proofErr w:type="spellStart"/>
            <w:r>
              <w:rPr>
                <w:rFonts w:ascii="Arial" w:hAnsi="Arial" w:cs="Arial"/>
              </w:rPr>
              <w:t>programmes</w:t>
            </w:r>
            <w:proofErr w:type="spellEnd"/>
            <w:r>
              <w:rPr>
                <w:rFonts w:ascii="Arial" w:hAnsi="Arial" w:cs="Arial"/>
              </w:rPr>
              <w:t>, flexible working policies, and family support schemes. Advocate for policy change through professional bodies such as the RCN and UNISON.</w:t>
            </w:r>
          </w:p>
        </w:tc>
      </w:tr>
    </w:tbl>
    <w:p w14:paraId="21E7C5DD" w14:textId="77777777" w:rsidR="00047DC5" w:rsidRDefault="00047DC5" w:rsidP="00047DC5">
      <w:pPr>
        <w:spacing w:line="360" w:lineRule="auto"/>
        <w:jc w:val="both"/>
        <w:rPr>
          <w:rFonts w:ascii="Arial" w:hAnsi="Arial" w:cs="Arial"/>
        </w:rPr>
      </w:pPr>
    </w:p>
    <w:p w14:paraId="539E67B5" w14:textId="77777777" w:rsidR="00047DC5" w:rsidRDefault="00047DC5" w:rsidP="00047DC5">
      <w:pPr>
        <w:pStyle w:val="Heading3"/>
      </w:pPr>
      <w:bookmarkStart w:id="178" w:name="_Toc238549848"/>
      <w:r>
        <w:t>5.4.2 Theoretical Recommendation</w:t>
      </w:r>
      <w:bookmarkEnd w:id="178"/>
    </w:p>
    <w:p w14:paraId="7EFD5BF9" w14:textId="77777777" w:rsidR="00047DC5" w:rsidRDefault="00047DC5" w:rsidP="00047DC5">
      <w:pPr>
        <w:spacing w:line="360" w:lineRule="auto"/>
        <w:jc w:val="both"/>
        <w:rPr>
          <w:rFonts w:ascii="Arial" w:hAnsi="Arial" w:cs="Arial"/>
        </w:rPr>
      </w:pPr>
      <w:r>
        <w:rPr>
          <w:rFonts w:ascii="Arial" w:hAnsi="Arial" w:cs="Arial"/>
        </w:rPr>
        <w:t>Recommendation 5: Further Empirical Testing of the Integrated Framework</w:t>
      </w:r>
    </w:p>
    <w:tbl>
      <w:tblPr>
        <w:tblW w:w="10541" w:type="dxa"/>
        <w:tblCellMar>
          <w:left w:w="10" w:type="dxa"/>
          <w:right w:w="10" w:type="dxa"/>
        </w:tblCellMar>
        <w:tblLook w:val="04A0" w:firstRow="1" w:lastRow="0" w:firstColumn="1" w:lastColumn="0" w:noHBand="0" w:noVBand="1"/>
      </w:tblPr>
      <w:tblGrid>
        <w:gridCol w:w="1521"/>
        <w:gridCol w:w="9020"/>
      </w:tblGrid>
      <w:tr w:rsidR="00047DC5" w14:paraId="55B9CB1F" w14:textId="77777777" w:rsidTr="00AE2E92">
        <w:trPr>
          <w:trHeight w:val="570"/>
          <w:tblHeader/>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58BE5BC3" w14:textId="77777777" w:rsidR="00047DC5" w:rsidRDefault="00047DC5" w:rsidP="00AE2E92">
            <w:pPr>
              <w:spacing w:line="360" w:lineRule="auto"/>
              <w:jc w:val="both"/>
              <w:rPr>
                <w:rFonts w:ascii="Arial" w:hAnsi="Arial" w:cs="Arial"/>
              </w:rPr>
            </w:pPr>
            <w:r>
              <w:rPr>
                <w:rFonts w:ascii="Arial" w:hAnsi="Arial" w:cs="Arial"/>
              </w:rPr>
              <w:t>Element</w:t>
            </w:r>
          </w:p>
        </w:tc>
        <w:tc>
          <w:tcPr>
            <w:tcW w:w="9020"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240" w:type="dxa"/>
            </w:tcMar>
            <w:vAlign w:val="center"/>
          </w:tcPr>
          <w:p w14:paraId="19D32EDE" w14:textId="77777777" w:rsidR="00047DC5" w:rsidRDefault="00047DC5" w:rsidP="00AE2E92">
            <w:pPr>
              <w:spacing w:line="360" w:lineRule="auto"/>
              <w:jc w:val="both"/>
              <w:rPr>
                <w:rFonts w:ascii="Arial" w:hAnsi="Arial" w:cs="Arial"/>
              </w:rPr>
            </w:pPr>
            <w:r>
              <w:rPr>
                <w:rFonts w:ascii="Arial" w:hAnsi="Arial" w:cs="Arial"/>
              </w:rPr>
              <w:t>Content</w:t>
            </w:r>
          </w:p>
        </w:tc>
      </w:tr>
      <w:tr w:rsidR="00047DC5" w14:paraId="1393E0B3" w14:textId="77777777" w:rsidTr="00AE2E92">
        <w:trPr>
          <w:trHeight w:val="984"/>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53B2413F" w14:textId="77777777" w:rsidR="00047DC5" w:rsidRDefault="00047DC5" w:rsidP="00AE2E92">
            <w:pPr>
              <w:spacing w:line="360" w:lineRule="auto"/>
              <w:jc w:val="both"/>
              <w:rPr>
                <w:rFonts w:ascii="Arial" w:hAnsi="Arial" w:cs="Arial"/>
              </w:rPr>
            </w:pPr>
            <w:r>
              <w:rPr>
                <w:rFonts w:ascii="Arial" w:hAnsi="Arial" w:cs="Arial"/>
              </w:rPr>
              <w:t>Finding</w:t>
            </w:r>
          </w:p>
        </w:tc>
        <w:tc>
          <w:tcPr>
            <w:tcW w:w="9020"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787DF7AF" w14:textId="77777777" w:rsidR="00047DC5" w:rsidRDefault="00047DC5" w:rsidP="00AE2E92">
            <w:pPr>
              <w:spacing w:line="360" w:lineRule="auto"/>
              <w:jc w:val="both"/>
              <w:rPr>
                <w:rFonts w:ascii="Arial" w:hAnsi="Arial" w:cs="Arial"/>
              </w:rPr>
            </w:pPr>
            <w:r>
              <w:rPr>
                <w:rFonts w:ascii="Arial" w:hAnsi="Arial" w:cs="Arial"/>
              </w:rPr>
              <w:t>This study has empirically tested the integrated application of Human Capital Theory, COR Theory, and the TBL framework.</w:t>
            </w:r>
          </w:p>
        </w:tc>
      </w:tr>
      <w:tr w:rsidR="00047DC5" w14:paraId="5DB3EF09" w14:textId="77777777" w:rsidTr="00AE2E92">
        <w:trPr>
          <w:trHeight w:val="570"/>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2B1FEAB3" w14:textId="77777777" w:rsidR="00047DC5" w:rsidRDefault="00047DC5" w:rsidP="00AE2E92">
            <w:pPr>
              <w:spacing w:line="360" w:lineRule="auto"/>
              <w:jc w:val="both"/>
              <w:rPr>
                <w:rFonts w:ascii="Arial" w:hAnsi="Arial" w:cs="Arial"/>
              </w:rPr>
            </w:pPr>
            <w:r>
              <w:rPr>
                <w:rFonts w:ascii="Arial" w:hAnsi="Arial" w:cs="Arial"/>
              </w:rPr>
              <w:t>Implication</w:t>
            </w:r>
          </w:p>
        </w:tc>
        <w:tc>
          <w:tcPr>
            <w:tcW w:w="9020"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027BAD4C" w14:textId="77777777" w:rsidR="00047DC5" w:rsidRDefault="00047DC5" w:rsidP="00AE2E92">
            <w:pPr>
              <w:spacing w:line="360" w:lineRule="auto"/>
              <w:jc w:val="both"/>
              <w:rPr>
                <w:rFonts w:ascii="Arial" w:hAnsi="Arial" w:cs="Arial"/>
              </w:rPr>
            </w:pPr>
            <w:r>
              <w:rPr>
                <w:rFonts w:ascii="Arial" w:hAnsi="Arial" w:cs="Arial"/>
              </w:rPr>
              <w:t>The integration is novel and requires further testing.</w:t>
            </w:r>
          </w:p>
        </w:tc>
      </w:tr>
      <w:tr w:rsidR="00047DC5" w14:paraId="7DAA317C" w14:textId="77777777" w:rsidTr="00AE2E92">
        <w:trPr>
          <w:trHeight w:val="984"/>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5AE60F7A" w14:textId="77777777" w:rsidR="00047DC5" w:rsidRDefault="00047DC5" w:rsidP="00AE2E92">
            <w:pPr>
              <w:spacing w:line="360" w:lineRule="auto"/>
              <w:jc w:val="both"/>
              <w:rPr>
                <w:rFonts w:ascii="Arial" w:hAnsi="Arial" w:cs="Arial"/>
              </w:rPr>
            </w:pPr>
            <w:r>
              <w:rPr>
                <w:rFonts w:ascii="Arial" w:hAnsi="Arial" w:cs="Arial"/>
              </w:rPr>
              <w:t>Action</w:t>
            </w:r>
          </w:p>
        </w:tc>
        <w:tc>
          <w:tcPr>
            <w:tcW w:w="9020"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46EC98AE" w14:textId="77777777" w:rsidR="00047DC5" w:rsidRDefault="00047DC5" w:rsidP="00AE2E92">
            <w:pPr>
              <w:spacing w:line="360" w:lineRule="auto"/>
              <w:jc w:val="both"/>
              <w:rPr>
                <w:rFonts w:ascii="Arial" w:hAnsi="Arial" w:cs="Arial"/>
              </w:rPr>
            </w:pPr>
            <w:r>
              <w:rPr>
                <w:rFonts w:ascii="Arial" w:hAnsi="Arial" w:cs="Arial"/>
              </w:rPr>
              <w:t>Future research should test this framework in other contexts, such as other healthcare professions or other countries.</w:t>
            </w:r>
          </w:p>
        </w:tc>
      </w:tr>
      <w:tr w:rsidR="00047DC5" w14:paraId="00A51E84" w14:textId="77777777" w:rsidTr="00AE2E92">
        <w:trPr>
          <w:trHeight w:val="570"/>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05395FEE" w14:textId="77777777" w:rsidR="00047DC5" w:rsidRDefault="00047DC5" w:rsidP="00AE2E92">
            <w:pPr>
              <w:spacing w:line="360" w:lineRule="auto"/>
              <w:jc w:val="both"/>
              <w:rPr>
                <w:rFonts w:ascii="Arial" w:hAnsi="Arial" w:cs="Arial"/>
              </w:rPr>
            </w:pPr>
            <w:r>
              <w:rPr>
                <w:rFonts w:ascii="Arial" w:hAnsi="Arial" w:cs="Arial"/>
              </w:rPr>
              <w:t>Stakeholder</w:t>
            </w:r>
          </w:p>
        </w:tc>
        <w:tc>
          <w:tcPr>
            <w:tcW w:w="9020"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0521E6EF" w14:textId="77777777" w:rsidR="00047DC5" w:rsidRDefault="00047DC5" w:rsidP="00AE2E92">
            <w:pPr>
              <w:spacing w:line="360" w:lineRule="auto"/>
              <w:jc w:val="both"/>
              <w:rPr>
                <w:rFonts w:ascii="Arial" w:hAnsi="Arial" w:cs="Arial"/>
              </w:rPr>
            </w:pPr>
            <w:r>
              <w:rPr>
                <w:rFonts w:ascii="Arial" w:hAnsi="Arial" w:cs="Arial"/>
              </w:rPr>
              <w:t>Academic researchers / PhD candidates – to conduct further empirical studies.</w:t>
            </w:r>
          </w:p>
        </w:tc>
      </w:tr>
      <w:tr w:rsidR="00047DC5" w14:paraId="1AC0DB9F" w14:textId="77777777" w:rsidTr="00AE2E92">
        <w:trPr>
          <w:trHeight w:val="984"/>
        </w:trPr>
        <w:tc>
          <w:tcPr>
            <w:tcW w:w="1521" w:type="dxa"/>
            <w:tcBorders>
              <w:top w:val="single" w:sz="4" w:space="0" w:color="000000"/>
              <w:left w:val="single" w:sz="4" w:space="0" w:color="000000"/>
              <w:bottom w:val="single" w:sz="4" w:space="0" w:color="000000"/>
              <w:right w:val="single" w:sz="4" w:space="0" w:color="000000"/>
            </w:tcBorders>
            <w:shd w:val="clear" w:color="auto" w:fill="FFFFFF"/>
            <w:tcMar>
              <w:top w:w="150" w:type="dxa"/>
              <w:left w:w="0" w:type="dxa"/>
              <w:bottom w:w="150" w:type="dxa"/>
              <w:right w:w="240" w:type="dxa"/>
            </w:tcMar>
            <w:vAlign w:val="center"/>
          </w:tcPr>
          <w:p w14:paraId="59907090" w14:textId="77777777" w:rsidR="00047DC5" w:rsidRDefault="00047DC5" w:rsidP="00AE2E92">
            <w:pPr>
              <w:spacing w:line="360" w:lineRule="auto"/>
              <w:jc w:val="both"/>
              <w:rPr>
                <w:rFonts w:ascii="Arial" w:hAnsi="Arial" w:cs="Arial"/>
              </w:rPr>
            </w:pPr>
            <w:r>
              <w:rPr>
                <w:rFonts w:ascii="Arial" w:hAnsi="Arial" w:cs="Arial"/>
              </w:rPr>
              <w:t>Mechanism</w:t>
            </w:r>
          </w:p>
        </w:tc>
        <w:tc>
          <w:tcPr>
            <w:tcW w:w="9020" w:type="dxa"/>
            <w:tcBorders>
              <w:top w:val="single" w:sz="4" w:space="0" w:color="000000"/>
              <w:left w:val="single" w:sz="4" w:space="0" w:color="000000"/>
              <w:bottom w:val="single" w:sz="4" w:space="0" w:color="000000"/>
              <w:right w:val="single" w:sz="4" w:space="0" w:color="000000"/>
            </w:tcBorders>
            <w:shd w:val="clear" w:color="auto" w:fill="FFFFFF"/>
            <w:tcMar>
              <w:top w:w="150" w:type="dxa"/>
              <w:left w:w="240" w:type="dxa"/>
              <w:bottom w:w="150" w:type="dxa"/>
              <w:right w:w="0" w:type="dxa"/>
            </w:tcMar>
            <w:vAlign w:val="center"/>
          </w:tcPr>
          <w:p w14:paraId="153B3083" w14:textId="77777777" w:rsidR="00047DC5" w:rsidRDefault="00047DC5" w:rsidP="00AE2E92">
            <w:pPr>
              <w:spacing w:line="360" w:lineRule="auto"/>
              <w:jc w:val="both"/>
              <w:rPr>
                <w:rFonts w:ascii="Arial" w:hAnsi="Arial" w:cs="Arial"/>
              </w:rPr>
            </w:pPr>
            <w:r>
              <w:rPr>
                <w:rFonts w:ascii="Arial" w:hAnsi="Arial" w:cs="Arial"/>
              </w:rPr>
              <w:t xml:space="preserve">Secure research funding from </w:t>
            </w:r>
            <w:proofErr w:type="spellStart"/>
            <w:r>
              <w:rPr>
                <w:rFonts w:ascii="Arial" w:hAnsi="Arial" w:cs="Arial"/>
              </w:rPr>
              <w:t>organisations</w:t>
            </w:r>
            <w:proofErr w:type="spellEnd"/>
            <w:r>
              <w:rPr>
                <w:rFonts w:ascii="Arial" w:hAnsi="Arial" w:cs="Arial"/>
              </w:rPr>
              <w:t xml:space="preserve"> such as the Health Foundation or NIHR to conduct comparative studies across healthcare professions and countries.</w:t>
            </w:r>
          </w:p>
        </w:tc>
      </w:tr>
    </w:tbl>
    <w:p w14:paraId="73B627EB" w14:textId="77777777" w:rsidR="00047DC5" w:rsidRDefault="00047DC5" w:rsidP="00047DC5">
      <w:pPr>
        <w:spacing w:line="360" w:lineRule="auto"/>
        <w:jc w:val="both"/>
        <w:rPr>
          <w:rFonts w:ascii="Arial" w:hAnsi="Arial" w:cs="Arial"/>
        </w:rPr>
      </w:pPr>
    </w:p>
    <w:p w14:paraId="2E265550" w14:textId="77777777" w:rsidR="00047DC5" w:rsidRDefault="00047DC5" w:rsidP="00047DC5">
      <w:pPr>
        <w:pStyle w:val="Heading3"/>
      </w:pPr>
      <w:bookmarkStart w:id="179" w:name="_Toc238549849"/>
      <w:r>
        <w:lastRenderedPageBreak/>
        <w:t>5.5 Limitations of Research</w:t>
      </w:r>
      <w:bookmarkEnd w:id="179"/>
    </w:p>
    <w:p w14:paraId="0FA3AA1E" w14:textId="77777777" w:rsidR="00047DC5" w:rsidRDefault="00047DC5" w:rsidP="00047DC5">
      <w:pPr>
        <w:spacing w:line="360" w:lineRule="auto"/>
        <w:jc w:val="both"/>
        <w:rPr>
          <w:rFonts w:ascii="Arial" w:hAnsi="Arial" w:cs="Arial"/>
        </w:rPr>
      </w:pPr>
      <w:r>
        <w:rPr>
          <w:rFonts w:ascii="Arial" w:hAnsi="Arial" w:cs="Arial"/>
        </w:rPr>
        <w:t>This study acknowledges several limitations that provide opportunities for future researchers.</w:t>
      </w:r>
    </w:p>
    <w:p w14:paraId="14C20264" w14:textId="77777777" w:rsidR="00047DC5" w:rsidRDefault="00047DC5" w:rsidP="00047DC5">
      <w:pPr>
        <w:spacing w:line="360" w:lineRule="auto"/>
        <w:jc w:val="both"/>
        <w:rPr>
          <w:rFonts w:ascii="Arial" w:hAnsi="Arial" w:cs="Arial"/>
        </w:rPr>
      </w:pPr>
      <w:r>
        <w:rPr>
          <w:rFonts w:ascii="Arial" w:hAnsi="Arial" w:cs="Arial"/>
        </w:rPr>
        <w:t>Methodological Limitation: Due to time constraints, this study relied exclusively on secondary quantitative data. Future researchers could conduct qualitative interviews with migrant HCSWs to capture lived experiences, motivations, and intentions, providing rich contextual data that complements these quantitative findings.</w:t>
      </w:r>
    </w:p>
    <w:p w14:paraId="71E2605C" w14:textId="77777777" w:rsidR="00047DC5" w:rsidRDefault="00047DC5" w:rsidP="00047DC5">
      <w:pPr>
        <w:spacing w:line="360" w:lineRule="auto"/>
        <w:jc w:val="both"/>
        <w:rPr>
          <w:rFonts w:ascii="Arial" w:hAnsi="Arial" w:cs="Arial"/>
        </w:rPr>
      </w:pPr>
      <w:r>
        <w:rPr>
          <w:rFonts w:ascii="Arial" w:hAnsi="Arial" w:cs="Arial"/>
        </w:rPr>
        <w:t xml:space="preserve">Data Limitations: The study </w:t>
      </w:r>
      <w:proofErr w:type="spellStart"/>
      <w:r>
        <w:rPr>
          <w:rFonts w:ascii="Arial" w:hAnsi="Arial" w:cs="Arial"/>
        </w:rPr>
        <w:t>analysed</w:t>
      </w:r>
      <w:proofErr w:type="spellEnd"/>
      <w:r>
        <w:rPr>
          <w:rFonts w:ascii="Arial" w:hAnsi="Arial" w:cs="Arial"/>
        </w:rPr>
        <w:t xml:space="preserve"> 7 years of annual data (2020–2026), a relatively small sample size for regression analysis. Future researchers could extend the </w:t>
      </w:r>
      <w:proofErr w:type="gramStart"/>
      <w:r>
        <w:rPr>
          <w:rFonts w:ascii="Arial" w:hAnsi="Arial" w:cs="Arial"/>
        </w:rPr>
        <w:t>time period</w:t>
      </w:r>
      <w:proofErr w:type="gramEnd"/>
      <w:r>
        <w:rPr>
          <w:rFonts w:ascii="Arial" w:hAnsi="Arial" w:cs="Arial"/>
        </w:rPr>
        <w:t xml:space="preserve"> as more data becomes available, enabling more robust statistical analysis. Additionally, the study focused primarily on England due to data availability. Future research could compare workforce sustainability across England, Scotland, Wales and Northern Ireland.</w:t>
      </w:r>
    </w:p>
    <w:p w14:paraId="1497A5CE" w14:textId="77777777" w:rsidR="00047DC5" w:rsidRDefault="00047DC5" w:rsidP="00047DC5">
      <w:pPr>
        <w:spacing w:line="360" w:lineRule="auto"/>
        <w:jc w:val="both"/>
        <w:rPr>
          <w:rFonts w:ascii="Arial" w:hAnsi="Arial" w:cs="Arial"/>
        </w:rPr>
      </w:pPr>
      <w:r>
        <w:rPr>
          <w:rFonts w:ascii="Arial" w:hAnsi="Arial" w:cs="Arial"/>
        </w:rPr>
        <w:t>Conceptual Limitation: The environmental pillar of the TBL framework was excluded. Future researchers could incorporate environmental sustainability indicators to provide a more comprehensive TBL analysis.</w:t>
      </w:r>
    </w:p>
    <w:p w14:paraId="18C09765" w14:textId="77777777" w:rsidR="00047DC5" w:rsidRDefault="00047DC5" w:rsidP="00047DC5">
      <w:pPr>
        <w:pStyle w:val="Heading2"/>
      </w:pPr>
      <w:bookmarkStart w:id="180" w:name="_Toc238549850"/>
      <w:r>
        <w:t>5.6 Recommendations for Future Work</w:t>
      </w:r>
      <w:bookmarkEnd w:id="180"/>
    </w:p>
    <w:p w14:paraId="2F7CC314" w14:textId="77777777" w:rsidR="00047DC5" w:rsidRDefault="00047DC5" w:rsidP="00047DC5">
      <w:pPr>
        <w:spacing w:line="360" w:lineRule="auto"/>
        <w:jc w:val="both"/>
        <w:rPr>
          <w:rFonts w:ascii="Arial" w:hAnsi="Arial" w:cs="Arial"/>
        </w:rPr>
      </w:pPr>
      <w:r>
        <w:rPr>
          <w:rFonts w:ascii="Arial" w:hAnsi="Arial" w:cs="Arial"/>
        </w:rPr>
        <w:t>Building on the limitations identified above, future research should: (1) conduct qualitative interviews with migrant healthcare support workers to understand their experiences, motivations, and intentions; (2) continue longitudinal tracking of immigration policy impacts on workforce sustainability; (3) compare workforce sustainability across England, Scotland, Wales and Northern Ireland; (4) examine the impact of immigration policy changes on patient care outcomes; (5) evaluate the effectiveness of specific HR interventions under immigration restrictions; and (6) develop a comprehensive Workforce Sustainability Index combining visa grant rates, turnover rates, vacancy rates, and training investment to provide a holistic assessment of workforce sustainability risks.</w:t>
      </w:r>
    </w:p>
    <w:p w14:paraId="60549162" w14:textId="77777777" w:rsidR="00047DC5" w:rsidRDefault="00047DC5" w:rsidP="00047DC5">
      <w:pPr>
        <w:pStyle w:val="Heading2"/>
      </w:pPr>
      <w:bookmarkStart w:id="181" w:name="_Toc238549851"/>
      <w:r>
        <w:lastRenderedPageBreak/>
        <w:t>5.7 Final Reflection</w:t>
      </w:r>
      <w:bookmarkEnd w:id="181"/>
    </w:p>
    <w:p w14:paraId="275A4282" w14:textId="77777777" w:rsidR="00047DC5" w:rsidRDefault="00047DC5" w:rsidP="00047DC5">
      <w:pPr>
        <w:spacing w:line="360" w:lineRule="auto"/>
        <w:jc w:val="both"/>
        <w:rPr>
          <w:rFonts w:ascii="Arial" w:hAnsi="Arial" w:cs="Arial"/>
        </w:rPr>
      </w:pPr>
      <w:r>
        <w:rPr>
          <w:rFonts w:ascii="Arial" w:hAnsi="Arial" w:cs="Arial"/>
        </w:rPr>
        <w:t xml:space="preserve">This study demonstrates that the 2020–2026 UK immigration policy changes have had a significant impact on migrant healthcare support worker workforce sustainability. The near-total collapse of the care worker visa route, combined with the accelerating departure of internationally educated nurses, represents a fundamental threat to the UK healthcare system's ability to deliver frontline care. The integrated theoretical framework – combining Human Capital Theory, Conservation of Resources Theory, and the Triple Bottom Line framework – provides a comprehensive explanation of how policy changes create resource threats, lead to human capital loss, and ultimately result in a decline in both social and economic sustainability. The findings underscore the urgent need for a more balanced approach that supports both migration control and workforce sustainability, providing a strong evidence base for policymakers and healthcare </w:t>
      </w:r>
      <w:proofErr w:type="spellStart"/>
      <w:r>
        <w:rPr>
          <w:rFonts w:ascii="Arial" w:hAnsi="Arial" w:cs="Arial"/>
        </w:rPr>
        <w:t>organisations</w:t>
      </w:r>
      <w:proofErr w:type="spellEnd"/>
      <w:r>
        <w:rPr>
          <w:rFonts w:ascii="Arial" w:hAnsi="Arial" w:cs="Arial"/>
        </w:rPr>
        <w:t xml:space="preserve"> to develop more effective workforce strategies.</w:t>
      </w:r>
    </w:p>
    <w:p w14:paraId="4CB629E7" w14:textId="77777777" w:rsidR="00047DC5" w:rsidRDefault="00047DC5" w:rsidP="00047DC5">
      <w:pPr>
        <w:pageBreakBefore/>
        <w:rPr>
          <w:rFonts w:ascii="Arial" w:hAnsi="Arial" w:cs="Arial"/>
        </w:rPr>
      </w:pPr>
    </w:p>
    <w:p w14:paraId="037250FF" w14:textId="77777777" w:rsidR="00047DC5" w:rsidRDefault="00047DC5" w:rsidP="00047DC5">
      <w:pPr>
        <w:pStyle w:val="Heading1"/>
      </w:pPr>
      <w:bookmarkStart w:id="182" w:name="_Toc238549852"/>
      <w:r>
        <w:t>6. References</w:t>
      </w:r>
      <w:bookmarkEnd w:id="182"/>
    </w:p>
    <w:p w14:paraId="539A0474" w14:textId="77777777" w:rsidR="00047DC5" w:rsidRDefault="00047DC5" w:rsidP="00047DC5">
      <w:pPr>
        <w:spacing w:line="360" w:lineRule="auto"/>
        <w:jc w:val="both"/>
      </w:pPr>
      <w:proofErr w:type="spellStart"/>
      <w:r>
        <w:rPr>
          <w:rFonts w:ascii="Arial" w:hAnsi="Arial" w:cs="Arial"/>
        </w:rPr>
        <w:t>Alhaddi</w:t>
      </w:r>
      <w:proofErr w:type="spellEnd"/>
      <w:r>
        <w:rPr>
          <w:rFonts w:ascii="Arial" w:hAnsi="Arial" w:cs="Arial"/>
        </w:rPr>
        <w:t>, H. (2015) 'Triple bottom line and sustainability: A literature review', </w:t>
      </w:r>
      <w:r>
        <w:rPr>
          <w:rFonts w:ascii="Arial" w:hAnsi="Arial" w:cs="Arial"/>
          <w:i/>
          <w:iCs/>
        </w:rPr>
        <w:t>Business and Management Studies</w:t>
      </w:r>
      <w:r>
        <w:rPr>
          <w:rFonts w:ascii="Arial" w:hAnsi="Arial" w:cs="Arial"/>
        </w:rPr>
        <w:t>, 1(2), pp. 6–10.</w:t>
      </w:r>
    </w:p>
    <w:p w14:paraId="56A9AA5C" w14:textId="77777777" w:rsidR="00047DC5" w:rsidRDefault="00047DC5" w:rsidP="00047DC5">
      <w:pPr>
        <w:spacing w:line="360" w:lineRule="auto"/>
        <w:jc w:val="both"/>
      </w:pPr>
      <w:proofErr w:type="spellStart"/>
      <w:r>
        <w:rPr>
          <w:rFonts w:ascii="Arial" w:hAnsi="Arial" w:cs="Arial"/>
        </w:rPr>
        <w:t>Aluttis</w:t>
      </w:r>
      <w:proofErr w:type="spellEnd"/>
      <w:r>
        <w:rPr>
          <w:rFonts w:ascii="Arial" w:hAnsi="Arial" w:cs="Arial"/>
        </w:rPr>
        <w:t>, C., Bishaw, T. and Frank, M.W. (2014) 'The workforce for health in a globalized context – global shortages and international migration', </w:t>
      </w:r>
      <w:r>
        <w:rPr>
          <w:rFonts w:ascii="Arial" w:hAnsi="Arial" w:cs="Arial"/>
          <w:i/>
          <w:iCs/>
        </w:rPr>
        <w:t>Global Health Action</w:t>
      </w:r>
      <w:r>
        <w:rPr>
          <w:rFonts w:ascii="Arial" w:hAnsi="Arial" w:cs="Arial"/>
        </w:rPr>
        <w:t>, 7(1), 23611.</w:t>
      </w:r>
    </w:p>
    <w:p w14:paraId="45F96B8E" w14:textId="77777777" w:rsidR="00047DC5" w:rsidRDefault="00047DC5" w:rsidP="00047DC5">
      <w:pPr>
        <w:spacing w:line="360" w:lineRule="auto"/>
        <w:jc w:val="both"/>
      </w:pPr>
      <w:r>
        <w:rPr>
          <w:rFonts w:ascii="Arial" w:hAnsi="Arial" w:cs="Arial"/>
        </w:rPr>
        <w:t xml:space="preserve">Anderson, M., O'Neill, C., Clark, J.M., Street, A., Woods, M., Johnston-Webber, C., Charlesworth, A., Whyte, M., Foster, M., Majeed, A. and Pitchforth, E. (2021) </w:t>
      </w:r>
      <w:r>
        <w:rPr>
          <w:rFonts w:ascii="Arial" w:hAnsi="Arial" w:cs="Arial"/>
          <w:i/>
          <w:iCs/>
        </w:rPr>
        <w:t>'</w:t>
      </w:r>
      <w:r>
        <w:rPr>
          <w:rFonts w:ascii="Arial" w:hAnsi="Arial" w:cs="Arial"/>
        </w:rPr>
        <w:t>Securing a sustainable and fit-for-purpose UK health and care workforce', </w:t>
      </w:r>
      <w:r>
        <w:rPr>
          <w:rFonts w:ascii="Arial" w:hAnsi="Arial" w:cs="Arial"/>
          <w:i/>
          <w:iCs/>
        </w:rPr>
        <w:t>The Lancet</w:t>
      </w:r>
      <w:r>
        <w:rPr>
          <w:rFonts w:ascii="Arial" w:hAnsi="Arial" w:cs="Arial"/>
        </w:rPr>
        <w:t>, 397(10288), pp. 1992–2011.</w:t>
      </w:r>
    </w:p>
    <w:p w14:paraId="0CA00227" w14:textId="77777777" w:rsidR="00047DC5" w:rsidRDefault="00047DC5" w:rsidP="00047DC5">
      <w:pPr>
        <w:spacing w:line="360" w:lineRule="auto"/>
        <w:jc w:val="both"/>
      </w:pPr>
      <w:r>
        <w:rPr>
          <w:rFonts w:ascii="Arial" w:hAnsi="Arial" w:cs="Arial"/>
        </w:rPr>
        <w:t>BBC (2026) 'UK net migration drops to 171,000 in 2025, lowest since 2012 excluding pandemic', </w:t>
      </w:r>
      <w:r>
        <w:rPr>
          <w:rFonts w:ascii="Arial" w:hAnsi="Arial" w:cs="Arial"/>
          <w:i/>
          <w:iCs/>
        </w:rPr>
        <w:t>BBC News</w:t>
      </w:r>
      <w:r>
        <w:rPr>
          <w:rFonts w:ascii="Arial" w:hAnsi="Arial" w:cs="Arial"/>
        </w:rPr>
        <w:t>, 21 May. Available at: </w:t>
      </w:r>
      <w:hyperlink r:id="rId9" w:history="1">
        <w:r>
          <w:rPr>
            <w:rStyle w:val="Hyperlink"/>
            <w:rFonts w:ascii="Arial" w:hAnsi="Arial" w:cs="Arial"/>
          </w:rPr>
          <w:t>https://www.bbc.co.uk/news/live/cvgzjpd1jjgt</w:t>
        </w:r>
      </w:hyperlink>
      <w:r>
        <w:rPr>
          <w:rFonts w:ascii="Arial" w:hAnsi="Arial" w:cs="Arial"/>
        </w:rPr>
        <w:t xml:space="preserve">  (Accessed: 29 July 2026).</w:t>
      </w:r>
    </w:p>
    <w:p w14:paraId="717F444B" w14:textId="77777777" w:rsidR="00047DC5" w:rsidRDefault="00047DC5" w:rsidP="00047DC5">
      <w:pPr>
        <w:spacing w:line="360" w:lineRule="auto"/>
        <w:jc w:val="both"/>
      </w:pPr>
      <w:r>
        <w:rPr>
          <w:rFonts w:ascii="Arial" w:hAnsi="Arial" w:cs="Arial"/>
        </w:rPr>
        <w:t xml:space="preserve">Becker, G.S. and Rees, A. (1965). Review of human capital: A theoretical and empirical analysis with special reference to education. </w:t>
      </w:r>
      <w:r>
        <w:rPr>
          <w:rFonts w:ascii="Arial" w:hAnsi="Arial" w:cs="Arial"/>
          <w:i/>
          <w:iCs/>
        </w:rPr>
        <w:t>The American Economic Review</w:t>
      </w:r>
      <w:r>
        <w:rPr>
          <w:rFonts w:ascii="Arial" w:hAnsi="Arial" w:cs="Arial"/>
        </w:rPr>
        <w:t>, [online] 55(4), pp.958–960. Available at: https://www.jstor.org/stable/1823991 [Accessed 01 Aug. 2026].</w:t>
      </w:r>
    </w:p>
    <w:p w14:paraId="3A6BDEF1" w14:textId="77777777" w:rsidR="00047DC5" w:rsidRDefault="00047DC5" w:rsidP="00047DC5">
      <w:pPr>
        <w:spacing w:line="360" w:lineRule="auto"/>
        <w:jc w:val="both"/>
      </w:pPr>
      <w:r>
        <w:rPr>
          <w:rFonts w:ascii="Arial" w:hAnsi="Arial" w:cs="Arial"/>
        </w:rPr>
        <w:t xml:space="preserve">Buchan, J., Campbell, J., Dhillon, I. and Charlesworth, A. (2019). </w:t>
      </w:r>
      <w:proofErr w:type="spellStart"/>
      <w:r>
        <w:rPr>
          <w:rFonts w:ascii="Arial" w:hAnsi="Arial" w:cs="Arial"/>
          <w:i/>
          <w:iCs/>
        </w:rPr>
        <w:t>Labour</w:t>
      </w:r>
      <w:proofErr w:type="spellEnd"/>
      <w:r>
        <w:rPr>
          <w:rFonts w:ascii="Arial" w:hAnsi="Arial" w:cs="Arial"/>
          <w:i/>
          <w:iCs/>
        </w:rPr>
        <w:t xml:space="preserve"> market change and the international mobility of health workers</w:t>
      </w:r>
      <w:r>
        <w:rPr>
          <w:rFonts w:ascii="Arial" w:hAnsi="Arial" w:cs="Arial"/>
        </w:rPr>
        <w:t>. [online] Available at: https://www.health.org.uk/sites/default/files/upload/publications/2019/Labour%20market%20change%20and%20the%20international%20mobility%20of%20health%20workers%20Working%20Paper_0.pdf [Accessed 11 Aug. 2026].</w:t>
      </w:r>
    </w:p>
    <w:p w14:paraId="57549A64" w14:textId="77777777" w:rsidR="00047DC5" w:rsidRDefault="00047DC5" w:rsidP="00047DC5">
      <w:pPr>
        <w:spacing w:line="360" w:lineRule="auto"/>
        <w:jc w:val="both"/>
      </w:pPr>
      <w:r>
        <w:rPr>
          <w:rFonts w:ascii="Arial" w:hAnsi="Arial" w:cs="Arial"/>
        </w:rPr>
        <w:t xml:space="preserve">Crawfurd, L. Dempster, H. (2024). </w:t>
      </w:r>
      <w:r>
        <w:rPr>
          <w:rFonts w:ascii="Arial" w:hAnsi="Arial" w:cs="Arial"/>
          <w:i/>
          <w:iCs/>
        </w:rPr>
        <w:t>UK recruitment of Nigerian nurses can be win-win</w:t>
      </w:r>
      <w:r>
        <w:rPr>
          <w:rFonts w:ascii="Arial" w:hAnsi="Arial" w:cs="Arial"/>
        </w:rPr>
        <w:t xml:space="preserve">. [online] Center </w:t>
      </w:r>
      <w:proofErr w:type="gramStart"/>
      <w:r>
        <w:rPr>
          <w:rFonts w:ascii="Arial" w:hAnsi="Arial" w:cs="Arial"/>
        </w:rPr>
        <w:t>For</w:t>
      </w:r>
      <w:proofErr w:type="gramEnd"/>
      <w:r>
        <w:rPr>
          <w:rFonts w:ascii="Arial" w:hAnsi="Arial" w:cs="Arial"/>
        </w:rPr>
        <w:t xml:space="preserve"> Global Development. Available at: https://www.cgdev.org/blog/uk-recruitment-nigerian-nurses-can-be-win-win [Accessed 2 Aug. 2026].</w:t>
      </w:r>
    </w:p>
    <w:p w14:paraId="63B3DC2C" w14:textId="77777777" w:rsidR="00047DC5" w:rsidRDefault="00047DC5" w:rsidP="00047DC5">
      <w:pPr>
        <w:spacing w:line="360" w:lineRule="auto"/>
        <w:jc w:val="both"/>
      </w:pPr>
      <w:r>
        <w:rPr>
          <w:rFonts w:ascii="Arial" w:hAnsi="Arial" w:cs="Arial"/>
        </w:rPr>
        <w:t xml:space="preserve">Dada, O. P. (2026). Brexit and social care in Scotland: An exploration of the perceived impact on workforce sustainability. </w:t>
      </w:r>
      <w:r>
        <w:rPr>
          <w:rFonts w:ascii="Arial" w:hAnsi="Arial" w:cs="Arial"/>
          <w:i/>
          <w:iCs/>
        </w:rPr>
        <w:t>Equity in Education &amp; Society</w:t>
      </w:r>
      <w:r>
        <w:rPr>
          <w:rFonts w:ascii="Arial" w:hAnsi="Arial" w:cs="Arial"/>
        </w:rPr>
        <w:t xml:space="preserve">, </w:t>
      </w:r>
      <w:r>
        <w:rPr>
          <w:rFonts w:ascii="Arial" w:hAnsi="Arial" w:cs="Arial"/>
          <w:i/>
          <w:iCs/>
        </w:rPr>
        <w:t>5</w:t>
      </w:r>
      <w:r>
        <w:rPr>
          <w:rFonts w:ascii="Arial" w:hAnsi="Arial" w:cs="Arial"/>
        </w:rPr>
        <w:t>(1), 37-54.</w:t>
      </w:r>
    </w:p>
    <w:p w14:paraId="061268C4" w14:textId="77777777" w:rsidR="00047DC5" w:rsidRDefault="00047DC5" w:rsidP="00047DC5">
      <w:pPr>
        <w:spacing w:line="360" w:lineRule="auto"/>
        <w:jc w:val="both"/>
      </w:pPr>
      <w:r>
        <w:rPr>
          <w:rFonts w:ascii="Arial" w:hAnsi="Arial" w:cs="Arial"/>
        </w:rPr>
        <w:lastRenderedPageBreak/>
        <w:t xml:space="preserve">Davda, L.S., Gallagher, J.E. and Radford, D.R. (2018). Migration motives and integration of international human resources of health in the United Kingdom: Systematic review and meta-synthesis of qualitative studies using framework analysis. </w:t>
      </w:r>
      <w:r>
        <w:rPr>
          <w:rFonts w:ascii="Arial" w:hAnsi="Arial" w:cs="Arial"/>
          <w:i/>
          <w:iCs/>
        </w:rPr>
        <w:t>Human Resources for Health</w:t>
      </w:r>
      <w:r>
        <w:rPr>
          <w:rFonts w:ascii="Arial" w:hAnsi="Arial" w:cs="Arial"/>
        </w:rPr>
        <w:t>, [online] 16(1). doi:10.1186/s12960-018-0293-9.</w:t>
      </w:r>
    </w:p>
    <w:p w14:paraId="0B49E672" w14:textId="77777777" w:rsidR="00047DC5" w:rsidRDefault="00047DC5" w:rsidP="00047DC5">
      <w:pPr>
        <w:spacing w:line="360" w:lineRule="auto"/>
        <w:jc w:val="both"/>
      </w:pPr>
      <w:r>
        <w:rPr>
          <w:rFonts w:ascii="Arial" w:hAnsi="Arial" w:cs="Arial"/>
        </w:rPr>
        <w:t xml:space="preserve">Zhou, X., Correa, A., Palmer, T., Sun, M., Pizzo, E., Gomes, P. and Skordis, J. (2026). Earned settlement: The value of International Health and Care Workers in the UK. </w:t>
      </w:r>
      <w:r>
        <w:rPr>
          <w:rFonts w:ascii="Arial" w:hAnsi="Arial" w:cs="Arial"/>
          <w:i/>
          <w:iCs/>
        </w:rPr>
        <w:t>The Lancet Regional Health - Europe</w:t>
      </w:r>
      <w:r>
        <w:rPr>
          <w:rFonts w:ascii="Arial" w:hAnsi="Arial" w:cs="Arial"/>
        </w:rPr>
        <w:t xml:space="preserve">, [online] 62, p.101596. </w:t>
      </w:r>
      <w:proofErr w:type="gramStart"/>
      <w:r>
        <w:rPr>
          <w:rFonts w:ascii="Arial" w:hAnsi="Arial" w:cs="Arial"/>
        </w:rPr>
        <w:t>doi:10.1016/j.lanepe</w:t>
      </w:r>
      <w:proofErr w:type="gramEnd"/>
      <w:r>
        <w:rPr>
          <w:rFonts w:ascii="Arial" w:hAnsi="Arial" w:cs="Arial"/>
        </w:rPr>
        <w:t>.2026.101596.</w:t>
      </w:r>
    </w:p>
    <w:p w14:paraId="2D1A6295" w14:textId="77777777" w:rsidR="00047DC5" w:rsidRDefault="00047DC5" w:rsidP="00047DC5">
      <w:pPr>
        <w:spacing w:line="360" w:lineRule="auto"/>
        <w:jc w:val="both"/>
        <w:rPr>
          <w:rFonts w:ascii="Arial" w:hAnsi="Arial" w:cs="Arial"/>
        </w:rPr>
      </w:pPr>
      <w:r>
        <w:rPr>
          <w:rFonts w:ascii="Arial" w:hAnsi="Arial" w:cs="Arial"/>
        </w:rPr>
        <w:t>DIVA-Portal (2025) 'The impact of employee wellbeing and job security on migration intentions: a study of private sector nurses'. Available at: https://www.diva-portal.org/smash/record.jsf?pid=diva2%3A1973770&amp;dswid=-145 (Accessed: 29 July 2026).</w:t>
      </w:r>
    </w:p>
    <w:p w14:paraId="6844A653" w14:textId="77777777" w:rsidR="00047DC5" w:rsidRDefault="00047DC5" w:rsidP="00047DC5">
      <w:pPr>
        <w:spacing w:line="360" w:lineRule="auto"/>
        <w:jc w:val="both"/>
      </w:pPr>
      <w:r>
        <w:rPr>
          <w:rFonts w:ascii="Arial" w:hAnsi="Arial" w:cs="Arial"/>
        </w:rPr>
        <w:t xml:space="preserve">Elkington, J. and Rowlands, I.H. (1997). </w:t>
      </w:r>
      <w:r>
        <w:rPr>
          <w:rFonts w:ascii="Arial" w:hAnsi="Arial" w:cs="Arial"/>
          <w:i/>
          <w:iCs/>
        </w:rPr>
        <w:t>Cannibals with forks: The triple bottom line of 21st century business</w:t>
      </w:r>
      <w:r>
        <w:rPr>
          <w:rFonts w:ascii="Arial" w:hAnsi="Arial" w:cs="Arial"/>
        </w:rPr>
        <w:t>. [online] www.proquest.com. Available at: https://www.proquest.com/openview/804cc9d98196ef6e26d88748e89f8db0/1?pq-origsite=gscholar&amp;cbl=35934 [Accessed 22 Jul. 2026].</w:t>
      </w:r>
    </w:p>
    <w:p w14:paraId="2CADA0D6" w14:textId="77777777" w:rsidR="00047DC5" w:rsidRDefault="00047DC5" w:rsidP="00047DC5">
      <w:pPr>
        <w:spacing w:line="360" w:lineRule="auto"/>
        <w:jc w:val="both"/>
      </w:pPr>
      <w:r>
        <w:rPr>
          <w:rFonts w:ascii="Arial" w:hAnsi="Arial" w:cs="Arial"/>
        </w:rPr>
        <w:t>Florence Nightingale Foundation (2025) </w:t>
      </w:r>
      <w:r>
        <w:rPr>
          <w:rFonts w:ascii="Arial" w:hAnsi="Arial" w:cs="Arial"/>
          <w:i/>
          <w:iCs/>
        </w:rPr>
        <w:t>Internationally Educated Nurses and Midwives: Key Statistics 2025</w:t>
      </w:r>
      <w:r>
        <w:rPr>
          <w:rFonts w:ascii="Arial" w:hAnsi="Arial" w:cs="Arial"/>
        </w:rPr>
        <w:t>. Available at: https://florence-nightingale-foundation.org.uk/?s=Internationally+Educated+Nurses+and+Midwives (Accessed: 29 July 2026).</w:t>
      </w:r>
    </w:p>
    <w:p w14:paraId="1BFFEDB0" w14:textId="77777777" w:rsidR="00047DC5" w:rsidRDefault="00047DC5" w:rsidP="00047DC5">
      <w:pPr>
        <w:spacing w:line="360" w:lineRule="auto"/>
        <w:jc w:val="both"/>
      </w:pPr>
      <w:r>
        <w:rPr>
          <w:rFonts w:ascii="Arial" w:hAnsi="Arial" w:cs="Arial"/>
        </w:rPr>
        <w:t>Hatton, T.J. (2005) 'Explaining trends in UK immigration', </w:t>
      </w:r>
      <w:r>
        <w:rPr>
          <w:rFonts w:ascii="Arial" w:hAnsi="Arial" w:cs="Arial"/>
          <w:i/>
          <w:iCs/>
        </w:rPr>
        <w:t>Journal of Population Economics</w:t>
      </w:r>
      <w:r>
        <w:rPr>
          <w:rFonts w:ascii="Arial" w:hAnsi="Arial" w:cs="Arial"/>
        </w:rPr>
        <w:t>, 18, pp. 719–740.</w:t>
      </w:r>
    </w:p>
    <w:p w14:paraId="444E3867" w14:textId="77777777" w:rsidR="00047DC5" w:rsidRDefault="00047DC5" w:rsidP="00047DC5">
      <w:pPr>
        <w:spacing w:line="360" w:lineRule="auto"/>
        <w:jc w:val="both"/>
      </w:pPr>
      <w:proofErr w:type="spellStart"/>
      <w:r>
        <w:rPr>
          <w:rFonts w:ascii="Arial" w:hAnsi="Arial" w:cs="Arial"/>
        </w:rPr>
        <w:t>Hobfoll</w:t>
      </w:r>
      <w:proofErr w:type="spellEnd"/>
      <w:r>
        <w:rPr>
          <w:rFonts w:ascii="Arial" w:hAnsi="Arial" w:cs="Arial"/>
        </w:rPr>
        <w:t>, S.E. (1989) 'Conservation of resources: A new attempt at conceptualizing stress', </w:t>
      </w:r>
      <w:r>
        <w:rPr>
          <w:rFonts w:ascii="Arial" w:hAnsi="Arial" w:cs="Arial"/>
          <w:i/>
          <w:iCs/>
        </w:rPr>
        <w:t>American Psychologist</w:t>
      </w:r>
      <w:r>
        <w:rPr>
          <w:rFonts w:ascii="Arial" w:hAnsi="Arial" w:cs="Arial"/>
        </w:rPr>
        <w:t>, 44(3), pp. 513.</w:t>
      </w:r>
    </w:p>
    <w:p w14:paraId="07D69B7E" w14:textId="77777777" w:rsidR="00047DC5" w:rsidRDefault="00047DC5" w:rsidP="00047DC5">
      <w:pPr>
        <w:spacing w:line="360" w:lineRule="auto"/>
        <w:jc w:val="both"/>
      </w:pPr>
      <w:r>
        <w:rPr>
          <w:rFonts w:ascii="Arial" w:hAnsi="Arial" w:cs="Arial"/>
        </w:rPr>
        <w:t>Home Office (2024) </w:t>
      </w:r>
      <w:r>
        <w:rPr>
          <w:rFonts w:ascii="Arial" w:hAnsi="Arial" w:cs="Arial"/>
          <w:i/>
          <w:iCs/>
        </w:rPr>
        <w:t>Migration Statistics, Year Ending June 2024</w:t>
      </w:r>
      <w:r>
        <w:rPr>
          <w:rFonts w:ascii="Arial" w:hAnsi="Arial" w:cs="Arial"/>
        </w:rPr>
        <w:t>. London: Home Office.</w:t>
      </w:r>
    </w:p>
    <w:p w14:paraId="4F17DC9B" w14:textId="77777777" w:rsidR="00047DC5" w:rsidRDefault="00047DC5" w:rsidP="00047DC5">
      <w:pPr>
        <w:spacing w:line="360" w:lineRule="auto"/>
        <w:jc w:val="both"/>
      </w:pPr>
      <w:r>
        <w:rPr>
          <w:rFonts w:ascii="Arial" w:hAnsi="Arial" w:cs="Arial"/>
        </w:rPr>
        <w:t>Home Office (2025a) </w:t>
      </w:r>
      <w:r>
        <w:rPr>
          <w:rFonts w:ascii="Arial" w:hAnsi="Arial" w:cs="Arial"/>
          <w:i/>
          <w:iCs/>
        </w:rPr>
        <w:t>Restoring Control over the Immigration System</w:t>
      </w:r>
      <w:r>
        <w:rPr>
          <w:rFonts w:ascii="Arial" w:hAnsi="Arial" w:cs="Arial"/>
        </w:rPr>
        <w:t>. Available at: </w:t>
      </w:r>
      <w:hyperlink r:id="rId10" w:history="1">
        <w:r>
          <w:rPr>
            <w:rStyle w:val="Hyperlink"/>
            <w:rFonts w:ascii="Arial" w:hAnsi="Arial" w:cs="Arial"/>
          </w:rPr>
          <w:t>https://www.gov.uk/government/publications/restoring-control-over-the-immigration-</w:t>
        </w:r>
        <w:r>
          <w:rPr>
            <w:rStyle w:val="Hyperlink"/>
            <w:rFonts w:ascii="Arial" w:hAnsi="Arial" w:cs="Arial"/>
          </w:rPr>
          <w:lastRenderedPageBreak/>
          <w:t>system-white-paper/restoring-control-over-the-immigration-system-accessible</w:t>
        </w:r>
      </w:hyperlink>
      <w:r>
        <w:rPr>
          <w:rFonts w:ascii="Arial" w:hAnsi="Arial" w:cs="Arial"/>
        </w:rPr>
        <w:t> (Accessed: 29 July 2026).</w:t>
      </w:r>
    </w:p>
    <w:p w14:paraId="61770A1D" w14:textId="77777777" w:rsidR="00047DC5" w:rsidRDefault="00047DC5" w:rsidP="00047DC5">
      <w:pPr>
        <w:spacing w:line="360" w:lineRule="auto"/>
        <w:jc w:val="both"/>
      </w:pPr>
      <w:r>
        <w:rPr>
          <w:rFonts w:ascii="Arial" w:hAnsi="Arial" w:cs="Arial"/>
        </w:rPr>
        <w:t>Home Office (2025b) </w:t>
      </w:r>
      <w:r>
        <w:rPr>
          <w:rFonts w:ascii="Arial" w:hAnsi="Arial" w:cs="Arial"/>
          <w:i/>
          <w:iCs/>
        </w:rPr>
        <w:t>Spring 2025 Immigration Rules Impact Assessment (Skilled Worker and Care Worker)</w:t>
      </w:r>
      <w:r>
        <w:rPr>
          <w:rFonts w:ascii="Arial" w:hAnsi="Arial" w:cs="Arial"/>
        </w:rPr>
        <w:t>. Available at: </w:t>
      </w:r>
      <w:hyperlink r:id="rId11" w:history="1">
        <w:r>
          <w:rPr>
            <w:rStyle w:val="Hyperlink"/>
            <w:rFonts w:ascii="Arial" w:hAnsi="Arial" w:cs="Arial"/>
          </w:rPr>
          <w:t>https://www.gov.uk/government/publications/statement-of-changes-to-the-immigration-rules-hc-997-1-july-2025/spring-2025-immigration-rules-impact-assessment-skilled-worker-and-care-worker-july-2025-accessible-version</w:t>
        </w:r>
      </w:hyperlink>
      <w:r>
        <w:rPr>
          <w:rFonts w:ascii="Arial" w:hAnsi="Arial" w:cs="Arial"/>
        </w:rPr>
        <w:t> (Accessed: 29 July 2026).</w:t>
      </w:r>
    </w:p>
    <w:p w14:paraId="2ECBD247" w14:textId="77777777" w:rsidR="00047DC5" w:rsidRDefault="00047DC5" w:rsidP="00047DC5">
      <w:pPr>
        <w:spacing w:line="360" w:lineRule="auto"/>
        <w:jc w:val="both"/>
      </w:pPr>
      <w:r>
        <w:rPr>
          <w:rFonts w:ascii="Arial" w:hAnsi="Arial" w:cs="Arial"/>
        </w:rPr>
        <w:t>Home Office (2025c) </w:t>
      </w:r>
      <w:r>
        <w:rPr>
          <w:rFonts w:ascii="Arial" w:hAnsi="Arial" w:cs="Arial"/>
          <w:i/>
          <w:iCs/>
        </w:rPr>
        <w:t>Health and Care Visa Guidance</w:t>
      </w:r>
      <w:r>
        <w:rPr>
          <w:rFonts w:ascii="Arial" w:hAnsi="Arial" w:cs="Arial"/>
        </w:rPr>
        <w:t>. Available at: </w:t>
      </w:r>
      <w:hyperlink r:id="rId12" w:history="1">
        <w:r>
          <w:rPr>
            <w:rStyle w:val="Hyperlink"/>
            <w:rFonts w:ascii="Arial" w:hAnsi="Arial" w:cs="Arial"/>
          </w:rPr>
          <w:t>https://www.gov.uk/government/publications/health-and-care-visa-guidance</w:t>
        </w:r>
      </w:hyperlink>
      <w:r>
        <w:rPr>
          <w:rFonts w:ascii="Arial" w:hAnsi="Arial" w:cs="Arial"/>
        </w:rPr>
        <w:t> (Accessed: 29 July 2026).</w:t>
      </w:r>
    </w:p>
    <w:p w14:paraId="5C4EBC2B" w14:textId="77777777" w:rsidR="00047DC5" w:rsidRDefault="00047DC5" w:rsidP="00047DC5">
      <w:pPr>
        <w:spacing w:line="360" w:lineRule="auto"/>
        <w:jc w:val="both"/>
      </w:pPr>
      <w:r>
        <w:rPr>
          <w:rFonts w:ascii="Arial" w:hAnsi="Arial" w:cs="Arial"/>
        </w:rPr>
        <w:t>Home Office (2026) </w:t>
      </w:r>
      <w:r>
        <w:rPr>
          <w:rFonts w:ascii="Arial" w:hAnsi="Arial" w:cs="Arial"/>
          <w:i/>
          <w:iCs/>
        </w:rPr>
        <w:t>Statement of Changes to the Immigration Rules: HC 1691</w:t>
      </w:r>
      <w:r>
        <w:rPr>
          <w:rFonts w:ascii="Arial" w:hAnsi="Arial" w:cs="Arial"/>
        </w:rPr>
        <w:t>. Available at: </w:t>
      </w:r>
      <w:hyperlink r:id="rId13" w:history="1">
        <w:r>
          <w:rPr>
            <w:rStyle w:val="Hyperlink"/>
            <w:rFonts w:ascii="Arial" w:hAnsi="Arial" w:cs="Arial"/>
          </w:rPr>
          <w:t>https://assets.publishing.service.gov.uk/media/69a9a1f58fd807b03bbe92e5/E03553349_-_HC_1691_-_Immigration_Rules_Changes__Web_Accessible_.pdf</w:t>
        </w:r>
      </w:hyperlink>
      <w:r>
        <w:rPr>
          <w:rFonts w:ascii="Arial" w:hAnsi="Arial" w:cs="Arial"/>
        </w:rPr>
        <w:t> (Accessed: 29 July 2026).</w:t>
      </w:r>
    </w:p>
    <w:p w14:paraId="5395974F" w14:textId="77777777" w:rsidR="00047DC5" w:rsidRDefault="00047DC5" w:rsidP="00047DC5">
      <w:pPr>
        <w:spacing w:line="360" w:lineRule="auto"/>
        <w:jc w:val="both"/>
      </w:pPr>
      <w:proofErr w:type="spellStart"/>
      <w:r>
        <w:rPr>
          <w:rFonts w:ascii="Arial" w:hAnsi="Arial" w:cs="Arial"/>
        </w:rPr>
        <w:t>Kabene</w:t>
      </w:r>
      <w:proofErr w:type="spellEnd"/>
      <w:r>
        <w:rPr>
          <w:rFonts w:ascii="Arial" w:hAnsi="Arial" w:cs="Arial"/>
        </w:rPr>
        <w:t>, S.M., Orchard, C., Howard, J.M., Soriano, M.A. and Leduc, R., 2006. The importance of human resources management in health care: a global context. </w:t>
      </w:r>
      <w:r>
        <w:rPr>
          <w:rFonts w:ascii="Arial" w:hAnsi="Arial" w:cs="Arial"/>
          <w:i/>
          <w:iCs/>
        </w:rPr>
        <w:t>Human resources for health</w:t>
      </w:r>
      <w:r>
        <w:rPr>
          <w:rFonts w:ascii="Arial" w:hAnsi="Arial" w:cs="Arial"/>
        </w:rPr>
        <w:t>, </w:t>
      </w:r>
      <w:r>
        <w:rPr>
          <w:rFonts w:ascii="Arial" w:hAnsi="Arial" w:cs="Arial"/>
          <w:i/>
          <w:iCs/>
        </w:rPr>
        <w:t>4</w:t>
      </w:r>
      <w:r>
        <w:rPr>
          <w:rFonts w:ascii="Arial" w:hAnsi="Arial" w:cs="Arial"/>
        </w:rPr>
        <w:t>(1), p.20.</w:t>
      </w:r>
    </w:p>
    <w:p w14:paraId="2CDA9BCD" w14:textId="77777777" w:rsidR="00047DC5" w:rsidRDefault="00047DC5" w:rsidP="00047DC5">
      <w:pPr>
        <w:spacing w:line="360" w:lineRule="auto"/>
        <w:jc w:val="both"/>
      </w:pPr>
      <w:r>
        <w:rPr>
          <w:rFonts w:ascii="Arial" w:hAnsi="Arial" w:cs="Arial"/>
        </w:rPr>
        <w:t xml:space="preserve">Lingham, J. (2025). </w:t>
      </w:r>
      <w:r>
        <w:rPr>
          <w:rFonts w:ascii="Arial" w:hAnsi="Arial" w:cs="Arial"/>
          <w:i/>
          <w:iCs/>
        </w:rPr>
        <w:t>Closing off social care jobs to migrant workers will only harm a sector that’s already in crisis.</w:t>
      </w:r>
      <w:r>
        <w:rPr>
          <w:rFonts w:ascii="Arial" w:hAnsi="Arial" w:cs="Arial"/>
        </w:rPr>
        <w:t xml:space="preserve"> [online] the Centre for Care. Available at: https://centreforcare.ac.uk/care-workforce-change/2025/08/closing-off-social-care-jobs-to-migrant-workers-will-only-harm-a-sector-thats-already-in-crisis/ [Accessed 10 Aug. 2026].</w:t>
      </w:r>
    </w:p>
    <w:p w14:paraId="5997C2BD" w14:textId="77777777" w:rsidR="00047DC5" w:rsidRDefault="00047DC5" w:rsidP="00047DC5">
      <w:pPr>
        <w:spacing w:line="360" w:lineRule="auto"/>
        <w:jc w:val="both"/>
      </w:pPr>
      <w:r>
        <w:rPr>
          <w:rFonts w:ascii="Arial" w:hAnsi="Arial" w:cs="Arial"/>
        </w:rPr>
        <w:t xml:space="preserve">Lowell, B.L. and Gerova, S.G. (2004). Immigrants and the Healthcare Workforce. </w:t>
      </w:r>
      <w:r>
        <w:rPr>
          <w:rFonts w:ascii="Arial" w:hAnsi="Arial" w:cs="Arial"/>
          <w:i/>
          <w:iCs/>
        </w:rPr>
        <w:t>Work and Occupations</w:t>
      </w:r>
      <w:r>
        <w:rPr>
          <w:rFonts w:ascii="Arial" w:hAnsi="Arial" w:cs="Arial"/>
        </w:rPr>
        <w:t>, 31(4), pp.474–498. doi:10.1177/0730888404268916.</w:t>
      </w:r>
    </w:p>
    <w:p w14:paraId="2E16C080" w14:textId="77777777" w:rsidR="00047DC5" w:rsidRDefault="00047DC5" w:rsidP="00047DC5">
      <w:pPr>
        <w:spacing w:line="360" w:lineRule="auto"/>
        <w:jc w:val="both"/>
      </w:pPr>
      <w:r>
        <w:rPr>
          <w:rFonts w:ascii="Arial" w:hAnsi="Arial" w:cs="Arial"/>
        </w:rPr>
        <w:t>LSE Business Review (2025) 'Low pay, job insecurity and post-Brexit recruitment challenges are plaguing the adult social care sector in England. Available at: </w:t>
      </w:r>
      <w:hyperlink r:id="rId14" w:history="1">
        <w:r>
          <w:rPr>
            <w:rStyle w:val="Hyperlink"/>
            <w:rFonts w:ascii="Arial" w:hAnsi="Arial" w:cs="Arial"/>
          </w:rPr>
          <w:t>https://blogs.lse.ac.uk/businessreview</w:t>
        </w:r>
      </w:hyperlink>
      <w:r>
        <w:rPr>
          <w:rFonts w:ascii="Arial" w:hAnsi="Arial" w:cs="Arial"/>
        </w:rPr>
        <w:t xml:space="preserve"> (Accessed: 15 July 2026). </w:t>
      </w:r>
    </w:p>
    <w:p w14:paraId="39E3C14C" w14:textId="77777777" w:rsidR="00047DC5" w:rsidRDefault="00047DC5" w:rsidP="00047DC5">
      <w:pPr>
        <w:spacing w:line="360" w:lineRule="auto"/>
        <w:jc w:val="both"/>
      </w:pPr>
      <w:r>
        <w:rPr>
          <w:rFonts w:ascii="Arial" w:hAnsi="Arial" w:cs="Arial"/>
        </w:rPr>
        <w:lastRenderedPageBreak/>
        <w:t xml:space="preserve">McNeil, R. (2024). </w:t>
      </w:r>
      <w:r>
        <w:rPr>
          <w:rFonts w:ascii="Arial" w:hAnsi="Arial" w:cs="Arial"/>
          <w:i/>
          <w:iCs/>
        </w:rPr>
        <w:t>Migration statistics show dramatic fall in visas granted in 2024 - migration observatory</w:t>
      </w:r>
      <w:r>
        <w:rPr>
          <w:rFonts w:ascii="Arial" w:hAnsi="Arial" w:cs="Arial"/>
        </w:rPr>
        <w:t>. [online] Migration Observatory. Available at: https://migrationobservatory.ox.ac.uk/press/migration-statistics-show-dramatic-fall-in-visas-granted-in-2024/ [Accessed 7 Aug. 2026].</w:t>
      </w:r>
    </w:p>
    <w:p w14:paraId="717B4F6E" w14:textId="77777777" w:rsidR="00047DC5" w:rsidRDefault="00047DC5" w:rsidP="00047DC5">
      <w:pPr>
        <w:spacing w:line="360" w:lineRule="auto"/>
        <w:jc w:val="both"/>
      </w:pPr>
      <w:r>
        <w:rPr>
          <w:rFonts w:ascii="Arial" w:hAnsi="Arial" w:cs="Arial"/>
        </w:rPr>
        <w:t>Lee, Y.C. and Mao, P.C., 2015. Survivors of organizational change: a resource perspective. </w:t>
      </w:r>
      <w:r>
        <w:rPr>
          <w:rFonts w:ascii="Arial" w:hAnsi="Arial" w:cs="Arial"/>
          <w:i/>
          <w:iCs/>
        </w:rPr>
        <w:t>Business and Management Studies</w:t>
      </w:r>
      <w:r>
        <w:rPr>
          <w:rFonts w:ascii="Arial" w:hAnsi="Arial" w:cs="Arial"/>
        </w:rPr>
        <w:t>, </w:t>
      </w:r>
      <w:r>
        <w:rPr>
          <w:rFonts w:ascii="Arial" w:hAnsi="Arial" w:cs="Arial"/>
          <w:i/>
          <w:iCs/>
        </w:rPr>
        <w:t>1</w:t>
      </w:r>
      <w:r>
        <w:rPr>
          <w:rFonts w:ascii="Arial" w:hAnsi="Arial" w:cs="Arial"/>
        </w:rPr>
        <w:t>(2), p.1.</w:t>
      </w:r>
    </w:p>
    <w:p w14:paraId="22A33276" w14:textId="77777777" w:rsidR="00047DC5" w:rsidRDefault="00047DC5" w:rsidP="00047DC5">
      <w:pPr>
        <w:spacing w:line="360" w:lineRule="auto"/>
        <w:jc w:val="both"/>
      </w:pPr>
      <w:r>
        <w:rPr>
          <w:rFonts w:ascii="Arial" w:hAnsi="Arial" w:cs="Arial"/>
        </w:rPr>
        <w:t>NHS Employers (2025) </w:t>
      </w:r>
      <w:r>
        <w:rPr>
          <w:rFonts w:ascii="Arial" w:hAnsi="Arial" w:cs="Arial"/>
          <w:i/>
          <w:iCs/>
        </w:rPr>
        <w:t>Impacts of the changes to the UK immigration policy</w:t>
      </w:r>
      <w:r>
        <w:rPr>
          <w:rFonts w:ascii="Arial" w:hAnsi="Arial" w:cs="Arial"/>
        </w:rPr>
        <w:t>. Available at: </w:t>
      </w:r>
      <w:hyperlink r:id="rId15" w:history="1">
        <w:r>
          <w:rPr>
            <w:rStyle w:val="Hyperlink"/>
            <w:rFonts w:ascii="Arial" w:hAnsi="Arial" w:cs="Arial"/>
          </w:rPr>
          <w:t>https://www.nhsemployers.org</w:t>
        </w:r>
      </w:hyperlink>
      <w:r>
        <w:rPr>
          <w:rFonts w:ascii="Arial" w:hAnsi="Arial" w:cs="Arial"/>
        </w:rPr>
        <w:t> (Accessed: 29 July 2026). </w:t>
      </w:r>
      <w:r>
        <w:rPr>
          <w:rFonts w:ascii="Arial" w:hAnsi="Arial" w:cs="Arial"/>
          <w:i/>
          <w:iCs/>
        </w:rPr>
        <w:t xml:space="preserve"> </w:t>
      </w:r>
    </w:p>
    <w:p w14:paraId="69D3AA50" w14:textId="77777777" w:rsidR="00047DC5" w:rsidRDefault="00047DC5" w:rsidP="00047DC5">
      <w:pPr>
        <w:spacing w:line="360" w:lineRule="auto"/>
        <w:jc w:val="both"/>
      </w:pPr>
      <w:r>
        <w:rPr>
          <w:rFonts w:ascii="Arial" w:hAnsi="Arial" w:cs="Arial"/>
        </w:rPr>
        <w:t>NHS England (2023) </w:t>
      </w:r>
      <w:r>
        <w:rPr>
          <w:rFonts w:ascii="Arial" w:hAnsi="Arial" w:cs="Arial"/>
          <w:i/>
          <w:iCs/>
        </w:rPr>
        <w:t>NHS Long Term Workforce Plan</w:t>
      </w:r>
      <w:r>
        <w:rPr>
          <w:rFonts w:ascii="Arial" w:hAnsi="Arial" w:cs="Arial"/>
        </w:rPr>
        <w:t>. Available at: </w:t>
      </w:r>
      <w:hyperlink r:id="rId16" w:history="1">
        <w:r>
          <w:rPr>
            <w:rStyle w:val="Hyperlink"/>
            <w:rFonts w:ascii="Arial" w:hAnsi="Arial" w:cs="Arial"/>
          </w:rPr>
          <w:t>https://www.england.nhs.uk/publication/nhs-long-term-workforce-plan/</w:t>
        </w:r>
      </w:hyperlink>
      <w:r>
        <w:rPr>
          <w:rFonts w:ascii="Arial" w:hAnsi="Arial" w:cs="Arial"/>
        </w:rPr>
        <w:t> (Accessed: 20 July 2026).</w:t>
      </w:r>
    </w:p>
    <w:p w14:paraId="7839A9E8" w14:textId="77777777" w:rsidR="00047DC5" w:rsidRDefault="00047DC5" w:rsidP="00047DC5">
      <w:pPr>
        <w:spacing w:line="360" w:lineRule="auto"/>
        <w:jc w:val="both"/>
      </w:pPr>
      <w:r>
        <w:rPr>
          <w:rFonts w:ascii="Arial" w:hAnsi="Arial" w:cs="Arial"/>
        </w:rPr>
        <w:t>Nuffield Trust (2025) 'Research reveals NHS overreliance on doctors from "red list" countries'. Available at: </w:t>
      </w:r>
      <w:hyperlink r:id="rId17" w:history="1">
        <w:r>
          <w:rPr>
            <w:rStyle w:val="Hyperlink"/>
            <w:rFonts w:ascii="Arial" w:hAnsi="Arial" w:cs="Arial"/>
          </w:rPr>
          <w:t>https://www.nuffieldtrust.org.uk</w:t>
        </w:r>
      </w:hyperlink>
      <w:r>
        <w:rPr>
          <w:rFonts w:ascii="Arial" w:hAnsi="Arial" w:cs="Arial"/>
        </w:rPr>
        <w:t> (Accessed: 9 July 2026). </w:t>
      </w:r>
      <w:r>
        <w:rPr>
          <w:rFonts w:ascii="Arial" w:hAnsi="Arial" w:cs="Arial"/>
          <w:i/>
          <w:iCs/>
        </w:rPr>
        <w:t xml:space="preserve"> </w:t>
      </w:r>
    </w:p>
    <w:p w14:paraId="57382A3B" w14:textId="77777777" w:rsidR="00047DC5" w:rsidRDefault="00047DC5" w:rsidP="00047DC5">
      <w:pPr>
        <w:spacing w:line="360" w:lineRule="auto"/>
        <w:jc w:val="both"/>
      </w:pPr>
      <w:r>
        <w:rPr>
          <w:rFonts w:ascii="Arial" w:hAnsi="Arial" w:cs="Arial"/>
        </w:rPr>
        <w:t>Office for National Statistics (2024) </w:t>
      </w:r>
      <w:r>
        <w:rPr>
          <w:rFonts w:ascii="Arial" w:hAnsi="Arial" w:cs="Arial"/>
          <w:i/>
          <w:iCs/>
        </w:rPr>
        <w:t>Long-term international migration, provisional: year ending December 2023</w:t>
      </w:r>
      <w:r>
        <w:rPr>
          <w:rFonts w:ascii="Arial" w:hAnsi="Arial" w:cs="Arial"/>
        </w:rPr>
        <w:t>. Available at: </w:t>
      </w:r>
      <w:hyperlink r:id="rId18" w:history="1">
        <w:r>
          <w:rPr>
            <w:rStyle w:val="Hyperlink"/>
            <w:rFonts w:ascii="Arial" w:hAnsi="Arial" w:cs="Arial"/>
          </w:rPr>
          <w:t>https://www.ons.gov.uk/peoplepopulationandcommunity/populationandmigration/internationalmigration/bulletins/longterminternationalmigrationprovisional/yearendingdecember2023</w:t>
        </w:r>
      </w:hyperlink>
      <w:r>
        <w:rPr>
          <w:rFonts w:ascii="Arial" w:hAnsi="Arial" w:cs="Arial"/>
        </w:rPr>
        <w:t> (Accessed: 23 July 2026).</w:t>
      </w:r>
    </w:p>
    <w:p w14:paraId="20B90A81" w14:textId="77777777" w:rsidR="00047DC5" w:rsidRDefault="00047DC5" w:rsidP="00047DC5">
      <w:pPr>
        <w:spacing w:line="360" w:lineRule="auto"/>
        <w:jc w:val="both"/>
      </w:pPr>
      <w:r>
        <w:rPr>
          <w:rFonts w:ascii="Arial" w:hAnsi="Arial" w:cs="Arial"/>
        </w:rPr>
        <w:t>PMC (2025) 'The impact of immigration policy on the NHS workforce'. Available at: </w:t>
      </w:r>
      <w:hyperlink r:id="rId19" w:history="1">
        <w:r>
          <w:rPr>
            <w:rStyle w:val="Hyperlink"/>
            <w:rFonts w:ascii="Arial" w:hAnsi="Arial" w:cs="Arial"/>
          </w:rPr>
          <w:t>https://www.pmc.org.uk</w:t>
        </w:r>
      </w:hyperlink>
      <w:r>
        <w:rPr>
          <w:rFonts w:ascii="Arial" w:hAnsi="Arial" w:cs="Arial"/>
        </w:rPr>
        <w:t> (Accessed: 27 July 2026). </w:t>
      </w:r>
      <w:r>
        <w:rPr>
          <w:rFonts w:ascii="Arial" w:hAnsi="Arial" w:cs="Arial"/>
          <w:i/>
          <w:iCs/>
        </w:rPr>
        <w:t xml:space="preserve"> </w:t>
      </w:r>
    </w:p>
    <w:p w14:paraId="75D4AE02" w14:textId="77777777" w:rsidR="00047DC5" w:rsidRDefault="00047DC5" w:rsidP="00047DC5">
      <w:pPr>
        <w:spacing w:line="360" w:lineRule="auto"/>
        <w:jc w:val="both"/>
      </w:pPr>
      <w:r>
        <w:rPr>
          <w:rFonts w:ascii="Arial" w:hAnsi="Arial" w:cs="Arial"/>
        </w:rPr>
        <w:t>POST (Parliamentary Office of Science and Technology) (2025) </w:t>
      </w:r>
      <w:r>
        <w:rPr>
          <w:rFonts w:ascii="Arial" w:hAnsi="Arial" w:cs="Arial"/>
          <w:i/>
          <w:iCs/>
        </w:rPr>
        <w:t>Sustaining the health and adult social care workforce</w:t>
      </w:r>
      <w:r>
        <w:rPr>
          <w:rFonts w:ascii="Arial" w:hAnsi="Arial" w:cs="Arial"/>
        </w:rPr>
        <w:t>. Available at: </w:t>
      </w:r>
      <w:hyperlink r:id="rId20" w:history="1">
        <w:r>
          <w:rPr>
            <w:rStyle w:val="Hyperlink"/>
            <w:rFonts w:ascii="Arial" w:hAnsi="Arial" w:cs="Arial"/>
          </w:rPr>
          <w:t>https://post.parliament.uk</w:t>
        </w:r>
      </w:hyperlink>
      <w:r>
        <w:rPr>
          <w:rFonts w:ascii="Arial" w:hAnsi="Arial" w:cs="Arial"/>
        </w:rPr>
        <w:t> (Accessed: 23 July 2026). </w:t>
      </w:r>
      <w:r>
        <w:rPr>
          <w:rFonts w:ascii="Arial" w:hAnsi="Arial" w:cs="Arial"/>
          <w:i/>
          <w:iCs/>
        </w:rPr>
        <w:t xml:space="preserve"> </w:t>
      </w:r>
    </w:p>
    <w:p w14:paraId="7B2476F0" w14:textId="77777777" w:rsidR="00047DC5" w:rsidRDefault="00047DC5" w:rsidP="00047DC5">
      <w:pPr>
        <w:spacing w:line="360" w:lineRule="auto"/>
        <w:jc w:val="both"/>
      </w:pPr>
      <w:r>
        <w:rPr>
          <w:rFonts w:ascii="Arial" w:hAnsi="Arial" w:cs="Arial"/>
        </w:rPr>
        <w:t xml:space="preserve">Powell RA, Al-Haddad M, Nayar V, </w:t>
      </w:r>
      <w:proofErr w:type="spellStart"/>
      <w:r>
        <w:rPr>
          <w:rFonts w:ascii="Arial" w:hAnsi="Arial" w:cs="Arial"/>
        </w:rPr>
        <w:t>Bhui</w:t>
      </w:r>
      <w:proofErr w:type="spellEnd"/>
      <w:r>
        <w:rPr>
          <w:rFonts w:ascii="Arial" w:hAnsi="Arial" w:cs="Arial"/>
        </w:rPr>
        <w:t xml:space="preserve"> K, Rao M. International medical graduates: a workforce at a crossroad? </w:t>
      </w:r>
      <w:r>
        <w:rPr>
          <w:rFonts w:ascii="Arial" w:hAnsi="Arial" w:cs="Arial"/>
          <w:i/>
          <w:iCs/>
        </w:rPr>
        <w:t>Journal of the Royal Society of Medicine</w:t>
      </w:r>
      <w:r>
        <w:rPr>
          <w:rFonts w:ascii="Arial" w:hAnsi="Arial" w:cs="Arial"/>
        </w:rPr>
        <w:t>. 2026;119(2):59-60. doi:</w:t>
      </w:r>
      <w:hyperlink r:id="rId21" w:history="1">
        <w:r>
          <w:rPr>
            <w:rStyle w:val="Hyperlink"/>
            <w:rFonts w:ascii="Arial" w:hAnsi="Arial" w:cs="Arial"/>
          </w:rPr>
          <w:t>10.1177/01410768261421438</w:t>
        </w:r>
      </w:hyperlink>
    </w:p>
    <w:p w14:paraId="40F3CAE6" w14:textId="77777777" w:rsidR="00047DC5" w:rsidRDefault="00047DC5" w:rsidP="00047DC5">
      <w:pPr>
        <w:spacing w:line="360" w:lineRule="auto"/>
        <w:jc w:val="both"/>
        <w:rPr>
          <w:rFonts w:ascii="Arial" w:hAnsi="Arial" w:cs="Arial"/>
        </w:rPr>
      </w:pPr>
    </w:p>
    <w:p w14:paraId="63BBC12E" w14:textId="77777777" w:rsidR="00047DC5" w:rsidRDefault="00047DC5" w:rsidP="00047DC5">
      <w:pPr>
        <w:spacing w:line="360" w:lineRule="auto"/>
        <w:jc w:val="both"/>
      </w:pPr>
      <w:r>
        <w:rPr>
          <w:rFonts w:ascii="Arial" w:hAnsi="Arial" w:cs="Arial"/>
        </w:rPr>
        <w:lastRenderedPageBreak/>
        <w:t>RCN (Royal College of Nursing) (2025) 'Health and Care visas and the Immigration Health Surcharge'. Available at: </w:t>
      </w:r>
      <w:hyperlink r:id="rId22" w:history="1">
        <w:r>
          <w:rPr>
            <w:rStyle w:val="Hyperlink"/>
            <w:rFonts w:ascii="Arial" w:hAnsi="Arial" w:cs="Arial"/>
          </w:rPr>
          <w:t>https://www.rcn.org.uk</w:t>
        </w:r>
      </w:hyperlink>
      <w:r>
        <w:rPr>
          <w:rFonts w:ascii="Arial" w:hAnsi="Arial" w:cs="Arial"/>
        </w:rPr>
        <w:t> (Accessed: 29 July 2026).</w:t>
      </w:r>
    </w:p>
    <w:p w14:paraId="34EEE391" w14:textId="77777777" w:rsidR="00047DC5" w:rsidRDefault="00047DC5" w:rsidP="00047DC5">
      <w:pPr>
        <w:spacing w:line="360" w:lineRule="auto"/>
        <w:jc w:val="both"/>
      </w:pPr>
      <w:r>
        <w:rPr>
          <w:rFonts w:ascii="Arial" w:hAnsi="Arial" w:cs="Arial"/>
        </w:rPr>
        <w:t>RCN (Royal College of Nursing) (2026) 'Indefinite Leave to Remain: proposed changes that could reshape nursing workforce'. Available at: </w:t>
      </w:r>
      <w:hyperlink r:id="rId23" w:history="1">
        <w:r>
          <w:rPr>
            <w:rStyle w:val="Hyperlink"/>
            <w:rFonts w:ascii="Arial" w:hAnsi="Arial" w:cs="Arial"/>
          </w:rPr>
          <w:t>https://www.rcn.org.uk</w:t>
        </w:r>
      </w:hyperlink>
      <w:r>
        <w:rPr>
          <w:rFonts w:ascii="Arial" w:hAnsi="Arial" w:cs="Arial"/>
        </w:rPr>
        <w:t> (Accessed: 29 July 2026).</w:t>
      </w:r>
    </w:p>
    <w:p w14:paraId="4B9D140E" w14:textId="77777777" w:rsidR="00047DC5" w:rsidRDefault="00047DC5" w:rsidP="00047DC5">
      <w:pPr>
        <w:spacing w:line="360" w:lineRule="auto"/>
        <w:jc w:val="both"/>
      </w:pPr>
      <w:r>
        <w:rPr>
          <w:rFonts w:ascii="Arial" w:hAnsi="Arial" w:cs="Arial"/>
        </w:rPr>
        <w:t>Rolewicz, L., Palmer, B., Hiam, L. and Boyle, S. (2025) 'Immigration crackdown threatens NHS workforce, data show', </w:t>
      </w:r>
      <w:r>
        <w:rPr>
          <w:rFonts w:ascii="Arial" w:hAnsi="Arial" w:cs="Arial"/>
          <w:i/>
          <w:iCs/>
        </w:rPr>
        <w:t>BMJ</w:t>
      </w:r>
      <w:r>
        <w:rPr>
          <w:rFonts w:ascii="Arial" w:hAnsi="Arial" w:cs="Arial"/>
        </w:rPr>
        <w:t>, 390, r1554. </w:t>
      </w:r>
      <w:hyperlink r:id="rId24" w:history="1">
        <w:r>
          <w:rPr>
            <w:rStyle w:val="Hyperlink"/>
            <w:rFonts w:ascii="Arial" w:hAnsi="Arial" w:cs="Arial"/>
          </w:rPr>
          <w:t>https://doi.org/10.1136/bmj.r1554</w:t>
        </w:r>
      </w:hyperlink>
    </w:p>
    <w:p w14:paraId="641749E1" w14:textId="77777777" w:rsidR="00047DC5" w:rsidRDefault="00047DC5" w:rsidP="00047DC5">
      <w:pPr>
        <w:spacing w:line="360" w:lineRule="auto"/>
        <w:jc w:val="both"/>
      </w:pPr>
      <w:r>
        <w:rPr>
          <w:rFonts w:ascii="Arial" w:hAnsi="Arial" w:cs="Arial"/>
        </w:rPr>
        <w:t>Rove Legal (2026) 'Health and Care Worker Visa Changes in 2025: Complete Guide'. Available at: </w:t>
      </w:r>
      <w:hyperlink r:id="rId25" w:history="1">
        <w:r>
          <w:rPr>
            <w:rStyle w:val="Hyperlink"/>
            <w:rFonts w:ascii="Arial" w:hAnsi="Arial" w:cs="Arial"/>
          </w:rPr>
          <w:t>https://www.rovelegal.com</w:t>
        </w:r>
      </w:hyperlink>
      <w:r>
        <w:rPr>
          <w:rFonts w:ascii="Arial" w:hAnsi="Arial" w:cs="Arial"/>
        </w:rPr>
        <w:t> (Accessed: 29 July 2026). </w:t>
      </w:r>
      <w:r>
        <w:rPr>
          <w:rFonts w:ascii="Arial" w:hAnsi="Arial" w:cs="Arial"/>
          <w:i/>
          <w:iCs/>
        </w:rPr>
        <w:t xml:space="preserve"> </w:t>
      </w:r>
    </w:p>
    <w:p w14:paraId="6C7A330C" w14:textId="77777777" w:rsidR="00047DC5" w:rsidRDefault="00047DC5" w:rsidP="00047DC5">
      <w:pPr>
        <w:spacing w:line="360" w:lineRule="auto"/>
        <w:jc w:val="both"/>
      </w:pPr>
      <w:proofErr w:type="spellStart"/>
      <w:r>
        <w:rPr>
          <w:rFonts w:ascii="Arial" w:hAnsi="Arial" w:cs="Arial"/>
        </w:rPr>
        <w:t>Sarre</w:t>
      </w:r>
      <w:proofErr w:type="spellEnd"/>
      <w:r>
        <w:rPr>
          <w:rFonts w:ascii="Arial" w:hAnsi="Arial" w:cs="Arial"/>
        </w:rPr>
        <w:t xml:space="preserve">, S., Maben, J., Aldus, C., Schneider, J., </w:t>
      </w:r>
      <w:proofErr w:type="spellStart"/>
      <w:r>
        <w:rPr>
          <w:rFonts w:ascii="Arial" w:hAnsi="Arial" w:cs="Arial"/>
        </w:rPr>
        <w:t>Wharrad</w:t>
      </w:r>
      <w:proofErr w:type="spellEnd"/>
      <w:r>
        <w:rPr>
          <w:rFonts w:ascii="Arial" w:hAnsi="Arial" w:cs="Arial"/>
        </w:rPr>
        <w:t>, H., Nicholson, C. and Arthur, A. (2025) 'The challenges of training, support and assessment of healthcare support workers: A qualitative study of experiences in three English acute hospitals', </w:t>
      </w:r>
      <w:r>
        <w:rPr>
          <w:rFonts w:ascii="Arial" w:hAnsi="Arial" w:cs="Arial"/>
          <w:i/>
          <w:iCs/>
        </w:rPr>
        <w:t>BMC Health Services Research</w:t>
      </w:r>
      <w:r>
        <w:rPr>
          <w:rFonts w:ascii="Arial" w:hAnsi="Arial" w:cs="Arial"/>
        </w:rPr>
        <w:t>, 25, 505.</w:t>
      </w:r>
    </w:p>
    <w:p w14:paraId="27054C4C" w14:textId="77777777" w:rsidR="00047DC5" w:rsidRDefault="00047DC5" w:rsidP="00047DC5">
      <w:pPr>
        <w:spacing w:line="360" w:lineRule="auto"/>
        <w:jc w:val="both"/>
      </w:pPr>
      <w:r>
        <w:rPr>
          <w:rFonts w:ascii="Arial" w:hAnsi="Arial" w:cs="Arial"/>
        </w:rPr>
        <w:t>Saunders, M., Lewis, P. and Thornhill, A. (2023) </w:t>
      </w:r>
      <w:r>
        <w:rPr>
          <w:rFonts w:ascii="Arial" w:hAnsi="Arial" w:cs="Arial"/>
          <w:i/>
          <w:iCs/>
        </w:rPr>
        <w:t>Research Methods for Business Students</w:t>
      </w:r>
      <w:r>
        <w:rPr>
          <w:rFonts w:ascii="Arial" w:hAnsi="Arial" w:cs="Arial"/>
        </w:rPr>
        <w:t xml:space="preserve">. 9th </w:t>
      </w:r>
      <w:proofErr w:type="spellStart"/>
      <w:r>
        <w:rPr>
          <w:rFonts w:ascii="Arial" w:hAnsi="Arial" w:cs="Arial"/>
        </w:rPr>
        <w:t>edn</w:t>
      </w:r>
      <w:proofErr w:type="spellEnd"/>
      <w:r>
        <w:rPr>
          <w:rFonts w:ascii="Arial" w:hAnsi="Arial" w:cs="Arial"/>
        </w:rPr>
        <w:t>. Harlow: Pearson.</w:t>
      </w:r>
    </w:p>
    <w:p w14:paraId="114CB9AF" w14:textId="77777777" w:rsidR="00047DC5" w:rsidRDefault="00047DC5" w:rsidP="00047DC5">
      <w:pPr>
        <w:spacing w:line="360" w:lineRule="auto"/>
        <w:jc w:val="both"/>
      </w:pPr>
      <w:r>
        <w:rPr>
          <w:rFonts w:ascii="Arial" w:hAnsi="Arial" w:cs="Arial"/>
        </w:rPr>
        <w:t>Schultz, T.W. (1961) 'Investment in human capital', </w:t>
      </w:r>
      <w:r>
        <w:rPr>
          <w:rFonts w:ascii="Arial" w:hAnsi="Arial" w:cs="Arial"/>
          <w:i/>
          <w:iCs/>
        </w:rPr>
        <w:t>The American Economic Review</w:t>
      </w:r>
      <w:r>
        <w:rPr>
          <w:rFonts w:ascii="Arial" w:hAnsi="Arial" w:cs="Arial"/>
        </w:rPr>
        <w:t>, 51(1), pp. 1–17.</w:t>
      </w:r>
    </w:p>
    <w:p w14:paraId="477C1949" w14:textId="77777777" w:rsidR="00047DC5" w:rsidRDefault="00047DC5" w:rsidP="00047DC5">
      <w:pPr>
        <w:spacing w:line="360" w:lineRule="auto"/>
        <w:jc w:val="both"/>
      </w:pPr>
      <w:r>
        <w:rPr>
          <w:rFonts w:ascii="Arial" w:hAnsi="Arial" w:cs="Arial"/>
        </w:rPr>
        <w:t>ScienceDirect (2025) 'Decent work conditions and Nigerian nurse emigration: The role of burnout and commitment'. Available at: </w:t>
      </w:r>
      <w:hyperlink r:id="rId26" w:history="1">
        <w:r>
          <w:rPr>
            <w:rStyle w:val="Hyperlink"/>
            <w:rFonts w:ascii="Arial" w:hAnsi="Arial" w:cs="Arial"/>
          </w:rPr>
          <w:t>https://www.sciencedirect.com</w:t>
        </w:r>
      </w:hyperlink>
      <w:r>
        <w:rPr>
          <w:rFonts w:ascii="Arial" w:hAnsi="Arial" w:cs="Arial"/>
        </w:rPr>
        <w:t> (Accessed: 29 July 2026). </w:t>
      </w:r>
      <w:r>
        <w:rPr>
          <w:rFonts w:ascii="Arial" w:hAnsi="Arial" w:cs="Arial"/>
          <w:i/>
          <w:iCs/>
        </w:rPr>
        <w:t xml:space="preserve"> </w:t>
      </w:r>
    </w:p>
    <w:p w14:paraId="7EE2CD86" w14:textId="77777777" w:rsidR="00047DC5" w:rsidRDefault="00047DC5" w:rsidP="00047DC5">
      <w:pPr>
        <w:spacing w:line="360" w:lineRule="auto"/>
        <w:jc w:val="both"/>
      </w:pPr>
      <w:proofErr w:type="spellStart"/>
      <w:r>
        <w:rPr>
          <w:rFonts w:ascii="Arial" w:hAnsi="Arial" w:cs="Arial"/>
        </w:rPr>
        <w:t>Seraphus</w:t>
      </w:r>
      <w:proofErr w:type="spellEnd"/>
      <w:r>
        <w:rPr>
          <w:rFonts w:ascii="Arial" w:hAnsi="Arial" w:cs="Arial"/>
        </w:rPr>
        <w:t xml:space="preserve"> (2026) 'Health and Care Worker visa changes: impact on employers'. Available at: </w:t>
      </w:r>
      <w:hyperlink r:id="rId27" w:history="1">
        <w:r>
          <w:rPr>
            <w:rStyle w:val="Hyperlink"/>
            <w:rFonts w:ascii="Arial" w:hAnsi="Arial" w:cs="Arial"/>
          </w:rPr>
          <w:t>https://www.seraphus.co.uk</w:t>
        </w:r>
      </w:hyperlink>
      <w:r>
        <w:rPr>
          <w:rFonts w:ascii="Arial" w:hAnsi="Arial" w:cs="Arial"/>
        </w:rPr>
        <w:t> (Accessed: 29 July 2026). </w:t>
      </w:r>
      <w:r>
        <w:rPr>
          <w:rFonts w:ascii="Arial" w:hAnsi="Arial" w:cs="Arial"/>
          <w:i/>
          <w:iCs/>
        </w:rPr>
        <w:t xml:space="preserve"> </w:t>
      </w:r>
    </w:p>
    <w:p w14:paraId="5DF37CDF" w14:textId="77777777" w:rsidR="00047DC5" w:rsidRDefault="00047DC5" w:rsidP="00047DC5">
      <w:pPr>
        <w:spacing w:line="360" w:lineRule="auto"/>
        <w:jc w:val="both"/>
      </w:pPr>
      <w:r>
        <w:rPr>
          <w:rFonts w:ascii="Arial" w:hAnsi="Arial" w:cs="Arial"/>
        </w:rPr>
        <w:t>Skills for Care (2024) </w:t>
      </w:r>
      <w:r>
        <w:rPr>
          <w:rFonts w:ascii="Arial" w:hAnsi="Arial" w:cs="Arial"/>
          <w:i/>
          <w:iCs/>
        </w:rPr>
        <w:t>The state of the adult social care sector and workforce in England</w:t>
      </w:r>
      <w:r>
        <w:rPr>
          <w:rFonts w:ascii="Arial" w:hAnsi="Arial" w:cs="Arial"/>
        </w:rPr>
        <w:t>. Available at: </w:t>
      </w:r>
      <w:hyperlink r:id="rId28" w:history="1">
        <w:r>
          <w:rPr>
            <w:rStyle w:val="Hyperlink"/>
            <w:rFonts w:ascii="Arial" w:hAnsi="Arial" w:cs="Arial"/>
          </w:rPr>
          <w:t>https://www.skillsforcare.org.uk</w:t>
        </w:r>
      </w:hyperlink>
      <w:r>
        <w:rPr>
          <w:rFonts w:ascii="Arial" w:hAnsi="Arial" w:cs="Arial"/>
        </w:rPr>
        <w:t> (Accessed: 29 July 2026).</w:t>
      </w:r>
    </w:p>
    <w:p w14:paraId="610A6621" w14:textId="77777777" w:rsidR="00047DC5" w:rsidRDefault="00047DC5" w:rsidP="00047DC5">
      <w:pPr>
        <w:spacing w:line="360" w:lineRule="auto"/>
        <w:jc w:val="both"/>
      </w:pPr>
      <w:r>
        <w:rPr>
          <w:rFonts w:ascii="Arial" w:hAnsi="Arial" w:cs="Arial"/>
        </w:rPr>
        <w:t>Skills for Care (2025/26) </w:t>
      </w:r>
      <w:r>
        <w:rPr>
          <w:rFonts w:ascii="Arial" w:hAnsi="Arial" w:cs="Arial"/>
          <w:i/>
          <w:iCs/>
        </w:rPr>
        <w:t xml:space="preserve">Adult social care </w:t>
      </w:r>
      <w:proofErr w:type="gramStart"/>
      <w:r>
        <w:rPr>
          <w:rFonts w:ascii="Arial" w:hAnsi="Arial" w:cs="Arial"/>
          <w:i/>
          <w:iCs/>
        </w:rPr>
        <w:t>vacancy</w:t>
      </w:r>
      <w:proofErr w:type="gramEnd"/>
      <w:r>
        <w:rPr>
          <w:rFonts w:ascii="Arial" w:hAnsi="Arial" w:cs="Arial"/>
          <w:i/>
          <w:iCs/>
        </w:rPr>
        <w:t xml:space="preserve"> </w:t>
      </w:r>
      <w:proofErr w:type="gramStart"/>
      <w:r>
        <w:rPr>
          <w:rFonts w:ascii="Arial" w:hAnsi="Arial" w:cs="Arial"/>
          <w:i/>
          <w:iCs/>
        </w:rPr>
        <w:t>rate falls</w:t>
      </w:r>
      <w:proofErr w:type="gramEnd"/>
      <w:r>
        <w:rPr>
          <w:rFonts w:ascii="Arial" w:hAnsi="Arial" w:cs="Arial"/>
          <w:i/>
          <w:iCs/>
        </w:rPr>
        <w:t xml:space="preserve"> to lowest level in a decade</w:t>
      </w:r>
      <w:r>
        <w:rPr>
          <w:rFonts w:ascii="Arial" w:hAnsi="Arial" w:cs="Arial"/>
        </w:rPr>
        <w:t>. Available at: </w:t>
      </w:r>
      <w:hyperlink r:id="rId29" w:history="1">
        <w:r>
          <w:rPr>
            <w:rStyle w:val="Hyperlink"/>
            <w:rFonts w:ascii="Arial" w:hAnsi="Arial" w:cs="Arial"/>
          </w:rPr>
          <w:t>https://www.skillsforcare.org.uk</w:t>
        </w:r>
      </w:hyperlink>
      <w:r>
        <w:rPr>
          <w:rFonts w:ascii="Arial" w:hAnsi="Arial" w:cs="Arial"/>
        </w:rPr>
        <w:t> (Accessed: 29 July 2026).</w:t>
      </w:r>
    </w:p>
    <w:p w14:paraId="66FCE823" w14:textId="77777777" w:rsidR="00047DC5" w:rsidRDefault="00047DC5" w:rsidP="00047DC5">
      <w:pPr>
        <w:spacing w:line="360" w:lineRule="auto"/>
        <w:jc w:val="both"/>
      </w:pPr>
      <w:proofErr w:type="spellStart"/>
      <w:r>
        <w:rPr>
          <w:rFonts w:ascii="Arial" w:hAnsi="Arial" w:cs="Arial"/>
        </w:rPr>
        <w:lastRenderedPageBreak/>
        <w:t>Slaus</w:t>
      </w:r>
      <w:proofErr w:type="spellEnd"/>
      <w:r>
        <w:rPr>
          <w:rFonts w:ascii="Arial" w:hAnsi="Arial" w:cs="Arial"/>
        </w:rPr>
        <w:t>, I. and Jacobs, G. (2011) 'Human capital and sustainability', </w:t>
      </w:r>
      <w:r>
        <w:rPr>
          <w:rFonts w:ascii="Arial" w:hAnsi="Arial" w:cs="Arial"/>
          <w:i/>
          <w:iCs/>
        </w:rPr>
        <w:t>Sustainability</w:t>
      </w:r>
      <w:r>
        <w:rPr>
          <w:rFonts w:ascii="Arial" w:hAnsi="Arial" w:cs="Arial"/>
        </w:rPr>
        <w:t>, 3, pp. 97–154.</w:t>
      </w:r>
    </w:p>
    <w:p w14:paraId="0F6272FD" w14:textId="77777777" w:rsidR="00047DC5" w:rsidRDefault="00047DC5" w:rsidP="00047DC5">
      <w:pPr>
        <w:spacing w:line="360" w:lineRule="auto"/>
        <w:jc w:val="both"/>
      </w:pPr>
      <w:r>
        <w:rPr>
          <w:rFonts w:ascii="Arial" w:hAnsi="Arial" w:cs="Arial"/>
        </w:rPr>
        <w:t>Stewart, E. and Mulvey, G. (2014) 'Seeking safety beyond refuge: the impact of immigration and citizenship policy upon refugees in the UK', </w:t>
      </w:r>
      <w:r>
        <w:rPr>
          <w:rFonts w:ascii="Arial" w:hAnsi="Arial" w:cs="Arial"/>
          <w:i/>
          <w:iCs/>
        </w:rPr>
        <w:t>Journal of Ethnic and Migration Studies</w:t>
      </w:r>
      <w:r>
        <w:rPr>
          <w:rFonts w:ascii="Arial" w:hAnsi="Arial" w:cs="Arial"/>
        </w:rPr>
        <w:t>, 40(7), pp. 1023–1039.</w:t>
      </w:r>
    </w:p>
    <w:p w14:paraId="4EE21971" w14:textId="77777777" w:rsidR="00047DC5" w:rsidRDefault="00047DC5" w:rsidP="00047DC5">
      <w:pPr>
        <w:spacing w:line="360" w:lineRule="auto"/>
        <w:jc w:val="both"/>
      </w:pPr>
      <w:r>
        <w:rPr>
          <w:rFonts w:ascii="Arial" w:hAnsi="Arial" w:cs="Arial"/>
        </w:rPr>
        <w:t>Sweileh, W. (2024) 'Research Trends and Patterns on International Migration of Health Workers (1950–2022)', </w:t>
      </w:r>
      <w:r>
        <w:rPr>
          <w:rFonts w:ascii="Arial" w:hAnsi="Arial" w:cs="Arial"/>
          <w:i/>
          <w:iCs/>
        </w:rPr>
        <w:t>Journal of Migration and Health</w:t>
      </w:r>
      <w:r>
        <w:rPr>
          <w:rFonts w:ascii="Arial" w:hAnsi="Arial" w:cs="Arial"/>
        </w:rPr>
        <w:t>, 10, 100245. </w:t>
      </w:r>
      <w:hyperlink r:id="rId30" w:history="1">
        <w:r>
          <w:rPr>
            <w:rStyle w:val="Hyperlink"/>
            <w:rFonts w:ascii="Arial" w:hAnsi="Arial" w:cs="Arial"/>
          </w:rPr>
          <w:t>https://doi.org/10.1016/j.jmh.2024.100245</w:t>
        </w:r>
      </w:hyperlink>
    </w:p>
    <w:p w14:paraId="52F6F378" w14:textId="77777777" w:rsidR="00047DC5" w:rsidRDefault="00047DC5" w:rsidP="00047DC5">
      <w:pPr>
        <w:spacing w:line="360" w:lineRule="auto"/>
        <w:jc w:val="both"/>
      </w:pPr>
      <w:r>
        <w:rPr>
          <w:rFonts w:ascii="Arial" w:hAnsi="Arial" w:cs="Arial"/>
        </w:rPr>
        <w:t xml:space="preserve">TUC (Trades Union Congress) (2026) 'Ill-thought through visa reforms risk worsening </w:t>
      </w:r>
      <w:proofErr w:type="spellStart"/>
      <w:r>
        <w:rPr>
          <w:rFonts w:ascii="Arial" w:hAnsi="Arial" w:cs="Arial"/>
        </w:rPr>
        <w:t>labour</w:t>
      </w:r>
      <w:proofErr w:type="spellEnd"/>
      <w:r>
        <w:rPr>
          <w:rFonts w:ascii="Arial" w:hAnsi="Arial" w:cs="Arial"/>
        </w:rPr>
        <w:t xml:space="preserve"> shortages in social care'. Available at: </w:t>
      </w:r>
      <w:hyperlink r:id="rId31" w:history="1">
        <w:r>
          <w:rPr>
            <w:rStyle w:val="Hyperlink"/>
            <w:rFonts w:ascii="Arial" w:hAnsi="Arial" w:cs="Arial"/>
          </w:rPr>
          <w:t>https://morningstaronline.co.uk</w:t>
        </w:r>
      </w:hyperlink>
      <w:r>
        <w:rPr>
          <w:rFonts w:ascii="Arial" w:hAnsi="Arial" w:cs="Arial"/>
        </w:rPr>
        <w:t> (Accessed: 29 July 2026).</w:t>
      </w:r>
    </w:p>
    <w:p w14:paraId="66E72041" w14:textId="77777777" w:rsidR="00047DC5" w:rsidRDefault="00047DC5" w:rsidP="00047DC5">
      <w:pPr>
        <w:spacing w:line="360" w:lineRule="auto"/>
        <w:jc w:val="both"/>
        <w:rPr>
          <w:rFonts w:ascii="Arial" w:hAnsi="Arial" w:cs="Arial"/>
        </w:rPr>
      </w:pPr>
    </w:p>
    <w:p w14:paraId="4BCD3966" w14:textId="77777777" w:rsidR="00047DC5" w:rsidRDefault="00047DC5" w:rsidP="00047DC5">
      <w:pPr>
        <w:pageBreakBefore/>
      </w:pPr>
    </w:p>
    <w:p w14:paraId="1B1FEB74" w14:textId="77777777" w:rsidR="00047DC5" w:rsidRDefault="00047DC5" w:rsidP="00047DC5">
      <w:pPr>
        <w:pStyle w:val="Heading1"/>
      </w:pPr>
      <w:bookmarkStart w:id="183" w:name="_Toc238549853"/>
      <w:r>
        <w:t>Appendix</w:t>
      </w:r>
      <w:bookmarkEnd w:id="183"/>
    </w:p>
    <w:p w14:paraId="32987C1C" w14:textId="77777777" w:rsidR="00047DC5" w:rsidRDefault="00047DC5" w:rsidP="00047DC5">
      <w:pPr>
        <w:spacing w:line="360" w:lineRule="auto"/>
        <w:jc w:val="both"/>
        <w:rPr>
          <w:rFonts w:ascii="Arial" w:hAnsi="Arial" w:cs="Arial"/>
          <w:b/>
          <w:bCs/>
        </w:rPr>
      </w:pPr>
      <w:r>
        <w:rPr>
          <w:rFonts w:ascii="Arial" w:hAnsi="Arial" w:cs="Arial"/>
          <w:b/>
          <w:bCs/>
        </w:rPr>
        <w:t>Appendix A: Data Analysis Outputs</w:t>
      </w:r>
    </w:p>
    <w:p w14:paraId="1EDE1624" w14:textId="77777777" w:rsidR="00047DC5" w:rsidRDefault="00047DC5" w:rsidP="00047DC5">
      <w:pPr>
        <w:spacing w:line="360" w:lineRule="auto"/>
        <w:jc w:val="both"/>
        <w:rPr>
          <w:rFonts w:ascii="Arial" w:hAnsi="Arial" w:cs="Arial"/>
        </w:rPr>
      </w:pPr>
      <w:r>
        <w:rPr>
          <w:rFonts w:ascii="Arial" w:hAnsi="Arial" w:cs="Arial"/>
        </w:rPr>
        <w:t>This appendix presents the complete data analysis outputs conducted in Microsoft Excel to support the findings presented in Chapter 4.</w:t>
      </w:r>
    </w:p>
    <w:p w14:paraId="49041FFF" w14:textId="77777777" w:rsidR="00047DC5" w:rsidRDefault="00047DC5" w:rsidP="00047DC5">
      <w:pPr>
        <w:pStyle w:val="Caption"/>
        <w:keepNext/>
      </w:pPr>
      <w:bookmarkStart w:id="184" w:name="_Toc238206094"/>
      <w:r>
        <w:rPr>
          <w:sz w:val="28"/>
          <w:szCs w:val="28"/>
        </w:rPr>
        <w:t>Table 10 Health and Care Worker Visa Grants (2020–2026).</w:t>
      </w:r>
      <w:bookmarkEnd w:id="184"/>
    </w:p>
    <w:p w14:paraId="3E4C46F7" w14:textId="77777777" w:rsidR="00047DC5" w:rsidRDefault="00047DC5" w:rsidP="00047DC5">
      <w:r>
        <w:object w:dxaOrig="7046" w:dyaOrig="3069" w14:anchorId="190C84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Object 1" o:spid="_x0000_i1025" type="#_x0000_t75" style="width:351.75pt;height:153.75pt;visibility:visible;mso-wrap-style:square" o:ole="">
            <v:imagedata r:id="rId32" o:title=""/>
          </v:shape>
          <o:OLEObject Type="Embed" ProgID="Excel.Sheet.8" ShapeID="Object 1" DrawAspect="Content" ObjectID="_1849297596" r:id="rId33"/>
        </w:object>
      </w:r>
    </w:p>
    <w:p w14:paraId="0F4B3698" w14:textId="77777777" w:rsidR="00047DC5" w:rsidRDefault="00047DC5" w:rsidP="00047DC5">
      <w:r>
        <w:rPr>
          <w:rFonts w:ascii="Arial" w:hAnsi="Arial" w:cs="Arial"/>
          <w:i/>
          <w:iCs/>
        </w:rPr>
        <w:t>Source: Home Office (2024; 2025b; 2026).</w:t>
      </w:r>
    </w:p>
    <w:p w14:paraId="537A15EC" w14:textId="77777777" w:rsidR="00047DC5" w:rsidRDefault="00047DC5" w:rsidP="00047DC5">
      <w:pPr>
        <w:jc w:val="both"/>
        <w:rPr>
          <w:rFonts w:ascii="Arial" w:hAnsi="Arial" w:cs="Arial"/>
          <w:b/>
          <w:bCs/>
        </w:rPr>
      </w:pPr>
      <w:r>
        <w:rPr>
          <w:rFonts w:ascii="Arial" w:hAnsi="Arial" w:cs="Arial"/>
          <w:b/>
          <w:bCs/>
        </w:rPr>
        <w:t>A.1 Descriptive Statistics</w:t>
      </w:r>
    </w:p>
    <w:p w14:paraId="0DA7DB20" w14:textId="77777777" w:rsidR="00047DC5" w:rsidRDefault="00047DC5" w:rsidP="00047DC5">
      <w:pPr>
        <w:jc w:val="both"/>
        <w:rPr>
          <w:rFonts w:ascii="Arial" w:hAnsi="Arial" w:cs="Arial"/>
        </w:rPr>
      </w:pPr>
      <w:r>
        <w:rPr>
          <w:rFonts w:ascii="Arial" w:hAnsi="Arial" w:cs="Arial"/>
        </w:rPr>
        <w:t>The descriptive statistics for Health and Care Worker visa grants (2020–2026) reveal significant variation over the study period. The mean annual visa grant rate was 52,442, with a standard deviation of 47,345, indicating high volatility. The minimum visa grants occurred in 2026 (12,300), while the maximum was in 2023 (145,823). This substantial range (133,523) demonstrates the dramatic impact of immigration policy changes on visa issuance.</w:t>
      </w:r>
    </w:p>
    <w:p w14:paraId="7B8E0CAC" w14:textId="77777777" w:rsidR="00047DC5" w:rsidRDefault="00047DC5" w:rsidP="00047DC5">
      <w:pPr>
        <w:pStyle w:val="Caption"/>
        <w:keepNext/>
      </w:pPr>
      <w:bookmarkStart w:id="185" w:name="_Toc238206095"/>
      <w:r>
        <w:rPr>
          <w:sz w:val="28"/>
          <w:szCs w:val="28"/>
        </w:rPr>
        <w:lastRenderedPageBreak/>
        <w:t>Table 11Results of Descriptive Statistics.</w:t>
      </w:r>
      <w:bookmarkEnd w:id="185"/>
    </w:p>
    <w:p w14:paraId="13892F94" w14:textId="77777777" w:rsidR="00047DC5" w:rsidRDefault="00047DC5" w:rsidP="00047DC5">
      <w:r>
        <w:object w:dxaOrig="8280" w:dyaOrig="3069" w14:anchorId="1044FB40">
          <v:shape id="Object 2" o:spid="_x0000_i1026" type="#_x0000_t75" style="width:414pt;height:153.75pt;visibility:visible;mso-wrap-style:square" o:ole="">
            <v:imagedata r:id="rId34" o:title=""/>
          </v:shape>
          <o:OLEObject Type="Embed" ProgID="Excel.Sheet.8" ShapeID="Object 2" DrawAspect="Content" ObjectID="_1849297597" r:id="rId35"/>
        </w:object>
      </w:r>
    </w:p>
    <w:p w14:paraId="10F2F572" w14:textId="77777777" w:rsidR="00047DC5" w:rsidRDefault="00047DC5" w:rsidP="00047DC5">
      <w:r>
        <w:rPr>
          <w:rFonts w:ascii="Arial" w:hAnsi="Arial" w:cs="Arial"/>
          <w:i/>
          <w:iCs/>
        </w:rPr>
        <w:t>Source: Descriptive statistics of Home Office visa statistics (2020–2026) conducted in Microsoft Excel.</w:t>
      </w:r>
    </w:p>
    <w:p w14:paraId="53BEBE20" w14:textId="77777777" w:rsidR="00047DC5" w:rsidRDefault="00047DC5" w:rsidP="00047DC5"/>
    <w:p w14:paraId="5790B5CE" w14:textId="77777777" w:rsidR="00047DC5" w:rsidRDefault="00047DC5" w:rsidP="00047DC5">
      <w:pPr>
        <w:pStyle w:val="Caption"/>
        <w:keepNext/>
      </w:pPr>
      <w:r>
        <w:rPr>
          <w:sz w:val="28"/>
          <w:szCs w:val="28"/>
        </w:rPr>
        <w:t>Figure 4 Health and Care Worker Visa Grants (2020–2026).</w:t>
      </w:r>
    </w:p>
    <w:p w14:paraId="659B740E" w14:textId="77777777" w:rsidR="00047DC5" w:rsidRDefault="00047DC5" w:rsidP="00047DC5">
      <w:r>
        <w:rPr>
          <w:noProof/>
        </w:rPr>
        <mc:AlternateContent>
          <mc:Choice Requires="wpg">
            <w:drawing>
              <wp:inline distT="0" distB="0" distL="0" distR="0" wp14:anchorId="55BA3190" wp14:editId="630C33A8">
                <wp:extent cx="4777740" cy="2911349"/>
                <wp:effectExtent l="0" t="0" r="22860" b="22351"/>
                <wp:docPr id="316404758" name="Group 1175898841"/>
                <wp:cNvGraphicFramePr/>
                <a:graphic xmlns:a="http://schemas.openxmlformats.org/drawingml/2006/main">
                  <a:graphicData uri="http://schemas.microsoft.com/office/word/2010/wordprocessingGroup">
                    <wpg:wgp>
                      <wpg:cNvGrpSpPr/>
                      <wpg:grpSpPr>
                        <a:xfrm>
                          <a:off x="0" y="0"/>
                          <a:ext cx="4777740" cy="2911349"/>
                          <a:chOff x="0" y="0"/>
                          <a:chExt cx="4777740" cy="2911349"/>
                        </a:xfrm>
                      </wpg:grpSpPr>
                      <wps:wsp>
                        <wps:cNvPr id="349739491" name="Shape 65"/>
                        <wps:cNvSpPr/>
                        <wps:spPr>
                          <a:xfrm>
                            <a:off x="535554" y="2095749"/>
                            <a:ext cx="4102483" cy="0"/>
                          </a:xfrm>
                          <a:custGeom>
                            <a:avLst/>
                            <a:gdLst>
                              <a:gd name="f0" fmla="val w"/>
                              <a:gd name="f1" fmla="val h"/>
                              <a:gd name="f2" fmla="val ss"/>
                              <a:gd name="f3" fmla="val 0"/>
                              <a:gd name="f4" fmla="val 4102481"/>
                              <a:gd name="f5" fmla="abs f0"/>
                              <a:gd name="f6" fmla="abs f1"/>
                              <a:gd name="f7" fmla="abs f2"/>
                              <a:gd name="f8" fmla="*/ f0 1 4102481"/>
                              <a:gd name="f9" fmla="val f3"/>
                              <a:gd name="f10" fmla="+- f3 0 f3"/>
                              <a:gd name="f11" fmla="+- f4 0 f3"/>
                              <a:gd name="f12" fmla="?: f5 f0 1"/>
                              <a:gd name="f13" fmla="?: f6 f1 1"/>
                              <a:gd name="f14" fmla="?: f7 f2 1"/>
                              <a:gd name="f15" fmla="*/ f11 1 4102481"/>
                              <a:gd name="f16" fmla="*/ f10 1 0"/>
                              <a:gd name="f17" fmla="*/ f12 1 4102481"/>
                              <a:gd name="f18" fmla="*/ f13 1 21600"/>
                              <a:gd name="f19" fmla="*/ 21600 f13 1"/>
                              <a:gd name="f20" fmla="*/ 0 1 f15"/>
                              <a:gd name="f21" fmla="*/ 4102481 1 f15"/>
                              <a:gd name="f22" fmla="*/ 0 1 f16"/>
                              <a:gd name="f23" fmla="min f18 f17"/>
                              <a:gd name="f24" fmla="*/ f19 1 f14"/>
                              <a:gd name="f25" fmla="*/ f20 f8 1"/>
                              <a:gd name="f26" fmla="*/ f21 f8 1"/>
                              <a:gd name="f27" fmla="val f24"/>
                              <a:gd name="f28" fmla="*/ f3 f23 1"/>
                              <a:gd name="f29" fmla="+- f27 0 f9"/>
                              <a:gd name="f30" fmla="*/ f29 1 0"/>
                              <a:gd name="f31" fmla="*/ f22 f30 1"/>
                              <a:gd name="f32" fmla="*/ f31 f23 1"/>
                            </a:gdLst>
                            <a:ahLst/>
                            <a:cxnLst>
                              <a:cxn ang="3cd4">
                                <a:pos x="hc" y="t"/>
                              </a:cxn>
                              <a:cxn ang="0">
                                <a:pos x="r" y="vc"/>
                              </a:cxn>
                              <a:cxn ang="cd4">
                                <a:pos x="hc" y="b"/>
                              </a:cxn>
                              <a:cxn ang="cd2">
                                <a:pos x="l" y="vc"/>
                              </a:cxn>
                            </a:cxnLst>
                            <a:rect l="f25" t="f32" r="f26" b="f32"/>
                            <a:pathLst>
                              <a:path w="4102481">
                                <a:moveTo>
                                  <a:pt x="f3" y="f28"/>
                                </a:moveTo>
                                <a:lnTo>
                                  <a:pt x="f4" y="f28"/>
                                </a:lnTo>
                              </a:path>
                            </a:pathLst>
                          </a:custGeom>
                          <a:noFill/>
                          <a:ln w="9528" cap="flat">
                            <a:solidFill>
                              <a:srgbClr val="D9D9D9"/>
                            </a:solidFill>
                            <a:prstDash val="solid"/>
                            <a:round/>
                          </a:ln>
                        </wps:spPr>
                        <wps:bodyPr lIns="0" tIns="0" rIns="0" bIns="0"/>
                      </wps:wsp>
                      <wps:wsp>
                        <wps:cNvPr id="270019764" name="Shape 66"/>
                        <wps:cNvSpPr/>
                        <wps:spPr>
                          <a:xfrm>
                            <a:off x="535554" y="1862577"/>
                            <a:ext cx="4102483" cy="0"/>
                          </a:xfrm>
                          <a:custGeom>
                            <a:avLst/>
                            <a:gdLst>
                              <a:gd name="f0" fmla="val w"/>
                              <a:gd name="f1" fmla="val h"/>
                              <a:gd name="f2" fmla="val ss"/>
                              <a:gd name="f3" fmla="val 0"/>
                              <a:gd name="f4" fmla="val 4102481"/>
                              <a:gd name="f5" fmla="abs f0"/>
                              <a:gd name="f6" fmla="abs f1"/>
                              <a:gd name="f7" fmla="abs f2"/>
                              <a:gd name="f8" fmla="*/ f0 1 4102481"/>
                              <a:gd name="f9" fmla="val f3"/>
                              <a:gd name="f10" fmla="+- f3 0 f3"/>
                              <a:gd name="f11" fmla="+- f4 0 f3"/>
                              <a:gd name="f12" fmla="?: f5 f0 1"/>
                              <a:gd name="f13" fmla="?: f6 f1 1"/>
                              <a:gd name="f14" fmla="?: f7 f2 1"/>
                              <a:gd name="f15" fmla="*/ f11 1 4102481"/>
                              <a:gd name="f16" fmla="*/ f10 1 0"/>
                              <a:gd name="f17" fmla="*/ f12 1 4102481"/>
                              <a:gd name="f18" fmla="*/ f13 1 21600"/>
                              <a:gd name="f19" fmla="*/ 21600 f13 1"/>
                              <a:gd name="f20" fmla="*/ 0 1 f15"/>
                              <a:gd name="f21" fmla="*/ 4102481 1 f15"/>
                              <a:gd name="f22" fmla="*/ 0 1 f16"/>
                              <a:gd name="f23" fmla="min f18 f17"/>
                              <a:gd name="f24" fmla="*/ f19 1 f14"/>
                              <a:gd name="f25" fmla="*/ f20 f8 1"/>
                              <a:gd name="f26" fmla="*/ f21 f8 1"/>
                              <a:gd name="f27" fmla="val f24"/>
                              <a:gd name="f28" fmla="*/ f3 f23 1"/>
                              <a:gd name="f29" fmla="+- f27 0 f9"/>
                              <a:gd name="f30" fmla="*/ f29 1 0"/>
                              <a:gd name="f31" fmla="*/ f22 f30 1"/>
                              <a:gd name="f32" fmla="*/ f31 f23 1"/>
                            </a:gdLst>
                            <a:ahLst/>
                            <a:cxnLst>
                              <a:cxn ang="3cd4">
                                <a:pos x="hc" y="t"/>
                              </a:cxn>
                              <a:cxn ang="0">
                                <a:pos x="r" y="vc"/>
                              </a:cxn>
                              <a:cxn ang="cd4">
                                <a:pos x="hc" y="b"/>
                              </a:cxn>
                              <a:cxn ang="cd2">
                                <a:pos x="l" y="vc"/>
                              </a:cxn>
                            </a:cxnLst>
                            <a:rect l="f25" t="f32" r="f26" b="f32"/>
                            <a:pathLst>
                              <a:path w="4102481">
                                <a:moveTo>
                                  <a:pt x="f3" y="f28"/>
                                </a:moveTo>
                                <a:lnTo>
                                  <a:pt x="f4" y="f28"/>
                                </a:lnTo>
                              </a:path>
                            </a:pathLst>
                          </a:custGeom>
                          <a:noFill/>
                          <a:ln w="9528" cap="flat">
                            <a:solidFill>
                              <a:srgbClr val="D9D9D9"/>
                            </a:solidFill>
                            <a:prstDash val="solid"/>
                            <a:round/>
                          </a:ln>
                        </wps:spPr>
                        <wps:bodyPr lIns="0" tIns="0" rIns="0" bIns="0"/>
                      </wps:wsp>
                      <wps:wsp>
                        <wps:cNvPr id="531522006" name="Shape 67"/>
                        <wps:cNvSpPr/>
                        <wps:spPr>
                          <a:xfrm>
                            <a:off x="535554" y="1630932"/>
                            <a:ext cx="4102483" cy="0"/>
                          </a:xfrm>
                          <a:custGeom>
                            <a:avLst/>
                            <a:gdLst>
                              <a:gd name="f0" fmla="val w"/>
                              <a:gd name="f1" fmla="val h"/>
                              <a:gd name="f2" fmla="val ss"/>
                              <a:gd name="f3" fmla="val 0"/>
                              <a:gd name="f4" fmla="val 4102481"/>
                              <a:gd name="f5" fmla="abs f0"/>
                              <a:gd name="f6" fmla="abs f1"/>
                              <a:gd name="f7" fmla="abs f2"/>
                              <a:gd name="f8" fmla="*/ f0 1 4102481"/>
                              <a:gd name="f9" fmla="val f3"/>
                              <a:gd name="f10" fmla="+- f3 0 f3"/>
                              <a:gd name="f11" fmla="+- f4 0 f3"/>
                              <a:gd name="f12" fmla="?: f5 f0 1"/>
                              <a:gd name="f13" fmla="?: f6 f1 1"/>
                              <a:gd name="f14" fmla="?: f7 f2 1"/>
                              <a:gd name="f15" fmla="*/ f11 1 4102481"/>
                              <a:gd name="f16" fmla="*/ f10 1 0"/>
                              <a:gd name="f17" fmla="*/ f12 1 4102481"/>
                              <a:gd name="f18" fmla="*/ f13 1 21600"/>
                              <a:gd name="f19" fmla="*/ 21600 f13 1"/>
                              <a:gd name="f20" fmla="*/ 0 1 f15"/>
                              <a:gd name="f21" fmla="*/ 4102481 1 f15"/>
                              <a:gd name="f22" fmla="*/ 0 1 f16"/>
                              <a:gd name="f23" fmla="min f18 f17"/>
                              <a:gd name="f24" fmla="*/ f19 1 f14"/>
                              <a:gd name="f25" fmla="*/ f20 f8 1"/>
                              <a:gd name="f26" fmla="*/ f21 f8 1"/>
                              <a:gd name="f27" fmla="val f24"/>
                              <a:gd name="f28" fmla="*/ f3 f23 1"/>
                              <a:gd name="f29" fmla="+- f27 0 f9"/>
                              <a:gd name="f30" fmla="*/ f29 1 0"/>
                              <a:gd name="f31" fmla="*/ f22 f30 1"/>
                              <a:gd name="f32" fmla="*/ f31 f23 1"/>
                            </a:gdLst>
                            <a:ahLst/>
                            <a:cxnLst>
                              <a:cxn ang="3cd4">
                                <a:pos x="hc" y="t"/>
                              </a:cxn>
                              <a:cxn ang="0">
                                <a:pos x="r" y="vc"/>
                              </a:cxn>
                              <a:cxn ang="cd4">
                                <a:pos x="hc" y="b"/>
                              </a:cxn>
                              <a:cxn ang="cd2">
                                <a:pos x="l" y="vc"/>
                              </a:cxn>
                            </a:cxnLst>
                            <a:rect l="f25" t="f32" r="f26" b="f32"/>
                            <a:pathLst>
                              <a:path w="4102481">
                                <a:moveTo>
                                  <a:pt x="f3" y="f28"/>
                                </a:moveTo>
                                <a:lnTo>
                                  <a:pt x="f4" y="f28"/>
                                </a:lnTo>
                              </a:path>
                            </a:pathLst>
                          </a:custGeom>
                          <a:noFill/>
                          <a:ln w="9528" cap="flat">
                            <a:solidFill>
                              <a:srgbClr val="D9D9D9"/>
                            </a:solidFill>
                            <a:prstDash val="solid"/>
                            <a:round/>
                          </a:ln>
                        </wps:spPr>
                        <wps:bodyPr lIns="0" tIns="0" rIns="0" bIns="0"/>
                      </wps:wsp>
                      <wps:wsp>
                        <wps:cNvPr id="424658388" name="Shape 68"/>
                        <wps:cNvSpPr/>
                        <wps:spPr>
                          <a:xfrm>
                            <a:off x="535554" y="1399288"/>
                            <a:ext cx="4102483" cy="0"/>
                          </a:xfrm>
                          <a:custGeom>
                            <a:avLst/>
                            <a:gdLst>
                              <a:gd name="f0" fmla="val w"/>
                              <a:gd name="f1" fmla="val h"/>
                              <a:gd name="f2" fmla="val ss"/>
                              <a:gd name="f3" fmla="val 0"/>
                              <a:gd name="f4" fmla="val 4102481"/>
                              <a:gd name="f5" fmla="abs f0"/>
                              <a:gd name="f6" fmla="abs f1"/>
                              <a:gd name="f7" fmla="abs f2"/>
                              <a:gd name="f8" fmla="*/ f0 1 4102481"/>
                              <a:gd name="f9" fmla="val f3"/>
                              <a:gd name="f10" fmla="+- f3 0 f3"/>
                              <a:gd name="f11" fmla="+- f4 0 f3"/>
                              <a:gd name="f12" fmla="?: f5 f0 1"/>
                              <a:gd name="f13" fmla="?: f6 f1 1"/>
                              <a:gd name="f14" fmla="?: f7 f2 1"/>
                              <a:gd name="f15" fmla="*/ f11 1 4102481"/>
                              <a:gd name="f16" fmla="*/ f10 1 0"/>
                              <a:gd name="f17" fmla="*/ f12 1 4102481"/>
                              <a:gd name="f18" fmla="*/ f13 1 21600"/>
                              <a:gd name="f19" fmla="*/ 21600 f13 1"/>
                              <a:gd name="f20" fmla="*/ 0 1 f15"/>
                              <a:gd name="f21" fmla="*/ 4102481 1 f15"/>
                              <a:gd name="f22" fmla="*/ 0 1 f16"/>
                              <a:gd name="f23" fmla="min f18 f17"/>
                              <a:gd name="f24" fmla="*/ f19 1 f14"/>
                              <a:gd name="f25" fmla="*/ f20 f8 1"/>
                              <a:gd name="f26" fmla="*/ f21 f8 1"/>
                              <a:gd name="f27" fmla="val f24"/>
                              <a:gd name="f28" fmla="*/ f3 f23 1"/>
                              <a:gd name="f29" fmla="+- f27 0 f9"/>
                              <a:gd name="f30" fmla="*/ f29 1 0"/>
                              <a:gd name="f31" fmla="*/ f22 f30 1"/>
                              <a:gd name="f32" fmla="*/ f31 f23 1"/>
                            </a:gdLst>
                            <a:ahLst/>
                            <a:cxnLst>
                              <a:cxn ang="3cd4">
                                <a:pos x="hc" y="t"/>
                              </a:cxn>
                              <a:cxn ang="0">
                                <a:pos x="r" y="vc"/>
                              </a:cxn>
                              <a:cxn ang="cd4">
                                <a:pos x="hc" y="b"/>
                              </a:cxn>
                              <a:cxn ang="cd2">
                                <a:pos x="l" y="vc"/>
                              </a:cxn>
                            </a:cxnLst>
                            <a:rect l="f25" t="f32" r="f26" b="f32"/>
                            <a:pathLst>
                              <a:path w="4102481">
                                <a:moveTo>
                                  <a:pt x="f3" y="f28"/>
                                </a:moveTo>
                                <a:lnTo>
                                  <a:pt x="f4" y="f28"/>
                                </a:lnTo>
                              </a:path>
                            </a:pathLst>
                          </a:custGeom>
                          <a:noFill/>
                          <a:ln w="9528" cap="flat">
                            <a:solidFill>
                              <a:srgbClr val="D9D9D9"/>
                            </a:solidFill>
                            <a:prstDash val="solid"/>
                            <a:round/>
                          </a:ln>
                        </wps:spPr>
                        <wps:bodyPr lIns="0" tIns="0" rIns="0" bIns="0"/>
                      </wps:wsp>
                      <wps:wsp>
                        <wps:cNvPr id="1939264234" name="Shape 69"/>
                        <wps:cNvSpPr/>
                        <wps:spPr>
                          <a:xfrm>
                            <a:off x="535554" y="1167633"/>
                            <a:ext cx="4102483" cy="0"/>
                          </a:xfrm>
                          <a:custGeom>
                            <a:avLst/>
                            <a:gdLst>
                              <a:gd name="f0" fmla="val w"/>
                              <a:gd name="f1" fmla="val h"/>
                              <a:gd name="f2" fmla="val ss"/>
                              <a:gd name="f3" fmla="val 0"/>
                              <a:gd name="f4" fmla="val 4102481"/>
                              <a:gd name="f5" fmla="abs f0"/>
                              <a:gd name="f6" fmla="abs f1"/>
                              <a:gd name="f7" fmla="abs f2"/>
                              <a:gd name="f8" fmla="*/ f0 1 4102481"/>
                              <a:gd name="f9" fmla="val f3"/>
                              <a:gd name="f10" fmla="+- f3 0 f3"/>
                              <a:gd name="f11" fmla="+- f4 0 f3"/>
                              <a:gd name="f12" fmla="?: f5 f0 1"/>
                              <a:gd name="f13" fmla="?: f6 f1 1"/>
                              <a:gd name="f14" fmla="?: f7 f2 1"/>
                              <a:gd name="f15" fmla="*/ f11 1 4102481"/>
                              <a:gd name="f16" fmla="*/ f10 1 0"/>
                              <a:gd name="f17" fmla="*/ f12 1 4102481"/>
                              <a:gd name="f18" fmla="*/ f13 1 21600"/>
                              <a:gd name="f19" fmla="*/ 21600 f13 1"/>
                              <a:gd name="f20" fmla="*/ 0 1 f15"/>
                              <a:gd name="f21" fmla="*/ 4102481 1 f15"/>
                              <a:gd name="f22" fmla="*/ 0 1 f16"/>
                              <a:gd name="f23" fmla="min f18 f17"/>
                              <a:gd name="f24" fmla="*/ f19 1 f14"/>
                              <a:gd name="f25" fmla="*/ f20 f8 1"/>
                              <a:gd name="f26" fmla="*/ f21 f8 1"/>
                              <a:gd name="f27" fmla="val f24"/>
                              <a:gd name="f28" fmla="*/ f3 f23 1"/>
                              <a:gd name="f29" fmla="+- f27 0 f9"/>
                              <a:gd name="f30" fmla="*/ f29 1 0"/>
                              <a:gd name="f31" fmla="*/ f22 f30 1"/>
                              <a:gd name="f32" fmla="*/ f31 f23 1"/>
                            </a:gdLst>
                            <a:ahLst/>
                            <a:cxnLst>
                              <a:cxn ang="3cd4">
                                <a:pos x="hc" y="t"/>
                              </a:cxn>
                              <a:cxn ang="0">
                                <a:pos x="r" y="vc"/>
                              </a:cxn>
                              <a:cxn ang="cd4">
                                <a:pos x="hc" y="b"/>
                              </a:cxn>
                              <a:cxn ang="cd2">
                                <a:pos x="l" y="vc"/>
                              </a:cxn>
                            </a:cxnLst>
                            <a:rect l="f25" t="f32" r="f26" b="f32"/>
                            <a:pathLst>
                              <a:path w="4102481">
                                <a:moveTo>
                                  <a:pt x="f3" y="f28"/>
                                </a:moveTo>
                                <a:lnTo>
                                  <a:pt x="f4" y="f28"/>
                                </a:lnTo>
                              </a:path>
                            </a:pathLst>
                          </a:custGeom>
                          <a:noFill/>
                          <a:ln w="9528" cap="flat">
                            <a:solidFill>
                              <a:srgbClr val="D9D9D9"/>
                            </a:solidFill>
                            <a:prstDash val="solid"/>
                            <a:round/>
                          </a:ln>
                        </wps:spPr>
                        <wps:bodyPr lIns="0" tIns="0" rIns="0" bIns="0"/>
                      </wps:wsp>
                      <wps:wsp>
                        <wps:cNvPr id="1925235396" name="Shape 70"/>
                        <wps:cNvSpPr/>
                        <wps:spPr>
                          <a:xfrm>
                            <a:off x="535554" y="934461"/>
                            <a:ext cx="4102483" cy="0"/>
                          </a:xfrm>
                          <a:custGeom>
                            <a:avLst/>
                            <a:gdLst>
                              <a:gd name="f0" fmla="val w"/>
                              <a:gd name="f1" fmla="val h"/>
                              <a:gd name="f2" fmla="val ss"/>
                              <a:gd name="f3" fmla="val 0"/>
                              <a:gd name="f4" fmla="val 4102481"/>
                              <a:gd name="f5" fmla="abs f0"/>
                              <a:gd name="f6" fmla="abs f1"/>
                              <a:gd name="f7" fmla="abs f2"/>
                              <a:gd name="f8" fmla="*/ f0 1 4102481"/>
                              <a:gd name="f9" fmla="val f3"/>
                              <a:gd name="f10" fmla="+- f3 0 f3"/>
                              <a:gd name="f11" fmla="+- f4 0 f3"/>
                              <a:gd name="f12" fmla="?: f5 f0 1"/>
                              <a:gd name="f13" fmla="?: f6 f1 1"/>
                              <a:gd name="f14" fmla="?: f7 f2 1"/>
                              <a:gd name="f15" fmla="*/ f11 1 4102481"/>
                              <a:gd name="f16" fmla="*/ f10 1 0"/>
                              <a:gd name="f17" fmla="*/ f12 1 4102481"/>
                              <a:gd name="f18" fmla="*/ f13 1 21600"/>
                              <a:gd name="f19" fmla="*/ 21600 f13 1"/>
                              <a:gd name="f20" fmla="*/ 0 1 f15"/>
                              <a:gd name="f21" fmla="*/ 4102481 1 f15"/>
                              <a:gd name="f22" fmla="*/ 0 1 f16"/>
                              <a:gd name="f23" fmla="min f18 f17"/>
                              <a:gd name="f24" fmla="*/ f19 1 f14"/>
                              <a:gd name="f25" fmla="*/ f20 f8 1"/>
                              <a:gd name="f26" fmla="*/ f21 f8 1"/>
                              <a:gd name="f27" fmla="val f24"/>
                              <a:gd name="f28" fmla="*/ f3 f23 1"/>
                              <a:gd name="f29" fmla="+- f27 0 f9"/>
                              <a:gd name="f30" fmla="*/ f29 1 0"/>
                              <a:gd name="f31" fmla="*/ f22 f30 1"/>
                              <a:gd name="f32" fmla="*/ f31 f23 1"/>
                            </a:gdLst>
                            <a:ahLst/>
                            <a:cxnLst>
                              <a:cxn ang="3cd4">
                                <a:pos x="hc" y="t"/>
                              </a:cxn>
                              <a:cxn ang="0">
                                <a:pos x="r" y="vc"/>
                              </a:cxn>
                              <a:cxn ang="cd4">
                                <a:pos x="hc" y="b"/>
                              </a:cxn>
                              <a:cxn ang="cd2">
                                <a:pos x="l" y="vc"/>
                              </a:cxn>
                            </a:cxnLst>
                            <a:rect l="f25" t="f32" r="f26" b="f32"/>
                            <a:pathLst>
                              <a:path w="4102481">
                                <a:moveTo>
                                  <a:pt x="f3" y="f28"/>
                                </a:moveTo>
                                <a:lnTo>
                                  <a:pt x="f4" y="f28"/>
                                </a:lnTo>
                              </a:path>
                            </a:pathLst>
                          </a:custGeom>
                          <a:noFill/>
                          <a:ln w="9528" cap="flat">
                            <a:solidFill>
                              <a:srgbClr val="D9D9D9"/>
                            </a:solidFill>
                            <a:prstDash val="solid"/>
                            <a:round/>
                          </a:ln>
                        </wps:spPr>
                        <wps:bodyPr lIns="0" tIns="0" rIns="0" bIns="0"/>
                      </wps:wsp>
                      <wps:wsp>
                        <wps:cNvPr id="912595746" name="Shape 71"/>
                        <wps:cNvSpPr/>
                        <wps:spPr>
                          <a:xfrm>
                            <a:off x="535554" y="702816"/>
                            <a:ext cx="4102483" cy="0"/>
                          </a:xfrm>
                          <a:custGeom>
                            <a:avLst/>
                            <a:gdLst>
                              <a:gd name="f0" fmla="val w"/>
                              <a:gd name="f1" fmla="val h"/>
                              <a:gd name="f2" fmla="val ss"/>
                              <a:gd name="f3" fmla="val 0"/>
                              <a:gd name="f4" fmla="val 4102481"/>
                              <a:gd name="f5" fmla="abs f0"/>
                              <a:gd name="f6" fmla="abs f1"/>
                              <a:gd name="f7" fmla="abs f2"/>
                              <a:gd name="f8" fmla="*/ f0 1 4102481"/>
                              <a:gd name="f9" fmla="val f3"/>
                              <a:gd name="f10" fmla="+- f3 0 f3"/>
                              <a:gd name="f11" fmla="+- f4 0 f3"/>
                              <a:gd name="f12" fmla="?: f5 f0 1"/>
                              <a:gd name="f13" fmla="?: f6 f1 1"/>
                              <a:gd name="f14" fmla="?: f7 f2 1"/>
                              <a:gd name="f15" fmla="*/ f11 1 4102481"/>
                              <a:gd name="f16" fmla="*/ f10 1 0"/>
                              <a:gd name="f17" fmla="*/ f12 1 4102481"/>
                              <a:gd name="f18" fmla="*/ f13 1 21600"/>
                              <a:gd name="f19" fmla="*/ 21600 f13 1"/>
                              <a:gd name="f20" fmla="*/ 0 1 f15"/>
                              <a:gd name="f21" fmla="*/ 4102481 1 f15"/>
                              <a:gd name="f22" fmla="*/ 0 1 f16"/>
                              <a:gd name="f23" fmla="min f18 f17"/>
                              <a:gd name="f24" fmla="*/ f19 1 f14"/>
                              <a:gd name="f25" fmla="*/ f20 f8 1"/>
                              <a:gd name="f26" fmla="*/ f21 f8 1"/>
                              <a:gd name="f27" fmla="val f24"/>
                              <a:gd name="f28" fmla="*/ f3 f23 1"/>
                              <a:gd name="f29" fmla="+- f27 0 f9"/>
                              <a:gd name="f30" fmla="*/ f29 1 0"/>
                              <a:gd name="f31" fmla="*/ f22 f30 1"/>
                              <a:gd name="f32" fmla="*/ f31 f23 1"/>
                            </a:gdLst>
                            <a:ahLst/>
                            <a:cxnLst>
                              <a:cxn ang="3cd4">
                                <a:pos x="hc" y="t"/>
                              </a:cxn>
                              <a:cxn ang="0">
                                <a:pos x="r" y="vc"/>
                              </a:cxn>
                              <a:cxn ang="cd4">
                                <a:pos x="hc" y="b"/>
                              </a:cxn>
                              <a:cxn ang="cd2">
                                <a:pos x="l" y="vc"/>
                              </a:cxn>
                            </a:cxnLst>
                            <a:rect l="f25" t="f32" r="f26" b="f32"/>
                            <a:pathLst>
                              <a:path w="4102481">
                                <a:moveTo>
                                  <a:pt x="f3" y="f28"/>
                                </a:moveTo>
                                <a:lnTo>
                                  <a:pt x="f4" y="f28"/>
                                </a:lnTo>
                              </a:path>
                            </a:pathLst>
                          </a:custGeom>
                          <a:noFill/>
                          <a:ln w="9528" cap="flat">
                            <a:solidFill>
                              <a:srgbClr val="D9D9D9"/>
                            </a:solidFill>
                            <a:prstDash val="solid"/>
                            <a:round/>
                          </a:ln>
                        </wps:spPr>
                        <wps:bodyPr lIns="0" tIns="0" rIns="0" bIns="0"/>
                      </wps:wsp>
                      <wps:wsp>
                        <wps:cNvPr id="7862140" name="Shape 72"/>
                        <wps:cNvSpPr/>
                        <wps:spPr>
                          <a:xfrm>
                            <a:off x="535554" y="471172"/>
                            <a:ext cx="4102483" cy="0"/>
                          </a:xfrm>
                          <a:custGeom>
                            <a:avLst/>
                            <a:gdLst>
                              <a:gd name="f0" fmla="val w"/>
                              <a:gd name="f1" fmla="val h"/>
                              <a:gd name="f2" fmla="val ss"/>
                              <a:gd name="f3" fmla="val 0"/>
                              <a:gd name="f4" fmla="val 4102481"/>
                              <a:gd name="f5" fmla="abs f0"/>
                              <a:gd name="f6" fmla="abs f1"/>
                              <a:gd name="f7" fmla="abs f2"/>
                              <a:gd name="f8" fmla="*/ f0 1 4102481"/>
                              <a:gd name="f9" fmla="val f3"/>
                              <a:gd name="f10" fmla="+- f3 0 f3"/>
                              <a:gd name="f11" fmla="+- f4 0 f3"/>
                              <a:gd name="f12" fmla="?: f5 f0 1"/>
                              <a:gd name="f13" fmla="?: f6 f1 1"/>
                              <a:gd name="f14" fmla="?: f7 f2 1"/>
                              <a:gd name="f15" fmla="*/ f11 1 4102481"/>
                              <a:gd name="f16" fmla="*/ f10 1 0"/>
                              <a:gd name="f17" fmla="*/ f12 1 4102481"/>
                              <a:gd name="f18" fmla="*/ f13 1 21600"/>
                              <a:gd name="f19" fmla="*/ 21600 f13 1"/>
                              <a:gd name="f20" fmla="*/ 0 1 f15"/>
                              <a:gd name="f21" fmla="*/ 4102481 1 f15"/>
                              <a:gd name="f22" fmla="*/ 0 1 f16"/>
                              <a:gd name="f23" fmla="min f18 f17"/>
                              <a:gd name="f24" fmla="*/ f19 1 f14"/>
                              <a:gd name="f25" fmla="*/ f20 f8 1"/>
                              <a:gd name="f26" fmla="*/ f21 f8 1"/>
                              <a:gd name="f27" fmla="val f24"/>
                              <a:gd name="f28" fmla="*/ f3 f23 1"/>
                              <a:gd name="f29" fmla="+- f27 0 f9"/>
                              <a:gd name="f30" fmla="*/ f29 1 0"/>
                              <a:gd name="f31" fmla="*/ f22 f30 1"/>
                              <a:gd name="f32" fmla="*/ f31 f23 1"/>
                            </a:gdLst>
                            <a:ahLst/>
                            <a:cxnLst>
                              <a:cxn ang="3cd4">
                                <a:pos x="hc" y="t"/>
                              </a:cxn>
                              <a:cxn ang="0">
                                <a:pos x="r" y="vc"/>
                              </a:cxn>
                              <a:cxn ang="cd4">
                                <a:pos x="hc" y="b"/>
                              </a:cxn>
                              <a:cxn ang="cd2">
                                <a:pos x="l" y="vc"/>
                              </a:cxn>
                            </a:cxnLst>
                            <a:rect l="f25" t="f32" r="f26" b="f32"/>
                            <a:pathLst>
                              <a:path w="4102481">
                                <a:moveTo>
                                  <a:pt x="f3" y="f28"/>
                                </a:moveTo>
                                <a:lnTo>
                                  <a:pt x="f4" y="f28"/>
                                </a:lnTo>
                              </a:path>
                            </a:pathLst>
                          </a:custGeom>
                          <a:noFill/>
                          <a:ln w="9528" cap="flat">
                            <a:solidFill>
                              <a:srgbClr val="D9D9D9"/>
                            </a:solidFill>
                            <a:prstDash val="solid"/>
                            <a:round/>
                          </a:ln>
                        </wps:spPr>
                        <wps:bodyPr lIns="0" tIns="0" rIns="0" bIns="0"/>
                      </wps:wsp>
                      <wps:wsp>
                        <wps:cNvPr id="1940686009" name="Shape 73"/>
                        <wps:cNvSpPr/>
                        <wps:spPr>
                          <a:xfrm>
                            <a:off x="535554" y="2327276"/>
                            <a:ext cx="4102483" cy="0"/>
                          </a:xfrm>
                          <a:custGeom>
                            <a:avLst/>
                            <a:gdLst>
                              <a:gd name="f0" fmla="val w"/>
                              <a:gd name="f1" fmla="val h"/>
                              <a:gd name="f2" fmla="val ss"/>
                              <a:gd name="f3" fmla="val 0"/>
                              <a:gd name="f4" fmla="val 4102481"/>
                              <a:gd name="f5" fmla="abs f0"/>
                              <a:gd name="f6" fmla="abs f1"/>
                              <a:gd name="f7" fmla="abs f2"/>
                              <a:gd name="f8" fmla="*/ f0 1 4102481"/>
                              <a:gd name="f9" fmla="val f3"/>
                              <a:gd name="f10" fmla="+- f3 0 f3"/>
                              <a:gd name="f11" fmla="+- f4 0 f3"/>
                              <a:gd name="f12" fmla="?: f5 f0 1"/>
                              <a:gd name="f13" fmla="?: f6 f1 1"/>
                              <a:gd name="f14" fmla="?: f7 f2 1"/>
                              <a:gd name="f15" fmla="*/ f11 1 4102481"/>
                              <a:gd name="f16" fmla="*/ f10 1 0"/>
                              <a:gd name="f17" fmla="*/ f12 1 4102481"/>
                              <a:gd name="f18" fmla="*/ f13 1 21600"/>
                              <a:gd name="f19" fmla="*/ 21600 f13 1"/>
                              <a:gd name="f20" fmla="*/ 0 1 f15"/>
                              <a:gd name="f21" fmla="*/ 4102481 1 f15"/>
                              <a:gd name="f22" fmla="*/ 0 1 f16"/>
                              <a:gd name="f23" fmla="min f18 f17"/>
                              <a:gd name="f24" fmla="*/ f19 1 f14"/>
                              <a:gd name="f25" fmla="*/ f20 f8 1"/>
                              <a:gd name="f26" fmla="*/ f21 f8 1"/>
                              <a:gd name="f27" fmla="val f24"/>
                              <a:gd name="f28" fmla="*/ f3 f23 1"/>
                              <a:gd name="f29" fmla="+- f27 0 f9"/>
                              <a:gd name="f30" fmla="*/ f29 1 0"/>
                              <a:gd name="f31" fmla="*/ f22 f30 1"/>
                              <a:gd name="f32" fmla="*/ f31 f23 1"/>
                            </a:gdLst>
                            <a:ahLst/>
                            <a:cxnLst>
                              <a:cxn ang="3cd4">
                                <a:pos x="hc" y="t"/>
                              </a:cxn>
                              <a:cxn ang="0">
                                <a:pos x="r" y="vc"/>
                              </a:cxn>
                              <a:cxn ang="cd4">
                                <a:pos x="hc" y="b"/>
                              </a:cxn>
                              <a:cxn ang="cd2">
                                <a:pos x="l" y="vc"/>
                              </a:cxn>
                            </a:cxnLst>
                            <a:rect l="f25" t="f32" r="f26" b="f32"/>
                            <a:pathLst>
                              <a:path w="4102481">
                                <a:moveTo>
                                  <a:pt x="f3" y="f28"/>
                                </a:moveTo>
                                <a:lnTo>
                                  <a:pt x="f4" y="f28"/>
                                </a:lnTo>
                              </a:path>
                            </a:pathLst>
                          </a:custGeom>
                          <a:noFill/>
                          <a:ln w="9528" cap="flat">
                            <a:solidFill>
                              <a:srgbClr val="D9D9D9"/>
                            </a:solidFill>
                            <a:prstDash val="solid"/>
                            <a:round/>
                          </a:ln>
                        </wps:spPr>
                        <wps:bodyPr lIns="0" tIns="0" rIns="0" bIns="0"/>
                      </wps:wsp>
                      <wps:wsp>
                        <wps:cNvPr id="1562076370" name="Shape 74"/>
                        <wps:cNvSpPr/>
                        <wps:spPr>
                          <a:xfrm>
                            <a:off x="828675" y="2303016"/>
                            <a:ext cx="3516380" cy="1527"/>
                          </a:xfrm>
                          <a:custGeom>
                            <a:avLst/>
                            <a:gdLst>
                              <a:gd name="f0" fmla="val w"/>
                              <a:gd name="f1" fmla="val h"/>
                              <a:gd name="f2" fmla="val 0"/>
                              <a:gd name="f3" fmla="val 3516376"/>
                              <a:gd name="f4" fmla="val 1524"/>
                              <a:gd name="f5" fmla="val 762"/>
                              <a:gd name="f6" fmla="val 586613"/>
                              <a:gd name="f7" fmla="val 1171829"/>
                              <a:gd name="f8" fmla="val 1758569"/>
                              <a:gd name="f9" fmla="val 2930525"/>
                              <a:gd name="f10" fmla="*/ f0 1 3516376"/>
                              <a:gd name="f11" fmla="*/ f1 1 1524"/>
                              <a:gd name="f12" fmla="+- f4 0 f2"/>
                              <a:gd name="f13" fmla="+- f3 0 f2"/>
                              <a:gd name="f14" fmla="*/ f13 1 3516376"/>
                              <a:gd name="f15" fmla="*/ f12 1 1524"/>
                              <a:gd name="f16" fmla="*/ 0 1 f14"/>
                              <a:gd name="f17" fmla="*/ 3516376 1 f14"/>
                              <a:gd name="f18" fmla="*/ 0 1 f15"/>
                              <a:gd name="f19" fmla="*/ 1524 1 f15"/>
                              <a:gd name="f20" fmla="*/ f16 f10 1"/>
                              <a:gd name="f21" fmla="*/ f17 f10 1"/>
                              <a:gd name="f22" fmla="*/ f19 f11 1"/>
                              <a:gd name="f23" fmla="*/ f18 f11 1"/>
                            </a:gdLst>
                            <a:ahLst/>
                            <a:cxnLst>
                              <a:cxn ang="3cd4">
                                <a:pos x="hc" y="t"/>
                              </a:cxn>
                              <a:cxn ang="0">
                                <a:pos x="r" y="vc"/>
                              </a:cxn>
                              <a:cxn ang="cd4">
                                <a:pos x="hc" y="b"/>
                              </a:cxn>
                              <a:cxn ang="cd2">
                                <a:pos x="l" y="vc"/>
                              </a:cxn>
                            </a:cxnLst>
                            <a:rect l="f20" t="f23" r="f21" b="f22"/>
                            <a:pathLst>
                              <a:path w="3516376" h="1524">
                                <a:moveTo>
                                  <a:pt x="f2" y="f5"/>
                                </a:moveTo>
                                <a:lnTo>
                                  <a:pt x="f6" y="f4"/>
                                </a:lnTo>
                                <a:lnTo>
                                  <a:pt x="f7" y="f4"/>
                                </a:lnTo>
                                <a:lnTo>
                                  <a:pt x="f8" y="f2"/>
                                </a:lnTo>
                                <a:lnTo>
                                  <a:pt x="f9" y="f2"/>
                                </a:lnTo>
                                <a:lnTo>
                                  <a:pt x="f3" y="f5"/>
                                </a:lnTo>
                              </a:path>
                            </a:pathLst>
                          </a:custGeom>
                          <a:noFill/>
                          <a:ln w="28575" cap="rnd">
                            <a:solidFill>
                              <a:srgbClr val="156082"/>
                            </a:solidFill>
                            <a:prstDash val="solid"/>
                            <a:round/>
                          </a:ln>
                        </wps:spPr>
                        <wps:bodyPr lIns="0" tIns="0" rIns="0" bIns="0"/>
                      </wps:wsp>
                      <wps:wsp>
                        <wps:cNvPr id="1299318926" name="Shape 75"/>
                        <wps:cNvSpPr/>
                        <wps:spPr>
                          <a:xfrm>
                            <a:off x="797055" y="2272412"/>
                            <a:ext cx="64008" cy="64008"/>
                          </a:xfrm>
                          <a:custGeom>
                            <a:avLst/>
                            <a:gdLst>
                              <a:gd name="f0" fmla="val w"/>
                              <a:gd name="f1" fmla="val h"/>
                              <a:gd name="f2" fmla="val 0"/>
                              <a:gd name="f3" fmla="val 64008"/>
                              <a:gd name="f4" fmla="val 32004"/>
                              <a:gd name="f5" fmla="val 49657"/>
                              <a:gd name="f6" fmla="val 14224"/>
                              <a:gd name="f7" fmla="val 14351"/>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4" y="f2"/>
                                </a:moveTo>
                                <a:cubicBezTo>
                                  <a:pt x="f5" y="f2"/>
                                  <a:pt x="f3" y="f6"/>
                                  <a:pt x="f3" y="f4"/>
                                </a:cubicBezTo>
                                <a:cubicBezTo>
                                  <a:pt x="f3" y="f5"/>
                                  <a:pt x="f5" y="f3"/>
                                  <a:pt x="f4" y="f3"/>
                                </a:cubicBezTo>
                                <a:cubicBezTo>
                                  <a:pt x="f7" y="f3"/>
                                  <a:pt x="f2" y="f5"/>
                                  <a:pt x="f2" y="f4"/>
                                </a:cubicBezTo>
                                <a:cubicBezTo>
                                  <a:pt x="f2" y="f6"/>
                                  <a:pt x="f7" y="f2"/>
                                  <a:pt x="f4" y="f2"/>
                                </a:cubicBezTo>
                                <a:close/>
                              </a:path>
                            </a:pathLst>
                          </a:custGeom>
                          <a:solidFill>
                            <a:srgbClr val="156082"/>
                          </a:solidFill>
                          <a:ln cap="flat">
                            <a:noFill/>
                            <a:prstDash val="solid"/>
                          </a:ln>
                        </wps:spPr>
                        <wps:bodyPr lIns="0" tIns="0" rIns="0" bIns="0"/>
                      </wps:wsp>
                      <wps:wsp>
                        <wps:cNvPr id="11027004" name="Shape 76"/>
                        <wps:cNvSpPr/>
                        <wps:spPr>
                          <a:xfrm>
                            <a:off x="797055" y="2272412"/>
                            <a:ext cx="64008" cy="64008"/>
                          </a:xfrm>
                          <a:custGeom>
                            <a:avLst/>
                            <a:gdLst>
                              <a:gd name="f0" fmla="val w"/>
                              <a:gd name="f1" fmla="val h"/>
                              <a:gd name="f2" fmla="val 0"/>
                              <a:gd name="f3" fmla="val 64008"/>
                              <a:gd name="f4" fmla="val 32004"/>
                              <a:gd name="f5" fmla="val 49657"/>
                              <a:gd name="f6" fmla="val 14351"/>
                              <a:gd name="f7" fmla="val 14224"/>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3" y="f4"/>
                                </a:moveTo>
                                <a:cubicBezTo>
                                  <a:pt x="f3" y="f5"/>
                                  <a:pt x="f5" y="f3"/>
                                  <a:pt x="f4" y="f3"/>
                                </a:cubicBezTo>
                                <a:cubicBezTo>
                                  <a:pt x="f6" y="f3"/>
                                  <a:pt x="f2" y="f5"/>
                                  <a:pt x="f2" y="f4"/>
                                </a:cubicBezTo>
                                <a:cubicBezTo>
                                  <a:pt x="f2" y="f7"/>
                                  <a:pt x="f6" y="f2"/>
                                  <a:pt x="f4" y="f2"/>
                                </a:cubicBezTo>
                                <a:cubicBezTo>
                                  <a:pt x="f5" y="f2"/>
                                  <a:pt x="f3" y="f7"/>
                                  <a:pt x="f3" y="f4"/>
                                </a:cubicBezTo>
                                <a:close/>
                              </a:path>
                            </a:pathLst>
                          </a:custGeom>
                          <a:noFill/>
                          <a:ln w="9528" cap="flat">
                            <a:solidFill>
                              <a:srgbClr val="156082"/>
                            </a:solidFill>
                            <a:prstDash val="solid"/>
                            <a:round/>
                          </a:ln>
                        </wps:spPr>
                        <wps:bodyPr lIns="0" tIns="0" rIns="0" bIns="0"/>
                      </wps:wsp>
                      <wps:wsp>
                        <wps:cNvPr id="1731727868" name="Shape 77"/>
                        <wps:cNvSpPr/>
                        <wps:spPr>
                          <a:xfrm>
                            <a:off x="1383788" y="2272412"/>
                            <a:ext cx="64008" cy="64008"/>
                          </a:xfrm>
                          <a:custGeom>
                            <a:avLst/>
                            <a:gdLst>
                              <a:gd name="f0" fmla="val w"/>
                              <a:gd name="f1" fmla="val h"/>
                              <a:gd name="f2" fmla="val 0"/>
                              <a:gd name="f3" fmla="val 64008"/>
                              <a:gd name="f4" fmla="val 32004"/>
                              <a:gd name="f5" fmla="val 49657"/>
                              <a:gd name="f6" fmla="val 14224"/>
                              <a:gd name="f7" fmla="val 14351"/>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4" y="f2"/>
                                </a:moveTo>
                                <a:cubicBezTo>
                                  <a:pt x="f5" y="f2"/>
                                  <a:pt x="f3" y="f6"/>
                                  <a:pt x="f3" y="f4"/>
                                </a:cubicBezTo>
                                <a:cubicBezTo>
                                  <a:pt x="f3" y="f5"/>
                                  <a:pt x="f5" y="f3"/>
                                  <a:pt x="f4" y="f3"/>
                                </a:cubicBezTo>
                                <a:cubicBezTo>
                                  <a:pt x="f7" y="f3"/>
                                  <a:pt x="f2" y="f5"/>
                                  <a:pt x="f2" y="f4"/>
                                </a:cubicBezTo>
                                <a:cubicBezTo>
                                  <a:pt x="f2" y="f6"/>
                                  <a:pt x="f7" y="f2"/>
                                  <a:pt x="f4" y="f2"/>
                                </a:cubicBezTo>
                                <a:close/>
                              </a:path>
                            </a:pathLst>
                          </a:custGeom>
                          <a:solidFill>
                            <a:srgbClr val="156082"/>
                          </a:solidFill>
                          <a:ln cap="flat">
                            <a:noFill/>
                            <a:prstDash val="solid"/>
                          </a:ln>
                        </wps:spPr>
                        <wps:bodyPr lIns="0" tIns="0" rIns="0" bIns="0"/>
                      </wps:wsp>
                      <wps:wsp>
                        <wps:cNvPr id="1760809470" name="Shape 78"/>
                        <wps:cNvSpPr/>
                        <wps:spPr>
                          <a:xfrm>
                            <a:off x="1383788" y="2272412"/>
                            <a:ext cx="64008" cy="64008"/>
                          </a:xfrm>
                          <a:custGeom>
                            <a:avLst/>
                            <a:gdLst>
                              <a:gd name="f0" fmla="val w"/>
                              <a:gd name="f1" fmla="val h"/>
                              <a:gd name="f2" fmla="val 0"/>
                              <a:gd name="f3" fmla="val 64008"/>
                              <a:gd name="f4" fmla="val 32004"/>
                              <a:gd name="f5" fmla="val 49657"/>
                              <a:gd name="f6" fmla="val 14351"/>
                              <a:gd name="f7" fmla="val 14224"/>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3" y="f4"/>
                                </a:moveTo>
                                <a:cubicBezTo>
                                  <a:pt x="f3" y="f5"/>
                                  <a:pt x="f5" y="f3"/>
                                  <a:pt x="f4" y="f3"/>
                                </a:cubicBezTo>
                                <a:cubicBezTo>
                                  <a:pt x="f6" y="f3"/>
                                  <a:pt x="f2" y="f5"/>
                                  <a:pt x="f2" y="f4"/>
                                </a:cubicBezTo>
                                <a:cubicBezTo>
                                  <a:pt x="f2" y="f7"/>
                                  <a:pt x="f6" y="f2"/>
                                  <a:pt x="f4" y="f2"/>
                                </a:cubicBezTo>
                                <a:cubicBezTo>
                                  <a:pt x="f5" y="f2"/>
                                  <a:pt x="f3" y="f7"/>
                                  <a:pt x="f3" y="f4"/>
                                </a:cubicBezTo>
                                <a:close/>
                              </a:path>
                            </a:pathLst>
                          </a:custGeom>
                          <a:noFill/>
                          <a:ln w="9528" cap="flat">
                            <a:solidFill>
                              <a:srgbClr val="156082"/>
                            </a:solidFill>
                            <a:prstDash val="solid"/>
                            <a:round/>
                          </a:ln>
                        </wps:spPr>
                        <wps:bodyPr lIns="0" tIns="0" rIns="0" bIns="0"/>
                      </wps:wsp>
                      <wps:wsp>
                        <wps:cNvPr id="1573517651" name="Shape 79"/>
                        <wps:cNvSpPr/>
                        <wps:spPr>
                          <a:xfrm>
                            <a:off x="1969004" y="2272412"/>
                            <a:ext cx="64008" cy="64008"/>
                          </a:xfrm>
                          <a:custGeom>
                            <a:avLst/>
                            <a:gdLst>
                              <a:gd name="f0" fmla="val w"/>
                              <a:gd name="f1" fmla="val h"/>
                              <a:gd name="f2" fmla="val 0"/>
                              <a:gd name="f3" fmla="val 64008"/>
                              <a:gd name="f4" fmla="val 32004"/>
                              <a:gd name="f5" fmla="val 49657"/>
                              <a:gd name="f6" fmla="val 14224"/>
                              <a:gd name="f7" fmla="val 14351"/>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4" y="f2"/>
                                </a:moveTo>
                                <a:cubicBezTo>
                                  <a:pt x="f5" y="f2"/>
                                  <a:pt x="f3" y="f6"/>
                                  <a:pt x="f3" y="f4"/>
                                </a:cubicBezTo>
                                <a:cubicBezTo>
                                  <a:pt x="f3" y="f5"/>
                                  <a:pt x="f5" y="f3"/>
                                  <a:pt x="f4" y="f3"/>
                                </a:cubicBezTo>
                                <a:cubicBezTo>
                                  <a:pt x="f7" y="f3"/>
                                  <a:pt x="f2" y="f5"/>
                                  <a:pt x="f2" y="f4"/>
                                </a:cubicBezTo>
                                <a:cubicBezTo>
                                  <a:pt x="f2" y="f6"/>
                                  <a:pt x="f7" y="f2"/>
                                  <a:pt x="f4" y="f2"/>
                                </a:cubicBezTo>
                                <a:close/>
                              </a:path>
                            </a:pathLst>
                          </a:custGeom>
                          <a:solidFill>
                            <a:srgbClr val="156082"/>
                          </a:solidFill>
                          <a:ln cap="flat">
                            <a:noFill/>
                            <a:prstDash val="solid"/>
                          </a:ln>
                        </wps:spPr>
                        <wps:bodyPr lIns="0" tIns="0" rIns="0" bIns="0"/>
                      </wps:wsp>
                      <wps:wsp>
                        <wps:cNvPr id="490720929" name="Shape 80"/>
                        <wps:cNvSpPr/>
                        <wps:spPr>
                          <a:xfrm>
                            <a:off x="1969004" y="2272412"/>
                            <a:ext cx="64008" cy="64008"/>
                          </a:xfrm>
                          <a:custGeom>
                            <a:avLst/>
                            <a:gdLst>
                              <a:gd name="f0" fmla="val w"/>
                              <a:gd name="f1" fmla="val h"/>
                              <a:gd name="f2" fmla="val 0"/>
                              <a:gd name="f3" fmla="val 64008"/>
                              <a:gd name="f4" fmla="val 32004"/>
                              <a:gd name="f5" fmla="val 49657"/>
                              <a:gd name="f6" fmla="val 14351"/>
                              <a:gd name="f7" fmla="val 14224"/>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3" y="f4"/>
                                </a:moveTo>
                                <a:cubicBezTo>
                                  <a:pt x="f3" y="f5"/>
                                  <a:pt x="f5" y="f3"/>
                                  <a:pt x="f4" y="f3"/>
                                </a:cubicBezTo>
                                <a:cubicBezTo>
                                  <a:pt x="f6" y="f3"/>
                                  <a:pt x="f2" y="f5"/>
                                  <a:pt x="f2" y="f4"/>
                                </a:cubicBezTo>
                                <a:cubicBezTo>
                                  <a:pt x="f2" y="f7"/>
                                  <a:pt x="f6" y="f2"/>
                                  <a:pt x="f4" y="f2"/>
                                </a:cubicBezTo>
                                <a:cubicBezTo>
                                  <a:pt x="f5" y="f2"/>
                                  <a:pt x="f3" y="f7"/>
                                  <a:pt x="f3" y="f4"/>
                                </a:cubicBezTo>
                                <a:close/>
                              </a:path>
                            </a:pathLst>
                          </a:custGeom>
                          <a:noFill/>
                          <a:ln w="9528" cap="flat">
                            <a:solidFill>
                              <a:srgbClr val="156082"/>
                            </a:solidFill>
                            <a:prstDash val="solid"/>
                            <a:round/>
                          </a:ln>
                        </wps:spPr>
                        <wps:bodyPr lIns="0" tIns="0" rIns="0" bIns="0"/>
                      </wps:wsp>
                      <wps:wsp>
                        <wps:cNvPr id="1773152954" name="Shape 81"/>
                        <wps:cNvSpPr/>
                        <wps:spPr>
                          <a:xfrm>
                            <a:off x="2555748" y="2270884"/>
                            <a:ext cx="64008" cy="64008"/>
                          </a:xfrm>
                          <a:custGeom>
                            <a:avLst/>
                            <a:gdLst>
                              <a:gd name="f0" fmla="val w"/>
                              <a:gd name="f1" fmla="val h"/>
                              <a:gd name="f2" fmla="val 0"/>
                              <a:gd name="f3" fmla="val 64008"/>
                              <a:gd name="f4" fmla="val 32004"/>
                              <a:gd name="f5" fmla="val 49657"/>
                              <a:gd name="f6" fmla="val 14224"/>
                              <a:gd name="f7" fmla="val 14351"/>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4" y="f2"/>
                                </a:moveTo>
                                <a:cubicBezTo>
                                  <a:pt x="f5" y="f2"/>
                                  <a:pt x="f3" y="f6"/>
                                  <a:pt x="f3" y="f4"/>
                                </a:cubicBezTo>
                                <a:cubicBezTo>
                                  <a:pt x="f3" y="f5"/>
                                  <a:pt x="f5" y="f3"/>
                                  <a:pt x="f4" y="f3"/>
                                </a:cubicBezTo>
                                <a:cubicBezTo>
                                  <a:pt x="f7" y="f3"/>
                                  <a:pt x="f2" y="f5"/>
                                  <a:pt x="f2" y="f4"/>
                                </a:cubicBezTo>
                                <a:cubicBezTo>
                                  <a:pt x="f2" y="f6"/>
                                  <a:pt x="f7" y="f2"/>
                                  <a:pt x="f4" y="f2"/>
                                </a:cubicBezTo>
                                <a:close/>
                              </a:path>
                            </a:pathLst>
                          </a:custGeom>
                          <a:solidFill>
                            <a:srgbClr val="156082"/>
                          </a:solidFill>
                          <a:ln cap="flat">
                            <a:noFill/>
                            <a:prstDash val="solid"/>
                          </a:ln>
                        </wps:spPr>
                        <wps:bodyPr lIns="0" tIns="0" rIns="0" bIns="0"/>
                      </wps:wsp>
                      <wps:wsp>
                        <wps:cNvPr id="464510594" name="Shape 82"/>
                        <wps:cNvSpPr/>
                        <wps:spPr>
                          <a:xfrm>
                            <a:off x="2555748" y="2270884"/>
                            <a:ext cx="64008" cy="64008"/>
                          </a:xfrm>
                          <a:custGeom>
                            <a:avLst/>
                            <a:gdLst>
                              <a:gd name="f0" fmla="val w"/>
                              <a:gd name="f1" fmla="val h"/>
                              <a:gd name="f2" fmla="val 0"/>
                              <a:gd name="f3" fmla="val 64008"/>
                              <a:gd name="f4" fmla="val 32004"/>
                              <a:gd name="f5" fmla="val 49657"/>
                              <a:gd name="f6" fmla="val 14351"/>
                              <a:gd name="f7" fmla="val 14224"/>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3" y="f4"/>
                                </a:moveTo>
                                <a:cubicBezTo>
                                  <a:pt x="f3" y="f5"/>
                                  <a:pt x="f5" y="f3"/>
                                  <a:pt x="f4" y="f3"/>
                                </a:cubicBezTo>
                                <a:cubicBezTo>
                                  <a:pt x="f6" y="f3"/>
                                  <a:pt x="f2" y="f5"/>
                                  <a:pt x="f2" y="f4"/>
                                </a:cubicBezTo>
                                <a:cubicBezTo>
                                  <a:pt x="f2" y="f7"/>
                                  <a:pt x="f6" y="f2"/>
                                  <a:pt x="f4" y="f2"/>
                                </a:cubicBezTo>
                                <a:cubicBezTo>
                                  <a:pt x="f5" y="f2"/>
                                  <a:pt x="f3" y="f7"/>
                                  <a:pt x="f3" y="f4"/>
                                </a:cubicBezTo>
                                <a:close/>
                              </a:path>
                            </a:pathLst>
                          </a:custGeom>
                          <a:noFill/>
                          <a:ln w="9528" cap="flat">
                            <a:solidFill>
                              <a:srgbClr val="156082"/>
                            </a:solidFill>
                            <a:prstDash val="solid"/>
                            <a:round/>
                          </a:ln>
                        </wps:spPr>
                        <wps:bodyPr lIns="0" tIns="0" rIns="0" bIns="0"/>
                      </wps:wsp>
                      <wps:wsp>
                        <wps:cNvPr id="802081464" name="Shape 83"/>
                        <wps:cNvSpPr/>
                        <wps:spPr>
                          <a:xfrm>
                            <a:off x="3140963" y="2270884"/>
                            <a:ext cx="64008" cy="64008"/>
                          </a:xfrm>
                          <a:custGeom>
                            <a:avLst/>
                            <a:gdLst>
                              <a:gd name="f0" fmla="val w"/>
                              <a:gd name="f1" fmla="val h"/>
                              <a:gd name="f2" fmla="val 0"/>
                              <a:gd name="f3" fmla="val 64008"/>
                              <a:gd name="f4" fmla="val 32004"/>
                              <a:gd name="f5" fmla="val 49657"/>
                              <a:gd name="f6" fmla="val 14224"/>
                              <a:gd name="f7" fmla="val 14351"/>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4" y="f2"/>
                                </a:moveTo>
                                <a:cubicBezTo>
                                  <a:pt x="f5" y="f2"/>
                                  <a:pt x="f3" y="f6"/>
                                  <a:pt x="f3" y="f4"/>
                                </a:cubicBezTo>
                                <a:cubicBezTo>
                                  <a:pt x="f3" y="f5"/>
                                  <a:pt x="f5" y="f3"/>
                                  <a:pt x="f4" y="f3"/>
                                </a:cubicBezTo>
                                <a:cubicBezTo>
                                  <a:pt x="f7" y="f3"/>
                                  <a:pt x="f2" y="f5"/>
                                  <a:pt x="f2" y="f4"/>
                                </a:cubicBezTo>
                                <a:cubicBezTo>
                                  <a:pt x="f2" y="f6"/>
                                  <a:pt x="f7" y="f2"/>
                                  <a:pt x="f4" y="f2"/>
                                </a:cubicBezTo>
                                <a:close/>
                              </a:path>
                            </a:pathLst>
                          </a:custGeom>
                          <a:solidFill>
                            <a:srgbClr val="156082"/>
                          </a:solidFill>
                          <a:ln cap="flat">
                            <a:noFill/>
                            <a:prstDash val="solid"/>
                          </a:ln>
                        </wps:spPr>
                        <wps:bodyPr lIns="0" tIns="0" rIns="0" bIns="0"/>
                      </wps:wsp>
                      <wps:wsp>
                        <wps:cNvPr id="1206968559" name="Shape 84"/>
                        <wps:cNvSpPr/>
                        <wps:spPr>
                          <a:xfrm>
                            <a:off x="3140963" y="2270884"/>
                            <a:ext cx="64008" cy="64008"/>
                          </a:xfrm>
                          <a:custGeom>
                            <a:avLst/>
                            <a:gdLst>
                              <a:gd name="f0" fmla="val w"/>
                              <a:gd name="f1" fmla="val h"/>
                              <a:gd name="f2" fmla="val 0"/>
                              <a:gd name="f3" fmla="val 64008"/>
                              <a:gd name="f4" fmla="val 32004"/>
                              <a:gd name="f5" fmla="val 49657"/>
                              <a:gd name="f6" fmla="val 14351"/>
                              <a:gd name="f7" fmla="val 14224"/>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3" y="f4"/>
                                </a:moveTo>
                                <a:cubicBezTo>
                                  <a:pt x="f3" y="f5"/>
                                  <a:pt x="f5" y="f3"/>
                                  <a:pt x="f4" y="f3"/>
                                </a:cubicBezTo>
                                <a:cubicBezTo>
                                  <a:pt x="f6" y="f3"/>
                                  <a:pt x="f2" y="f5"/>
                                  <a:pt x="f2" y="f4"/>
                                </a:cubicBezTo>
                                <a:cubicBezTo>
                                  <a:pt x="f2" y="f7"/>
                                  <a:pt x="f6" y="f2"/>
                                  <a:pt x="f4" y="f2"/>
                                </a:cubicBezTo>
                                <a:cubicBezTo>
                                  <a:pt x="f5" y="f2"/>
                                  <a:pt x="f3" y="f7"/>
                                  <a:pt x="f3" y="f4"/>
                                </a:cubicBezTo>
                                <a:close/>
                              </a:path>
                            </a:pathLst>
                          </a:custGeom>
                          <a:noFill/>
                          <a:ln w="9528" cap="flat">
                            <a:solidFill>
                              <a:srgbClr val="156082"/>
                            </a:solidFill>
                            <a:prstDash val="solid"/>
                            <a:round/>
                          </a:ln>
                        </wps:spPr>
                        <wps:bodyPr lIns="0" tIns="0" rIns="0" bIns="0"/>
                      </wps:wsp>
                      <wps:wsp>
                        <wps:cNvPr id="1987573373" name="Shape 85"/>
                        <wps:cNvSpPr/>
                        <wps:spPr>
                          <a:xfrm>
                            <a:off x="3727707" y="2270884"/>
                            <a:ext cx="64008" cy="64008"/>
                          </a:xfrm>
                          <a:custGeom>
                            <a:avLst/>
                            <a:gdLst>
                              <a:gd name="f0" fmla="val w"/>
                              <a:gd name="f1" fmla="val h"/>
                              <a:gd name="f2" fmla="val 0"/>
                              <a:gd name="f3" fmla="val 64008"/>
                              <a:gd name="f4" fmla="val 32004"/>
                              <a:gd name="f5" fmla="val 49657"/>
                              <a:gd name="f6" fmla="val 14224"/>
                              <a:gd name="f7" fmla="val 14351"/>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4" y="f2"/>
                                </a:moveTo>
                                <a:cubicBezTo>
                                  <a:pt x="f5" y="f2"/>
                                  <a:pt x="f3" y="f6"/>
                                  <a:pt x="f3" y="f4"/>
                                </a:cubicBezTo>
                                <a:cubicBezTo>
                                  <a:pt x="f3" y="f5"/>
                                  <a:pt x="f5" y="f3"/>
                                  <a:pt x="f4" y="f3"/>
                                </a:cubicBezTo>
                                <a:cubicBezTo>
                                  <a:pt x="f7" y="f3"/>
                                  <a:pt x="f2" y="f5"/>
                                  <a:pt x="f2" y="f4"/>
                                </a:cubicBezTo>
                                <a:cubicBezTo>
                                  <a:pt x="f2" y="f6"/>
                                  <a:pt x="f7" y="f2"/>
                                  <a:pt x="f4" y="f2"/>
                                </a:cubicBezTo>
                                <a:close/>
                              </a:path>
                            </a:pathLst>
                          </a:custGeom>
                          <a:solidFill>
                            <a:srgbClr val="156082"/>
                          </a:solidFill>
                          <a:ln cap="flat">
                            <a:noFill/>
                            <a:prstDash val="solid"/>
                          </a:ln>
                        </wps:spPr>
                        <wps:bodyPr lIns="0" tIns="0" rIns="0" bIns="0"/>
                      </wps:wsp>
                      <wps:wsp>
                        <wps:cNvPr id="509487366" name="Shape 86"/>
                        <wps:cNvSpPr/>
                        <wps:spPr>
                          <a:xfrm>
                            <a:off x="3727707" y="2270884"/>
                            <a:ext cx="64008" cy="64008"/>
                          </a:xfrm>
                          <a:custGeom>
                            <a:avLst/>
                            <a:gdLst>
                              <a:gd name="f0" fmla="val w"/>
                              <a:gd name="f1" fmla="val h"/>
                              <a:gd name="f2" fmla="val 0"/>
                              <a:gd name="f3" fmla="val 64008"/>
                              <a:gd name="f4" fmla="val 32004"/>
                              <a:gd name="f5" fmla="val 49657"/>
                              <a:gd name="f6" fmla="val 14351"/>
                              <a:gd name="f7" fmla="val 14224"/>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3" y="f4"/>
                                </a:moveTo>
                                <a:cubicBezTo>
                                  <a:pt x="f3" y="f5"/>
                                  <a:pt x="f5" y="f3"/>
                                  <a:pt x="f4" y="f3"/>
                                </a:cubicBezTo>
                                <a:cubicBezTo>
                                  <a:pt x="f6" y="f3"/>
                                  <a:pt x="f2" y="f5"/>
                                  <a:pt x="f2" y="f4"/>
                                </a:cubicBezTo>
                                <a:cubicBezTo>
                                  <a:pt x="f2" y="f7"/>
                                  <a:pt x="f6" y="f2"/>
                                  <a:pt x="f4" y="f2"/>
                                </a:cubicBezTo>
                                <a:cubicBezTo>
                                  <a:pt x="f5" y="f2"/>
                                  <a:pt x="f3" y="f7"/>
                                  <a:pt x="f3" y="f4"/>
                                </a:cubicBezTo>
                                <a:close/>
                              </a:path>
                            </a:pathLst>
                          </a:custGeom>
                          <a:noFill/>
                          <a:ln w="9528" cap="flat">
                            <a:solidFill>
                              <a:srgbClr val="156082"/>
                            </a:solidFill>
                            <a:prstDash val="solid"/>
                            <a:round/>
                          </a:ln>
                        </wps:spPr>
                        <wps:bodyPr lIns="0" tIns="0" rIns="0" bIns="0"/>
                      </wps:wsp>
                      <wps:wsp>
                        <wps:cNvPr id="1447976628" name="Shape 87"/>
                        <wps:cNvSpPr/>
                        <wps:spPr>
                          <a:xfrm>
                            <a:off x="4312923" y="2270884"/>
                            <a:ext cx="64008" cy="64008"/>
                          </a:xfrm>
                          <a:custGeom>
                            <a:avLst/>
                            <a:gdLst>
                              <a:gd name="f0" fmla="val w"/>
                              <a:gd name="f1" fmla="val h"/>
                              <a:gd name="f2" fmla="val 0"/>
                              <a:gd name="f3" fmla="val 64008"/>
                              <a:gd name="f4" fmla="val 32004"/>
                              <a:gd name="f5" fmla="val 49657"/>
                              <a:gd name="f6" fmla="val 14224"/>
                              <a:gd name="f7" fmla="val 14351"/>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4" y="f2"/>
                                </a:moveTo>
                                <a:cubicBezTo>
                                  <a:pt x="f5" y="f2"/>
                                  <a:pt x="f3" y="f6"/>
                                  <a:pt x="f3" y="f4"/>
                                </a:cubicBezTo>
                                <a:cubicBezTo>
                                  <a:pt x="f3" y="f5"/>
                                  <a:pt x="f5" y="f3"/>
                                  <a:pt x="f4" y="f3"/>
                                </a:cubicBezTo>
                                <a:cubicBezTo>
                                  <a:pt x="f7" y="f3"/>
                                  <a:pt x="f2" y="f5"/>
                                  <a:pt x="f2" y="f4"/>
                                </a:cubicBezTo>
                                <a:cubicBezTo>
                                  <a:pt x="f2" y="f6"/>
                                  <a:pt x="f7" y="f2"/>
                                  <a:pt x="f4" y="f2"/>
                                </a:cubicBezTo>
                                <a:close/>
                              </a:path>
                            </a:pathLst>
                          </a:custGeom>
                          <a:solidFill>
                            <a:srgbClr val="156082"/>
                          </a:solidFill>
                          <a:ln cap="flat">
                            <a:noFill/>
                            <a:prstDash val="solid"/>
                          </a:ln>
                        </wps:spPr>
                        <wps:bodyPr lIns="0" tIns="0" rIns="0" bIns="0"/>
                      </wps:wsp>
                      <wps:wsp>
                        <wps:cNvPr id="579931543" name="Shape 88"/>
                        <wps:cNvSpPr/>
                        <wps:spPr>
                          <a:xfrm>
                            <a:off x="4312923" y="2270884"/>
                            <a:ext cx="64008" cy="64008"/>
                          </a:xfrm>
                          <a:custGeom>
                            <a:avLst/>
                            <a:gdLst>
                              <a:gd name="f0" fmla="val w"/>
                              <a:gd name="f1" fmla="val h"/>
                              <a:gd name="f2" fmla="val 0"/>
                              <a:gd name="f3" fmla="val 64008"/>
                              <a:gd name="f4" fmla="val 32004"/>
                              <a:gd name="f5" fmla="val 49657"/>
                              <a:gd name="f6" fmla="val 14351"/>
                              <a:gd name="f7" fmla="val 14224"/>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3" y="f4"/>
                                </a:moveTo>
                                <a:cubicBezTo>
                                  <a:pt x="f3" y="f5"/>
                                  <a:pt x="f5" y="f3"/>
                                  <a:pt x="f4" y="f3"/>
                                </a:cubicBezTo>
                                <a:cubicBezTo>
                                  <a:pt x="f6" y="f3"/>
                                  <a:pt x="f2" y="f5"/>
                                  <a:pt x="f2" y="f4"/>
                                </a:cubicBezTo>
                                <a:cubicBezTo>
                                  <a:pt x="f2" y="f7"/>
                                  <a:pt x="f6" y="f2"/>
                                  <a:pt x="f4" y="f2"/>
                                </a:cubicBezTo>
                                <a:cubicBezTo>
                                  <a:pt x="f5" y="f2"/>
                                  <a:pt x="f3" y="f7"/>
                                  <a:pt x="f3" y="f4"/>
                                </a:cubicBezTo>
                                <a:close/>
                              </a:path>
                            </a:pathLst>
                          </a:custGeom>
                          <a:noFill/>
                          <a:ln w="9528" cap="flat">
                            <a:solidFill>
                              <a:srgbClr val="156082"/>
                            </a:solidFill>
                            <a:prstDash val="solid"/>
                            <a:round/>
                          </a:ln>
                        </wps:spPr>
                        <wps:bodyPr lIns="0" tIns="0" rIns="0" bIns="0"/>
                      </wps:wsp>
                      <wps:wsp>
                        <wps:cNvPr id="2054397966" name="Shape 89"/>
                        <wps:cNvSpPr/>
                        <wps:spPr>
                          <a:xfrm>
                            <a:off x="828675" y="635636"/>
                            <a:ext cx="3516380" cy="1548893"/>
                          </a:xfrm>
                          <a:custGeom>
                            <a:avLst/>
                            <a:gdLst>
                              <a:gd name="f0" fmla="val w"/>
                              <a:gd name="f1" fmla="val h"/>
                              <a:gd name="f2" fmla="val 0"/>
                              <a:gd name="f3" fmla="val 3516376"/>
                              <a:gd name="f4" fmla="val 1548892"/>
                              <a:gd name="f5" fmla="val 1322959"/>
                              <a:gd name="f6" fmla="val 586613"/>
                              <a:gd name="f7" fmla="val 1257427"/>
                              <a:gd name="f8" fmla="val 1171829"/>
                              <a:gd name="f9" fmla="val 647827"/>
                              <a:gd name="f10" fmla="val 1758569"/>
                              <a:gd name="f11" fmla="val 2343785"/>
                              <a:gd name="f12" fmla="val 1376299"/>
                              <a:gd name="f13" fmla="val 2930525"/>
                              <a:gd name="f14" fmla="val 1429639"/>
                              <a:gd name="f15" fmla="*/ f0 1 3516376"/>
                              <a:gd name="f16" fmla="*/ f1 1 1548892"/>
                              <a:gd name="f17" fmla="+- f4 0 f2"/>
                              <a:gd name="f18" fmla="+- f3 0 f2"/>
                              <a:gd name="f19" fmla="*/ f18 1 3516376"/>
                              <a:gd name="f20" fmla="*/ f17 1 1548892"/>
                              <a:gd name="f21" fmla="*/ 0 1 f19"/>
                              <a:gd name="f22" fmla="*/ 3516376 1 f19"/>
                              <a:gd name="f23" fmla="*/ 0 1 f20"/>
                              <a:gd name="f24" fmla="*/ 1548892 1 f20"/>
                              <a:gd name="f25" fmla="*/ f21 f15 1"/>
                              <a:gd name="f26" fmla="*/ f22 f15 1"/>
                              <a:gd name="f27" fmla="*/ f24 f16 1"/>
                              <a:gd name="f28" fmla="*/ f23 f16 1"/>
                            </a:gdLst>
                            <a:ahLst/>
                            <a:cxnLst>
                              <a:cxn ang="3cd4">
                                <a:pos x="hc" y="t"/>
                              </a:cxn>
                              <a:cxn ang="0">
                                <a:pos x="r" y="vc"/>
                              </a:cxn>
                              <a:cxn ang="cd4">
                                <a:pos x="hc" y="b"/>
                              </a:cxn>
                              <a:cxn ang="cd2">
                                <a:pos x="l" y="vc"/>
                              </a:cxn>
                            </a:cxnLst>
                            <a:rect l="f25" t="f28" r="f26" b="f27"/>
                            <a:pathLst>
                              <a:path w="3516376" h="1548892">
                                <a:moveTo>
                                  <a:pt x="f2" y="f5"/>
                                </a:moveTo>
                                <a:lnTo>
                                  <a:pt x="f6" y="f7"/>
                                </a:lnTo>
                                <a:lnTo>
                                  <a:pt x="f8" y="f9"/>
                                </a:lnTo>
                                <a:lnTo>
                                  <a:pt x="f10" y="f2"/>
                                </a:lnTo>
                                <a:lnTo>
                                  <a:pt x="f11" y="f12"/>
                                </a:lnTo>
                                <a:lnTo>
                                  <a:pt x="f13" y="f14"/>
                                </a:lnTo>
                                <a:lnTo>
                                  <a:pt x="f3" y="f4"/>
                                </a:lnTo>
                              </a:path>
                            </a:pathLst>
                          </a:custGeom>
                          <a:noFill/>
                          <a:ln w="28575" cap="rnd">
                            <a:solidFill>
                              <a:srgbClr val="E97132"/>
                            </a:solidFill>
                            <a:prstDash val="solid"/>
                            <a:round/>
                          </a:ln>
                        </wps:spPr>
                        <wps:bodyPr lIns="0" tIns="0" rIns="0" bIns="0"/>
                      </wps:wsp>
                      <wps:wsp>
                        <wps:cNvPr id="1195184136" name="Shape 90"/>
                        <wps:cNvSpPr/>
                        <wps:spPr>
                          <a:xfrm>
                            <a:off x="797055" y="1926467"/>
                            <a:ext cx="64008" cy="64008"/>
                          </a:xfrm>
                          <a:custGeom>
                            <a:avLst/>
                            <a:gdLst>
                              <a:gd name="f0" fmla="val w"/>
                              <a:gd name="f1" fmla="val h"/>
                              <a:gd name="f2" fmla="val 0"/>
                              <a:gd name="f3" fmla="val 64008"/>
                              <a:gd name="f4" fmla="val 32004"/>
                              <a:gd name="f5" fmla="val 49657"/>
                              <a:gd name="f6" fmla="val 14224"/>
                              <a:gd name="f7" fmla="val 14351"/>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4" y="f2"/>
                                </a:moveTo>
                                <a:cubicBezTo>
                                  <a:pt x="f5" y="f2"/>
                                  <a:pt x="f3" y="f6"/>
                                  <a:pt x="f3" y="f4"/>
                                </a:cubicBezTo>
                                <a:cubicBezTo>
                                  <a:pt x="f3" y="f5"/>
                                  <a:pt x="f5" y="f3"/>
                                  <a:pt x="f4" y="f3"/>
                                </a:cubicBezTo>
                                <a:cubicBezTo>
                                  <a:pt x="f7" y="f3"/>
                                  <a:pt x="f2" y="f5"/>
                                  <a:pt x="f2" y="f4"/>
                                </a:cubicBezTo>
                                <a:cubicBezTo>
                                  <a:pt x="f2" y="f6"/>
                                  <a:pt x="f7" y="f2"/>
                                  <a:pt x="f4" y="f2"/>
                                </a:cubicBezTo>
                                <a:close/>
                              </a:path>
                            </a:pathLst>
                          </a:custGeom>
                          <a:solidFill>
                            <a:srgbClr val="E97132"/>
                          </a:solidFill>
                          <a:ln cap="flat">
                            <a:noFill/>
                            <a:prstDash val="solid"/>
                          </a:ln>
                        </wps:spPr>
                        <wps:bodyPr lIns="0" tIns="0" rIns="0" bIns="0"/>
                      </wps:wsp>
                      <wps:wsp>
                        <wps:cNvPr id="1605853647" name="Shape 91"/>
                        <wps:cNvSpPr/>
                        <wps:spPr>
                          <a:xfrm>
                            <a:off x="797055" y="1926467"/>
                            <a:ext cx="64008" cy="64008"/>
                          </a:xfrm>
                          <a:custGeom>
                            <a:avLst/>
                            <a:gdLst>
                              <a:gd name="f0" fmla="val w"/>
                              <a:gd name="f1" fmla="val h"/>
                              <a:gd name="f2" fmla="val 0"/>
                              <a:gd name="f3" fmla="val 64008"/>
                              <a:gd name="f4" fmla="val 32004"/>
                              <a:gd name="f5" fmla="val 49657"/>
                              <a:gd name="f6" fmla="val 14351"/>
                              <a:gd name="f7" fmla="val 14224"/>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3" y="f4"/>
                                </a:moveTo>
                                <a:cubicBezTo>
                                  <a:pt x="f3" y="f5"/>
                                  <a:pt x="f5" y="f3"/>
                                  <a:pt x="f4" y="f3"/>
                                </a:cubicBezTo>
                                <a:cubicBezTo>
                                  <a:pt x="f6" y="f3"/>
                                  <a:pt x="f2" y="f5"/>
                                  <a:pt x="f2" y="f4"/>
                                </a:cubicBezTo>
                                <a:cubicBezTo>
                                  <a:pt x="f2" y="f7"/>
                                  <a:pt x="f6" y="f2"/>
                                  <a:pt x="f4" y="f2"/>
                                </a:cubicBezTo>
                                <a:cubicBezTo>
                                  <a:pt x="f5" y="f2"/>
                                  <a:pt x="f3" y="f7"/>
                                  <a:pt x="f3" y="f4"/>
                                </a:cubicBezTo>
                                <a:close/>
                              </a:path>
                            </a:pathLst>
                          </a:custGeom>
                          <a:noFill/>
                          <a:ln w="9528" cap="flat">
                            <a:solidFill>
                              <a:srgbClr val="E97132"/>
                            </a:solidFill>
                            <a:prstDash val="solid"/>
                            <a:round/>
                          </a:ln>
                        </wps:spPr>
                        <wps:bodyPr lIns="0" tIns="0" rIns="0" bIns="0"/>
                      </wps:wsp>
                      <wps:wsp>
                        <wps:cNvPr id="1467825048" name="Shape 92"/>
                        <wps:cNvSpPr/>
                        <wps:spPr>
                          <a:xfrm>
                            <a:off x="1383788" y="1860932"/>
                            <a:ext cx="64008" cy="64008"/>
                          </a:xfrm>
                          <a:custGeom>
                            <a:avLst/>
                            <a:gdLst>
                              <a:gd name="f0" fmla="val w"/>
                              <a:gd name="f1" fmla="val h"/>
                              <a:gd name="f2" fmla="val 0"/>
                              <a:gd name="f3" fmla="val 64008"/>
                              <a:gd name="f4" fmla="val 32004"/>
                              <a:gd name="f5" fmla="val 49657"/>
                              <a:gd name="f6" fmla="val 14224"/>
                              <a:gd name="f7" fmla="val 14351"/>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4" y="f2"/>
                                </a:moveTo>
                                <a:cubicBezTo>
                                  <a:pt x="f5" y="f2"/>
                                  <a:pt x="f3" y="f6"/>
                                  <a:pt x="f3" y="f4"/>
                                </a:cubicBezTo>
                                <a:cubicBezTo>
                                  <a:pt x="f3" y="f5"/>
                                  <a:pt x="f5" y="f3"/>
                                  <a:pt x="f4" y="f3"/>
                                </a:cubicBezTo>
                                <a:cubicBezTo>
                                  <a:pt x="f7" y="f3"/>
                                  <a:pt x="f2" y="f5"/>
                                  <a:pt x="f2" y="f4"/>
                                </a:cubicBezTo>
                                <a:cubicBezTo>
                                  <a:pt x="f2" y="f6"/>
                                  <a:pt x="f7" y="f2"/>
                                  <a:pt x="f4" y="f2"/>
                                </a:cubicBezTo>
                                <a:close/>
                              </a:path>
                            </a:pathLst>
                          </a:custGeom>
                          <a:solidFill>
                            <a:srgbClr val="E97132"/>
                          </a:solidFill>
                          <a:ln cap="flat">
                            <a:noFill/>
                            <a:prstDash val="solid"/>
                          </a:ln>
                        </wps:spPr>
                        <wps:bodyPr lIns="0" tIns="0" rIns="0" bIns="0"/>
                      </wps:wsp>
                      <wps:wsp>
                        <wps:cNvPr id="627582233" name="Shape 93"/>
                        <wps:cNvSpPr/>
                        <wps:spPr>
                          <a:xfrm>
                            <a:off x="1383788" y="1860932"/>
                            <a:ext cx="64008" cy="64008"/>
                          </a:xfrm>
                          <a:custGeom>
                            <a:avLst/>
                            <a:gdLst>
                              <a:gd name="f0" fmla="val w"/>
                              <a:gd name="f1" fmla="val h"/>
                              <a:gd name="f2" fmla="val 0"/>
                              <a:gd name="f3" fmla="val 64008"/>
                              <a:gd name="f4" fmla="val 32004"/>
                              <a:gd name="f5" fmla="val 49657"/>
                              <a:gd name="f6" fmla="val 14351"/>
                              <a:gd name="f7" fmla="val 14224"/>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3" y="f4"/>
                                </a:moveTo>
                                <a:cubicBezTo>
                                  <a:pt x="f3" y="f5"/>
                                  <a:pt x="f5" y="f3"/>
                                  <a:pt x="f4" y="f3"/>
                                </a:cubicBezTo>
                                <a:cubicBezTo>
                                  <a:pt x="f6" y="f3"/>
                                  <a:pt x="f2" y="f5"/>
                                  <a:pt x="f2" y="f4"/>
                                </a:cubicBezTo>
                                <a:cubicBezTo>
                                  <a:pt x="f2" y="f7"/>
                                  <a:pt x="f6" y="f2"/>
                                  <a:pt x="f4" y="f2"/>
                                </a:cubicBezTo>
                                <a:cubicBezTo>
                                  <a:pt x="f5" y="f2"/>
                                  <a:pt x="f3" y="f7"/>
                                  <a:pt x="f3" y="f4"/>
                                </a:cubicBezTo>
                                <a:close/>
                              </a:path>
                            </a:pathLst>
                          </a:custGeom>
                          <a:noFill/>
                          <a:ln w="9528" cap="flat">
                            <a:solidFill>
                              <a:srgbClr val="E97132"/>
                            </a:solidFill>
                            <a:prstDash val="solid"/>
                            <a:round/>
                          </a:ln>
                        </wps:spPr>
                        <wps:bodyPr lIns="0" tIns="0" rIns="0" bIns="0"/>
                      </wps:wsp>
                      <wps:wsp>
                        <wps:cNvPr id="129912448" name="Shape 94"/>
                        <wps:cNvSpPr/>
                        <wps:spPr>
                          <a:xfrm>
                            <a:off x="1969004" y="1251328"/>
                            <a:ext cx="64008" cy="64008"/>
                          </a:xfrm>
                          <a:custGeom>
                            <a:avLst/>
                            <a:gdLst>
                              <a:gd name="f0" fmla="val w"/>
                              <a:gd name="f1" fmla="val h"/>
                              <a:gd name="f2" fmla="val 0"/>
                              <a:gd name="f3" fmla="val 64008"/>
                              <a:gd name="f4" fmla="val 32004"/>
                              <a:gd name="f5" fmla="val 49657"/>
                              <a:gd name="f6" fmla="val 14224"/>
                              <a:gd name="f7" fmla="val 14351"/>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4" y="f2"/>
                                </a:moveTo>
                                <a:cubicBezTo>
                                  <a:pt x="f5" y="f2"/>
                                  <a:pt x="f3" y="f6"/>
                                  <a:pt x="f3" y="f4"/>
                                </a:cubicBezTo>
                                <a:cubicBezTo>
                                  <a:pt x="f3" y="f5"/>
                                  <a:pt x="f5" y="f3"/>
                                  <a:pt x="f4" y="f3"/>
                                </a:cubicBezTo>
                                <a:cubicBezTo>
                                  <a:pt x="f7" y="f3"/>
                                  <a:pt x="f2" y="f5"/>
                                  <a:pt x="f2" y="f4"/>
                                </a:cubicBezTo>
                                <a:cubicBezTo>
                                  <a:pt x="f2" y="f6"/>
                                  <a:pt x="f7" y="f2"/>
                                  <a:pt x="f4" y="f2"/>
                                </a:cubicBezTo>
                                <a:close/>
                              </a:path>
                            </a:pathLst>
                          </a:custGeom>
                          <a:solidFill>
                            <a:srgbClr val="E97132"/>
                          </a:solidFill>
                          <a:ln cap="flat">
                            <a:noFill/>
                            <a:prstDash val="solid"/>
                          </a:ln>
                        </wps:spPr>
                        <wps:bodyPr lIns="0" tIns="0" rIns="0" bIns="0"/>
                      </wps:wsp>
                      <wps:wsp>
                        <wps:cNvPr id="956421615" name="Shape 95"/>
                        <wps:cNvSpPr/>
                        <wps:spPr>
                          <a:xfrm>
                            <a:off x="1969004" y="1251328"/>
                            <a:ext cx="64008" cy="64008"/>
                          </a:xfrm>
                          <a:custGeom>
                            <a:avLst/>
                            <a:gdLst>
                              <a:gd name="f0" fmla="val w"/>
                              <a:gd name="f1" fmla="val h"/>
                              <a:gd name="f2" fmla="val 0"/>
                              <a:gd name="f3" fmla="val 64008"/>
                              <a:gd name="f4" fmla="val 32004"/>
                              <a:gd name="f5" fmla="val 49657"/>
                              <a:gd name="f6" fmla="val 14351"/>
                              <a:gd name="f7" fmla="val 14224"/>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3" y="f4"/>
                                </a:moveTo>
                                <a:cubicBezTo>
                                  <a:pt x="f3" y="f5"/>
                                  <a:pt x="f5" y="f3"/>
                                  <a:pt x="f4" y="f3"/>
                                </a:cubicBezTo>
                                <a:cubicBezTo>
                                  <a:pt x="f6" y="f3"/>
                                  <a:pt x="f2" y="f5"/>
                                  <a:pt x="f2" y="f4"/>
                                </a:cubicBezTo>
                                <a:cubicBezTo>
                                  <a:pt x="f2" y="f7"/>
                                  <a:pt x="f6" y="f2"/>
                                  <a:pt x="f4" y="f2"/>
                                </a:cubicBezTo>
                                <a:cubicBezTo>
                                  <a:pt x="f5" y="f2"/>
                                  <a:pt x="f3" y="f7"/>
                                  <a:pt x="f3" y="f4"/>
                                </a:cubicBezTo>
                                <a:close/>
                              </a:path>
                            </a:pathLst>
                          </a:custGeom>
                          <a:noFill/>
                          <a:ln w="9528" cap="flat">
                            <a:solidFill>
                              <a:srgbClr val="E97132"/>
                            </a:solidFill>
                            <a:prstDash val="solid"/>
                            <a:round/>
                          </a:ln>
                        </wps:spPr>
                        <wps:bodyPr lIns="0" tIns="0" rIns="0" bIns="0"/>
                      </wps:wsp>
                      <wps:wsp>
                        <wps:cNvPr id="1999276435" name="Shape 96"/>
                        <wps:cNvSpPr/>
                        <wps:spPr>
                          <a:xfrm>
                            <a:off x="2555748" y="603632"/>
                            <a:ext cx="64008" cy="64008"/>
                          </a:xfrm>
                          <a:custGeom>
                            <a:avLst/>
                            <a:gdLst>
                              <a:gd name="f0" fmla="val w"/>
                              <a:gd name="f1" fmla="val h"/>
                              <a:gd name="f2" fmla="val 0"/>
                              <a:gd name="f3" fmla="val 64008"/>
                              <a:gd name="f4" fmla="val 32004"/>
                              <a:gd name="f5" fmla="val 49657"/>
                              <a:gd name="f6" fmla="val 14224"/>
                              <a:gd name="f7" fmla="val 14351"/>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4" y="f2"/>
                                </a:moveTo>
                                <a:cubicBezTo>
                                  <a:pt x="f5" y="f2"/>
                                  <a:pt x="f3" y="f6"/>
                                  <a:pt x="f3" y="f4"/>
                                </a:cubicBezTo>
                                <a:cubicBezTo>
                                  <a:pt x="f3" y="f5"/>
                                  <a:pt x="f5" y="f3"/>
                                  <a:pt x="f4" y="f3"/>
                                </a:cubicBezTo>
                                <a:cubicBezTo>
                                  <a:pt x="f7" y="f3"/>
                                  <a:pt x="f2" y="f5"/>
                                  <a:pt x="f2" y="f4"/>
                                </a:cubicBezTo>
                                <a:cubicBezTo>
                                  <a:pt x="f2" y="f6"/>
                                  <a:pt x="f7" y="f2"/>
                                  <a:pt x="f4" y="f2"/>
                                </a:cubicBezTo>
                                <a:close/>
                              </a:path>
                            </a:pathLst>
                          </a:custGeom>
                          <a:solidFill>
                            <a:srgbClr val="E97132"/>
                          </a:solidFill>
                          <a:ln cap="flat">
                            <a:noFill/>
                            <a:prstDash val="solid"/>
                          </a:ln>
                        </wps:spPr>
                        <wps:bodyPr lIns="0" tIns="0" rIns="0" bIns="0"/>
                      </wps:wsp>
                      <wps:wsp>
                        <wps:cNvPr id="1072362508" name="Shape 97"/>
                        <wps:cNvSpPr/>
                        <wps:spPr>
                          <a:xfrm>
                            <a:off x="2555748" y="603632"/>
                            <a:ext cx="64008" cy="64008"/>
                          </a:xfrm>
                          <a:custGeom>
                            <a:avLst/>
                            <a:gdLst>
                              <a:gd name="f0" fmla="val w"/>
                              <a:gd name="f1" fmla="val h"/>
                              <a:gd name="f2" fmla="val 0"/>
                              <a:gd name="f3" fmla="val 64008"/>
                              <a:gd name="f4" fmla="val 32004"/>
                              <a:gd name="f5" fmla="val 49657"/>
                              <a:gd name="f6" fmla="val 14351"/>
                              <a:gd name="f7" fmla="val 14224"/>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3" y="f4"/>
                                </a:moveTo>
                                <a:cubicBezTo>
                                  <a:pt x="f3" y="f5"/>
                                  <a:pt x="f5" y="f3"/>
                                  <a:pt x="f4" y="f3"/>
                                </a:cubicBezTo>
                                <a:cubicBezTo>
                                  <a:pt x="f6" y="f3"/>
                                  <a:pt x="f2" y="f5"/>
                                  <a:pt x="f2" y="f4"/>
                                </a:cubicBezTo>
                                <a:cubicBezTo>
                                  <a:pt x="f2" y="f7"/>
                                  <a:pt x="f6" y="f2"/>
                                  <a:pt x="f4" y="f2"/>
                                </a:cubicBezTo>
                                <a:cubicBezTo>
                                  <a:pt x="f5" y="f2"/>
                                  <a:pt x="f3" y="f7"/>
                                  <a:pt x="f3" y="f4"/>
                                </a:cubicBezTo>
                                <a:close/>
                              </a:path>
                            </a:pathLst>
                          </a:custGeom>
                          <a:noFill/>
                          <a:ln w="9528" cap="flat">
                            <a:solidFill>
                              <a:srgbClr val="E97132"/>
                            </a:solidFill>
                            <a:prstDash val="solid"/>
                            <a:round/>
                          </a:ln>
                        </wps:spPr>
                        <wps:bodyPr lIns="0" tIns="0" rIns="0" bIns="0"/>
                      </wps:wsp>
                      <wps:wsp>
                        <wps:cNvPr id="1548564048" name="Shape 98"/>
                        <wps:cNvSpPr/>
                        <wps:spPr>
                          <a:xfrm>
                            <a:off x="3140963" y="1979804"/>
                            <a:ext cx="64008" cy="64008"/>
                          </a:xfrm>
                          <a:custGeom>
                            <a:avLst/>
                            <a:gdLst>
                              <a:gd name="f0" fmla="val w"/>
                              <a:gd name="f1" fmla="val h"/>
                              <a:gd name="f2" fmla="val 0"/>
                              <a:gd name="f3" fmla="val 64008"/>
                              <a:gd name="f4" fmla="val 32004"/>
                              <a:gd name="f5" fmla="val 49657"/>
                              <a:gd name="f6" fmla="val 14224"/>
                              <a:gd name="f7" fmla="val 14351"/>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4" y="f2"/>
                                </a:moveTo>
                                <a:cubicBezTo>
                                  <a:pt x="f5" y="f2"/>
                                  <a:pt x="f3" y="f6"/>
                                  <a:pt x="f3" y="f4"/>
                                </a:cubicBezTo>
                                <a:cubicBezTo>
                                  <a:pt x="f3" y="f5"/>
                                  <a:pt x="f5" y="f3"/>
                                  <a:pt x="f4" y="f3"/>
                                </a:cubicBezTo>
                                <a:cubicBezTo>
                                  <a:pt x="f7" y="f3"/>
                                  <a:pt x="f2" y="f5"/>
                                  <a:pt x="f2" y="f4"/>
                                </a:cubicBezTo>
                                <a:cubicBezTo>
                                  <a:pt x="f2" y="f6"/>
                                  <a:pt x="f7" y="f2"/>
                                  <a:pt x="f4" y="f2"/>
                                </a:cubicBezTo>
                                <a:close/>
                              </a:path>
                            </a:pathLst>
                          </a:custGeom>
                          <a:solidFill>
                            <a:srgbClr val="E97132"/>
                          </a:solidFill>
                          <a:ln cap="flat">
                            <a:noFill/>
                            <a:prstDash val="solid"/>
                          </a:ln>
                        </wps:spPr>
                        <wps:bodyPr lIns="0" tIns="0" rIns="0" bIns="0"/>
                      </wps:wsp>
                      <wps:wsp>
                        <wps:cNvPr id="801661563" name="Shape 99"/>
                        <wps:cNvSpPr/>
                        <wps:spPr>
                          <a:xfrm>
                            <a:off x="3140963" y="1979804"/>
                            <a:ext cx="64008" cy="64008"/>
                          </a:xfrm>
                          <a:custGeom>
                            <a:avLst/>
                            <a:gdLst>
                              <a:gd name="f0" fmla="val w"/>
                              <a:gd name="f1" fmla="val h"/>
                              <a:gd name="f2" fmla="val 0"/>
                              <a:gd name="f3" fmla="val 64008"/>
                              <a:gd name="f4" fmla="val 32004"/>
                              <a:gd name="f5" fmla="val 49657"/>
                              <a:gd name="f6" fmla="val 14351"/>
                              <a:gd name="f7" fmla="val 14224"/>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3" y="f4"/>
                                </a:moveTo>
                                <a:cubicBezTo>
                                  <a:pt x="f3" y="f5"/>
                                  <a:pt x="f5" y="f3"/>
                                  <a:pt x="f4" y="f3"/>
                                </a:cubicBezTo>
                                <a:cubicBezTo>
                                  <a:pt x="f6" y="f3"/>
                                  <a:pt x="f2" y="f5"/>
                                  <a:pt x="f2" y="f4"/>
                                </a:cubicBezTo>
                                <a:cubicBezTo>
                                  <a:pt x="f2" y="f7"/>
                                  <a:pt x="f6" y="f2"/>
                                  <a:pt x="f4" y="f2"/>
                                </a:cubicBezTo>
                                <a:cubicBezTo>
                                  <a:pt x="f5" y="f2"/>
                                  <a:pt x="f3" y="f7"/>
                                  <a:pt x="f3" y="f4"/>
                                </a:cubicBezTo>
                                <a:close/>
                              </a:path>
                            </a:pathLst>
                          </a:custGeom>
                          <a:noFill/>
                          <a:ln w="9528" cap="flat">
                            <a:solidFill>
                              <a:srgbClr val="E97132"/>
                            </a:solidFill>
                            <a:prstDash val="solid"/>
                            <a:round/>
                          </a:ln>
                        </wps:spPr>
                        <wps:bodyPr lIns="0" tIns="0" rIns="0" bIns="0"/>
                      </wps:wsp>
                      <wps:wsp>
                        <wps:cNvPr id="1842989791" name="Shape 100"/>
                        <wps:cNvSpPr/>
                        <wps:spPr>
                          <a:xfrm>
                            <a:off x="3727707" y="2033140"/>
                            <a:ext cx="64008" cy="64008"/>
                          </a:xfrm>
                          <a:custGeom>
                            <a:avLst/>
                            <a:gdLst>
                              <a:gd name="f0" fmla="val w"/>
                              <a:gd name="f1" fmla="val h"/>
                              <a:gd name="f2" fmla="val 0"/>
                              <a:gd name="f3" fmla="val 64008"/>
                              <a:gd name="f4" fmla="val 32004"/>
                              <a:gd name="f5" fmla="val 49657"/>
                              <a:gd name="f6" fmla="val 14224"/>
                              <a:gd name="f7" fmla="val 14351"/>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4" y="f2"/>
                                </a:moveTo>
                                <a:cubicBezTo>
                                  <a:pt x="f5" y="f2"/>
                                  <a:pt x="f3" y="f6"/>
                                  <a:pt x="f3" y="f4"/>
                                </a:cubicBezTo>
                                <a:cubicBezTo>
                                  <a:pt x="f3" y="f5"/>
                                  <a:pt x="f5" y="f3"/>
                                  <a:pt x="f4" y="f3"/>
                                </a:cubicBezTo>
                                <a:cubicBezTo>
                                  <a:pt x="f7" y="f3"/>
                                  <a:pt x="f2" y="f5"/>
                                  <a:pt x="f2" y="f4"/>
                                </a:cubicBezTo>
                                <a:cubicBezTo>
                                  <a:pt x="f2" y="f6"/>
                                  <a:pt x="f7" y="f2"/>
                                  <a:pt x="f4" y="f2"/>
                                </a:cubicBezTo>
                                <a:close/>
                              </a:path>
                            </a:pathLst>
                          </a:custGeom>
                          <a:solidFill>
                            <a:srgbClr val="E97132"/>
                          </a:solidFill>
                          <a:ln cap="flat">
                            <a:noFill/>
                            <a:prstDash val="solid"/>
                          </a:ln>
                        </wps:spPr>
                        <wps:bodyPr lIns="0" tIns="0" rIns="0" bIns="0"/>
                      </wps:wsp>
                      <wps:wsp>
                        <wps:cNvPr id="1047309561" name="Shape 101"/>
                        <wps:cNvSpPr/>
                        <wps:spPr>
                          <a:xfrm>
                            <a:off x="3727707" y="2033140"/>
                            <a:ext cx="64008" cy="64008"/>
                          </a:xfrm>
                          <a:custGeom>
                            <a:avLst/>
                            <a:gdLst>
                              <a:gd name="f0" fmla="val w"/>
                              <a:gd name="f1" fmla="val h"/>
                              <a:gd name="f2" fmla="val 0"/>
                              <a:gd name="f3" fmla="val 64008"/>
                              <a:gd name="f4" fmla="val 32004"/>
                              <a:gd name="f5" fmla="val 49657"/>
                              <a:gd name="f6" fmla="val 14351"/>
                              <a:gd name="f7" fmla="val 14224"/>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3" y="f4"/>
                                </a:moveTo>
                                <a:cubicBezTo>
                                  <a:pt x="f3" y="f5"/>
                                  <a:pt x="f5" y="f3"/>
                                  <a:pt x="f4" y="f3"/>
                                </a:cubicBezTo>
                                <a:cubicBezTo>
                                  <a:pt x="f6" y="f3"/>
                                  <a:pt x="f2" y="f5"/>
                                  <a:pt x="f2" y="f4"/>
                                </a:cubicBezTo>
                                <a:cubicBezTo>
                                  <a:pt x="f2" y="f7"/>
                                  <a:pt x="f6" y="f2"/>
                                  <a:pt x="f4" y="f2"/>
                                </a:cubicBezTo>
                                <a:cubicBezTo>
                                  <a:pt x="f5" y="f2"/>
                                  <a:pt x="f3" y="f7"/>
                                  <a:pt x="f3" y="f4"/>
                                </a:cubicBezTo>
                                <a:close/>
                              </a:path>
                            </a:pathLst>
                          </a:custGeom>
                          <a:noFill/>
                          <a:ln w="9528" cap="flat">
                            <a:solidFill>
                              <a:srgbClr val="E97132"/>
                            </a:solidFill>
                            <a:prstDash val="solid"/>
                            <a:round/>
                          </a:ln>
                        </wps:spPr>
                        <wps:bodyPr lIns="0" tIns="0" rIns="0" bIns="0"/>
                      </wps:wsp>
                      <wps:wsp>
                        <wps:cNvPr id="1760792185" name="Shape 102"/>
                        <wps:cNvSpPr/>
                        <wps:spPr>
                          <a:xfrm>
                            <a:off x="4312923" y="2152012"/>
                            <a:ext cx="64008" cy="64008"/>
                          </a:xfrm>
                          <a:custGeom>
                            <a:avLst/>
                            <a:gdLst>
                              <a:gd name="f0" fmla="val w"/>
                              <a:gd name="f1" fmla="val h"/>
                              <a:gd name="f2" fmla="val 0"/>
                              <a:gd name="f3" fmla="val 64008"/>
                              <a:gd name="f4" fmla="val 32004"/>
                              <a:gd name="f5" fmla="val 49657"/>
                              <a:gd name="f6" fmla="val 14224"/>
                              <a:gd name="f7" fmla="val 14351"/>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4" y="f2"/>
                                </a:moveTo>
                                <a:cubicBezTo>
                                  <a:pt x="f5" y="f2"/>
                                  <a:pt x="f3" y="f6"/>
                                  <a:pt x="f3" y="f4"/>
                                </a:cubicBezTo>
                                <a:cubicBezTo>
                                  <a:pt x="f3" y="f5"/>
                                  <a:pt x="f5" y="f3"/>
                                  <a:pt x="f4" y="f3"/>
                                </a:cubicBezTo>
                                <a:cubicBezTo>
                                  <a:pt x="f7" y="f3"/>
                                  <a:pt x="f2" y="f5"/>
                                  <a:pt x="f2" y="f4"/>
                                </a:cubicBezTo>
                                <a:cubicBezTo>
                                  <a:pt x="f2" y="f6"/>
                                  <a:pt x="f7" y="f2"/>
                                  <a:pt x="f4" y="f2"/>
                                </a:cubicBezTo>
                                <a:close/>
                              </a:path>
                            </a:pathLst>
                          </a:custGeom>
                          <a:solidFill>
                            <a:srgbClr val="E97132"/>
                          </a:solidFill>
                          <a:ln cap="flat">
                            <a:noFill/>
                            <a:prstDash val="solid"/>
                          </a:ln>
                        </wps:spPr>
                        <wps:bodyPr lIns="0" tIns="0" rIns="0" bIns="0"/>
                      </wps:wsp>
                      <wps:wsp>
                        <wps:cNvPr id="1428561650" name="Shape 103"/>
                        <wps:cNvSpPr/>
                        <wps:spPr>
                          <a:xfrm>
                            <a:off x="4312923" y="2152012"/>
                            <a:ext cx="64008" cy="64008"/>
                          </a:xfrm>
                          <a:custGeom>
                            <a:avLst/>
                            <a:gdLst>
                              <a:gd name="f0" fmla="val w"/>
                              <a:gd name="f1" fmla="val h"/>
                              <a:gd name="f2" fmla="val 0"/>
                              <a:gd name="f3" fmla="val 64008"/>
                              <a:gd name="f4" fmla="val 32004"/>
                              <a:gd name="f5" fmla="val 49657"/>
                              <a:gd name="f6" fmla="val 14351"/>
                              <a:gd name="f7" fmla="val 14224"/>
                              <a:gd name="f8" fmla="*/ f0 1 64008"/>
                              <a:gd name="f9" fmla="*/ f1 1 64008"/>
                              <a:gd name="f10" fmla="+- f3 0 f2"/>
                              <a:gd name="f11" fmla="*/ f10 1 64008"/>
                              <a:gd name="f12" fmla="*/ 0 1 f11"/>
                              <a:gd name="f13" fmla="*/ 64008 1 f11"/>
                              <a:gd name="f14" fmla="*/ f12 f8 1"/>
                              <a:gd name="f15" fmla="*/ f13 f8 1"/>
                              <a:gd name="f16" fmla="*/ f13 f9 1"/>
                              <a:gd name="f17" fmla="*/ f12 f9 1"/>
                            </a:gdLst>
                            <a:ahLst/>
                            <a:cxnLst>
                              <a:cxn ang="3cd4">
                                <a:pos x="hc" y="t"/>
                              </a:cxn>
                              <a:cxn ang="0">
                                <a:pos x="r" y="vc"/>
                              </a:cxn>
                              <a:cxn ang="cd4">
                                <a:pos x="hc" y="b"/>
                              </a:cxn>
                              <a:cxn ang="cd2">
                                <a:pos x="l" y="vc"/>
                              </a:cxn>
                            </a:cxnLst>
                            <a:rect l="f14" t="f17" r="f15" b="f16"/>
                            <a:pathLst>
                              <a:path w="64008" h="64008">
                                <a:moveTo>
                                  <a:pt x="f3" y="f4"/>
                                </a:moveTo>
                                <a:cubicBezTo>
                                  <a:pt x="f3" y="f5"/>
                                  <a:pt x="f5" y="f3"/>
                                  <a:pt x="f4" y="f3"/>
                                </a:cubicBezTo>
                                <a:cubicBezTo>
                                  <a:pt x="f6" y="f3"/>
                                  <a:pt x="f2" y="f5"/>
                                  <a:pt x="f2" y="f4"/>
                                </a:cubicBezTo>
                                <a:cubicBezTo>
                                  <a:pt x="f2" y="f7"/>
                                  <a:pt x="f6" y="f2"/>
                                  <a:pt x="f4" y="f2"/>
                                </a:cubicBezTo>
                                <a:cubicBezTo>
                                  <a:pt x="f5" y="f2"/>
                                  <a:pt x="f3" y="f7"/>
                                  <a:pt x="f3" y="f4"/>
                                </a:cubicBezTo>
                                <a:close/>
                              </a:path>
                            </a:pathLst>
                          </a:custGeom>
                          <a:noFill/>
                          <a:ln w="9528" cap="flat">
                            <a:solidFill>
                              <a:srgbClr val="E97132"/>
                            </a:solidFill>
                            <a:prstDash val="solid"/>
                            <a:round/>
                          </a:ln>
                        </wps:spPr>
                        <wps:bodyPr lIns="0" tIns="0" rIns="0" bIns="0"/>
                      </wps:wsp>
                      <wps:wsp>
                        <wps:cNvPr id="1292659122" name="Rectangle 711291922"/>
                        <wps:cNvSpPr/>
                        <wps:spPr>
                          <a:xfrm>
                            <a:off x="372618" y="2251444"/>
                            <a:ext cx="77074" cy="185568"/>
                          </a:xfrm>
                          <a:prstGeom prst="rect">
                            <a:avLst/>
                          </a:prstGeom>
                          <a:noFill/>
                          <a:ln cap="flat">
                            <a:noFill/>
                            <a:prstDash val="solid"/>
                          </a:ln>
                        </wps:spPr>
                        <wps:txbx>
                          <w:txbxContent>
                            <w:p w14:paraId="332C71A5" w14:textId="77777777" w:rsidR="00047DC5" w:rsidRDefault="00047DC5" w:rsidP="00047DC5">
                              <w:r>
                                <w:rPr>
                                  <w:rFonts w:ascii="Calibri" w:eastAsia="Calibri" w:hAnsi="Calibri" w:cs="Calibri"/>
                                  <w:color w:val="595959"/>
                                  <w:sz w:val="18"/>
                                </w:rPr>
                                <w:t>0</w:t>
                              </w:r>
                            </w:p>
                          </w:txbxContent>
                        </wps:txbx>
                        <wps:bodyPr vert="horz" wrap="square" lIns="0" tIns="0" rIns="0" bIns="0" anchor="t" anchorCtr="0" compatLnSpc="0">
                          <a:noAutofit/>
                        </wps:bodyPr>
                      </wps:wsp>
                      <wps:wsp>
                        <wps:cNvPr id="1498502213" name="Rectangle 2062191052"/>
                        <wps:cNvSpPr/>
                        <wps:spPr>
                          <a:xfrm>
                            <a:off x="140973" y="2018876"/>
                            <a:ext cx="385364" cy="186062"/>
                          </a:xfrm>
                          <a:prstGeom prst="rect">
                            <a:avLst/>
                          </a:prstGeom>
                          <a:noFill/>
                          <a:ln cap="flat">
                            <a:noFill/>
                            <a:prstDash val="solid"/>
                          </a:ln>
                        </wps:spPr>
                        <wps:txbx>
                          <w:txbxContent>
                            <w:p w14:paraId="5898C2F5" w14:textId="77777777" w:rsidR="00047DC5" w:rsidRDefault="00047DC5" w:rsidP="00047DC5">
                              <w:r>
                                <w:rPr>
                                  <w:rFonts w:ascii="Calibri" w:eastAsia="Calibri" w:hAnsi="Calibri" w:cs="Calibri"/>
                                  <w:color w:val="595959"/>
                                  <w:w w:val="99"/>
                                  <w:sz w:val="18"/>
                                </w:rPr>
                                <w:t>20000</w:t>
                              </w:r>
                            </w:p>
                          </w:txbxContent>
                        </wps:txbx>
                        <wps:bodyPr vert="horz" wrap="square" lIns="0" tIns="0" rIns="0" bIns="0" anchor="t" anchorCtr="0" compatLnSpc="0">
                          <a:noAutofit/>
                        </wps:bodyPr>
                      </wps:wsp>
                      <wps:wsp>
                        <wps:cNvPr id="473278155" name="Rectangle 1164479972"/>
                        <wps:cNvSpPr/>
                        <wps:spPr>
                          <a:xfrm>
                            <a:off x="140973" y="1787258"/>
                            <a:ext cx="385163" cy="185568"/>
                          </a:xfrm>
                          <a:prstGeom prst="rect">
                            <a:avLst/>
                          </a:prstGeom>
                          <a:noFill/>
                          <a:ln cap="flat">
                            <a:noFill/>
                            <a:prstDash val="solid"/>
                          </a:ln>
                        </wps:spPr>
                        <wps:txbx>
                          <w:txbxContent>
                            <w:p w14:paraId="6BF27B10" w14:textId="77777777" w:rsidR="00047DC5" w:rsidRDefault="00047DC5" w:rsidP="00047DC5">
                              <w:r>
                                <w:rPr>
                                  <w:rFonts w:ascii="Calibri" w:eastAsia="Calibri" w:hAnsi="Calibri" w:cs="Calibri"/>
                                  <w:color w:val="595959"/>
                                  <w:w w:val="99"/>
                                  <w:sz w:val="18"/>
                                </w:rPr>
                                <w:t>40000</w:t>
                              </w:r>
                            </w:p>
                          </w:txbxContent>
                        </wps:txbx>
                        <wps:bodyPr vert="horz" wrap="square" lIns="0" tIns="0" rIns="0" bIns="0" anchor="t" anchorCtr="0" compatLnSpc="0">
                          <a:noAutofit/>
                        </wps:bodyPr>
                      </wps:wsp>
                      <wps:wsp>
                        <wps:cNvPr id="688144879" name="Rectangle 772912296"/>
                        <wps:cNvSpPr/>
                        <wps:spPr>
                          <a:xfrm>
                            <a:off x="140973" y="1555357"/>
                            <a:ext cx="385163" cy="185568"/>
                          </a:xfrm>
                          <a:prstGeom prst="rect">
                            <a:avLst/>
                          </a:prstGeom>
                          <a:noFill/>
                          <a:ln cap="flat">
                            <a:noFill/>
                            <a:prstDash val="solid"/>
                          </a:ln>
                        </wps:spPr>
                        <wps:txbx>
                          <w:txbxContent>
                            <w:p w14:paraId="408B73C6" w14:textId="77777777" w:rsidR="00047DC5" w:rsidRDefault="00047DC5" w:rsidP="00047DC5">
                              <w:r>
                                <w:rPr>
                                  <w:rFonts w:ascii="Calibri" w:eastAsia="Calibri" w:hAnsi="Calibri" w:cs="Calibri"/>
                                  <w:color w:val="595959"/>
                                  <w:w w:val="99"/>
                                  <w:sz w:val="18"/>
                                </w:rPr>
                                <w:t>60000</w:t>
                              </w:r>
                            </w:p>
                          </w:txbxContent>
                        </wps:txbx>
                        <wps:bodyPr vert="horz" wrap="square" lIns="0" tIns="0" rIns="0" bIns="0" anchor="t" anchorCtr="0" compatLnSpc="0">
                          <a:noAutofit/>
                        </wps:bodyPr>
                      </wps:wsp>
                      <wps:wsp>
                        <wps:cNvPr id="2062923685" name="Rectangle 1441815591"/>
                        <wps:cNvSpPr/>
                        <wps:spPr>
                          <a:xfrm>
                            <a:off x="140973" y="1322789"/>
                            <a:ext cx="385364" cy="186062"/>
                          </a:xfrm>
                          <a:prstGeom prst="rect">
                            <a:avLst/>
                          </a:prstGeom>
                          <a:noFill/>
                          <a:ln cap="flat">
                            <a:noFill/>
                            <a:prstDash val="solid"/>
                          </a:ln>
                        </wps:spPr>
                        <wps:txbx>
                          <w:txbxContent>
                            <w:p w14:paraId="37FB5086" w14:textId="77777777" w:rsidR="00047DC5" w:rsidRDefault="00047DC5" w:rsidP="00047DC5">
                              <w:r>
                                <w:rPr>
                                  <w:rFonts w:ascii="Calibri" w:eastAsia="Calibri" w:hAnsi="Calibri" w:cs="Calibri"/>
                                  <w:color w:val="595959"/>
                                  <w:w w:val="99"/>
                                  <w:sz w:val="18"/>
                                </w:rPr>
                                <w:t>80000</w:t>
                              </w:r>
                            </w:p>
                          </w:txbxContent>
                        </wps:txbx>
                        <wps:bodyPr vert="horz" wrap="square" lIns="0" tIns="0" rIns="0" bIns="0" anchor="t" anchorCtr="0" compatLnSpc="0">
                          <a:noAutofit/>
                        </wps:bodyPr>
                      </wps:wsp>
                      <wps:wsp>
                        <wps:cNvPr id="1958232899" name="Rectangle 87047577"/>
                        <wps:cNvSpPr/>
                        <wps:spPr>
                          <a:xfrm>
                            <a:off x="82680" y="1091043"/>
                            <a:ext cx="464213" cy="185568"/>
                          </a:xfrm>
                          <a:prstGeom prst="rect">
                            <a:avLst/>
                          </a:prstGeom>
                          <a:noFill/>
                          <a:ln cap="flat">
                            <a:noFill/>
                            <a:prstDash val="solid"/>
                          </a:ln>
                        </wps:spPr>
                        <wps:txbx>
                          <w:txbxContent>
                            <w:p w14:paraId="064337B6" w14:textId="77777777" w:rsidR="00047DC5" w:rsidRDefault="00047DC5" w:rsidP="00047DC5">
                              <w:r>
                                <w:rPr>
                                  <w:rFonts w:ascii="Calibri" w:eastAsia="Calibri" w:hAnsi="Calibri" w:cs="Calibri"/>
                                  <w:color w:val="595959"/>
                                  <w:sz w:val="18"/>
                                </w:rPr>
                                <w:t>100000</w:t>
                              </w:r>
                            </w:p>
                          </w:txbxContent>
                        </wps:txbx>
                        <wps:bodyPr vert="horz" wrap="square" lIns="0" tIns="0" rIns="0" bIns="0" anchor="t" anchorCtr="0" compatLnSpc="0">
                          <a:noAutofit/>
                        </wps:bodyPr>
                      </wps:wsp>
                      <wps:wsp>
                        <wps:cNvPr id="857005261" name="Rectangle 1611300837"/>
                        <wps:cNvSpPr/>
                        <wps:spPr>
                          <a:xfrm>
                            <a:off x="82680" y="859142"/>
                            <a:ext cx="464213" cy="185568"/>
                          </a:xfrm>
                          <a:prstGeom prst="rect">
                            <a:avLst/>
                          </a:prstGeom>
                          <a:noFill/>
                          <a:ln cap="flat">
                            <a:noFill/>
                            <a:prstDash val="solid"/>
                          </a:ln>
                        </wps:spPr>
                        <wps:txbx>
                          <w:txbxContent>
                            <w:p w14:paraId="794E306A" w14:textId="77777777" w:rsidR="00047DC5" w:rsidRDefault="00047DC5" w:rsidP="00047DC5">
                              <w:r>
                                <w:rPr>
                                  <w:rFonts w:ascii="Calibri" w:eastAsia="Calibri" w:hAnsi="Calibri" w:cs="Calibri"/>
                                  <w:color w:val="595959"/>
                                  <w:sz w:val="18"/>
                                </w:rPr>
                                <w:t>120000</w:t>
                              </w:r>
                            </w:p>
                          </w:txbxContent>
                        </wps:txbx>
                        <wps:bodyPr vert="horz" wrap="square" lIns="0" tIns="0" rIns="0" bIns="0" anchor="t" anchorCtr="0" compatLnSpc="0">
                          <a:noAutofit/>
                        </wps:bodyPr>
                      </wps:wsp>
                      <wps:wsp>
                        <wps:cNvPr id="1890862888" name="Rectangle 1600653995"/>
                        <wps:cNvSpPr/>
                        <wps:spPr>
                          <a:xfrm>
                            <a:off x="82680" y="627241"/>
                            <a:ext cx="464213" cy="185568"/>
                          </a:xfrm>
                          <a:prstGeom prst="rect">
                            <a:avLst/>
                          </a:prstGeom>
                          <a:noFill/>
                          <a:ln cap="flat">
                            <a:noFill/>
                            <a:prstDash val="solid"/>
                          </a:ln>
                        </wps:spPr>
                        <wps:txbx>
                          <w:txbxContent>
                            <w:p w14:paraId="0739741B" w14:textId="77777777" w:rsidR="00047DC5" w:rsidRDefault="00047DC5" w:rsidP="00047DC5">
                              <w:r>
                                <w:rPr>
                                  <w:rFonts w:ascii="Calibri" w:eastAsia="Calibri" w:hAnsi="Calibri" w:cs="Calibri"/>
                                  <w:color w:val="595959"/>
                                  <w:sz w:val="18"/>
                                </w:rPr>
                                <w:t>140000</w:t>
                              </w:r>
                            </w:p>
                          </w:txbxContent>
                        </wps:txbx>
                        <wps:bodyPr vert="horz" wrap="square" lIns="0" tIns="0" rIns="0" bIns="0" anchor="t" anchorCtr="0" compatLnSpc="0">
                          <a:noAutofit/>
                        </wps:bodyPr>
                      </wps:wsp>
                      <wps:wsp>
                        <wps:cNvPr id="1511154064" name="Rectangle 1772290953"/>
                        <wps:cNvSpPr/>
                        <wps:spPr>
                          <a:xfrm>
                            <a:off x="82680" y="394956"/>
                            <a:ext cx="464213" cy="185568"/>
                          </a:xfrm>
                          <a:prstGeom prst="rect">
                            <a:avLst/>
                          </a:prstGeom>
                          <a:noFill/>
                          <a:ln cap="flat">
                            <a:noFill/>
                            <a:prstDash val="solid"/>
                          </a:ln>
                        </wps:spPr>
                        <wps:txbx>
                          <w:txbxContent>
                            <w:p w14:paraId="0E7562A3" w14:textId="77777777" w:rsidR="00047DC5" w:rsidRDefault="00047DC5" w:rsidP="00047DC5">
                              <w:r>
                                <w:rPr>
                                  <w:rFonts w:ascii="Calibri" w:eastAsia="Calibri" w:hAnsi="Calibri" w:cs="Calibri"/>
                                  <w:color w:val="595959"/>
                                  <w:sz w:val="18"/>
                                </w:rPr>
                                <w:t>160000</w:t>
                              </w:r>
                            </w:p>
                          </w:txbxContent>
                        </wps:txbx>
                        <wps:bodyPr vert="horz" wrap="square" lIns="0" tIns="0" rIns="0" bIns="0" anchor="t" anchorCtr="0" compatLnSpc="0">
                          <a:noAutofit/>
                        </wps:bodyPr>
                      </wps:wsp>
                      <wps:wsp>
                        <wps:cNvPr id="1316637347" name="Rectangle 2067917001"/>
                        <wps:cNvSpPr/>
                        <wps:spPr>
                          <a:xfrm>
                            <a:off x="800228" y="2399019"/>
                            <a:ext cx="77074" cy="185568"/>
                          </a:xfrm>
                          <a:prstGeom prst="rect">
                            <a:avLst/>
                          </a:prstGeom>
                          <a:noFill/>
                          <a:ln cap="flat">
                            <a:noFill/>
                            <a:prstDash val="solid"/>
                          </a:ln>
                        </wps:spPr>
                        <wps:txbx>
                          <w:txbxContent>
                            <w:p w14:paraId="1AEDD53A" w14:textId="77777777" w:rsidR="00047DC5" w:rsidRDefault="00047DC5" w:rsidP="00047DC5">
                              <w:r>
                                <w:rPr>
                                  <w:rFonts w:ascii="Calibri" w:eastAsia="Calibri" w:hAnsi="Calibri" w:cs="Calibri"/>
                                  <w:color w:val="595959"/>
                                  <w:sz w:val="18"/>
                                </w:rPr>
                                <w:t>1</w:t>
                              </w:r>
                            </w:p>
                          </w:txbxContent>
                        </wps:txbx>
                        <wps:bodyPr vert="horz" wrap="square" lIns="0" tIns="0" rIns="0" bIns="0" anchor="t" anchorCtr="0" compatLnSpc="0">
                          <a:noAutofit/>
                        </wps:bodyPr>
                      </wps:wsp>
                      <wps:wsp>
                        <wps:cNvPr id="224081438" name="Rectangle 1766493359"/>
                        <wps:cNvSpPr/>
                        <wps:spPr>
                          <a:xfrm>
                            <a:off x="1386330" y="2399019"/>
                            <a:ext cx="77074" cy="185568"/>
                          </a:xfrm>
                          <a:prstGeom prst="rect">
                            <a:avLst/>
                          </a:prstGeom>
                          <a:noFill/>
                          <a:ln cap="flat">
                            <a:noFill/>
                            <a:prstDash val="solid"/>
                          </a:ln>
                        </wps:spPr>
                        <wps:txbx>
                          <w:txbxContent>
                            <w:p w14:paraId="46A7E76B" w14:textId="77777777" w:rsidR="00047DC5" w:rsidRDefault="00047DC5" w:rsidP="00047DC5">
                              <w:r>
                                <w:rPr>
                                  <w:rFonts w:ascii="Calibri" w:eastAsia="Calibri" w:hAnsi="Calibri" w:cs="Calibri"/>
                                  <w:color w:val="595959"/>
                                  <w:sz w:val="18"/>
                                </w:rPr>
                                <w:t>2</w:t>
                              </w:r>
                            </w:p>
                          </w:txbxContent>
                        </wps:txbx>
                        <wps:bodyPr vert="horz" wrap="square" lIns="0" tIns="0" rIns="0" bIns="0" anchor="t" anchorCtr="0" compatLnSpc="0">
                          <a:noAutofit/>
                        </wps:bodyPr>
                      </wps:wsp>
                      <wps:wsp>
                        <wps:cNvPr id="1993588743" name="Rectangle 1842727770"/>
                        <wps:cNvSpPr/>
                        <wps:spPr>
                          <a:xfrm>
                            <a:off x="1972433" y="2399019"/>
                            <a:ext cx="77074" cy="185568"/>
                          </a:xfrm>
                          <a:prstGeom prst="rect">
                            <a:avLst/>
                          </a:prstGeom>
                          <a:noFill/>
                          <a:ln cap="flat">
                            <a:noFill/>
                            <a:prstDash val="solid"/>
                          </a:ln>
                        </wps:spPr>
                        <wps:txbx>
                          <w:txbxContent>
                            <w:p w14:paraId="04610A03" w14:textId="77777777" w:rsidR="00047DC5" w:rsidRDefault="00047DC5" w:rsidP="00047DC5">
                              <w:r>
                                <w:rPr>
                                  <w:rFonts w:ascii="Calibri" w:eastAsia="Calibri" w:hAnsi="Calibri" w:cs="Calibri"/>
                                  <w:color w:val="595959"/>
                                  <w:sz w:val="18"/>
                                </w:rPr>
                                <w:t>3</w:t>
                              </w:r>
                            </w:p>
                          </w:txbxContent>
                        </wps:txbx>
                        <wps:bodyPr vert="horz" wrap="square" lIns="0" tIns="0" rIns="0" bIns="0" anchor="t" anchorCtr="0" compatLnSpc="0">
                          <a:noAutofit/>
                        </wps:bodyPr>
                      </wps:wsp>
                      <wps:wsp>
                        <wps:cNvPr id="707794197" name="Rectangle 960888048"/>
                        <wps:cNvSpPr/>
                        <wps:spPr>
                          <a:xfrm>
                            <a:off x="2558546" y="2399019"/>
                            <a:ext cx="77074" cy="185568"/>
                          </a:xfrm>
                          <a:prstGeom prst="rect">
                            <a:avLst/>
                          </a:prstGeom>
                          <a:noFill/>
                          <a:ln cap="flat">
                            <a:noFill/>
                            <a:prstDash val="solid"/>
                          </a:ln>
                        </wps:spPr>
                        <wps:txbx>
                          <w:txbxContent>
                            <w:p w14:paraId="6CC1589D" w14:textId="77777777" w:rsidR="00047DC5" w:rsidRDefault="00047DC5" w:rsidP="00047DC5">
                              <w:r>
                                <w:rPr>
                                  <w:rFonts w:ascii="Calibri" w:eastAsia="Calibri" w:hAnsi="Calibri" w:cs="Calibri"/>
                                  <w:color w:val="595959"/>
                                  <w:sz w:val="18"/>
                                </w:rPr>
                                <w:t>4</w:t>
                              </w:r>
                            </w:p>
                          </w:txbxContent>
                        </wps:txbx>
                        <wps:bodyPr vert="horz" wrap="square" lIns="0" tIns="0" rIns="0" bIns="0" anchor="t" anchorCtr="0" compatLnSpc="0">
                          <a:noAutofit/>
                        </wps:bodyPr>
                      </wps:wsp>
                      <wps:wsp>
                        <wps:cNvPr id="2116883137" name="Rectangle 1396591407"/>
                        <wps:cNvSpPr/>
                        <wps:spPr>
                          <a:xfrm>
                            <a:off x="3144777" y="2399019"/>
                            <a:ext cx="77074" cy="185568"/>
                          </a:xfrm>
                          <a:prstGeom prst="rect">
                            <a:avLst/>
                          </a:prstGeom>
                          <a:noFill/>
                          <a:ln cap="flat">
                            <a:noFill/>
                            <a:prstDash val="solid"/>
                          </a:ln>
                        </wps:spPr>
                        <wps:txbx>
                          <w:txbxContent>
                            <w:p w14:paraId="2A7C17BE" w14:textId="77777777" w:rsidR="00047DC5" w:rsidRDefault="00047DC5" w:rsidP="00047DC5">
                              <w:r>
                                <w:rPr>
                                  <w:rFonts w:ascii="Calibri" w:eastAsia="Calibri" w:hAnsi="Calibri" w:cs="Calibri"/>
                                  <w:color w:val="595959"/>
                                  <w:sz w:val="18"/>
                                </w:rPr>
                                <w:t>5</w:t>
                              </w:r>
                            </w:p>
                          </w:txbxContent>
                        </wps:txbx>
                        <wps:bodyPr vert="horz" wrap="square" lIns="0" tIns="0" rIns="0" bIns="0" anchor="t" anchorCtr="0" compatLnSpc="0">
                          <a:noAutofit/>
                        </wps:bodyPr>
                      </wps:wsp>
                      <wps:wsp>
                        <wps:cNvPr id="434178690" name="Rectangle 2118082357"/>
                        <wps:cNvSpPr/>
                        <wps:spPr>
                          <a:xfrm>
                            <a:off x="3730880" y="2399019"/>
                            <a:ext cx="77074" cy="185568"/>
                          </a:xfrm>
                          <a:prstGeom prst="rect">
                            <a:avLst/>
                          </a:prstGeom>
                          <a:noFill/>
                          <a:ln cap="flat">
                            <a:noFill/>
                            <a:prstDash val="solid"/>
                          </a:ln>
                        </wps:spPr>
                        <wps:txbx>
                          <w:txbxContent>
                            <w:p w14:paraId="3AD47F55" w14:textId="77777777" w:rsidR="00047DC5" w:rsidRDefault="00047DC5" w:rsidP="00047DC5">
                              <w:r>
                                <w:rPr>
                                  <w:rFonts w:ascii="Calibri" w:eastAsia="Calibri" w:hAnsi="Calibri" w:cs="Calibri"/>
                                  <w:color w:val="595959"/>
                                  <w:sz w:val="18"/>
                                </w:rPr>
                                <w:t>6</w:t>
                              </w:r>
                            </w:p>
                          </w:txbxContent>
                        </wps:txbx>
                        <wps:bodyPr vert="horz" wrap="square" lIns="0" tIns="0" rIns="0" bIns="0" anchor="t" anchorCtr="0" compatLnSpc="0">
                          <a:noAutofit/>
                        </wps:bodyPr>
                      </wps:wsp>
                      <wps:wsp>
                        <wps:cNvPr id="2126950306" name="Rectangle 1499171560"/>
                        <wps:cNvSpPr/>
                        <wps:spPr>
                          <a:xfrm>
                            <a:off x="4316982" y="2399019"/>
                            <a:ext cx="77074" cy="185568"/>
                          </a:xfrm>
                          <a:prstGeom prst="rect">
                            <a:avLst/>
                          </a:prstGeom>
                          <a:noFill/>
                          <a:ln cap="flat">
                            <a:noFill/>
                            <a:prstDash val="solid"/>
                          </a:ln>
                        </wps:spPr>
                        <wps:txbx>
                          <w:txbxContent>
                            <w:p w14:paraId="10DFF5B6" w14:textId="77777777" w:rsidR="00047DC5" w:rsidRDefault="00047DC5" w:rsidP="00047DC5">
                              <w:r>
                                <w:rPr>
                                  <w:rFonts w:ascii="Calibri" w:eastAsia="Calibri" w:hAnsi="Calibri" w:cs="Calibri"/>
                                  <w:color w:val="595959"/>
                                  <w:sz w:val="18"/>
                                </w:rPr>
                                <w:t>7</w:t>
                              </w:r>
                            </w:p>
                          </w:txbxContent>
                        </wps:txbx>
                        <wps:bodyPr vert="horz" wrap="square" lIns="0" tIns="0" rIns="0" bIns="0" anchor="t" anchorCtr="0" compatLnSpc="0">
                          <a:noAutofit/>
                        </wps:bodyPr>
                      </wps:wsp>
                      <wps:wsp>
                        <wps:cNvPr id="725684069" name="Rectangle 1085096305"/>
                        <wps:cNvSpPr/>
                        <wps:spPr>
                          <a:xfrm>
                            <a:off x="616707" y="96231"/>
                            <a:ext cx="4078498" cy="289489"/>
                          </a:xfrm>
                          <a:prstGeom prst="rect">
                            <a:avLst/>
                          </a:prstGeom>
                          <a:noFill/>
                          <a:ln cap="flat">
                            <a:noFill/>
                            <a:prstDash val="solid"/>
                          </a:ln>
                        </wps:spPr>
                        <wps:txbx>
                          <w:txbxContent>
                            <w:p w14:paraId="4CAD4FFE" w14:textId="77777777" w:rsidR="00047DC5" w:rsidRDefault="00047DC5" w:rsidP="00047DC5">
                              <w:r>
                                <w:rPr>
                                  <w:rFonts w:ascii="Calibri" w:eastAsia="Calibri" w:hAnsi="Calibri" w:cs="Calibri"/>
                                  <w:b/>
                                  <w:color w:val="595959"/>
                                  <w:w w:val="102"/>
                                  <w:sz w:val="28"/>
                                </w:rPr>
                                <w:t>Health</w:t>
                              </w:r>
                              <w:r>
                                <w:rPr>
                                  <w:rFonts w:ascii="Calibri" w:eastAsia="Calibri" w:hAnsi="Calibri" w:cs="Calibri"/>
                                  <w:b/>
                                  <w:color w:val="595959"/>
                                  <w:spacing w:val="-11"/>
                                  <w:w w:val="102"/>
                                  <w:sz w:val="28"/>
                                </w:rPr>
                                <w:t xml:space="preserve"> </w:t>
                              </w:r>
                              <w:r>
                                <w:rPr>
                                  <w:rFonts w:ascii="Calibri" w:eastAsia="Calibri" w:hAnsi="Calibri" w:cs="Calibri"/>
                                  <w:b/>
                                  <w:color w:val="595959"/>
                                  <w:w w:val="102"/>
                                  <w:sz w:val="28"/>
                                </w:rPr>
                                <w:t>and</w:t>
                              </w:r>
                              <w:r>
                                <w:rPr>
                                  <w:rFonts w:ascii="Calibri" w:eastAsia="Calibri" w:hAnsi="Calibri" w:cs="Calibri"/>
                                  <w:b/>
                                  <w:color w:val="595959"/>
                                  <w:spacing w:val="-13"/>
                                  <w:w w:val="102"/>
                                  <w:sz w:val="28"/>
                                </w:rPr>
                                <w:t xml:space="preserve"> </w:t>
                              </w:r>
                              <w:r>
                                <w:rPr>
                                  <w:rFonts w:ascii="Calibri" w:eastAsia="Calibri" w:hAnsi="Calibri" w:cs="Calibri"/>
                                  <w:b/>
                                  <w:color w:val="595959"/>
                                  <w:w w:val="102"/>
                                  <w:sz w:val="28"/>
                                </w:rPr>
                                <w:t>Care</w:t>
                              </w:r>
                              <w:r>
                                <w:rPr>
                                  <w:rFonts w:ascii="Calibri" w:eastAsia="Calibri" w:hAnsi="Calibri" w:cs="Calibri"/>
                                  <w:b/>
                                  <w:color w:val="595959"/>
                                  <w:spacing w:val="-13"/>
                                  <w:w w:val="102"/>
                                  <w:sz w:val="28"/>
                                </w:rPr>
                                <w:t xml:space="preserve"> </w:t>
                              </w:r>
                              <w:r>
                                <w:rPr>
                                  <w:rFonts w:ascii="Calibri" w:eastAsia="Calibri" w:hAnsi="Calibri" w:cs="Calibri"/>
                                  <w:b/>
                                  <w:color w:val="595959"/>
                                  <w:w w:val="102"/>
                                  <w:sz w:val="28"/>
                                </w:rPr>
                                <w:t>Worker</w:t>
                              </w:r>
                              <w:r>
                                <w:rPr>
                                  <w:rFonts w:ascii="Calibri" w:eastAsia="Calibri" w:hAnsi="Calibri" w:cs="Calibri"/>
                                  <w:b/>
                                  <w:color w:val="595959"/>
                                  <w:spacing w:val="-13"/>
                                  <w:w w:val="102"/>
                                  <w:sz w:val="28"/>
                                </w:rPr>
                                <w:t xml:space="preserve"> </w:t>
                              </w:r>
                              <w:r>
                                <w:rPr>
                                  <w:rFonts w:ascii="Calibri" w:eastAsia="Calibri" w:hAnsi="Calibri" w:cs="Calibri"/>
                                  <w:b/>
                                  <w:color w:val="595959"/>
                                  <w:w w:val="102"/>
                                  <w:sz w:val="28"/>
                                </w:rPr>
                                <w:t>Visa</w:t>
                              </w:r>
                              <w:r>
                                <w:rPr>
                                  <w:rFonts w:ascii="Calibri" w:eastAsia="Calibri" w:hAnsi="Calibri" w:cs="Calibri"/>
                                  <w:b/>
                                  <w:color w:val="595959"/>
                                  <w:spacing w:val="-12"/>
                                  <w:w w:val="102"/>
                                  <w:sz w:val="28"/>
                                </w:rPr>
                                <w:t xml:space="preserve"> </w:t>
                              </w:r>
                              <w:r>
                                <w:rPr>
                                  <w:rFonts w:ascii="Calibri" w:eastAsia="Calibri" w:hAnsi="Calibri" w:cs="Calibri"/>
                                  <w:b/>
                                  <w:color w:val="595959"/>
                                  <w:w w:val="102"/>
                                  <w:sz w:val="28"/>
                                </w:rPr>
                                <w:t>Grants</w:t>
                              </w:r>
                              <w:r>
                                <w:rPr>
                                  <w:rFonts w:ascii="Calibri" w:eastAsia="Calibri" w:hAnsi="Calibri" w:cs="Calibri"/>
                                  <w:b/>
                                  <w:color w:val="595959"/>
                                  <w:spacing w:val="-12"/>
                                  <w:w w:val="102"/>
                                  <w:sz w:val="28"/>
                                </w:rPr>
                                <w:t xml:space="preserve"> </w:t>
                              </w:r>
                              <w:r>
                                <w:rPr>
                                  <w:rFonts w:ascii="Calibri" w:eastAsia="Calibri" w:hAnsi="Calibri" w:cs="Calibri"/>
                                  <w:b/>
                                  <w:color w:val="595959"/>
                                  <w:w w:val="102"/>
                                  <w:sz w:val="28"/>
                                </w:rPr>
                                <w:t>(2020</w:t>
                              </w:r>
                            </w:p>
                          </w:txbxContent>
                        </wps:txbx>
                        <wps:bodyPr vert="horz" wrap="square" lIns="0" tIns="0" rIns="0" bIns="0" anchor="t" anchorCtr="0" compatLnSpc="0">
                          <a:noAutofit/>
                        </wps:bodyPr>
                      </wps:wsp>
                      <wps:wsp>
                        <wps:cNvPr id="1580211041" name="Rectangle 1482042114"/>
                        <wps:cNvSpPr/>
                        <wps:spPr>
                          <a:xfrm>
                            <a:off x="3674488" y="96231"/>
                            <a:ext cx="96048" cy="289489"/>
                          </a:xfrm>
                          <a:prstGeom prst="rect">
                            <a:avLst/>
                          </a:prstGeom>
                          <a:noFill/>
                          <a:ln cap="flat">
                            <a:noFill/>
                            <a:prstDash val="solid"/>
                          </a:ln>
                        </wps:spPr>
                        <wps:txbx>
                          <w:txbxContent>
                            <w:p w14:paraId="21ACCA7D" w14:textId="77777777" w:rsidR="00047DC5" w:rsidRDefault="00047DC5" w:rsidP="00047DC5">
                              <w:r>
                                <w:rPr>
                                  <w:rFonts w:ascii="Calibri" w:eastAsia="Calibri" w:hAnsi="Calibri" w:cs="Calibri"/>
                                  <w:b/>
                                  <w:color w:val="595959"/>
                                  <w:w w:val="81"/>
                                  <w:sz w:val="28"/>
                                </w:rPr>
                                <w:t>–</w:t>
                              </w:r>
                            </w:p>
                          </w:txbxContent>
                        </wps:txbx>
                        <wps:bodyPr vert="horz" wrap="square" lIns="0" tIns="0" rIns="0" bIns="0" anchor="t" anchorCtr="0" compatLnSpc="0">
                          <a:noAutofit/>
                        </wps:bodyPr>
                      </wps:wsp>
                      <wps:wsp>
                        <wps:cNvPr id="1262313677" name="Rectangle 203449320"/>
                        <wps:cNvSpPr/>
                        <wps:spPr>
                          <a:xfrm>
                            <a:off x="3746123" y="96231"/>
                            <a:ext cx="551154" cy="289489"/>
                          </a:xfrm>
                          <a:prstGeom prst="rect">
                            <a:avLst/>
                          </a:prstGeom>
                          <a:noFill/>
                          <a:ln cap="flat">
                            <a:noFill/>
                            <a:prstDash val="solid"/>
                          </a:ln>
                        </wps:spPr>
                        <wps:txbx>
                          <w:txbxContent>
                            <w:p w14:paraId="599790AB" w14:textId="77777777" w:rsidR="00047DC5" w:rsidRDefault="00047DC5" w:rsidP="00047DC5">
                              <w:r>
                                <w:rPr>
                                  <w:rFonts w:ascii="Calibri" w:eastAsia="Calibri" w:hAnsi="Calibri" w:cs="Calibri"/>
                                  <w:b/>
                                  <w:color w:val="595959"/>
                                  <w:spacing w:val="-1"/>
                                  <w:w w:val="99"/>
                                  <w:sz w:val="28"/>
                                </w:rPr>
                                <w:t>2026)</w:t>
                              </w:r>
                            </w:p>
                          </w:txbxContent>
                        </wps:txbx>
                        <wps:bodyPr vert="horz" wrap="square" lIns="0" tIns="0" rIns="0" bIns="0" anchor="t" anchorCtr="0" compatLnSpc="0">
                          <a:noAutofit/>
                        </wps:bodyPr>
                      </wps:wsp>
                      <wps:wsp>
                        <wps:cNvPr id="990676789" name="Shape 123"/>
                        <wps:cNvSpPr/>
                        <wps:spPr>
                          <a:xfrm>
                            <a:off x="1717672" y="2727956"/>
                            <a:ext cx="243843" cy="0"/>
                          </a:xfrm>
                          <a:custGeom>
                            <a:avLst/>
                            <a:gdLst>
                              <a:gd name="f0" fmla="val w"/>
                              <a:gd name="f1" fmla="val h"/>
                              <a:gd name="f2" fmla="val ss"/>
                              <a:gd name="f3" fmla="val 0"/>
                              <a:gd name="f4" fmla="val 243840"/>
                              <a:gd name="f5" fmla="abs f0"/>
                              <a:gd name="f6" fmla="abs f1"/>
                              <a:gd name="f7" fmla="abs f2"/>
                              <a:gd name="f8" fmla="*/ f0 1 243840"/>
                              <a:gd name="f9" fmla="val f3"/>
                              <a:gd name="f10" fmla="+- f3 0 f3"/>
                              <a:gd name="f11" fmla="+- f4 0 f3"/>
                              <a:gd name="f12" fmla="?: f5 f0 1"/>
                              <a:gd name="f13" fmla="?: f6 f1 1"/>
                              <a:gd name="f14" fmla="?: f7 f2 1"/>
                              <a:gd name="f15" fmla="*/ f11 1 243840"/>
                              <a:gd name="f16" fmla="*/ f10 1 0"/>
                              <a:gd name="f17" fmla="*/ f12 1 243840"/>
                              <a:gd name="f18" fmla="*/ f13 1 21600"/>
                              <a:gd name="f19" fmla="*/ 21600 f13 1"/>
                              <a:gd name="f20" fmla="*/ 0 1 f15"/>
                              <a:gd name="f21" fmla="*/ 243840 1 f15"/>
                              <a:gd name="f22" fmla="*/ 0 1 f16"/>
                              <a:gd name="f23" fmla="min f18 f17"/>
                              <a:gd name="f24" fmla="*/ f19 1 f14"/>
                              <a:gd name="f25" fmla="*/ f20 f8 1"/>
                              <a:gd name="f26" fmla="*/ f21 f8 1"/>
                              <a:gd name="f27" fmla="val f24"/>
                              <a:gd name="f28" fmla="*/ f3 f23 1"/>
                              <a:gd name="f29" fmla="+- f27 0 f9"/>
                              <a:gd name="f30" fmla="*/ f29 1 0"/>
                              <a:gd name="f31" fmla="*/ f22 f30 1"/>
                              <a:gd name="f32" fmla="*/ f31 f23 1"/>
                            </a:gdLst>
                            <a:ahLst/>
                            <a:cxnLst>
                              <a:cxn ang="3cd4">
                                <a:pos x="hc" y="t"/>
                              </a:cxn>
                              <a:cxn ang="0">
                                <a:pos x="r" y="vc"/>
                              </a:cxn>
                              <a:cxn ang="cd4">
                                <a:pos x="hc" y="b"/>
                              </a:cxn>
                              <a:cxn ang="cd2">
                                <a:pos x="l" y="vc"/>
                              </a:cxn>
                            </a:cxnLst>
                            <a:rect l="f25" t="f32" r="f26" b="f32"/>
                            <a:pathLst>
                              <a:path w="243840">
                                <a:moveTo>
                                  <a:pt x="f3" y="f28"/>
                                </a:moveTo>
                                <a:lnTo>
                                  <a:pt x="f4" y="f28"/>
                                </a:lnTo>
                              </a:path>
                            </a:pathLst>
                          </a:custGeom>
                          <a:noFill/>
                          <a:ln w="28575" cap="rnd">
                            <a:solidFill>
                              <a:srgbClr val="156082"/>
                            </a:solidFill>
                            <a:prstDash val="solid"/>
                            <a:round/>
                          </a:ln>
                        </wps:spPr>
                        <wps:bodyPr lIns="0" tIns="0" rIns="0" bIns="0"/>
                      </wps:wsp>
                      <wps:wsp>
                        <wps:cNvPr id="1109713503" name="Shape 124"/>
                        <wps:cNvSpPr/>
                        <wps:spPr>
                          <a:xfrm>
                            <a:off x="1806954" y="2694681"/>
                            <a:ext cx="64008" cy="64008"/>
                          </a:xfrm>
                          <a:custGeom>
                            <a:avLst/>
                            <a:gdLst>
                              <a:gd name="f0" fmla="val w"/>
                              <a:gd name="f1" fmla="val h"/>
                              <a:gd name="f2" fmla="val 0"/>
                              <a:gd name="f3" fmla="val 64008"/>
                              <a:gd name="f4" fmla="val 32004"/>
                              <a:gd name="f5" fmla="val 49657"/>
                              <a:gd name="f6" fmla="val 14351"/>
                              <a:gd name="f7" fmla="*/ f0 1 64008"/>
                              <a:gd name="f8" fmla="*/ f1 1 64008"/>
                              <a:gd name="f9" fmla="+- f3 0 f2"/>
                              <a:gd name="f10" fmla="*/ f9 1 64008"/>
                              <a:gd name="f11" fmla="*/ 0 1 f10"/>
                              <a:gd name="f12" fmla="*/ 64008 1 f10"/>
                              <a:gd name="f13" fmla="*/ f11 f7 1"/>
                              <a:gd name="f14" fmla="*/ f12 f7 1"/>
                              <a:gd name="f15" fmla="*/ f12 f8 1"/>
                              <a:gd name="f16" fmla="*/ f11 f8 1"/>
                            </a:gdLst>
                            <a:ahLst/>
                            <a:cxnLst>
                              <a:cxn ang="3cd4">
                                <a:pos x="hc" y="t"/>
                              </a:cxn>
                              <a:cxn ang="0">
                                <a:pos x="r" y="vc"/>
                              </a:cxn>
                              <a:cxn ang="cd4">
                                <a:pos x="hc" y="b"/>
                              </a:cxn>
                              <a:cxn ang="cd2">
                                <a:pos x="l" y="vc"/>
                              </a:cxn>
                            </a:cxnLst>
                            <a:rect l="f13" t="f16" r="f14" b="f15"/>
                            <a:pathLst>
                              <a:path w="64008" h="64008">
                                <a:moveTo>
                                  <a:pt x="f4" y="f2"/>
                                </a:moveTo>
                                <a:cubicBezTo>
                                  <a:pt x="f5" y="f2"/>
                                  <a:pt x="f3" y="f6"/>
                                  <a:pt x="f3" y="f4"/>
                                </a:cubicBezTo>
                                <a:cubicBezTo>
                                  <a:pt x="f3" y="f5"/>
                                  <a:pt x="f5" y="f3"/>
                                  <a:pt x="f4" y="f3"/>
                                </a:cubicBezTo>
                                <a:cubicBezTo>
                                  <a:pt x="f6" y="f3"/>
                                  <a:pt x="f2" y="f5"/>
                                  <a:pt x="f2" y="f4"/>
                                </a:cubicBezTo>
                                <a:cubicBezTo>
                                  <a:pt x="f2" y="f6"/>
                                  <a:pt x="f6" y="f2"/>
                                  <a:pt x="f4" y="f2"/>
                                </a:cubicBezTo>
                                <a:close/>
                              </a:path>
                            </a:pathLst>
                          </a:custGeom>
                          <a:solidFill>
                            <a:srgbClr val="156082"/>
                          </a:solidFill>
                          <a:ln cap="flat">
                            <a:noFill/>
                            <a:prstDash val="solid"/>
                          </a:ln>
                        </wps:spPr>
                        <wps:bodyPr lIns="0" tIns="0" rIns="0" bIns="0"/>
                      </wps:wsp>
                      <wps:wsp>
                        <wps:cNvPr id="784969211" name="Shape 125"/>
                        <wps:cNvSpPr/>
                        <wps:spPr>
                          <a:xfrm>
                            <a:off x="1806954" y="2694681"/>
                            <a:ext cx="64008" cy="64008"/>
                          </a:xfrm>
                          <a:custGeom>
                            <a:avLst/>
                            <a:gdLst>
                              <a:gd name="f0" fmla="val w"/>
                              <a:gd name="f1" fmla="val h"/>
                              <a:gd name="f2" fmla="val 0"/>
                              <a:gd name="f3" fmla="val 64008"/>
                              <a:gd name="f4" fmla="val 32004"/>
                              <a:gd name="f5" fmla="val 49657"/>
                              <a:gd name="f6" fmla="val 14351"/>
                              <a:gd name="f7" fmla="*/ f0 1 64008"/>
                              <a:gd name="f8" fmla="*/ f1 1 64008"/>
                              <a:gd name="f9" fmla="+- f3 0 f2"/>
                              <a:gd name="f10" fmla="*/ f9 1 64008"/>
                              <a:gd name="f11" fmla="*/ 0 1 f10"/>
                              <a:gd name="f12" fmla="*/ 64008 1 f10"/>
                              <a:gd name="f13" fmla="*/ f11 f7 1"/>
                              <a:gd name="f14" fmla="*/ f12 f7 1"/>
                              <a:gd name="f15" fmla="*/ f12 f8 1"/>
                              <a:gd name="f16" fmla="*/ f11 f8 1"/>
                            </a:gdLst>
                            <a:ahLst/>
                            <a:cxnLst>
                              <a:cxn ang="3cd4">
                                <a:pos x="hc" y="t"/>
                              </a:cxn>
                              <a:cxn ang="0">
                                <a:pos x="r" y="vc"/>
                              </a:cxn>
                              <a:cxn ang="cd4">
                                <a:pos x="hc" y="b"/>
                              </a:cxn>
                              <a:cxn ang="cd2">
                                <a:pos x="l" y="vc"/>
                              </a:cxn>
                            </a:cxnLst>
                            <a:rect l="f13" t="f16" r="f14" b="f15"/>
                            <a:pathLst>
                              <a:path w="64008" h="64008">
                                <a:moveTo>
                                  <a:pt x="f3" y="f4"/>
                                </a:moveTo>
                                <a:cubicBezTo>
                                  <a:pt x="f3" y="f5"/>
                                  <a:pt x="f5" y="f3"/>
                                  <a:pt x="f4" y="f3"/>
                                </a:cubicBezTo>
                                <a:cubicBezTo>
                                  <a:pt x="f6" y="f3"/>
                                  <a:pt x="f2" y="f5"/>
                                  <a:pt x="f2" y="f4"/>
                                </a:cubicBezTo>
                                <a:cubicBezTo>
                                  <a:pt x="f2" y="f6"/>
                                  <a:pt x="f6" y="f2"/>
                                  <a:pt x="f4" y="f2"/>
                                </a:cubicBezTo>
                                <a:cubicBezTo>
                                  <a:pt x="f5" y="f2"/>
                                  <a:pt x="f3" y="f6"/>
                                  <a:pt x="f3" y="f4"/>
                                </a:cubicBezTo>
                                <a:close/>
                              </a:path>
                            </a:pathLst>
                          </a:custGeom>
                          <a:noFill/>
                          <a:ln w="9528" cap="flat">
                            <a:solidFill>
                              <a:srgbClr val="156082"/>
                            </a:solidFill>
                            <a:prstDash val="solid"/>
                            <a:round/>
                          </a:ln>
                        </wps:spPr>
                        <wps:bodyPr lIns="0" tIns="0" rIns="0" bIns="0"/>
                      </wps:wsp>
                      <wps:wsp>
                        <wps:cNvPr id="699618285" name="Rectangle 2130242048"/>
                        <wps:cNvSpPr/>
                        <wps:spPr>
                          <a:xfrm>
                            <a:off x="1987677" y="2652262"/>
                            <a:ext cx="271046" cy="185568"/>
                          </a:xfrm>
                          <a:prstGeom prst="rect">
                            <a:avLst/>
                          </a:prstGeom>
                          <a:noFill/>
                          <a:ln cap="flat">
                            <a:noFill/>
                            <a:prstDash val="solid"/>
                          </a:ln>
                        </wps:spPr>
                        <wps:txbx>
                          <w:txbxContent>
                            <w:p w14:paraId="5C57A9B1" w14:textId="77777777" w:rsidR="00047DC5" w:rsidRDefault="00047DC5" w:rsidP="00047DC5">
                              <w:r>
                                <w:rPr>
                                  <w:rFonts w:ascii="Calibri" w:eastAsia="Calibri" w:hAnsi="Calibri" w:cs="Calibri"/>
                                  <w:color w:val="595959"/>
                                  <w:w w:val="99"/>
                                  <w:sz w:val="18"/>
                                </w:rPr>
                                <w:t>Year</w:t>
                              </w:r>
                            </w:p>
                          </w:txbxContent>
                        </wps:txbx>
                        <wps:bodyPr vert="horz" wrap="square" lIns="0" tIns="0" rIns="0" bIns="0" anchor="t" anchorCtr="0" compatLnSpc="0">
                          <a:noAutofit/>
                        </wps:bodyPr>
                      </wps:wsp>
                      <wps:wsp>
                        <wps:cNvPr id="210611702" name="Shape 127"/>
                        <wps:cNvSpPr/>
                        <wps:spPr>
                          <a:xfrm>
                            <a:off x="2314190" y="2727956"/>
                            <a:ext cx="243843" cy="0"/>
                          </a:xfrm>
                          <a:custGeom>
                            <a:avLst/>
                            <a:gdLst>
                              <a:gd name="f0" fmla="val w"/>
                              <a:gd name="f1" fmla="val h"/>
                              <a:gd name="f2" fmla="val ss"/>
                              <a:gd name="f3" fmla="val 0"/>
                              <a:gd name="f4" fmla="val 243840"/>
                              <a:gd name="f5" fmla="abs f0"/>
                              <a:gd name="f6" fmla="abs f1"/>
                              <a:gd name="f7" fmla="abs f2"/>
                              <a:gd name="f8" fmla="*/ f0 1 243840"/>
                              <a:gd name="f9" fmla="val f3"/>
                              <a:gd name="f10" fmla="+- f3 0 f3"/>
                              <a:gd name="f11" fmla="+- f4 0 f3"/>
                              <a:gd name="f12" fmla="?: f5 f0 1"/>
                              <a:gd name="f13" fmla="?: f6 f1 1"/>
                              <a:gd name="f14" fmla="?: f7 f2 1"/>
                              <a:gd name="f15" fmla="*/ f11 1 243840"/>
                              <a:gd name="f16" fmla="*/ f10 1 0"/>
                              <a:gd name="f17" fmla="*/ f12 1 243840"/>
                              <a:gd name="f18" fmla="*/ f13 1 21600"/>
                              <a:gd name="f19" fmla="*/ 21600 f13 1"/>
                              <a:gd name="f20" fmla="*/ 0 1 f15"/>
                              <a:gd name="f21" fmla="*/ 243840 1 f15"/>
                              <a:gd name="f22" fmla="*/ 0 1 f16"/>
                              <a:gd name="f23" fmla="min f18 f17"/>
                              <a:gd name="f24" fmla="*/ f19 1 f14"/>
                              <a:gd name="f25" fmla="*/ f20 f8 1"/>
                              <a:gd name="f26" fmla="*/ f21 f8 1"/>
                              <a:gd name="f27" fmla="val f24"/>
                              <a:gd name="f28" fmla="*/ f3 f23 1"/>
                              <a:gd name="f29" fmla="+- f27 0 f9"/>
                              <a:gd name="f30" fmla="*/ f29 1 0"/>
                              <a:gd name="f31" fmla="*/ f22 f30 1"/>
                              <a:gd name="f32" fmla="*/ f31 f23 1"/>
                            </a:gdLst>
                            <a:ahLst/>
                            <a:cxnLst>
                              <a:cxn ang="3cd4">
                                <a:pos x="hc" y="t"/>
                              </a:cxn>
                              <a:cxn ang="0">
                                <a:pos x="r" y="vc"/>
                              </a:cxn>
                              <a:cxn ang="cd4">
                                <a:pos x="hc" y="b"/>
                              </a:cxn>
                              <a:cxn ang="cd2">
                                <a:pos x="l" y="vc"/>
                              </a:cxn>
                            </a:cxnLst>
                            <a:rect l="f25" t="f32" r="f26" b="f32"/>
                            <a:pathLst>
                              <a:path w="243840">
                                <a:moveTo>
                                  <a:pt x="f3" y="f28"/>
                                </a:moveTo>
                                <a:lnTo>
                                  <a:pt x="f4" y="f28"/>
                                </a:lnTo>
                              </a:path>
                            </a:pathLst>
                          </a:custGeom>
                          <a:noFill/>
                          <a:ln w="28575" cap="rnd">
                            <a:solidFill>
                              <a:srgbClr val="E97132"/>
                            </a:solidFill>
                            <a:prstDash val="solid"/>
                            <a:round/>
                          </a:ln>
                        </wps:spPr>
                        <wps:bodyPr lIns="0" tIns="0" rIns="0" bIns="0"/>
                      </wps:wsp>
                      <wps:wsp>
                        <wps:cNvPr id="600351411" name="Shape 128"/>
                        <wps:cNvSpPr/>
                        <wps:spPr>
                          <a:xfrm>
                            <a:off x="2402842" y="2694681"/>
                            <a:ext cx="64008" cy="64008"/>
                          </a:xfrm>
                          <a:custGeom>
                            <a:avLst/>
                            <a:gdLst>
                              <a:gd name="f0" fmla="val w"/>
                              <a:gd name="f1" fmla="val h"/>
                              <a:gd name="f2" fmla="val 0"/>
                              <a:gd name="f3" fmla="val 64008"/>
                              <a:gd name="f4" fmla="val 32004"/>
                              <a:gd name="f5" fmla="val 49657"/>
                              <a:gd name="f6" fmla="val 14351"/>
                              <a:gd name="f7" fmla="*/ f0 1 64008"/>
                              <a:gd name="f8" fmla="*/ f1 1 64008"/>
                              <a:gd name="f9" fmla="+- f3 0 f2"/>
                              <a:gd name="f10" fmla="*/ f9 1 64008"/>
                              <a:gd name="f11" fmla="*/ 0 1 f10"/>
                              <a:gd name="f12" fmla="*/ 64008 1 f10"/>
                              <a:gd name="f13" fmla="*/ f11 f7 1"/>
                              <a:gd name="f14" fmla="*/ f12 f7 1"/>
                              <a:gd name="f15" fmla="*/ f12 f8 1"/>
                              <a:gd name="f16" fmla="*/ f11 f8 1"/>
                            </a:gdLst>
                            <a:ahLst/>
                            <a:cxnLst>
                              <a:cxn ang="3cd4">
                                <a:pos x="hc" y="t"/>
                              </a:cxn>
                              <a:cxn ang="0">
                                <a:pos x="r" y="vc"/>
                              </a:cxn>
                              <a:cxn ang="cd4">
                                <a:pos x="hc" y="b"/>
                              </a:cxn>
                              <a:cxn ang="cd2">
                                <a:pos x="l" y="vc"/>
                              </a:cxn>
                            </a:cxnLst>
                            <a:rect l="f13" t="f16" r="f14" b="f15"/>
                            <a:pathLst>
                              <a:path w="64008" h="64008">
                                <a:moveTo>
                                  <a:pt x="f4" y="f2"/>
                                </a:moveTo>
                                <a:cubicBezTo>
                                  <a:pt x="f5" y="f2"/>
                                  <a:pt x="f3" y="f6"/>
                                  <a:pt x="f3" y="f4"/>
                                </a:cubicBezTo>
                                <a:cubicBezTo>
                                  <a:pt x="f3" y="f5"/>
                                  <a:pt x="f5" y="f3"/>
                                  <a:pt x="f4" y="f3"/>
                                </a:cubicBezTo>
                                <a:cubicBezTo>
                                  <a:pt x="f6" y="f3"/>
                                  <a:pt x="f2" y="f5"/>
                                  <a:pt x="f2" y="f4"/>
                                </a:cubicBezTo>
                                <a:cubicBezTo>
                                  <a:pt x="f2" y="f6"/>
                                  <a:pt x="f6" y="f2"/>
                                  <a:pt x="f4" y="f2"/>
                                </a:cubicBezTo>
                                <a:close/>
                              </a:path>
                            </a:pathLst>
                          </a:custGeom>
                          <a:solidFill>
                            <a:srgbClr val="E97132"/>
                          </a:solidFill>
                          <a:ln cap="flat">
                            <a:noFill/>
                            <a:prstDash val="solid"/>
                          </a:ln>
                        </wps:spPr>
                        <wps:bodyPr lIns="0" tIns="0" rIns="0" bIns="0"/>
                      </wps:wsp>
                      <wps:wsp>
                        <wps:cNvPr id="1002774790" name="Shape 129"/>
                        <wps:cNvSpPr/>
                        <wps:spPr>
                          <a:xfrm>
                            <a:off x="2402842" y="2694681"/>
                            <a:ext cx="64008" cy="64008"/>
                          </a:xfrm>
                          <a:custGeom>
                            <a:avLst/>
                            <a:gdLst>
                              <a:gd name="f0" fmla="val w"/>
                              <a:gd name="f1" fmla="val h"/>
                              <a:gd name="f2" fmla="val 0"/>
                              <a:gd name="f3" fmla="val 64008"/>
                              <a:gd name="f4" fmla="val 32004"/>
                              <a:gd name="f5" fmla="val 49657"/>
                              <a:gd name="f6" fmla="val 14351"/>
                              <a:gd name="f7" fmla="*/ f0 1 64008"/>
                              <a:gd name="f8" fmla="*/ f1 1 64008"/>
                              <a:gd name="f9" fmla="+- f3 0 f2"/>
                              <a:gd name="f10" fmla="*/ f9 1 64008"/>
                              <a:gd name="f11" fmla="*/ 0 1 f10"/>
                              <a:gd name="f12" fmla="*/ 64008 1 f10"/>
                              <a:gd name="f13" fmla="*/ f11 f7 1"/>
                              <a:gd name="f14" fmla="*/ f12 f7 1"/>
                              <a:gd name="f15" fmla="*/ f12 f8 1"/>
                              <a:gd name="f16" fmla="*/ f11 f8 1"/>
                            </a:gdLst>
                            <a:ahLst/>
                            <a:cxnLst>
                              <a:cxn ang="3cd4">
                                <a:pos x="hc" y="t"/>
                              </a:cxn>
                              <a:cxn ang="0">
                                <a:pos x="r" y="vc"/>
                              </a:cxn>
                              <a:cxn ang="cd4">
                                <a:pos x="hc" y="b"/>
                              </a:cxn>
                              <a:cxn ang="cd2">
                                <a:pos x="l" y="vc"/>
                              </a:cxn>
                            </a:cxnLst>
                            <a:rect l="f13" t="f16" r="f14" b="f15"/>
                            <a:pathLst>
                              <a:path w="64008" h="64008">
                                <a:moveTo>
                                  <a:pt x="f3" y="f4"/>
                                </a:moveTo>
                                <a:cubicBezTo>
                                  <a:pt x="f3" y="f5"/>
                                  <a:pt x="f5" y="f3"/>
                                  <a:pt x="f4" y="f3"/>
                                </a:cubicBezTo>
                                <a:cubicBezTo>
                                  <a:pt x="f6" y="f3"/>
                                  <a:pt x="f2" y="f5"/>
                                  <a:pt x="f2" y="f4"/>
                                </a:cubicBezTo>
                                <a:cubicBezTo>
                                  <a:pt x="f2" y="f6"/>
                                  <a:pt x="f6" y="f2"/>
                                  <a:pt x="f4" y="f2"/>
                                </a:cubicBezTo>
                                <a:cubicBezTo>
                                  <a:pt x="f5" y="f2"/>
                                  <a:pt x="f3" y="f6"/>
                                  <a:pt x="f3" y="f4"/>
                                </a:cubicBezTo>
                                <a:close/>
                              </a:path>
                            </a:pathLst>
                          </a:custGeom>
                          <a:noFill/>
                          <a:ln w="9528" cap="flat">
                            <a:solidFill>
                              <a:srgbClr val="E97132"/>
                            </a:solidFill>
                            <a:prstDash val="solid"/>
                            <a:round/>
                          </a:ln>
                        </wps:spPr>
                        <wps:bodyPr lIns="0" tIns="0" rIns="0" bIns="0"/>
                      </wps:wsp>
                      <wps:wsp>
                        <wps:cNvPr id="1467164412" name="Rectangle 157901477"/>
                        <wps:cNvSpPr/>
                        <wps:spPr>
                          <a:xfrm>
                            <a:off x="2584451" y="2652262"/>
                            <a:ext cx="693206" cy="185568"/>
                          </a:xfrm>
                          <a:prstGeom prst="rect">
                            <a:avLst/>
                          </a:prstGeom>
                          <a:noFill/>
                          <a:ln cap="flat">
                            <a:noFill/>
                            <a:prstDash val="solid"/>
                          </a:ln>
                        </wps:spPr>
                        <wps:txbx>
                          <w:txbxContent>
                            <w:p w14:paraId="227D6DA1" w14:textId="77777777" w:rsidR="00047DC5" w:rsidRDefault="00047DC5" w:rsidP="00047DC5">
                              <w:r>
                                <w:rPr>
                                  <w:rFonts w:ascii="Calibri" w:eastAsia="Calibri" w:hAnsi="Calibri" w:cs="Calibri"/>
                                  <w:color w:val="595959"/>
                                  <w:w w:val="101"/>
                                  <w:sz w:val="18"/>
                                </w:rPr>
                                <w:t>Visa</w:t>
                              </w:r>
                              <w:r>
                                <w:rPr>
                                  <w:rFonts w:ascii="Calibri" w:eastAsia="Calibri" w:hAnsi="Calibri" w:cs="Calibri"/>
                                  <w:color w:val="595959"/>
                                  <w:spacing w:val="-9"/>
                                  <w:w w:val="101"/>
                                  <w:sz w:val="18"/>
                                </w:rPr>
                                <w:t xml:space="preserve"> </w:t>
                              </w:r>
                              <w:r>
                                <w:rPr>
                                  <w:rFonts w:ascii="Calibri" w:eastAsia="Calibri" w:hAnsi="Calibri" w:cs="Calibri"/>
                                  <w:color w:val="595959"/>
                                  <w:w w:val="101"/>
                                  <w:sz w:val="18"/>
                                </w:rPr>
                                <w:t>Grants</w:t>
                              </w:r>
                            </w:p>
                          </w:txbxContent>
                        </wps:txbx>
                        <wps:bodyPr vert="horz" wrap="square" lIns="0" tIns="0" rIns="0" bIns="0" anchor="t" anchorCtr="0" compatLnSpc="0">
                          <a:noAutofit/>
                        </wps:bodyPr>
                      </wps:wsp>
                      <wps:wsp>
                        <wps:cNvPr id="968014688" name="Shape 131"/>
                        <wps:cNvSpPr/>
                        <wps:spPr>
                          <a:xfrm>
                            <a:off x="0" y="0"/>
                            <a:ext cx="4777740" cy="2911349"/>
                          </a:xfrm>
                          <a:custGeom>
                            <a:avLst/>
                            <a:gdLst>
                              <a:gd name="f0" fmla="val w"/>
                              <a:gd name="f1" fmla="val h"/>
                              <a:gd name="f2" fmla="val 0"/>
                              <a:gd name="f3" fmla="val 4777740"/>
                              <a:gd name="f4" fmla="val 2911348"/>
                              <a:gd name="f5" fmla="*/ f0 1 4777740"/>
                              <a:gd name="f6" fmla="*/ f1 1 2911348"/>
                              <a:gd name="f7" fmla="+- f4 0 f2"/>
                              <a:gd name="f8" fmla="+- f3 0 f2"/>
                              <a:gd name="f9" fmla="*/ f8 1 4777740"/>
                              <a:gd name="f10" fmla="*/ f7 1 2911348"/>
                              <a:gd name="f11" fmla="*/ 0 1 f9"/>
                              <a:gd name="f12" fmla="*/ 4777740 1 f9"/>
                              <a:gd name="f13" fmla="*/ 0 1 f10"/>
                              <a:gd name="f14" fmla="*/ 2911348 1 f10"/>
                              <a:gd name="f15" fmla="*/ f11 f5 1"/>
                              <a:gd name="f16" fmla="*/ f12 f5 1"/>
                              <a:gd name="f17" fmla="*/ f14 f6 1"/>
                              <a:gd name="f18" fmla="*/ f13 f6 1"/>
                            </a:gdLst>
                            <a:ahLst/>
                            <a:cxnLst>
                              <a:cxn ang="3cd4">
                                <a:pos x="hc" y="t"/>
                              </a:cxn>
                              <a:cxn ang="0">
                                <a:pos x="r" y="vc"/>
                              </a:cxn>
                              <a:cxn ang="cd4">
                                <a:pos x="hc" y="b"/>
                              </a:cxn>
                              <a:cxn ang="cd2">
                                <a:pos x="l" y="vc"/>
                              </a:cxn>
                            </a:cxnLst>
                            <a:rect l="f15" t="f18" r="f16" b="f17"/>
                            <a:pathLst>
                              <a:path w="4777740" h="2911348">
                                <a:moveTo>
                                  <a:pt x="f2" y="f4"/>
                                </a:moveTo>
                                <a:lnTo>
                                  <a:pt x="f3" y="f4"/>
                                </a:lnTo>
                                <a:lnTo>
                                  <a:pt x="f3" y="f2"/>
                                </a:lnTo>
                                <a:lnTo>
                                  <a:pt x="f2" y="f2"/>
                                </a:lnTo>
                                <a:close/>
                              </a:path>
                            </a:pathLst>
                          </a:custGeom>
                          <a:noFill/>
                          <a:ln w="9528" cap="flat">
                            <a:solidFill>
                              <a:srgbClr val="D9D9D9"/>
                            </a:solidFill>
                            <a:prstDash val="solid"/>
                            <a:round/>
                          </a:ln>
                        </wps:spPr>
                        <wps:bodyPr lIns="0" tIns="0" rIns="0" bIns="0"/>
                      </wps:wsp>
                    </wpg:wgp>
                  </a:graphicData>
                </a:graphic>
              </wp:inline>
            </w:drawing>
          </mc:Choice>
          <mc:Fallback>
            <w:pict>
              <v:group w14:anchorId="55BA3190" id="Group 1175898841" o:spid="_x0000_s1036" style="width:376.2pt;height:229.25pt;mso-position-horizontal-relative:char;mso-position-vertical-relative:line" coordsize="47777,291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">
                <v:shape id="Shape 65" o:spid="_x0000_s1037" style="position:absolute;left:5355;top:20957;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" path="m,l4102481,e" filled="f" strokecolor="#d9d9d9" strokeweight=".26467mm">
                  <v:path arrowok="t" o:connecttype="custom" o:connectlocs="2051242,0;4102483,1;2051242,1;0,1" o:connectangles="270,0,90,180" textboxrect="0,0,4102481,0"/>
                </v:shape>
                <v:shape id="Shape 66" o:spid="_x0000_s1038" style="position:absolute;left:5355;top:18625;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" path="m,l4102481,e" filled="f" strokecolor="#d9d9d9" strokeweight=".26467mm">
                  <v:path arrowok="t" o:connecttype="custom" o:connectlocs="2051242,0;4102483,1;2051242,1;0,1" o:connectangles="270,0,90,180" textboxrect="0,0,4102481,0"/>
                </v:shape>
                <v:shape id="Shape 67" o:spid="_x0000_s1039" style="position:absolute;left:5355;top:16309;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" path="m,l4102481,e" filled="f" strokecolor="#d9d9d9" strokeweight=".26467mm">
                  <v:path arrowok="t" o:connecttype="custom" o:connectlocs="2051242,0;4102483,1;2051242,1;0,1" o:connectangles="270,0,90,180" textboxrect="0,0,4102481,0"/>
                </v:shape>
                <v:shape id="Shape 68" o:spid="_x0000_s1040" style="position:absolute;left:5355;top:13992;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" path="m,l4102481,e" filled="f" strokecolor="#d9d9d9" strokeweight=".26467mm">
                  <v:path arrowok="t" o:connecttype="custom" o:connectlocs="2051242,0;4102483,1;2051242,1;0,1" o:connectangles="270,0,90,180" textboxrect="0,0,4102481,0"/>
                </v:shape>
                <v:shape id="Shape 69" o:spid="_x0000_s1041" style="position:absolute;left:5355;top:11676;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" path="m,l4102481,e" filled="f" strokecolor="#d9d9d9" strokeweight=".26467mm">
                  <v:path arrowok="t" o:connecttype="custom" o:connectlocs="2051242,0;4102483,1;2051242,1;0,1" o:connectangles="270,0,90,180" textboxrect="0,0,4102481,0"/>
                </v:shape>
                <v:shape id="Shape 70" o:spid="_x0000_s1042" style="position:absolute;left:5355;top:9344;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" path="m,l4102481,e" filled="f" strokecolor="#d9d9d9" strokeweight=".26467mm">
                  <v:path arrowok="t" o:connecttype="custom" o:connectlocs="2051242,0;4102483,1;2051242,1;0,1" o:connectangles="270,0,90,180" textboxrect="0,0,4102481,0"/>
                </v:shape>
                <v:shape id="Shape 71" o:spid="_x0000_s1043" style="position:absolute;left:5355;top:7028;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" path="m,l4102481,e" filled="f" strokecolor="#d9d9d9" strokeweight=".26467mm">
                  <v:path arrowok="t" o:connecttype="custom" o:connectlocs="2051242,0;4102483,1;2051242,1;0,1" o:connectangles="270,0,90,180" textboxrect="0,0,4102481,0"/>
                </v:shape>
                <v:shape id="Shape 72" o:spid="_x0000_s1044" style="position:absolute;left:5355;top:4711;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" path="m,l4102481,e" filled="f" strokecolor="#d9d9d9" strokeweight=".26467mm">
                  <v:path arrowok="t" o:connecttype="custom" o:connectlocs="2051242,0;4102483,1;2051242,1;0,1" o:connectangles="270,0,90,180" textboxrect="0,0,4102481,0"/>
                </v:shape>
                <v:shape id="Shape 73" o:spid="_x0000_s1045" style="position:absolute;left:5355;top:23272;width:41025;height:0;visibility:visible;mso-wrap-style:square;v-text-anchor:top" coordsize="41024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" path="m,l4102481,e" filled="f" strokecolor="#d9d9d9" strokeweight=".26467mm">
                  <v:path arrowok="t" o:connecttype="custom" o:connectlocs="2051242,0;4102483,1;2051242,1;0,1" o:connectangles="270,0,90,180" textboxrect="0,0,4102481,0"/>
                </v:shape>
                <v:shape id="Shape 74" o:spid="_x0000_s1046" style="position:absolute;left:8286;top:23030;width:35164;height:15;visibility:visible;mso-wrap-style:square;v-text-anchor:top" coordsize="3516376,15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" path="m,762r586613,762l1171829,1524,1758569,,2930525,r585851,762e" filled="f" strokecolor="#156082" strokeweight="2.25pt">
                  <v:stroke endcap="round"/>
                  <v:path arrowok="t" o:connecttype="custom" o:connectlocs="1758190,0;3516380,764;1758190,1527;0,764" o:connectangles="270,0,90,180" textboxrect="0,0,3516376,1524"/>
                </v:shape>
                <v:shape id="Shape 75" o:spid="_x0000_s1047" style="position:absolute;left:7970;top:22724;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" path="m32004,c49657,,64008,14224,64008,32004v,17653,-14351,32004,-32004,32004c14351,64008,,49657,,32004,,14224,14351,,32004,xe" fillcolor="#156082" stroked="f">
                  <v:path arrowok="t" o:connecttype="custom" o:connectlocs="32004,0;64008,32004;32004,64008;0,32004" o:connectangles="270,0,90,180" textboxrect="0,0,64008,64008"/>
                </v:shape>
                <v:shape id="Shape 76" o:spid="_x0000_s1048" style="position:absolute;left:7970;top:22724;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" path="m64008,32004v,17653,-14351,32004,-32004,32004c14351,64008,,49657,,32004,,14224,14351,,32004,,49657,,64008,14224,64008,32004xe" filled="f" strokecolor="#156082" strokeweight=".26467mm">
                  <v:path arrowok="t" o:connecttype="custom" o:connectlocs="32004,0;64008,32004;32004,64008;0,32004" o:connectangles="270,0,90,180" textboxrect="0,0,64008,64008"/>
                </v:shape>
                <v:shape id="Shape 77" o:spid="_x0000_s1049" style="position:absolute;left:13837;top:22724;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" path="m32004,c49657,,64008,14224,64008,32004v,17653,-14351,32004,-32004,32004c14351,64008,,49657,,32004,,14224,14351,,32004,xe" fillcolor="#156082" stroked="f">
                  <v:path arrowok="t" o:connecttype="custom" o:connectlocs="32004,0;64008,32004;32004,64008;0,32004" o:connectangles="270,0,90,180" textboxrect="0,0,64008,64008"/>
                </v:shape>
                <v:shape id="Shape 78" o:spid="_x0000_s1050" style="position:absolute;left:13837;top:22724;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" path="m64008,32004v,17653,-14351,32004,-32004,32004c14351,64008,,49657,,32004,,14224,14351,,32004,,49657,,64008,14224,64008,32004xe" filled="f" strokecolor="#156082" strokeweight=".26467mm">
                  <v:path arrowok="t" o:connecttype="custom" o:connectlocs="32004,0;64008,32004;32004,64008;0,32004" o:connectangles="270,0,90,180" textboxrect="0,0,64008,64008"/>
                </v:shape>
                <v:shape id="Shape 79" o:spid="_x0000_s1051" style="position:absolute;left:19690;top:22724;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" path="m32004,c49657,,64008,14224,64008,32004v,17653,-14351,32004,-32004,32004c14351,64008,,49657,,32004,,14224,14351,,32004,xe" fillcolor="#156082" stroked="f">
                  <v:path arrowok="t" o:connecttype="custom" o:connectlocs="32004,0;64008,32004;32004,64008;0,32004" o:connectangles="270,0,90,180" textboxrect="0,0,64008,64008"/>
                </v:shape>
                <v:shape id="Shape 80" o:spid="_x0000_s1052" style="position:absolute;left:19690;top:22724;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" path="m64008,32004v,17653,-14351,32004,-32004,32004c14351,64008,,49657,,32004,,14224,14351,,32004,,49657,,64008,14224,64008,32004xe" filled="f" strokecolor="#156082" strokeweight=".26467mm">
                  <v:path arrowok="t" o:connecttype="custom" o:connectlocs="32004,0;64008,32004;32004,64008;0,32004" o:connectangles="270,0,90,180" textboxrect="0,0,64008,64008"/>
                </v:shape>
                <v:shape id="Shape 81" o:spid="_x0000_s1053" style="position:absolute;left:25557;top:2270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" path="m32004,c49657,,64008,14224,64008,32004v,17653,-14351,32004,-32004,32004c14351,64008,,49657,,32004,,14224,14351,,32004,xe" fillcolor="#156082" stroked="f">
                  <v:path arrowok="t" o:connecttype="custom" o:connectlocs="32004,0;64008,32004;32004,64008;0,32004" o:connectangles="270,0,90,180" textboxrect="0,0,64008,64008"/>
                </v:shape>
                <v:shape id="Shape 82" o:spid="_x0000_s1054" style="position:absolute;left:25557;top:2270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" path="m64008,32004v,17653,-14351,32004,-32004,32004c14351,64008,,49657,,32004,,14224,14351,,32004,,49657,,64008,14224,64008,32004xe" filled="f" strokecolor="#156082" strokeweight=".26467mm">
                  <v:path arrowok="t" o:connecttype="custom" o:connectlocs="32004,0;64008,32004;32004,64008;0,32004" o:connectangles="270,0,90,180" textboxrect="0,0,64008,64008"/>
                </v:shape>
                <v:shape id="Shape 83" o:spid="_x0000_s1055" style="position:absolute;left:31409;top:2270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" path="m32004,c49657,,64008,14224,64008,32004v,17653,-14351,32004,-32004,32004c14351,64008,,49657,,32004,,14224,14351,,32004,xe" fillcolor="#156082" stroked="f">
                  <v:path arrowok="t" o:connecttype="custom" o:connectlocs="32004,0;64008,32004;32004,64008;0,32004" o:connectangles="270,0,90,180" textboxrect="0,0,64008,64008"/>
                </v:shape>
                <v:shape id="Shape 84" o:spid="_x0000_s1056" style="position:absolute;left:31409;top:2270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" path="m64008,32004v,17653,-14351,32004,-32004,32004c14351,64008,,49657,,32004,,14224,14351,,32004,,49657,,64008,14224,64008,32004xe" filled="f" strokecolor="#156082" strokeweight=".26467mm">
                  <v:path arrowok="t" o:connecttype="custom" o:connectlocs="32004,0;64008,32004;32004,64008;0,32004" o:connectangles="270,0,90,180" textboxrect="0,0,64008,64008"/>
                </v:shape>
                <v:shape id="Shape 85" o:spid="_x0000_s1057" style="position:absolute;left:37277;top:2270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" path="m32004,c49657,,64008,14224,64008,32004v,17653,-14351,32004,-32004,32004c14351,64008,,49657,,32004,,14224,14351,,32004,xe" fillcolor="#156082" stroked="f">
                  <v:path arrowok="t" o:connecttype="custom" o:connectlocs="32004,0;64008,32004;32004,64008;0,32004" o:connectangles="270,0,90,180" textboxrect="0,0,64008,64008"/>
                </v:shape>
                <v:shape id="Shape 86" o:spid="_x0000_s1058" style="position:absolute;left:37277;top:2270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" path="m64008,32004v,17653,-14351,32004,-32004,32004c14351,64008,,49657,,32004,,14224,14351,,32004,,49657,,64008,14224,64008,32004xe" filled="f" strokecolor="#156082" strokeweight=".26467mm">
                  <v:path arrowok="t" o:connecttype="custom" o:connectlocs="32004,0;64008,32004;32004,64008;0,32004" o:connectangles="270,0,90,180" textboxrect="0,0,64008,64008"/>
                </v:shape>
                <v:shape id="Shape 87" o:spid="_x0000_s1059" style="position:absolute;left:43129;top:2270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" path="m32004,c49657,,64008,14224,64008,32004v,17653,-14351,32004,-32004,32004c14351,64008,,49657,,32004,,14224,14351,,32004,xe" fillcolor="#156082" stroked="f">
                  <v:path arrowok="t" o:connecttype="custom" o:connectlocs="32004,0;64008,32004;32004,64008;0,32004" o:connectangles="270,0,90,180" textboxrect="0,0,64008,64008"/>
                </v:shape>
                <v:shape id="Shape 88" o:spid="_x0000_s1060" style="position:absolute;left:43129;top:2270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" path="m64008,32004v,17653,-14351,32004,-32004,32004c14351,64008,,49657,,32004,,14224,14351,,32004,,49657,,64008,14224,64008,32004xe" filled="f" strokecolor="#156082" strokeweight=".26467mm">
                  <v:path arrowok="t" o:connecttype="custom" o:connectlocs="32004,0;64008,32004;32004,64008;0,32004" o:connectangles="270,0,90,180" textboxrect="0,0,64008,64008"/>
                </v:shape>
                <v:shape id="Shape 89" o:spid="_x0000_s1061" style="position:absolute;left:8286;top:6356;width:35164;height:15489;visibility:visible;mso-wrap-style:square;v-text-anchor:top" coordsize="3516376,15488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" path="m,1322959r586613,-65532l1171829,647827,1758569,r585216,1376299l2930525,1429639r585851,119253e" filled="f" strokecolor="#e97132" strokeweight="2.25pt">
                  <v:stroke endcap="round"/>
                  <v:path arrowok="t" o:connecttype="custom" o:connectlocs="1758190,0;3516380,774447;1758190,1548893;0,774447" o:connectangles="270,0,90,180" textboxrect="0,0,3516376,1548892"/>
                </v:shape>
                <v:shape id="Shape 90" o:spid="_x0000_s1062" style="position:absolute;left:7970;top:19264;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" path="m32004,c49657,,64008,14224,64008,32004v,17653,-14351,32004,-32004,32004c14351,64008,,49657,,32004,,14224,14351,,32004,xe" fillcolor="#e97132" stroked="f">
                  <v:path arrowok="t" o:connecttype="custom" o:connectlocs="32004,0;64008,32004;32004,64008;0,32004" o:connectangles="270,0,90,180" textboxrect="0,0,64008,64008"/>
                </v:shape>
                <v:shape id="Shape 91" o:spid="_x0000_s1063" style="position:absolute;left:7970;top:19264;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" path="m64008,32004v,17653,-14351,32004,-32004,32004c14351,64008,,49657,,32004,,14224,14351,,32004,,49657,,64008,14224,64008,32004xe" filled="f" strokecolor="#e97132" strokeweight=".26467mm">
                  <v:path arrowok="t" o:connecttype="custom" o:connectlocs="32004,0;64008,32004;32004,64008;0,32004" o:connectangles="270,0,90,180" textboxrect="0,0,64008,64008"/>
                </v:shape>
                <v:shape id="Shape 92" o:spid="_x0000_s1064" style="position:absolute;left:13837;top:18609;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" path="m32004,c49657,,64008,14224,64008,32004v,17653,-14351,32004,-32004,32004c14351,64008,,49657,,32004,,14224,14351,,32004,xe" fillcolor="#e97132" stroked="f">
                  <v:path arrowok="t" o:connecttype="custom" o:connectlocs="32004,0;64008,32004;32004,64008;0,32004" o:connectangles="270,0,90,180" textboxrect="0,0,64008,64008"/>
                </v:shape>
                <v:shape id="Shape 93" o:spid="_x0000_s1065" style="position:absolute;left:13837;top:18609;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" path="m64008,32004v,17653,-14351,32004,-32004,32004c14351,64008,,49657,,32004,,14224,14351,,32004,,49657,,64008,14224,64008,32004xe" filled="f" strokecolor="#e97132" strokeweight=".26467mm">
                  <v:path arrowok="t" o:connecttype="custom" o:connectlocs="32004,0;64008,32004;32004,64008;0,32004" o:connectangles="270,0,90,180" textboxrect="0,0,64008,64008"/>
                </v:shape>
                <v:shape id="Shape 94" o:spid="_x0000_s1066" style="position:absolute;left:19690;top:12513;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" path="m32004,c49657,,64008,14224,64008,32004v,17653,-14351,32004,-32004,32004c14351,64008,,49657,,32004,,14224,14351,,32004,xe" fillcolor="#e97132" stroked="f">
                  <v:path arrowok="t" o:connecttype="custom" o:connectlocs="32004,0;64008,32004;32004,64008;0,32004" o:connectangles="270,0,90,180" textboxrect="0,0,64008,64008"/>
                </v:shape>
                <v:shape id="Shape 95" o:spid="_x0000_s1067" style="position:absolute;left:19690;top:12513;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" path="m64008,32004v,17653,-14351,32004,-32004,32004c14351,64008,,49657,,32004,,14224,14351,,32004,,49657,,64008,14224,64008,32004xe" filled="f" strokecolor="#e97132" strokeweight=".26467mm">
                  <v:path arrowok="t" o:connecttype="custom" o:connectlocs="32004,0;64008,32004;32004,64008;0,32004" o:connectangles="270,0,90,180" textboxrect="0,0,64008,64008"/>
                </v:shape>
                <v:shape id="Shape 96" o:spid="_x0000_s1068" style="position:absolute;left:25557;top:6036;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" path="m32004,c49657,,64008,14224,64008,32004v,17653,-14351,32004,-32004,32004c14351,64008,,49657,,32004,,14224,14351,,32004,xe" fillcolor="#e97132" stroked="f">
                  <v:path arrowok="t" o:connecttype="custom" o:connectlocs="32004,0;64008,32004;32004,64008;0,32004" o:connectangles="270,0,90,180" textboxrect="0,0,64008,64008"/>
                </v:shape>
                <v:shape id="Shape 97" o:spid="_x0000_s1069" style="position:absolute;left:25557;top:6036;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" path="m64008,32004v,17653,-14351,32004,-32004,32004c14351,64008,,49657,,32004,,14224,14351,,32004,,49657,,64008,14224,64008,32004xe" filled="f" strokecolor="#e97132" strokeweight=".26467mm">
                  <v:path arrowok="t" o:connecttype="custom" o:connectlocs="32004,0;64008,32004;32004,64008;0,32004" o:connectangles="270,0,90,180" textboxrect="0,0,64008,64008"/>
                </v:shape>
                <v:shape id="Shape 98" o:spid="_x0000_s1070" style="position:absolute;left:31409;top:1979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" path="m32004,c49657,,64008,14224,64008,32004v,17653,-14351,32004,-32004,32004c14351,64008,,49657,,32004,,14224,14351,,32004,xe" fillcolor="#e97132" stroked="f">
                  <v:path arrowok="t" o:connecttype="custom" o:connectlocs="32004,0;64008,32004;32004,64008;0,32004" o:connectangles="270,0,90,180" textboxrect="0,0,64008,64008"/>
                </v:shape>
                <v:shape id="Shape 99" o:spid="_x0000_s1071" style="position:absolute;left:31409;top:19798;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" path="m64008,32004v,17653,-14351,32004,-32004,32004c14351,64008,,49657,,32004,,14224,14351,,32004,,49657,,64008,14224,64008,32004xe" filled="f" strokecolor="#e97132" strokeweight=".26467mm">
                  <v:path arrowok="t" o:connecttype="custom" o:connectlocs="32004,0;64008,32004;32004,64008;0,32004" o:connectangles="270,0,90,180" textboxrect="0,0,64008,64008"/>
                </v:shape>
                <v:shape id="Shape 100" o:spid="_x0000_s1072" style="position:absolute;left:37277;top:20331;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" path="m32004,c49657,,64008,14224,64008,32004v,17653,-14351,32004,-32004,32004c14351,64008,,49657,,32004,,14224,14351,,32004,xe" fillcolor="#e97132" stroked="f">
                  <v:path arrowok="t" o:connecttype="custom" o:connectlocs="32004,0;64008,32004;32004,64008;0,32004" o:connectangles="270,0,90,180" textboxrect="0,0,64008,64008"/>
                </v:shape>
                <v:shape id="Shape 101" o:spid="_x0000_s1073" style="position:absolute;left:37277;top:20331;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" path="m64008,32004v,17653,-14351,32004,-32004,32004c14351,64008,,49657,,32004,,14224,14351,,32004,,49657,,64008,14224,64008,32004xe" filled="f" strokecolor="#e97132" strokeweight=".26467mm">
                  <v:path arrowok="t" o:connecttype="custom" o:connectlocs="32004,0;64008,32004;32004,64008;0,32004" o:connectangles="270,0,90,180" textboxrect="0,0,64008,64008"/>
                </v:shape>
                <v:shape id="Shape 102" o:spid="_x0000_s1074" style="position:absolute;left:43129;top:21520;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" path="m32004,c49657,,64008,14224,64008,32004v,17653,-14351,32004,-32004,32004c14351,64008,,49657,,32004,,14224,14351,,32004,xe" fillcolor="#e97132" stroked="f">
                  <v:path arrowok="t" o:connecttype="custom" o:connectlocs="32004,0;64008,32004;32004,64008;0,32004" o:connectangles="270,0,90,180" textboxrect="0,0,64008,64008"/>
                </v:shape>
                <v:shape id="Shape 103" o:spid="_x0000_s1075" style="position:absolute;left:43129;top:21520;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" path="m64008,32004v,17653,-14351,32004,-32004,32004c14351,64008,,49657,,32004,,14224,14351,,32004,,49657,,64008,14224,64008,32004xe" filled="f" strokecolor="#e97132" strokeweight=".26467mm">
                  <v:path arrowok="t" o:connecttype="custom" o:connectlocs="32004,0;64008,32004;32004,64008;0,32004" o:connectangles="270,0,90,180" textboxrect="0,0,64008,64008"/>
                </v:shape>
                <v:rect id="Rectangle 711291922" o:spid="_x0000_s1076" style="position:absolute;left:3726;top:22514;width:770;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" filled="f" stroked="f">
                  <v:textbox inset="0,0,0,0">
                    <w:txbxContent>
                      <w:p w14:paraId="332C71A5" w14:textId="77777777" w:rsidR="00047DC5" w:rsidRDefault="00047DC5" w:rsidP="00047DC5">
                        <w:r>
                          <w:rPr>
                            <w:rFonts w:ascii="Calibri" w:eastAsia="Calibri" w:hAnsi="Calibri" w:cs="Calibri"/>
                            <w:color w:val="595959"/>
                            <w:sz w:val="18"/>
                          </w:rPr>
                          <w:t>0</w:t>
                        </w:r>
                      </w:p>
                    </w:txbxContent>
                  </v:textbox>
                </v:rect>
                <v:rect id="Rectangle 2062191052" o:spid="_x0000_s1077" style="position:absolute;left:1409;top:20188;width:3854;height:1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" filled="f" stroked="f">
                  <v:textbox inset="0,0,0,0">
                    <w:txbxContent>
                      <w:p w14:paraId="5898C2F5" w14:textId="77777777" w:rsidR="00047DC5" w:rsidRDefault="00047DC5" w:rsidP="00047DC5">
                        <w:r>
                          <w:rPr>
                            <w:rFonts w:ascii="Calibri" w:eastAsia="Calibri" w:hAnsi="Calibri" w:cs="Calibri"/>
                            <w:color w:val="595959"/>
                            <w:w w:val="99"/>
                            <w:sz w:val="18"/>
                          </w:rPr>
                          <w:t>20000</w:t>
                        </w:r>
                      </w:p>
                    </w:txbxContent>
                  </v:textbox>
                </v:rect>
                <v:rect id="Rectangle 1164479972" o:spid="_x0000_s1078" style="position:absolute;left:1409;top:17872;width:385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" filled="f" stroked="f">
                  <v:textbox inset="0,0,0,0">
                    <w:txbxContent>
                      <w:p w14:paraId="6BF27B10" w14:textId="77777777" w:rsidR="00047DC5" w:rsidRDefault="00047DC5" w:rsidP="00047DC5">
                        <w:r>
                          <w:rPr>
                            <w:rFonts w:ascii="Calibri" w:eastAsia="Calibri" w:hAnsi="Calibri" w:cs="Calibri"/>
                            <w:color w:val="595959"/>
                            <w:w w:val="99"/>
                            <w:sz w:val="18"/>
                          </w:rPr>
                          <w:t>40000</w:t>
                        </w:r>
                      </w:p>
                    </w:txbxContent>
                  </v:textbox>
                </v:rect>
                <v:rect id="Rectangle 772912296" o:spid="_x0000_s1079" style="position:absolute;left:1409;top:15553;width:385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" filled="f" stroked="f">
                  <v:textbox inset="0,0,0,0">
                    <w:txbxContent>
                      <w:p w14:paraId="408B73C6" w14:textId="77777777" w:rsidR="00047DC5" w:rsidRDefault="00047DC5" w:rsidP="00047DC5">
                        <w:r>
                          <w:rPr>
                            <w:rFonts w:ascii="Calibri" w:eastAsia="Calibri" w:hAnsi="Calibri" w:cs="Calibri"/>
                            <w:color w:val="595959"/>
                            <w:w w:val="99"/>
                            <w:sz w:val="18"/>
                          </w:rPr>
                          <w:t>60000</w:t>
                        </w:r>
                      </w:p>
                    </w:txbxContent>
                  </v:textbox>
                </v:rect>
                <v:rect id="Rectangle 1441815591" o:spid="_x0000_s1080" style="position:absolute;left:1409;top:13227;width:3854;height:1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" filled="f" stroked="f">
                  <v:textbox inset="0,0,0,0">
                    <w:txbxContent>
                      <w:p w14:paraId="37FB5086" w14:textId="77777777" w:rsidR="00047DC5" w:rsidRDefault="00047DC5" w:rsidP="00047DC5">
                        <w:r>
                          <w:rPr>
                            <w:rFonts w:ascii="Calibri" w:eastAsia="Calibri" w:hAnsi="Calibri" w:cs="Calibri"/>
                            <w:color w:val="595959"/>
                            <w:w w:val="99"/>
                            <w:sz w:val="18"/>
                          </w:rPr>
                          <w:t>80000</w:t>
                        </w:r>
                      </w:p>
                    </w:txbxContent>
                  </v:textbox>
                </v:rect>
                <v:rect id="Rectangle 87047577" o:spid="_x0000_s1081" style="position:absolute;left:826;top:10910;width:464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" filled="f" stroked="f">
                  <v:textbox inset="0,0,0,0">
                    <w:txbxContent>
                      <w:p w14:paraId="064337B6" w14:textId="77777777" w:rsidR="00047DC5" w:rsidRDefault="00047DC5" w:rsidP="00047DC5">
                        <w:r>
                          <w:rPr>
                            <w:rFonts w:ascii="Calibri" w:eastAsia="Calibri" w:hAnsi="Calibri" w:cs="Calibri"/>
                            <w:color w:val="595959"/>
                            <w:sz w:val="18"/>
                          </w:rPr>
                          <w:t>100000</w:t>
                        </w:r>
                      </w:p>
                    </w:txbxContent>
                  </v:textbox>
                </v:rect>
                <v:rect id="Rectangle 1611300837" o:spid="_x0000_s1082" style="position:absolute;left:826;top:8591;width:464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" filled="f" stroked="f">
                  <v:textbox inset="0,0,0,0">
                    <w:txbxContent>
                      <w:p w14:paraId="794E306A" w14:textId="77777777" w:rsidR="00047DC5" w:rsidRDefault="00047DC5" w:rsidP="00047DC5">
                        <w:r>
                          <w:rPr>
                            <w:rFonts w:ascii="Calibri" w:eastAsia="Calibri" w:hAnsi="Calibri" w:cs="Calibri"/>
                            <w:color w:val="595959"/>
                            <w:sz w:val="18"/>
                          </w:rPr>
                          <w:t>120000</w:t>
                        </w:r>
                      </w:p>
                    </w:txbxContent>
                  </v:textbox>
                </v:rect>
                <v:rect id="Rectangle 1600653995" o:spid="_x0000_s1083" style="position:absolute;left:826;top:6272;width:464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" filled="f" stroked="f">
                  <v:textbox inset="0,0,0,0">
                    <w:txbxContent>
                      <w:p w14:paraId="0739741B" w14:textId="77777777" w:rsidR="00047DC5" w:rsidRDefault="00047DC5" w:rsidP="00047DC5">
                        <w:r>
                          <w:rPr>
                            <w:rFonts w:ascii="Calibri" w:eastAsia="Calibri" w:hAnsi="Calibri" w:cs="Calibri"/>
                            <w:color w:val="595959"/>
                            <w:sz w:val="18"/>
                          </w:rPr>
                          <w:t>140000</w:t>
                        </w:r>
                      </w:p>
                    </w:txbxContent>
                  </v:textbox>
                </v:rect>
                <v:rect id="Rectangle 1772290953" o:spid="_x0000_s1084" style="position:absolute;left:826;top:3949;width:464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" filled="f" stroked="f">
                  <v:textbox inset="0,0,0,0">
                    <w:txbxContent>
                      <w:p w14:paraId="0E7562A3" w14:textId="77777777" w:rsidR="00047DC5" w:rsidRDefault="00047DC5" w:rsidP="00047DC5">
                        <w:r>
                          <w:rPr>
                            <w:rFonts w:ascii="Calibri" w:eastAsia="Calibri" w:hAnsi="Calibri" w:cs="Calibri"/>
                            <w:color w:val="595959"/>
                            <w:sz w:val="18"/>
                          </w:rPr>
                          <w:t>160000</w:t>
                        </w:r>
                      </w:p>
                    </w:txbxContent>
                  </v:textbox>
                </v:rect>
                <v:rect id="Rectangle 2067917001" o:spid="_x0000_s1085" style="position:absolute;left:8002;top:23990;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" filled="f" stroked="f">
                  <v:textbox inset="0,0,0,0">
                    <w:txbxContent>
                      <w:p w14:paraId="1AEDD53A" w14:textId="77777777" w:rsidR="00047DC5" w:rsidRDefault="00047DC5" w:rsidP="00047DC5">
                        <w:r>
                          <w:rPr>
                            <w:rFonts w:ascii="Calibri" w:eastAsia="Calibri" w:hAnsi="Calibri" w:cs="Calibri"/>
                            <w:color w:val="595959"/>
                            <w:sz w:val="18"/>
                          </w:rPr>
                          <w:t>1</w:t>
                        </w:r>
                      </w:p>
                    </w:txbxContent>
                  </v:textbox>
                </v:rect>
                <v:rect id="Rectangle 1766493359" o:spid="_x0000_s1086" style="position:absolute;left:13863;top:23990;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" filled="f" stroked="f">
                  <v:textbox inset="0,0,0,0">
                    <w:txbxContent>
                      <w:p w14:paraId="46A7E76B" w14:textId="77777777" w:rsidR="00047DC5" w:rsidRDefault="00047DC5" w:rsidP="00047DC5">
                        <w:r>
                          <w:rPr>
                            <w:rFonts w:ascii="Calibri" w:eastAsia="Calibri" w:hAnsi="Calibri" w:cs="Calibri"/>
                            <w:color w:val="595959"/>
                            <w:sz w:val="18"/>
                          </w:rPr>
                          <w:t>2</w:t>
                        </w:r>
                      </w:p>
                    </w:txbxContent>
                  </v:textbox>
                </v:rect>
                <v:rect id="Rectangle 1842727770" o:spid="_x0000_s1087" style="position:absolute;left:19724;top:23990;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" filled="f" stroked="f">
                  <v:textbox inset="0,0,0,0">
                    <w:txbxContent>
                      <w:p w14:paraId="04610A03" w14:textId="77777777" w:rsidR="00047DC5" w:rsidRDefault="00047DC5" w:rsidP="00047DC5">
                        <w:r>
                          <w:rPr>
                            <w:rFonts w:ascii="Calibri" w:eastAsia="Calibri" w:hAnsi="Calibri" w:cs="Calibri"/>
                            <w:color w:val="595959"/>
                            <w:sz w:val="18"/>
                          </w:rPr>
                          <w:t>3</w:t>
                        </w:r>
                      </w:p>
                    </w:txbxContent>
                  </v:textbox>
                </v:rect>
                <v:rect id="Rectangle 960888048" o:spid="_x0000_s1088" style="position:absolute;left:25585;top:23990;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" filled="f" stroked="f">
                  <v:textbox inset="0,0,0,0">
                    <w:txbxContent>
                      <w:p w14:paraId="6CC1589D" w14:textId="77777777" w:rsidR="00047DC5" w:rsidRDefault="00047DC5" w:rsidP="00047DC5">
                        <w:r>
                          <w:rPr>
                            <w:rFonts w:ascii="Calibri" w:eastAsia="Calibri" w:hAnsi="Calibri" w:cs="Calibri"/>
                            <w:color w:val="595959"/>
                            <w:sz w:val="18"/>
                          </w:rPr>
                          <w:t>4</w:t>
                        </w:r>
                      </w:p>
                    </w:txbxContent>
                  </v:textbox>
                </v:rect>
                <v:rect id="Rectangle 1396591407" o:spid="_x0000_s1089" style="position:absolute;left:31447;top:23990;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" filled="f" stroked="f">
                  <v:textbox inset="0,0,0,0">
                    <w:txbxContent>
                      <w:p w14:paraId="2A7C17BE" w14:textId="77777777" w:rsidR="00047DC5" w:rsidRDefault="00047DC5" w:rsidP="00047DC5">
                        <w:r>
                          <w:rPr>
                            <w:rFonts w:ascii="Calibri" w:eastAsia="Calibri" w:hAnsi="Calibri" w:cs="Calibri"/>
                            <w:color w:val="595959"/>
                            <w:sz w:val="18"/>
                          </w:rPr>
                          <w:t>5</w:t>
                        </w:r>
                      </w:p>
                    </w:txbxContent>
                  </v:textbox>
                </v:rect>
                <v:rect id="Rectangle 2118082357" o:spid="_x0000_s1090" style="position:absolute;left:37308;top:23990;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" filled="f" stroked="f">
                  <v:textbox inset="0,0,0,0">
                    <w:txbxContent>
                      <w:p w14:paraId="3AD47F55" w14:textId="77777777" w:rsidR="00047DC5" w:rsidRDefault="00047DC5" w:rsidP="00047DC5">
                        <w:r>
                          <w:rPr>
                            <w:rFonts w:ascii="Calibri" w:eastAsia="Calibri" w:hAnsi="Calibri" w:cs="Calibri"/>
                            <w:color w:val="595959"/>
                            <w:sz w:val="18"/>
                          </w:rPr>
                          <w:t>6</w:t>
                        </w:r>
                      </w:p>
                    </w:txbxContent>
                  </v:textbox>
                </v:rect>
                <v:rect id="Rectangle 1499171560" o:spid="_x0000_s1091" style="position:absolute;left:43169;top:23990;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" filled="f" stroked="f">
                  <v:textbox inset="0,0,0,0">
                    <w:txbxContent>
                      <w:p w14:paraId="10DFF5B6" w14:textId="77777777" w:rsidR="00047DC5" w:rsidRDefault="00047DC5" w:rsidP="00047DC5">
                        <w:r>
                          <w:rPr>
                            <w:rFonts w:ascii="Calibri" w:eastAsia="Calibri" w:hAnsi="Calibri" w:cs="Calibri"/>
                            <w:color w:val="595959"/>
                            <w:sz w:val="18"/>
                          </w:rPr>
                          <w:t>7</w:t>
                        </w:r>
                      </w:p>
                    </w:txbxContent>
                  </v:textbox>
                </v:rect>
                <v:rect id="Rectangle 1085096305" o:spid="_x0000_s1092" style="position:absolute;left:6167;top:962;width:40785;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" filled="f" stroked="f">
                  <v:textbox inset="0,0,0,0">
                    <w:txbxContent>
                      <w:p w14:paraId="4CAD4FFE" w14:textId="77777777" w:rsidR="00047DC5" w:rsidRDefault="00047DC5" w:rsidP="00047DC5">
                        <w:r>
                          <w:rPr>
                            <w:rFonts w:ascii="Calibri" w:eastAsia="Calibri" w:hAnsi="Calibri" w:cs="Calibri"/>
                            <w:b/>
                            <w:color w:val="595959"/>
                            <w:w w:val="102"/>
                            <w:sz w:val="28"/>
                          </w:rPr>
                          <w:t>Health</w:t>
                        </w:r>
                        <w:r>
                          <w:rPr>
                            <w:rFonts w:ascii="Calibri" w:eastAsia="Calibri" w:hAnsi="Calibri" w:cs="Calibri"/>
                            <w:b/>
                            <w:color w:val="595959"/>
                            <w:spacing w:val="-11"/>
                            <w:w w:val="102"/>
                            <w:sz w:val="28"/>
                          </w:rPr>
                          <w:t xml:space="preserve"> </w:t>
                        </w:r>
                        <w:r>
                          <w:rPr>
                            <w:rFonts w:ascii="Calibri" w:eastAsia="Calibri" w:hAnsi="Calibri" w:cs="Calibri"/>
                            <w:b/>
                            <w:color w:val="595959"/>
                            <w:w w:val="102"/>
                            <w:sz w:val="28"/>
                          </w:rPr>
                          <w:t>and</w:t>
                        </w:r>
                        <w:r>
                          <w:rPr>
                            <w:rFonts w:ascii="Calibri" w:eastAsia="Calibri" w:hAnsi="Calibri" w:cs="Calibri"/>
                            <w:b/>
                            <w:color w:val="595959"/>
                            <w:spacing w:val="-13"/>
                            <w:w w:val="102"/>
                            <w:sz w:val="28"/>
                          </w:rPr>
                          <w:t xml:space="preserve"> </w:t>
                        </w:r>
                        <w:r>
                          <w:rPr>
                            <w:rFonts w:ascii="Calibri" w:eastAsia="Calibri" w:hAnsi="Calibri" w:cs="Calibri"/>
                            <w:b/>
                            <w:color w:val="595959"/>
                            <w:w w:val="102"/>
                            <w:sz w:val="28"/>
                          </w:rPr>
                          <w:t>Care</w:t>
                        </w:r>
                        <w:r>
                          <w:rPr>
                            <w:rFonts w:ascii="Calibri" w:eastAsia="Calibri" w:hAnsi="Calibri" w:cs="Calibri"/>
                            <w:b/>
                            <w:color w:val="595959"/>
                            <w:spacing w:val="-13"/>
                            <w:w w:val="102"/>
                            <w:sz w:val="28"/>
                          </w:rPr>
                          <w:t xml:space="preserve"> </w:t>
                        </w:r>
                        <w:r>
                          <w:rPr>
                            <w:rFonts w:ascii="Calibri" w:eastAsia="Calibri" w:hAnsi="Calibri" w:cs="Calibri"/>
                            <w:b/>
                            <w:color w:val="595959"/>
                            <w:w w:val="102"/>
                            <w:sz w:val="28"/>
                          </w:rPr>
                          <w:t>Worker</w:t>
                        </w:r>
                        <w:r>
                          <w:rPr>
                            <w:rFonts w:ascii="Calibri" w:eastAsia="Calibri" w:hAnsi="Calibri" w:cs="Calibri"/>
                            <w:b/>
                            <w:color w:val="595959"/>
                            <w:spacing w:val="-13"/>
                            <w:w w:val="102"/>
                            <w:sz w:val="28"/>
                          </w:rPr>
                          <w:t xml:space="preserve"> </w:t>
                        </w:r>
                        <w:r>
                          <w:rPr>
                            <w:rFonts w:ascii="Calibri" w:eastAsia="Calibri" w:hAnsi="Calibri" w:cs="Calibri"/>
                            <w:b/>
                            <w:color w:val="595959"/>
                            <w:w w:val="102"/>
                            <w:sz w:val="28"/>
                          </w:rPr>
                          <w:t>Visa</w:t>
                        </w:r>
                        <w:r>
                          <w:rPr>
                            <w:rFonts w:ascii="Calibri" w:eastAsia="Calibri" w:hAnsi="Calibri" w:cs="Calibri"/>
                            <w:b/>
                            <w:color w:val="595959"/>
                            <w:spacing w:val="-12"/>
                            <w:w w:val="102"/>
                            <w:sz w:val="28"/>
                          </w:rPr>
                          <w:t xml:space="preserve"> </w:t>
                        </w:r>
                        <w:r>
                          <w:rPr>
                            <w:rFonts w:ascii="Calibri" w:eastAsia="Calibri" w:hAnsi="Calibri" w:cs="Calibri"/>
                            <w:b/>
                            <w:color w:val="595959"/>
                            <w:w w:val="102"/>
                            <w:sz w:val="28"/>
                          </w:rPr>
                          <w:t>Grants</w:t>
                        </w:r>
                        <w:r>
                          <w:rPr>
                            <w:rFonts w:ascii="Calibri" w:eastAsia="Calibri" w:hAnsi="Calibri" w:cs="Calibri"/>
                            <w:b/>
                            <w:color w:val="595959"/>
                            <w:spacing w:val="-12"/>
                            <w:w w:val="102"/>
                            <w:sz w:val="28"/>
                          </w:rPr>
                          <w:t xml:space="preserve"> </w:t>
                        </w:r>
                        <w:r>
                          <w:rPr>
                            <w:rFonts w:ascii="Calibri" w:eastAsia="Calibri" w:hAnsi="Calibri" w:cs="Calibri"/>
                            <w:b/>
                            <w:color w:val="595959"/>
                            <w:w w:val="102"/>
                            <w:sz w:val="28"/>
                          </w:rPr>
                          <w:t>(2020</w:t>
                        </w:r>
                      </w:p>
                    </w:txbxContent>
                  </v:textbox>
                </v:rect>
                <v:rect id="Rectangle 1482042114" o:spid="_x0000_s1093" style="position:absolute;left:36744;top:962;width:961;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" filled="f" stroked="f">
                  <v:textbox inset="0,0,0,0">
                    <w:txbxContent>
                      <w:p w14:paraId="21ACCA7D" w14:textId="77777777" w:rsidR="00047DC5" w:rsidRDefault="00047DC5" w:rsidP="00047DC5">
                        <w:r>
                          <w:rPr>
                            <w:rFonts w:ascii="Calibri" w:eastAsia="Calibri" w:hAnsi="Calibri" w:cs="Calibri"/>
                            <w:b/>
                            <w:color w:val="595959"/>
                            <w:w w:val="81"/>
                            <w:sz w:val="28"/>
                          </w:rPr>
                          <w:t>–</w:t>
                        </w:r>
                      </w:p>
                    </w:txbxContent>
                  </v:textbox>
                </v:rect>
                <v:rect id="Rectangle 203449320" o:spid="_x0000_s1094" style="position:absolute;left:37461;top:962;width:5511;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" filled="f" stroked="f">
                  <v:textbox inset="0,0,0,0">
                    <w:txbxContent>
                      <w:p w14:paraId="599790AB" w14:textId="77777777" w:rsidR="00047DC5" w:rsidRDefault="00047DC5" w:rsidP="00047DC5">
                        <w:r>
                          <w:rPr>
                            <w:rFonts w:ascii="Calibri" w:eastAsia="Calibri" w:hAnsi="Calibri" w:cs="Calibri"/>
                            <w:b/>
                            <w:color w:val="595959"/>
                            <w:spacing w:val="-1"/>
                            <w:w w:val="99"/>
                            <w:sz w:val="28"/>
                          </w:rPr>
                          <w:t>2026)</w:t>
                        </w:r>
                      </w:p>
                    </w:txbxContent>
                  </v:textbox>
                </v:rect>
                <v:shape id="Shape 123" o:spid="_x0000_s1095" style="position:absolute;left:17176;top:27279;width:2439;height:0;visibility:visible;mso-wrap-style:square;v-text-anchor:top" coordsize="2438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" path="m,l243840,e" filled="f" strokecolor="#156082" strokeweight="2.25pt">
                  <v:stroke endcap="round"/>
                  <v:path arrowok="t" o:connecttype="custom" o:connectlocs="121922,0;243843,1;121922,1;0,1" o:connectangles="270,0,90,180" textboxrect="0,0,243840,0"/>
                </v:shape>
                <v:shape id="Shape 124" o:spid="_x0000_s1096" style="position:absolute;left:18069;top:26946;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" path="m32004,c49657,,64008,14351,64008,32004v,17653,-14351,32004,-32004,32004c14351,64008,,49657,,32004,,14351,14351,,32004,xe" fillcolor="#156082" stroked="f">
                  <v:path arrowok="t" o:connecttype="custom" o:connectlocs="32004,0;64008,32004;32004,64008;0,32004" o:connectangles="270,0,90,180" textboxrect="0,0,64008,64008"/>
                </v:shape>
                <v:shape id="Shape 125" o:spid="_x0000_s1097" style="position:absolute;left:18069;top:26946;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" path="m64008,32004v,17653,-14351,32004,-32004,32004c14351,64008,,49657,,32004,,14351,14351,,32004,,49657,,64008,14351,64008,32004xe" filled="f" strokecolor="#156082" strokeweight=".26467mm">
                  <v:path arrowok="t" o:connecttype="custom" o:connectlocs="32004,0;64008,32004;32004,64008;0,32004" o:connectangles="270,0,90,180" textboxrect="0,0,64008,64008"/>
                </v:shape>
                <v:rect id="Rectangle 2130242048" o:spid="_x0000_s1098" style="position:absolute;left:19876;top:26522;width:2711;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" filled="f" stroked="f">
                  <v:textbox inset="0,0,0,0">
                    <w:txbxContent>
                      <w:p w14:paraId="5C57A9B1" w14:textId="77777777" w:rsidR="00047DC5" w:rsidRDefault="00047DC5" w:rsidP="00047DC5">
                        <w:r>
                          <w:rPr>
                            <w:rFonts w:ascii="Calibri" w:eastAsia="Calibri" w:hAnsi="Calibri" w:cs="Calibri"/>
                            <w:color w:val="595959"/>
                            <w:w w:val="99"/>
                            <w:sz w:val="18"/>
                          </w:rPr>
                          <w:t>Year</w:t>
                        </w:r>
                      </w:p>
                    </w:txbxContent>
                  </v:textbox>
                </v:rect>
                <v:shape id="Shape 127" o:spid="_x0000_s1099" style="position:absolute;left:23141;top:27279;width:2439;height:0;visibility:visible;mso-wrap-style:square;v-text-anchor:top" coordsize="2438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" path="m,l243840,e" filled="f" strokecolor="#e97132" strokeweight="2.25pt">
                  <v:stroke endcap="round"/>
                  <v:path arrowok="t" o:connecttype="custom" o:connectlocs="121922,0;243843,1;121922,1;0,1" o:connectangles="270,0,90,180" textboxrect="0,0,243840,0"/>
                </v:shape>
                <v:shape id="Shape 128" o:spid="_x0000_s1100" style="position:absolute;left:24028;top:26946;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" path="m32004,c49657,,64008,14351,64008,32004v,17653,-14351,32004,-32004,32004c14351,64008,,49657,,32004,,14351,14351,,32004,xe" fillcolor="#e97132" stroked="f">
                  <v:path arrowok="t" o:connecttype="custom" o:connectlocs="32004,0;64008,32004;32004,64008;0,32004" o:connectangles="270,0,90,180" textboxrect="0,0,64008,64008"/>
                </v:shape>
                <v:shape id="Shape 129" o:spid="_x0000_s1101" style="position:absolute;left:24028;top:26946;width:640;height:640;visibility:visible;mso-wrap-style:square;v-text-anchor:top" coordsize="64008,640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" path="m64008,32004v,17653,-14351,32004,-32004,32004c14351,64008,,49657,,32004,,14351,14351,,32004,,49657,,64008,14351,64008,32004xe" filled="f" strokecolor="#e97132" strokeweight=".26467mm">
                  <v:path arrowok="t" o:connecttype="custom" o:connectlocs="32004,0;64008,32004;32004,64008;0,32004" o:connectangles="270,0,90,180" textboxrect="0,0,64008,64008"/>
                </v:shape>
                <v:rect id="Rectangle 157901477" o:spid="_x0000_s1102" style="position:absolute;left:25844;top:26522;width:693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" filled="f" stroked="f">
                  <v:textbox inset="0,0,0,0">
                    <w:txbxContent>
                      <w:p w14:paraId="227D6DA1" w14:textId="77777777" w:rsidR="00047DC5" w:rsidRDefault="00047DC5" w:rsidP="00047DC5">
                        <w:r>
                          <w:rPr>
                            <w:rFonts w:ascii="Calibri" w:eastAsia="Calibri" w:hAnsi="Calibri" w:cs="Calibri"/>
                            <w:color w:val="595959"/>
                            <w:w w:val="101"/>
                            <w:sz w:val="18"/>
                          </w:rPr>
                          <w:t>Visa</w:t>
                        </w:r>
                        <w:r>
                          <w:rPr>
                            <w:rFonts w:ascii="Calibri" w:eastAsia="Calibri" w:hAnsi="Calibri" w:cs="Calibri"/>
                            <w:color w:val="595959"/>
                            <w:spacing w:val="-9"/>
                            <w:w w:val="101"/>
                            <w:sz w:val="18"/>
                          </w:rPr>
                          <w:t xml:space="preserve"> </w:t>
                        </w:r>
                        <w:r>
                          <w:rPr>
                            <w:rFonts w:ascii="Calibri" w:eastAsia="Calibri" w:hAnsi="Calibri" w:cs="Calibri"/>
                            <w:color w:val="595959"/>
                            <w:w w:val="101"/>
                            <w:sz w:val="18"/>
                          </w:rPr>
                          <w:t>Grants</w:t>
                        </w:r>
                      </w:p>
                    </w:txbxContent>
                  </v:textbox>
                </v:rect>
                <v:shape id="Shape 131" o:spid="_x0000_s1103" style="position:absolute;width:47777;height:29113;visibility:visible;mso-wrap-style:square;v-text-anchor:top" coordsize="4777740,2911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" path="m,2911348r4777740,l4777740,,,,,2911348xe" filled="f" strokecolor="#d9d9d9" strokeweight=".26467mm">
                  <v:path arrowok="t" o:connecttype="custom" o:connectlocs="2388870,0;4777740,1455675;2388870,2911349;0,1455675" o:connectangles="270,0,90,180" textboxrect="0,0,4777740,2911348"/>
                </v:shape>
                <w10:anchorlock/>
              </v:group>
            </w:pict>
          </mc:Fallback>
        </mc:AlternateContent>
      </w:r>
    </w:p>
    <w:p w14:paraId="17C01D39" w14:textId="77777777" w:rsidR="00047DC5" w:rsidRDefault="00047DC5" w:rsidP="00047DC5">
      <w:pPr>
        <w:rPr>
          <w:i/>
          <w:iCs/>
        </w:rPr>
      </w:pPr>
      <w:r>
        <w:rPr>
          <w:i/>
          <w:iCs/>
        </w:rPr>
        <w:t>Source: Home Office (2024; 2025b; 2026).</w:t>
      </w:r>
    </w:p>
    <w:p w14:paraId="402DC8E8" w14:textId="77777777" w:rsidR="00047DC5" w:rsidRDefault="00047DC5" w:rsidP="00047DC5">
      <w:pPr>
        <w:pStyle w:val="Caption"/>
        <w:keepNext/>
      </w:pPr>
      <w:bookmarkStart w:id="186" w:name="_Toc238206096"/>
      <w:r>
        <w:rPr>
          <w:sz w:val="28"/>
          <w:szCs w:val="28"/>
        </w:rPr>
        <w:lastRenderedPageBreak/>
        <w:t>Table 12 Health and Care Worker Average Visa Grants (2020–2026).</w:t>
      </w:r>
      <w:bookmarkEnd w:id="186"/>
    </w:p>
    <w:p w14:paraId="378144C6" w14:textId="77777777" w:rsidR="00047DC5" w:rsidRDefault="00047DC5" w:rsidP="00047DC5">
      <w:r>
        <w:object w:dxaOrig="7166" w:dyaOrig="3086" w14:anchorId="41676F50">
          <v:shape id="Object 3" o:spid="_x0000_i1027" type="#_x0000_t75" style="width:357.75pt;height:153.75pt;visibility:visible;mso-wrap-style:square" o:ole="">
            <v:imagedata r:id="rId36" o:title=""/>
          </v:shape>
          <o:OLEObject Type="Embed" ProgID="Excel.Sheet.8" ShapeID="Object 3" DrawAspect="Content" ObjectID="_1849297598" r:id="rId37"/>
        </w:object>
      </w:r>
    </w:p>
    <w:p w14:paraId="75382742" w14:textId="77777777" w:rsidR="00047DC5" w:rsidRDefault="00047DC5" w:rsidP="00047DC5">
      <w:r>
        <w:rPr>
          <w:rFonts w:ascii="Arial" w:hAnsi="Arial" w:cs="Arial"/>
          <w:i/>
          <w:iCs/>
        </w:rPr>
        <w:t>Source: Home Office (2024; 2025b; 2026) calculated in Microsoft Excel.</w:t>
      </w:r>
    </w:p>
    <w:p w14:paraId="06470C30" w14:textId="77777777" w:rsidR="00047DC5" w:rsidRDefault="00047DC5" w:rsidP="00047DC5">
      <w:pPr>
        <w:pStyle w:val="Caption"/>
        <w:keepNext/>
      </w:pPr>
      <w:r>
        <w:rPr>
          <w:sz w:val="28"/>
          <w:szCs w:val="28"/>
        </w:rPr>
        <w:t>Figure 5 Average Visa Grants.</w:t>
      </w:r>
    </w:p>
    <w:p w14:paraId="2CEEE6BD" w14:textId="0372B6D5" w:rsidR="004A784B" w:rsidRDefault="004A784B" w:rsidP="00047DC5">
      <w:r>
        <w:rPr>
          <w:noProof/>
        </w:rPr>
        <mc:AlternateContent>
          <mc:Choice Requires="wpg">
            <w:drawing>
              <wp:inline distT="0" distB="0" distL="0" distR="0" wp14:anchorId="7F8E8E84" wp14:editId="1AFE4F52">
                <wp:extent cx="3622548" cy="2382774"/>
                <wp:effectExtent l="0" t="0" r="0" b="0"/>
                <wp:docPr id="1221262069" name="Group 1221262069"/>
                <wp:cNvGraphicFramePr/>
                <a:graphic xmlns:a="http://schemas.openxmlformats.org/drawingml/2006/main">
                  <a:graphicData uri="http://schemas.microsoft.com/office/word/2010/wordprocessingGroup">
                    <wpg:wgp>
                      <wpg:cNvGrpSpPr/>
                      <wpg:grpSpPr>
                        <a:xfrm>
                          <a:off x="0" y="0"/>
                          <a:ext cx="3622548" cy="2382774"/>
                          <a:chOff x="0" y="0"/>
                          <a:chExt cx="3622548" cy="2382774"/>
                        </a:xfrm>
                      </wpg:grpSpPr>
                      <wps:wsp>
                        <wps:cNvPr id="1985082578" name="Shape 134"/>
                        <wps:cNvSpPr/>
                        <wps:spPr>
                          <a:xfrm>
                            <a:off x="507365" y="1909572"/>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662557908" name="Shape 135"/>
                        <wps:cNvSpPr/>
                        <wps:spPr>
                          <a:xfrm>
                            <a:off x="507365" y="1729740"/>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061576470" name="Shape 136"/>
                        <wps:cNvSpPr/>
                        <wps:spPr>
                          <a:xfrm>
                            <a:off x="507365" y="1549908"/>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443562765" name="Shape 137"/>
                        <wps:cNvSpPr/>
                        <wps:spPr>
                          <a:xfrm>
                            <a:off x="507365" y="1370076"/>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472377325" name="Shape 138"/>
                        <wps:cNvSpPr/>
                        <wps:spPr>
                          <a:xfrm>
                            <a:off x="507365" y="1190244"/>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937351152" name="Shape 139"/>
                        <wps:cNvSpPr/>
                        <wps:spPr>
                          <a:xfrm>
                            <a:off x="507365" y="1010412"/>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730082637" name="Shape 140"/>
                        <wps:cNvSpPr/>
                        <wps:spPr>
                          <a:xfrm>
                            <a:off x="507365" y="830580"/>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916559695" name="Shape 141"/>
                        <wps:cNvSpPr/>
                        <wps:spPr>
                          <a:xfrm>
                            <a:off x="507365" y="650748"/>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639045014" name="Shape 142"/>
                        <wps:cNvSpPr/>
                        <wps:spPr>
                          <a:xfrm>
                            <a:off x="507365" y="471043"/>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393291904" name="Shape 2100"/>
                        <wps:cNvSpPr/>
                        <wps:spPr>
                          <a:xfrm>
                            <a:off x="2505456" y="1717548"/>
                            <a:ext cx="466344" cy="371602"/>
                          </a:xfrm>
                          <a:custGeom>
                            <a:avLst/>
                            <a:gdLst/>
                            <a:ahLst/>
                            <a:cxnLst/>
                            <a:rect l="0" t="0" r="0" b="0"/>
                            <a:pathLst>
                              <a:path w="466344" h="371602">
                                <a:moveTo>
                                  <a:pt x="0" y="0"/>
                                </a:moveTo>
                                <a:lnTo>
                                  <a:pt x="466344" y="0"/>
                                </a:lnTo>
                                <a:lnTo>
                                  <a:pt x="466344" y="371602"/>
                                </a:lnTo>
                                <a:lnTo>
                                  <a:pt x="0" y="371602"/>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1594831049" name="Shape 2101"/>
                        <wps:cNvSpPr/>
                        <wps:spPr>
                          <a:xfrm>
                            <a:off x="1018032" y="717804"/>
                            <a:ext cx="466344" cy="1371346"/>
                          </a:xfrm>
                          <a:custGeom>
                            <a:avLst/>
                            <a:gdLst/>
                            <a:ahLst/>
                            <a:cxnLst/>
                            <a:rect l="0" t="0" r="0" b="0"/>
                            <a:pathLst>
                              <a:path w="466344" h="1371346">
                                <a:moveTo>
                                  <a:pt x="0" y="0"/>
                                </a:moveTo>
                                <a:lnTo>
                                  <a:pt x="466344" y="0"/>
                                </a:lnTo>
                                <a:lnTo>
                                  <a:pt x="466344" y="1371346"/>
                                </a:lnTo>
                                <a:lnTo>
                                  <a:pt x="0" y="1371346"/>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1241572369" name="Shape 145"/>
                        <wps:cNvSpPr/>
                        <wps:spPr>
                          <a:xfrm>
                            <a:off x="507365" y="2089150"/>
                            <a:ext cx="2975483" cy="0"/>
                          </a:xfrm>
                          <a:custGeom>
                            <a:avLst/>
                            <a:gdLst/>
                            <a:ahLst/>
                            <a:cxnLst/>
                            <a:rect l="0" t="0" r="0" b="0"/>
                            <a:pathLst>
                              <a:path w="2975483">
                                <a:moveTo>
                                  <a:pt x="0" y="0"/>
                                </a:moveTo>
                                <a:lnTo>
                                  <a:pt x="2975483"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44208836" name="Rectangle 144208836"/>
                        <wps:cNvSpPr/>
                        <wps:spPr>
                          <a:xfrm>
                            <a:off x="344170" y="2012814"/>
                            <a:ext cx="77074" cy="185570"/>
                          </a:xfrm>
                          <a:prstGeom prst="rect">
                            <a:avLst/>
                          </a:prstGeom>
                          <a:ln>
                            <a:noFill/>
                          </a:ln>
                        </wps:spPr>
                        <wps:txbx>
                          <w:txbxContent>
                            <w:p w14:paraId="373348C6" w14:textId="77777777" w:rsidR="004A784B" w:rsidRDefault="004A784B" w:rsidP="004A784B">
                              <w:r>
                                <w:rPr>
                                  <w:rFonts w:ascii="Calibri" w:eastAsia="Calibri" w:hAnsi="Calibri" w:cs="Calibri"/>
                                  <w:color w:val="595959"/>
                                  <w:sz w:val="18"/>
                                </w:rPr>
                                <w:t>0</w:t>
                              </w:r>
                            </w:p>
                          </w:txbxContent>
                        </wps:txbx>
                        <wps:bodyPr horzOverflow="overflow" vert="horz" lIns="0" tIns="0" rIns="0" bIns="0" rtlCol="0">
                          <a:noAutofit/>
                        </wps:bodyPr>
                      </wps:wsp>
                      <wps:wsp>
                        <wps:cNvPr id="646340269" name="Rectangle 646340269"/>
                        <wps:cNvSpPr/>
                        <wps:spPr>
                          <a:xfrm>
                            <a:off x="82931" y="1832983"/>
                            <a:ext cx="425653" cy="185570"/>
                          </a:xfrm>
                          <a:prstGeom prst="rect">
                            <a:avLst/>
                          </a:prstGeom>
                          <a:ln>
                            <a:noFill/>
                          </a:ln>
                        </wps:spPr>
                        <wps:txbx>
                          <w:txbxContent>
                            <w:p w14:paraId="457BA740" w14:textId="77777777" w:rsidR="004A784B" w:rsidRDefault="004A784B" w:rsidP="004A784B">
                              <w:r>
                                <w:rPr>
                                  <w:rFonts w:ascii="Calibri" w:eastAsia="Calibri" w:hAnsi="Calibri" w:cs="Calibri"/>
                                  <w:color w:val="595959"/>
                                  <w:sz w:val="18"/>
                                </w:rPr>
                                <w:t>10,000</w:t>
                              </w:r>
                            </w:p>
                          </w:txbxContent>
                        </wps:txbx>
                        <wps:bodyPr horzOverflow="overflow" vert="horz" lIns="0" tIns="0" rIns="0" bIns="0" rtlCol="0">
                          <a:noAutofit/>
                        </wps:bodyPr>
                      </wps:wsp>
                      <wps:wsp>
                        <wps:cNvPr id="1312625019" name="Rectangle 1312625019"/>
                        <wps:cNvSpPr/>
                        <wps:spPr>
                          <a:xfrm>
                            <a:off x="82931" y="1653150"/>
                            <a:ext cx="425653" cy="185570"/>
                          </a:xfrm>
                          <a:prstGeom prst="rect">
                            <a:avLst/>
                          </a:prstGeom>
                          <a:ln>
                            <a:noFill/>
                          </a:ln>
                        </wps:spPr>
                        <wps:txbx>
                          <w:txbxContent>
                            <w:p w14:paraId="33CC1B7E" w14:textId="77777777" w:rsidR="004A784B" w:rsidRDefault="004A784B" w:rsidP="004A784B">
                              <w:r>
                                <w:rPr>
                                  <w:rFonts w:ascii="Calibri" w:eastAsia="Calibri" w:hAnsi="Calibri" w:cs="Calibri"/>
                                  <w:color w:val="595959"/>
                                  <w:sz w:val="18"/>
                                </w:rPr>
                                <w:t>20,000</w:t>
                              </w:r>
                            </w:p>
                          </w:txbxContent>
                        </wps:txbx>
                        <wps:bodyPr horzOverflow="overflow" vert="horz" lIns="0" tIns="0" rIns="0" bIns="0" rtlCol="0">
                          <a:noAutofit/>
                        </wps:bodyPr>
                      </wps:wsp>
                      <wps:wsp>
                        <wps:cNvPr id="879003471" name="Rectangle 879003471"/>
                        <wps:cNvSpPr/>
                        <wps:spPr>
                          <a:xfrm>
                            <a:off x="82931" y="1473319"/>
                            <a:ext cx="425653" cy="185570"/>
                          </a:xfrm>
                          <a:prstGeom prst="rect">
                            <a:avLst/>
                          </a:prstGeom>
                          <a:ln>
                            <a:noFill/>
                          </a:ln>
                        </wps:spPr>
                        <wps:txbx>
                          <w:txbxContent>
                            <w:p w14:paraId="38477110" w14:textId="77777777" w:rsidR="004A784B" w:rsidRDefault="004A784B" w:rsidP="004A784B">
                              <w:r>
                                <w:rPr>
                                  <w:rFonts w:ascii="Calibri" w:eastAsia="Calibri" w:hAnsi="Calibri" w:cs="Calibri"/>
                                  <w:color w:val="595959"/>
                                  <w:sz w:val="18"/>
                                </w:rPr>
                                <w:t>30,000</w:t>
                              </w:r>
                            </w:p>
                          </w:txbxContent>
                        </wps:txbx>
                        <wps:bodyPr horzOverflow="overflow" vert="horz" lIns="0" tIns="0" rIns="0" bIns="0" rtlCol="0">
                          <a:noAutofit/>
                        </wps:bodyPr>
                      </wps:wsp>
                      <wps:wsp>
                        <wps:cNvPr id="1226504932" name="Rectangle 1226504932"/>
                        <wps:cNvSpPr/>
                        <wps:spPr>
                          <a:xfrm>
                            <a:off x="82931" y="1293486"/>
                            <a:ext cx="425653" cy="185570"/>
                          </a:xfrm>
                          <a:prstGeom prst="rect">
                            <a:avLst/>
                          </a:prstGeom>
                          <a:ln>
                            <a:noFill/>
                          </a:ln>
                        </wps:spPr>
                        <wps:txbx>
                          <w:txbxContent>
                            <w:p w14:paraId="27C946CF" w14:textId="77777777" w:rsidR="004A784B" w:rsidRDefault="004A784B" w:rsidP="004A784B">
                              <w:r>
                                <w:rPr>
                                  <w:rFonts w:ascii="Calibri" w:eastAsia="Calibri" w:hAnsi="Calibri" w:cs="Calibri"/>
                                  <w:color w:val="595959"/>
                                  <w:sz w:val="18"/>
                                </w:rPr>
                                <w:t>40,000</w:t>
                              </w:r>
                            </w:p>
                          </w:txbxContent>
                        </wps:txbx>
                        <wps:bodyPr horzOverflow="overflow" vert="horz" lIns="0" tIns="0" rIns="0" bIns="0" rtlCol="0">
                          <a:noAutofit/>
                        </wps:bodyPr>
                      </wps:wsp>
                      <wps:wsp>
                        <wps:cNvPr id="2125899550" name="Rectangle 2125899550"/>
                        <wps:cNvSpPr/>
                        <wps:spPr>
                          <a:xfrm>
                            <a:off x="82931" y="1113655"/>
                            <a:ext cx="425653" cy="185570"/>
                          </a:xfrm>
                          <a:prstGeom prst="rect">
                            <a:avLst/>
                          </a:prstGeom>
                          <a:ln>
                            <a:noFill/>
                          </a:ln>
                        </wps:spPr>
                        <wps:txbx>
                          <w:txbxContent>
                            <w:p w14:paraId="6FAE3E6D" w14:textId="77777777" w:rsidR="004A784B" w:rsidRDefault="004A784B" w:rsidP="004A784B">
                              <w:r>
                                <w:rPr>
                                  <w:rFonts w:ascii="Calibri" w:eastAsia="Calibri" w:hAnsi="Calibri" w:cs="Calibri"/>
                                  <w:color w:val="595959"/>
                                  <w:sz w:val="18"/>
                                </w:rPr>
                                <w:t>50,000</w:t>
                              </w:r>
                            </w:p>
                          </w:txbxContent>
                        </wps:txbx>
                        <wps:bodyPr horzOverflow="overflow" vert="horz" lIns="0" tIns="0" rIns="0" bIns="0" rtlCol="0">
                          <a:noAutofit/>
                        </wps:bodyPr>
                      </wps:wsp>
                      <wps:wsp>
                        <wps:cNvPr id="234847604" name="Rectangle 234847604"/>
                        <wps:cNvSpPr/>
                        <wps:spPr>
                          <a:xfrm>
                            <a:off x="82931" y="933822"/>
                            <a:ext cx="425653" cy="185570"/>
                          </a:xfrm>
                          <a:prstGeom prst="rect">
                            <a:avLst/>
                          </a:prstGeom>
                          <a:ln>
                            <a:noFill/>
                          </a:ln>
                        </wps:spPr>
                        <wps:txbx>
                          <w:txbxContent>
                            <w:p w14:paraId="0A9DC387" w14:textId="77777777" w:rsidR="004A784B" w:rsidRDefault="004A784B" w:rsidP="004A784B">
                              <w:r>
                                <w:rPr>
                                  <w:rFonts w:ascii="Calibri" w:eastAsia="Calibri" w:hAnsi="Calibri" w:cs="Calibri"/>
                                  <w:color w:val="595959"/>
                                  <w:sz w:val="18"/>
                                </w:rPr>
                                <w:t>60,000</w:t>
                              </w:r>
                            </w:p>
                          </w:txbxContent>
                        </wps:txbx>
                        <wps:bodyPr horzOverflow="overflow" vert="horz" lIns="0" tIns="0" rIns="0" bIns="0" rtlCol="0">
                          <a:noAutofit/>
                        </wps:bodyPr>
                      </wps:wsp>
                      <wps:wsp>
                        <wps:cNvPr id="772681531" name="Rectangle 772681531"/>
                        <wps:cNvSpPr/>
                        <wps:spPr>
                          <a:xfrm>
                            <a:off x="82931" y="753990"/>
                            <a:ext cx="425653" cy="185570"/>
                          </a:xfrm>
                          <a:prstGeom prst="rect">
                            <a:avLst/>
                          </a:prstGeom>
                          <a:ln>
                            <a:noFill/>
                          </a:ln>
                        </wps:spPr>
                        <wps:txbx>
                          <w:txbxContent>
                            <w:p w14:paraId="6162C31F" w14:textId="77777777" w:rsidR="004A784B" w:rsidRDefault="004A784B" w:rsidP="004A784B">
                              <w:r>
                                <w:rPr>
                                  <w:rFonts w:ascii="Calibri" w:eastAsia="Calibri" w:hAnsi="Calibri" w:cs="Calibri"/>
                                  <w:color w:val="595959"/>
                                  <w:sz w:val="18"/>
                                </w:rPr>
                                <w:t>70,000</w:t>
                              </w:r>
                            </w:p>
                          </w:txbxContent>
                        </wps:txbx>
                        <wps:bodyPr horzOverflow="overflow" vert="horz" lIns="0" tIns="0" rIns="0" bIns="0" rtlCol="0">
                          <a:noAutofit/>
                        </wps:bodyPr>
                      </wps:wsp>
                      <wps:wsp>
                        <wps:cNvPr id="199892621" name="Rectangle 199892621"/>
                        <wps:cNvSpPr/>
                        <wps:spPr>
                          <a:xfrm>
                            <a:off x="82931" y="574158"/>
                            <a:ext cx="425653" cy="185570"/>
                          </a:xfrm>
                          <a:prstGeom prst="rect">
                            <a:avLst/>
                          </a:prstGeom>
                          <a:ln>
                            <a:noFill/>
                          </a:ln>
                        </wps:spPr>
                        <wps:txbx>
                          <w:txbxContent>
                            <w:p w14:paraId="24E45521" w14:textId="77777777" w:rsidR="004A784B" w:rsidRDefault="004A784B" w:rsidP="004A784B">
                              <w:r>
                                <w:rPr>
                                  <w:rFonts w:ascii="Calibri" w:eastAsia="Calibri" w:hAnsi="Calibri" w:cs="Calibri"/>
                                  <w:color w:val="595959"/>
                                  <w:sz w:val="18"/>
                                </w:rPr>
                                <w:t>80,000</w:t>
                              </w:r>
                            </w:p>
                          </w:txbxContent>
                        </wps:txbx>
                        <wps:bodyPr horzOverflow="overflow" vert="horz" lIns="0" tIns="0" rIns="0" bIns="0" rtlCol="0">
                          <a:noAutofit/>
                        </wps:bodyPr>
                      </wps:wsp>
                      <wps:wsp>
                        <wps:cNvPr id="1525549424" name="Rectangle 1525549424"/>
                        <wps:cNvSpPr/>
                        <wps:spPr>
                          <a:xfrm>
                            <a:off x="82931" y="394040"/>
                            <a:ext cx="425874" cy="186065"/>
                          </a:xfrm>
                          <a:prstGeom prst="rect">
                            <a:avLst/>
                          </a:prstGeom>
                          <a:ln>
                            <a:noFill/>
                          </a:ln>
                        </wps:spPr>
                        <wps:txbx>
                          <w:txbxContent>
                            <w:p w14:paraId="66A296CC" w14:textId="77777777" w:rsidR="004A784B" w:rsidRDefault="004A784B" w:rsidP="004A784B">
                              <w:r>
                                <w:rPr>
                                  <w:rFonts w:ascii="Calibri" w:eastAsia="Calibri" w:hAnsi="Calibri" w:cs="Calibri"/>
                                  <w:color w:val="595959"/>
                                  <w:sz w:val="18"/>
                                </w:rPr>
                                <w:t>90,000</w:t>
                              </w:r>
                            </w:p>
                          </w:txbxContent>
                        </wps:txbx>
                        <wps:bodyPr horzOverflow="overflow" vert="horz" lIns="0" tIns="0" rIns="0" bIns="0" rtlCol="0">
                          <a:noAutofit/>
                        </wps:bodyPr>
                      </wps:wsp>
                      <wps:wsp>
                        <wps:cNvPr id="1546748331" name="Rectangle 1546748331"/>
                        <wps:cNvSpPr/>
                        <wps:spPr>
                          <a:xfrm>
                            <a:off x="1002538" y="2160388"/>
                            <a:ext cx="662701" cy="185570"/>
                          </a:xfrm>
                          <a:prstGeom prst="rect">
                            <a:avLst/>
                          </a:prstGeom>
                          <a:ln>
                            <a:noFill/>
                          </a:ln>
                        </wps:spPr>
                        <wps:txbx>
                          <w:txbxContent>
                            <w:p w14:paraId="067FF8B7" w14:textId="77777777" w:rsidR="004A784B" w:rsidRDefault="004A784B" w:rsidP="004A784B">
                              <w:r>
                                <w:rPr>
                                  <w:rFonts w:ascii="Calibri" w:eastAsia="Calibri" w:hAnsi="Calibri" w:cs="Calibri"/>
                                  <w:color w:val="595959"/>
                                  <w:w w:val="99"/>
                                  <w:sz w:val="18"/>
                                </w:rPr>
                                <w:t>2021-2023</w:t>
                              </w:r>
                            </w:p>
                          </w:txbxContent>
                        </wps:txbx>
                        <wps:bodyPr horzOverflow="overflow" vert="horz" lIns="0" tIns="0" rIns="0" bIns="0" rtlCol="0">
                          <a:noAutofit/>
                        </wps:bodyPr>
                      </wps:wsp>
                      <wps:wsp>
                        <wps:cNvPr id="248999565" name="Rectangle 248999565"/>
                        <wps:cNvSpPr/>
                        <wps:spPr>
                          <a:xfrm>
                            <a:off x="2490470" y="2160388"/>
                            <a:ext cx="662702" cy="185570"/>
                          </a:xfrm>
                          <a:prstGeom prst="rect">
                            <a:avLst/>
                          </a:prstGeom>
                          <a:ln>
                            <a:noFill/>
                          </a:ln>
                        </wps:spPr>
                        <wps:txbx>
                          <w:txbxContent>
                            <w:p w14:paraId="76752778" w14:textId="77777777" w:rsidR="004A784B" w:rsidRDefault="004A784B" w:rsidP="004A784B">
                              <w:r>
                                <w:rPr>
                                  <w:rFonts w:ascii="Calibri" w:eastAsia="Calibri" w:hAnsi="Calibri" w:cs="Calibri"/>
                                  <w:color w:val="595959"/>
                                  <w:w w:val="99"/>
                                  <w:sz w:val="18"/>
                                </w:rPr>
                                <w:t>2024-2026</w:t>
                              </w:r>
                            </w:p>
                          </w:txbxContent>
                        </wps:txbx>
                        <wps:bodyPr horzOverflow="overflow" vert="horz" lIns="0" tIns="0" rIns="0" bIns="0" rtlCol="0">
                          <a:noAutofit/>
                        </wps:bodyPr>
                      </wps:wsp>
                      <wps:wsp>
                        <wps:cNvPr id="226976166" name="Rectangle 226976166"/>
                        <wps:cNvSpPr/>
                        <wps:spPr>
                          <a:xfrm>
                            <a:off x="1114044" y="95593"/>
                            <a:ext cx="1856170" cy="289489"/>
                          </a:xfrm>
                          <a:prstGeom prst="rect">
                            <a:avLst/>
                          </a:prstGeom>
                          <a:ln>
                            <a:noFill/>
                          </a:ln>
                        </wps:spPr>
                        <wps:txbx>
                          <w:txbxContent>
                            <w:p w14:paraId="07782022" w14:textId="77777777" w:rsidR="004A784B" w:rsidRDefault="004A784B" w:rsidP="004A784B">
                              <w:r>
                                <w:rPr>
                                  <w:rFonts w:ascii="Calibri" w:eastAsia="Calibri" w:hAnsi="Calibri" w:cs="Calibri"/>
                                  <w:color w:val="595959"/>
                                  <w:w w:val="98"/>
                                  <w:sz w:val="28"/>
                                </w:rPr>
                                <w:t>Average</w:t>
                              </w:r>
                              <w:r>
                                <w:rPr>
                                  <w:rFonts w:ascii="Calibri" w:eastAsia="Calibri" w:hAnsi="Calibri" w:cs="Calibri"/>
                                  <w:color w:val="595959"/>
                                  <w:spacing w:val="-12"/>
                                  <w:w w:val="98"/>
                                  <w:sz w:val="28"/>
                                </w:rPr>
                                <w:t xml:space="preserve"> </w:t>
                              </w:r>
                              <w:r>
                                <w:rPr>
                                  <w:rFonts w:ascii="Calibri" w:eastAsia="Calibri" w:hAnsi="Calibri" w:cs="Calibri"/>
                                  <w:color w:val="595959"/>
                                  <w:w w:val="98"/>
                                  <w:sz w:val="28"/>
                                </w:rPr>
                                <w:t>Visa</w:t>
                              </w:r>
                              <w:r>
                                <w:rPr>
                                  <w:rFonts w:ascii="Calibri" w:eastAsia="Calibri" w:hAnsi="Calibri" w:cs="Calibri"/>
                                  <w:color w:val="595959"/>
                                  <w:spacing w:val="-13"/>
                                  <w:w w:val="98"/>
                                  <w:sz w:val="28"/>
                                </w:rPr>
                                <w:t xml:space="preserve"> </w:t>
                              </w:r>
                              <w:r>
                                <w:rPr>
                                  <w:rFonts w:ascii="Calibri" w:eastAsia="Calibri" w:hAnsi="Calibri" w:cs="Calibri"/>
                                  <w:color w:val="595959"/>
                                  <w:w w:val="98"/>
                                  <w:sz w:val="28"/>
                                </w:rPr>
                                <w:t>Grants</w:t>
                              </w:r>
                            </w:p>
                          </w:txbxContent>
                        </wps:txbx>
                        <wps:bodyPr horzOverflow="overflow" vert="horz" lIns="0" tIns="0" rIns="0" bIns="0" rtlCol="0">
                          <a:noAutofit/>
                        </wps:bodyPr>
                      </wps:wsp>
                      <wps:wsp>
                        <wps:cNvPr id="1900078164" name="Shape 159"/>
                        <wps:cNvSpPr/>
                        <wps:spPr>
                          <a:xfrm>
                            <a:off x="0" y="0"/>
                            <a:ext cx="3622548" cy="2382774"/>
                          </a:xfrm>
                          <a:custGeom>
                            <a:avLst/>
                            <a:gdLst/>
                            <a:ahLst/>
                            <a:cxnLst/>
                            <a:rect l="0" t="0" r="0" b="0"/>
                            <a:pathLst>
                              <a:path w="3622548" h="2382774">
                                <a:moveTo>
                                  <a:pt x="0" y="2382774"/>
                                </a:moveTo>
                                <a:lnTo>
                                  <a:pt x="3622548" y="2382774"/>
                                </a:lnTo>
                                <a:lnTo>
                                  <a:pt x="3622548" y="0"/>
                                </a:lnTo>
                                <a:lnTo>
                                  <a:pt x="0" y="0"/>
                                </a:lnTo>
                                <a:close/>
                              </a:path>
                            </a:pathLst>
                          </a:custGeom>
                          <a:ln w="9525" cap="flat">
                            <a:round/>
                          </a:ln>
                        </wps:spPr>
                        <wps:style>
                          <a:lnRef idx="1">
                            <a:srgbClr val="D9D9D9"/>
                          </a:lnRef>
                          <a:fillRef idx="0">
                            <a:srgbClr val="000000">
                              <a:alpha val="0"/>
                            </a:srgbClr>
                          </a:fillRef>
                          <a:effectRef idx="0">
                            <a:scrgbClr r="0" g="0" b="0"/>
                          </a:effectRef>
                          <a:fontRef idx="none"/>
                        </wps:style>
                        <wps:bodyPr/>
                      </wps:wsp>
                    </wpg:wgp>
                  </a:graphicData>
                </a:graphic>
              </wp:inline>
            </w:drawing>
          </mc:Choice>
          <mc:Fallback>
            <w:pict>
              <v:group w14:anchorId="7F8E8E84" id="Group 1221262069" o:spid="_x0000_s1104" style="width:285.25pt;height:187.6pt;mso-position-horizontal-relative:char;mso-position-vertical-relative:line" coordsize="36225,238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">
                <v:shape id="Shape 134" o:spid="_x0000_s1105" style="position:absolute;left:5073;top:19095;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" path="m,l2975483,e" filled="f" strokecolor="#d9d9d9">
                  <v:path arrowok="t" textboxrect="0,0,2975483,0"/>
                </v:shape>
                <v:shape id="Shape 135" o:spid="_x0000_s1106" style="position:absolute;left:5073;top:17297;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" path="m,l2975483,e" filled="f" strokecolor="#d9d9d9">
                  <v:path arrowok="t" textboxrect="0,0,2975483,0"/>
                </v:shape>
                <v:shape id="Shape 136" o:spid="_x0000_s1107" style="position:absolute;left:5073;top:15499;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" path="m,l2975483,e" filled="f" strokecolor="#d9d9d9">
                  <v:path arrowok="t" textboxrect="0,0,2975483,0"/>
                </v:shape>
                <v:shape id="Shape 137" o:spid="_x0000_s1108" style="position:absolute;left:5073;top:13700;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" path="m,l2975483,e" filled="f" strokecolor="#d9d9d9">
                  <v:path arrowok="t" textboxrect="0,0,2975483,0"/>
                </v:shape>
                <v:shape id="Shape 138" o:spid="_x0000_s1109" style="position:absolute;left:5073;top:11902;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" path="m,l2975483,e" filled="f" strokecolor="#d9d9d9">
                  <v:path arrowok="t" textboxrect="0,0,2975483,0"/>
                </v:shape>
                <v:shape id="Shape 139" o:spid="_x0000_s1110" style="position:absolute;left:5073;top:10104;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" path="m,l2975483,e" filled="f" strokecolor="#d9d9d9">
                  <v:path arrowok="t" textboxrect="0,0,2975483,0"/>
                </v:shape>
                <v:shape id="Shape 140" o:spid="_x0000_s1111" style="position:absolute;left:5073;top:8305;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" path="m,l2975483,e" filled="f" strokecolor="#d9d9d9">
                  <v:path arrowok="t" textboxrect="0,0,2975483,0"/>
                </v:shape>
                <v:shape id="Shape 141" o:spid="_x0000_s1112" style="position:absolute;left:5073;top:6507;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" path="m,l2975483,e" filled="f" strokecolor="#d9d9d9">
                  <v:path arrowok="t" textboxrect="0,0,2975483,0"/>
                </v:shape>
                <v:shape id="Shape 142" o:spid="_x0000_s1113" style="position:absolute;left:5073;top:4710;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" path="m,l2975483,e" filled="f" strokecolor="#d9d9d9">
                  <v:path arrowok="t" textboxrect="0,0,2975483,0"/>
                </v:shape>
                <v:shape id="Shape 2100" o:spid="_x0000_s1114" style="position:absolute;left:25054;top:17175;width:4664;height:3716;visibility:visible;mso-wrap-style:square;v-text-anchor:top" coordsize="466344,3716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" path="m,l466344,r,371602l,371602,,e" fillcolor="#156082" stroked="f" strokeweight="0">
                  <v:path arrowok="t" textboxrect="0,0,466344,371602"/>
                </v:shape>
                <v:shape id="Shape 2101" o:spid="_x0000_s1115" style="position:absolute;left:10180;top:7178;width:4663;height:13713;visibility:visible;mso-wrap-style:square;v-text-anchor:top" coordsize="466344,13713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" path="m,l466344,r,1371346l,1371346,,e" fillcolor="#156082" stroked="f" strokeweight="0">
                  <v:path arrowok="t" textboxrect="0,0,466344,1371346"/>
                </v:shape>
                <v:shape id="Shape 145" o:spid="_x0000_s1116" style="position:absolute;left:5073;top:20891;width:29755;height:0;visibility:visible;mso-wrap-style:square;v-text-anchor:top" coordsize="297548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" path="m,l2975483,e" filled="f" strokecolor="#d9d9d9">
                  <v:path arrowok="t" textboxrect="0,0,2975483,0"/>
                </v:shape>
                <v:rect id="Rectangle 144208836" o:spid="_x0000_s1117" style="position:absolute;left:3441;top:20128;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" filled="f" stroked="f">
                  <v:textbox inset="0,0,0,0">
                    <w:txbxContent>
                      <w:p w14:paraId="373348C6" w14:textId="77777777" w:rsidR="004A784B" w:rsidRDefault="004A784B" w:rsidP="004A784B">
                        <w:r>
                          <w:rPr>
                            <w:rFonts w:ascii="Calibri" w:eastAsia="Calibri" w:hAnsi="Calibri" w:cs="Calibri"/>
                            <w:color w:val="595959"/>
                            <w:sz w:val="18"/>
                          </w:rPr>
                          <w:t>0</w:t>
                        </w:r>
                      </w:p>
                    </w:txbxContent>
                  </v:textbox>
                </v:rect>
                <v:rect id="Rectangle 646340269" o:spid="_x0000_s1118" style="position:absolute;left:829;top:18329;width:4256;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" filled="f" stroked="f">
                  <v:textbox inset="0,0,0,0">
                    <w:txbxContent>
                      <w:p w14:paraId="457BA740" w14:textId="77777777" w:rsidR="004A784B" w:rsidRDefault="004A784B" w:rsidP="004A784B">
                        <w:r>
                          <w:rPr>
                            <w:rFonts w:ascii="Calibri" w:eastAsia="Calibri" w:hAnsi="Calibri" w:cs="Calibri"/>
                            <w:color w:val="595959"/>
                            <w:sz w:val="18"/>
                          </w:rPr>
                          <w:t>10,000</w:t>
                        </w:r>
                      </w:p>
                    </w:txbxContent>
                  </v:textbox>
                </v:rect>
                <v:rect id="Rectangle 1312625019" o:spid="_x0000_s1119" style="position:absolute;left:829;top:16531;width:4256;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" filled="f" stroked="f">
                  <v:textbox inset="0,0,0,0">
                    <w:txbxContent>
                      <w:p w14:paraId="33CC1B7E" w14:textId="77777777" w:rsidR="004A784B" w:rsidRDefault="004A784B" w:rsidP="004A784B">
                        <w:r>
                          <w:rPr>
                            <w:rFonts w:ascii="Calibri" w:eastAsia="Calibri" w:hAnsi="Calibri" w:cs="Calibri"/>
                            <w:color w:val="595959"/>
                            <w:sz w:val="18"/>
                          </w:rPr>
                          <w:t>20,000</w:t>
                        </w:r>
                      </w:p>
                    </w:txbxContent>
                  </v:textbox>
                </v:rect>
                <v:rect id="Rectangle 879003471" o:spid="_x0000_s1120" style="position:absolute;left:829;top:14733;width:4256;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" filled="f" stroked="f">
                  <v:textbox inset="0,0,0,0">
                    <w:txbxContent>
                      <w:p w14:paraId="38477110" w14:textId="77777777" w:rsidR="004A784B" w:rsidRDefault="004A784B" w:rsidP="004A784B">
                        <w:r>
                          <w:rPr>
                            <w:rFonts w:ascii="Calibri" w:eastAsia="Calibri" w:hAnsi="Calibri" w:cs="Calibri"/>
                            <w:color w:val="595959"/>
                            <w:sz w:val="18"/>
                          </w:rPr>
                          <w:t>30,000</w:t>
                        </w:r>
                      </w:p>
                    </w:txbxContent>
                  </v:textbox>
                </v:rect>
                <v:rect id="Rectangle 1226504932" o:spid="_x0000_s1121" style="position:absolute;left:829;top:12934;width:4256;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" filled="f" stroked="f">
                  <v:textbox inset="0,0,0,0">
                    <w:txbxContent>
                      <w:p w14:paraId="27C946CF" w14:textId="77777777" w:rsidR="004A784B" w:rsidRDefault="004A784B" w:rsidP="004A784B">
                        <w:r>
                          <w:rPr>
                            <w:rFonts w:ascii="Calibri" w:eastAsia="Calibri" w:hAnsi="Calibri" w:cs="Calibri"/>
                            <w:color w:val="595959"/>
                            <w:sz w:val="18"/>
                          </w:rPr>
                          <w:t>40,000</w:t>
                        </w:r>
                      </w:p>
                    </w:txbxContent>
                  </v:textbox>
                </v:rect>
                <v:rect id="Rectangle 2125899550" o:spid="_x0000_s1122" style="position:absolute;left:829;top:11136;width:4256;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" filled="f" stroked="f">
                  <v:textbox inset="0,0,0,0">
                    <w:txbxContent>
                      <w:p w14:paraId="6FAE3E6D" w14:textId="77777777" w:rsidR="004A784B" w:rsidRDefault="004A784B" w:rsidP="004A784B">
                        <w:r>
                          <w:rPr>
                            <w:rFonts w:ascii="Calibri" w:eastAsia="Calibri" w:hAnsi="Calibri" w:cs="Calibri"/>
                            <w:color w:val="595959"/>
                            <w:sz w:val="18"/>
                          </w:rPr>
                          <w:t>50,000</w:t>
                        </w:r>
                      </w:p>
                    </w:txbxContent>
                  </v:textbox>
                </v:rect>
                <v:rect id="Rectangle 234847604" o:spid="_x0000_s1123" style="position:absolute;left:829;top:9338;width:4256;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" filled="f" stroked="f">
                  <v:textbox inset="0,0,0,0">
                    <w:txbxContent>
                      <w:p w14:paraId="0A9DC387" w14:textId="77777777" w:rsidR="004A784B" w:rsidRDefault="004A784B" w:rsidP="004A784B">
                        <w:r>
                          <w:rPr>
                            <w:rFonts w:ascii="Calibri" w:eastAsia="Calibri" w:hAnsi="Calibri" w:cs="Calibri"/>
                            <w:color w:val="595959"/>
                            <w:sz w:val="18"/>
                          </w:rPr>
                          <w:t>60,000</w:t>
                        </w:r>
                      </w:p>
                    </w:txbxContent>
                  </v:textbox>
                </v:rect>
                <v:rect id="Rectangle 772681531" o:spid="_x0000_s1124" style="position:absolute;left:829;top:7539;width:4256;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" filled="f" stroked="f">
                  <v:textbox inset="0,0,0,0">
                    <w:txbxContent>
                      <w:p w14:paraId="6162C31F" w14:textId="77777777" w:rsidR="004A784B" w:rsidRDefault="004A784B" w:rsidP="004A784B">
                        <w:r>
                          <w:rPr>
                            <w:rFonts w:ascii="Calibri" w:eastAsia="Calibri" w:hAnsi="Calibri" w:cs="Calibri"/>
                            <w:color w:val="595959"/>
                            <w:sz w:val="18"/>
                          </w:rPr>
                          <w:t>70,000</w:t>
                        </w:r>
                      </w:p>
                    </w:txbxContent>
                  </v:textbox>
                </v:rect>
                <v:rect id="Rectangle 199892621" o:spid="_x0000_s1125" style="position:absolute;left:829;top:5741;width:4256;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" filled="f" stroked="f">
                  <v:textbox inset="0,0,0,0">
                    <w:txbxContent>
                      <w:p w14:paraId="24E45521" w14:textId="77777777" w:rsidR="004A784B" w:rsidRDefault="004A784B" w:rsidP="004A784B">
                        <w:r>
                          <w:rPr>
                            <w:rFonts w:ascii="Calibri" w:eastAsia="Calibri" w:hAnsi="Calibri" w:cs="Calibri"/>
                            <w:color w:val="595959"/>
                            <w:sz w:val="18"/>
                          </w:rPr>
                          <w:t>80,000</w:t>
                        </w:r>
                      </w:p>
                    </w:txbxContent>
                  </v:textbox>
                </v:rect>
                <v:rect id="Rectangle 1525549424" o:spid="_x0000_s1126" style="position:absolute;left:829;top:3940;width:4259;height:1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" filled="f" stroked="f">
                  <v:textbox inset="0,0,0,0">
                    <w:txbxContent>
                      <w:p w14:paraId="66A296CC" w14:textId="77777777" w:rsidR="004A784B" w:rsidRDefault="004A784B" w:rsidP="004A784B">
                        <w:r>
                          <w:rPr>
                            <w:rFonts w:ascii="Calibri" w:eastAsia="Calibri" w:hAnsi="Calibri" w:cs="Calibri"/>
                            <w:color w:val="595959"/>
                            <w:sz w:val="18"/>
                          </w:rPr>
                          <w:t>90,000</w:t>
                        </w:r>
                      </w:p>
                    </w:txbxContent>
                  </v:textbox>
                </v:rect>
                <v:rect id="Rectangle 1546748331" o:spid="_x0000_s1127" style="position:absolute;left:10025;top:21603;width:6627;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" filled="f" stroked="f">
                  <v:textbox inset="0,0,0,0">
                    <w:txbxContent>
                      <w:p w14:paraId="067FF8B7" w14:textId="77777777" w:rsidR="004A784B" w:rsidRDefault="004A784B" w:rsidP="004A784B">
                        <w:r>
                          <w:rPr>
                            <w:rFonts w:ascii="Calibri" w:eastAsia="Calibri" w:hAnsi="Calibri" w:cs="Calibri"/>
                            <w:color w:val="595959"/>
                            <w:w w:val="99"/>
                            <w:sz w:val="18"/>
                          </w:rPr>
                          <w:t>2021-2023</w:t>
                        </w:r>
                      </w:p>
                    </w:txbxContent>
                  </v:textbox>
                </v:rect>
                <v:rect id="Rectangle 248999565" o:spid="_x0000_s1128" style="position:absolute;left:24904;top:21603;width:6627;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" filled="f" stroked="f">
                  <v:textbox inset="0,0,0,0">
                    <w:txbxContent>
                      <w:p w14:paraId="76752778" w14:textId="77777777" w:rsidR="004A784B" w:rsidRDefault="004A784B" w:rsidP="004A784B">
                        <w:r>
                          <w:rPr>
                            <w:rFonts w:ascii="Calibri" w:eastAsia="Calibri" w:hAnsi="Calibri" w:cs="Calibri"/>
                            <w:color w:val="595959"/>
                            <w:w w:val="99"/>
                            <w:sz w:val="18"/>
                          </w:rPr>
                          <w:t>2024-2026</w:t>
                        </w:r>
                      </w:p>
                    </w:txbxContent>
                  </v:textbox>
                </v:rect>
                <v:rect id="Rectangle 226976166" o:spid="_x0000_s1129" style="position:absolute;left:11140;top:955;width:18562;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" filled="f" stroked="f">
                  <v:textbox inset="0,0,0,0">
                    <w:txbxContent>
                      <w:p w14:paraId="07782022" w14:textId="77777777" w:rsidR="004A784B" w:rsidRDefault="004A784B" w:rsidP="004A784B">
                        <w:r>
                          <w:rPr>
                            <w:rFonts w:ascii="Calibri" w:eastAsia="Calibri" w:hAnsi="Calibri" w:cs="Calibri"/>
                            <w:color w:val="595959"/>
                            <w:w w:val="98"/>
                            <w:sz w:val="28"/>
                          </w:rPr>
                          <w:t>Average</w:t>
                        </w:r>
                        <w:r>
                          <w:rPr>
                            <w:rFonts w:ascii="Calibri" w:eastAsia="Calibri" w:hAnsi="Calibri" w:cs="Calibri"/>
                            <w:color w:val="595959"/>
                            <w:spacing w:val="-12"/>
                            <w:w w:val="98"/>
                            <w:sz w:val="28"/>
                          </w:rPr>
                          <w:t xml:space="preserve"> </w:t>
                        </w:r>
                        <w:r>
                          <w:rPr>
                            <w:rFonts w:ascii="Calibri" w:eastAsia="Calibri" w:hAnsi="Calibri" w:cs="Calibri"/>
                            <w:color w:val="595959"/>
                            <w:w w:val="98"/>
                            <w:sz w:val="28"/>
                          </w:rPr>
                          <w:t>Visa</w:t>
                        </w:r>
                        <w:r>
                          <w:rPr>
                            <w:rFonts w:ascii="Calibri" w:eastAsia="Calibri" w:hAnsi="Calibri" w:cs="Calibri"/>
                            <w:color w:val="595959"/>
                            <w:spacing w:val="-13"/>
                            <w:w w:val="98"/>
                            <w:sz w:val="28"/>
                          </w:rPr>
                          <w:t xml:space="preserve"> </w:t>
                        </w:r>
                        <w:r>
                          <w:rPr>
                            <w:rFonts w:ascii="Calibri" w:eastAsia="Calibri" w:hAnsi="Calibri" w:cs="Calibri"/>
                            <w:color w:val="595959"/>
                            <w:w w:val="98"/>
                            <w:sz w:val="28"/>
                          </w:rPr>
                          <w:t>Grants</w:t>
                        </w:r>
                      </w:p>
                    </w:txbxContent>
                  </v:textbox>
                </v:rect>
                <v:shape id="Shape 159" o:spid="_x0000_s1130" style="position:absolute;width:36225;height:23827;visibility:visible;mso-wrap-style:square;v-text-anchor:top" coordsize="3622548,2382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" path="m,2382774r3622548,l3622548,,,,,2382774xe" filled="f" strokecolor="#d9d9d9">
                  <v:path arrowok="t" textboxrect="0,0,3622548,2382774"/>
                </v:shape>
                <w10:anchorlock/>
              </v:group>
            </w:pict>
          </mc:Fallback>
        </mc:AlternateContent>
      </w:r>
    </w:p>
    <w:p w14:paraId="3828C23C" w14:textId="77777777" w:rsidR="00047DC5" w:rsidRDefault="00047DC5" w:rsidP="00047DC5">
      <w:pPr>
        <w:spacing w:line="360" w:lineRule="auto"/>
        <w:jc w:val="both"/>
        <w:rPr>
          <w:rFonts w:ascii="Arial" w:hAnsi="Arial" w:cs="Arial"/>
          <w:i/>
          <w:iCs/>
        </w:rPr>
      </w:pPr>
      <w:r>
        <w:rPr>
          <w:rFonts w:ascii="Arial" w:hAnsi="Arial" w:cs="Arial"/>
          <w:i/>
          <w:iCs/>
        </w:rPr>
        <w:t>Source: Home Office (2024; 2025b; 2026).</w:t>
      </w:r>
    </w:p>
    <w:p w14:paraId="0EB0596F" w14:textId="77777777" w:rsidR="00047DC5" w:rsidRDefault="00047DC5" w:rsidP="00047DC5">
      <w:pPr>
        <w:spacing w:line="360" w:lineRule="auto"/>
        <w:jc w:val="both"/>
        <w:rPr>
          <w:rFonts w:ascii="Arial" w:hAnsi="Arial" w:cs="Arial"/>
          <w:b/>
          <w:bCs/>
        </w:rPr>
      </w:pPr>
      <w:r>
        <w:rPr>
          <w:rFonts w:ascii="Arial" w:hAnsi="Arial" w:cs="Arial"/>
          <w:b/>
          <w:bCs/>
        </w:rPr>
        <w:t>A.2 Correlation Analysis</w:t>
      </w:r>
    </w:p>
    <w:p w14:paraId="1E639E70" w14:textId="77777777" w:rsidR="00047DC5" w:rsidRDefault="00047DC5" w:rsidP="00047DC5">
      <w:pPr>
        <w:spacing w:line="360" w:lineRule="auto"/>
        <w:jc w:val="both"/>
        <w:rPr>
          <w:rFonts w:ascii="Arial" w:hAnsi="Arial" w:cs="Arial"/>
        </w:rPr>
      </w:pPr>
      <w:r>
        <w:rPr>
          <w:rFonts w:ascii="Arial" w:hAnsi="Arial" w:cs="Arial"/>
        </w:rPr>
        <w:t xml:space="preserve">The correlation analysis examined the relationships between visa grant rates and the four immigration policy variables—RQF Level, Salary Threshold, </w:t>
      </w:r>
      <w:proofErr w:type="spellStart"/>
      <w:r>
        <w:rPr>
          <w:rFonts w:ascii="Arial" w:hAnsi="Arial" w:cs="Arial"/>
        </w:rPr>
        <w:t>Dependant</w:t>
      </w:r>
      <w:proofErr w:type="spellEnd"/>
      <w:r>
        <w:rPr>
          <w:rFonts w:ascii="Arial" w:hAnsi="Arial" w:cs="Arial"/>
        </w:rPr>
        <w:t xml:space="preserve"> Restriction, and Overseas Closure—to identify the strength and direction of associations.</w:t>
      </w:r>
    </w:p>
    <w:p w14:paraId="6EC2017B" w14:textId="77777777" w:rsidR="00047DC5" w:rsidRDefault="00047DC5" w:rsidP="00047DC5">
      <w:pPr>
        <w:pStyle w:val="Caption"/>
        <w:keepNext/>
      </w:pPr>
      <w:bookmarkStart w:id="187" w:name="_Toc238206097"/>
      <w:r>
        <w:rPr>
          <w:sz w:val="28"/>
          <w:szCs w:val="28"/>
        </w:rPr>
        <w:lastRenderedPageBreak/>
        <w:t>Table 13 Results of Correlation.</w:t>
      </w:r>
      <w:bookmarkEnd w:id="187"/>
    </w:p>
    <w:p w14:paraId="23BFC0E0" w14:textId="77777777" w:rsidR="00047DC5" w:rsidRDefault="00047DC5" w:rsidP="00047DC5">
      <w:r>
        <w:object w:dxaOrig="9669" w:dyaOrig="3069" w14:anchorId="38261838">
          <v:shape id="Object 4" o:spid="_x0000_i1028" type="#_x0000_t75" style="width:483pt;height:153.75pt;visibility:visible;mso-wrap-style:square" o:ole="">
            <v:imagedata r:id="rId38" o:title=""/>
          </v:shape>
          <o:OLEObject Type="Embed" ProgID="Excel.Sheet.8" ShapeID="Object 4" DrawAspect="Content" ObjectID="_1849297599" r:id="rId39"/>
        </w:object>
      </w:r>
    </w:p>
    <w:p w14:paraId="0E570827" w14:textId="77777777" w:rsidR="00047DC5" w:rsidRDefault="00047DC5" w:rsidP="00047DC5">
      <w:r>
        <w:rPr>
          <w:rFonts w:ascii="Arial" w:hAnsi="Arial" w:cs="Arial"/>
          <w:i/>
          <w:iCs/>
        </w:rPr>
        <w:t>Source: Correlation analysis of Home Office visa statistics (2020–2026) conducted in Microsoft Excel.</w:t>
      </w:r>
    </w:p>
    <w:p w14:paraId="3BE06B2D" w14:textId="77777777" w:rsidR="00047DC5" w:rsidRDefault="00047DC5" w:rsidP="00047DC5">
      <w:pPr>
        <w:pStyle w:val="Caption"/>
        <w:keepNext/>
      </w:pPr>
      <w:bookmarkStart w:id="188" w:name="_Toc238206098"/>
      <w:r>
        <w:rPr>
          <w:sz w:val="28"/>
          <w:szCs w:val="28"/>
        </w:rPr>
        <w:t>Table 14 Correlation Matrix.</w:t>
      </w:r>
      <w:bookmarkEnd w:id="188"/>
    </w:p>
    <w:tbl>
      <w:tblPr>
        <w:tblW w:w="9932" w:type="dxa"/>
        <w:tblCellMar>
          <w:left w:w="10" w:type="dxa"/>
          <w:right w:w="10" w:type="dxa"/>
        </w:tblCellMar>
        <w:tblLook w:val="04A0" w:firstRow="1" w:lastRow="0" w:firstColumn="1" w:lastColumn="0" w:noHBand="0" w:noVBand="1"/>
      </w:tblPr>
      <w:tblGrid>
        <w:gridCol w:w="1769"/>
        <w:gridCol w:w="1371"/>
        <w:gridCol w:w="1214"/>
        <w:gridCol w:w="1806"/>
        <w:gridCol w:w="2009"/>
        <w:gridCol w:w="1763"/>
      </w:tblGrid>
      <w:tr w:rsidR="00047DC5" w14:paraId="012B146A" w14:textId="77777777" w:rsidTr="00AE2E92">
        <w:trPr>
          <w:trHeight w:val="583"/>
          <w:tblHeader/>
        </w:trPr>
        <w:tc>
          <w:tcPr>
            <w:tcW w:w="1769"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2B7C813B" w14:textId="77777777" w:rsidR="00047DC5" w:rsidRDefault="00047DC5" w:rsidP="00AE2E92">
            <w:pPr>
              <w:spacing w:line="360" w:lineRule="auto"/>
              <w:jc w:val="both"/>
              <w:rPr>
                <w:rFonts w:ascii="Arial" w:hAnsi="Arial" w:cs="Arial"/>
                <w:b/>
                <w:bCs/>
              </w:rPr>
            </w:pPr>
            <w:r>
              <w:rPr>
                <w:rFonts w:ascii="Arial" w:hAnsi="Arial" w:cs="Arial"/>
                <w:b/>
                <w:bCs/>
              </w:rPr>
              <w:t>Variable</w:t>
            </w:r>
          </w:p>
        </w:tc>
        <w:tc>
          <w:tcPr>
            <w:tcW w:w="137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62766CC7" w14:textId="77777777" w:rsidR="00047DC5" w:rsidRDefault="00047DC5" w:rsidP="00AE2E92">
            <w:pPr>
              <w:spacing w:line="360" w:lineRule="auto"/>
              <w:jc w:val="both"/>
              <w:rPr>
                <w:rFonts w:ascii="Arial" w:hAnsi="Arial" w:cs="Arial"/>
                <w:b/>
                <w:bCs/>
              </w:rPr>
            </w:pPr>
            <w:r>
              <w:rPr>
                <w:rFonts w:ascii="Arial" w:hAnsi="Arial" w:cs="Arial"/>
                <w:b/>
                <w:bCs/>
              </w:rPr>
              <w:t>Visa Grants</w:t>
            </w:r>
          </w:p>
        </w:tc>
        <w:tc>
          <w:tcPr>
            <w:tcW w:w="1214"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7437FEE8" w14:textId="77777777" w:rsidR="00047DC5" w:rsidRDefault="00047DC5" w:rsidP="00AE2E92">
            <w:pPr>
              <w:spacing w:line="360" w:lineRule="auto"/>
              <w:jc w:val="both"/>
              <w:rPr>
                <w:rFonts w:ascii="Arial" w:hAnsi="Arial" w:cs="Arial"/>
                <w:b/>
                <w:bCs/>
              </w:rPr>
            </w:pPr>
            <w:r>
              <w:rPr>
                <w:rFonts w:ascii="Arial" w:hAnsi="Arial" w:cs="Arial"/>
                <w:b/>
                <w:bCs/>
              </w:rPr>
              <w:t>RQF Level</w:t>
            </w:r>
          </w:p>
        </w:tc>
        <w:tc>
          <w:tcPr>
            <w:tcW w:w="1806"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233B0AB6" w14:textId="77777777" w:rsidR="00047DC5" w:rsidRDefault="00047DC5" w:rsidP="00AE2E92">
            <w:pPr>
              <w:spacing w:line="360" w:lineRule="auto"/>
              <w:jc w:val="both"/>
              <w:rPr>
                <w:rFonts w:ascii="Arial" w:hAnsi="Arial" w:cs="Arial"/>
                <w:b/>
                <w:bCs/>
              </w:rPr>
            </w:pPr>
            <w:r>
              <w:rPr>
                <w:rFonts w:ascii="Arial" w:hAnsi="Arial" w:cs="Arial"/>
                <w:b/>
                <w:bCs/>
              </w:rPr>
              <w:t>Salary Threshold</w:t>
            </w:r>
          </w:p>
        </w:tc>
        <w:tc>
          <w:tcPr>
            <w:tcW w:w="2009"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2B16A87B" w14:textId="77777777" w:rsidR="00047DC5" w:rsidRDefault="00047DC5" w:rsidP="00AE2E92">
            <w:pPr>
              <w:spacing w:line="360" w:lineRule="auto"/>
              <w:jc w:val="both"/>
              <w:rPr>
                <w:rFonts w:ascii="Arial" w:hAnsi="Arial" w:cs="Arial"/>
                <w:b/>
                <w:bCs/>
              </w:rPr>
            </w:pPr>
            <w:proofErr w:type="spellStart"/>
            <w:r>
              <w:rPr>
                <w:rFonts w:ascii="Arial" w:hAnsi="Arial" w:cs="Arial"/>
                <w:b/>
                <w:bCs/>
              </w:rPr>
              <w:t>Dependant</w:t>
            </w:r>
            <w:proofErr w:type="spellEnd"/>
            <w:r>
              <w:rPr>
                <w:rFonts w:ascii="Arial" w:hAnsi="Arial" w:cs="Arial"/>
                <w:b/>
                <w:bCs/>
              </w:rPr>
              <w:t xml:space="preserve"> Restriction</w:t>
            </w:r>
          </w:p>
        </w:tc>
        <w:tc>
          <w:tcPr>
            <w:tcW w:w="1763"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1F4A51A6" w14:textId="77777777" w:rsidR="00047DC5" w:rsidRDefault="00047DC5" w:rsidP="00AE2E92">
            <w:pPr>
              <w:spacing w:line="360" w:lineRule="auto"/>
              <w:jc w:val="both"/>
              <w:rPr>
                <w:rFonts w:ascii="Arial" w:hAnsi="Arial" w:cs="Arial"/>
                <w:b/>
                <w:bCs/>
              </w:rPr>
            </w:pPr>
            <w:r>
              <w:rPr>
                <w:rFonts w:ascii="Arial" w:hAnsi="Arial" w:cs="Arial"/>
                <w:b/>
                <w:bCs/>
              </w:rPr>
              <w:t>Overseas Closure</w:t>
            </w:r>
          </w:p>
        </w:tc>
      </w:tr>
      <w:tr w:rsidR="00047DC5" w14:paraId="792255DB" w14:textId="77777777" w:rsidTr="00AE2E92">
        <w:trPr>
          <w:trHeight w:val="343"/>
        </w:trPr>
        <w:tc>
          <w:tcPr>
            <w:tcW w:w="1769"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6CBAE871" w14:textId="77777777" w:rsidR="00047DC5" w:rsidRDefault="00047DC5" w:rsidP="00AE2E92">
            <w:pPr>
              <w:spacing w:line="360" w:lineRule="auto"/>
              <w:jc w:val="both"/>
            </w:pPr>
            <w:r>
              <w:rPr>
                <w:rFonts w:ascii="Arial" w:hAnsi="Arial" w:cs="Arial"/>
                <w:b/>
                <w:bCs/>
              </w:rPr>
              <w:t>Visa Grants</w:t>
            </w:r>
          </w:p>
        </w:tc>
        <w:tc>
          <w:tcPr>
            <w:tcW w:w="137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59743142" w14:textId="77777777" w:rsidR="00047DC5" w:rsidRDefault="00047DC5" w:rsidP="00AE2E92">
            <w:pPr>
              <w:spacing w:line="360" w:lineRule="auto"/>
              <w:jc w:val="both"/>
              <w:rPr>
                <w:rFonts w:ascii="Arial" w:hAnsi="Arial" w:cs="Arial"/>
              </w:rPr>
            </w:pPr>
            <w:r>
              <w:rPr>
                <w:rFonts w:ascii="Arial" w:hAnsi="Arial" w:cs="Arial"/>
              </w:rPr>
              <w:t>1.00</w:t>
            </w:r>
          </w:p>
        </w:tc>
        <w:tc>
          <w:tcPr>
            <w:tcW w:w="1214"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5992A03E" w14:textId="77777777" w:rsidR="00047DC5" w:rsidRDefault="00047DC5" w:rsidP="00AE2E92">
            <w:pPr>
              <w:spacing w:line="360" w:lineRule="auto"/>
              <w:jc w:val="both"/>
              <w:rPr>
                <w:rFonts w:ascii="Arial" w:hAnsi="Arial" w:cs="Arial"/>
              </w:rPr>
            </w:pPr>
            <w:r>
              <w:rPr>
                <w:rFonts w:ascii="Arial" w:hAnsi="Arial" w:cs="Arial"/>
              </w:rPr>
              <w:t>-0.50</w:t>
            </w:r>
          </w:p>
        </w:tc>
        <w:tc>
          <w:tcPr>
            <w:tcW w:w="1806"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691A609C" w14:textId="77777777" w:rsidR="00047DC5" w:rsidRDefault="00047DC5" w:rsidP="00AE2E92">
            <w:pPr>
              <w:spacing w:line="360" w:lineRule="auto"/>
              <w:jc w:val="both"/>
              <w:rPr>
                <w:rFonts w:ascii="Arial" w:hAnsi="Arial" w:cs="Arial"/>
              </w:rPr>
            </w:pPr>
            <w:r>
              <w:rPr>
                <w:rFonts w:ascii="Arial" w:hAnsi="Arial" w:cs="Arial"/>
              </w:rPr>
              <w:t>-0.50</w:t>
            </w:r>
          </w:p>
        </w:tc>
        <w:tc>
          <w:tcPr>
            <w:tcW w:w="2009"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33F924B4" w14:textId="77777777" w:rsidR="00047DC5" w:rsidRDefault="00047DC5" w:rsidP="00AE2E92">
            <w:pPr>
              <w:spacing w:line="360" w:lineRule="auto"/>
              <w:jc w:val="both"/>
              <w:rPr>
                <w:rFonts w:ascii="Arial" w:hAnsi="Arial" w:cs="Arial"/>
              </w:rPr>
            </w:pPr>
            <w:r>
              <w:rPr>
                <w:rFonts w:ascii="Arial" w:hAnsi="Arial" w:cs="Arial"/>
              </w:rPr>
              <w:t>-0.62</w:t>
            </w:r>
          </w:p>
        </w:tc>
        <w:tc>
          <w:tcPr>
            <w:tcW w:w="1763"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7801D3AC" w14:textId="77777777" w:rsidR="00047DC5" w:rsidRDefault="00047DC5" w:rsidP="00AE2E92">
            <w:pPr>
              <w:spacing w:line="360" w:lineRule="auto"/>
              <w:jc w:val="both"/>
              <w:rPr>
                <w:rFonts w:ascii="Arial" w:hAnsi="Arial" w:cs="Arial"/>
              </w:rPr>
            </w:pPr>
            <w:r>
              <w:rPr>
                <w:rFonts w:ascii="Arial" w:hAnsi="Arial" w:cs="Arial"/>
              </w:rPr>
              <w:t>-0.50</w:t>
            </w:r>
          </w:p>
        </w:tc>
      </w:tr>
      <w:tr w:rsidR="00047DC5" w14:paraId="779EB25B" w14:textId="77777777" w:rsidTr="00AE2E92">
        <w:trPr>
          <w:trHeight w:val="343"/>
        </w:trPr>
        <w:tc>
          <w:tcPr>
            <w:tcW w:w="1769"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3544B3D0" w14:textId="77777777" w:rsidR="00047DC5" w:rsidRDefault="00047DC5" w:rsidP="00AE2E92">
            <w:pPr>
              <w:spacing w:line="360" w:lineRule="auto"/>
              <w:jc w:val="both"/>
            </w:pPr>
            <w:r>
              <w:rPr>
                <w:rFonts w:ascii="Arial" w:hAnsi="Arial" w:cs="Arial"/>
                <w:b/>
                <w:bCs/>
              </w:rPr>
              <w:t>RQF Level</w:t>
            </w:r>
          </w:p>
        </w:tc>
        <w:tc>
          <w:tcPr>
            <w:tcW w:w="137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27B2F2C7" w14:textId="77777777" w:rsidR="00047DC5" w:rsidRDefault="00047DC5" w:rsidP="00AE2E92">
            <w:pPr>
              <w:spacing w:line="360" w:lineRule="auto"/>
              <w:jc w:val="both"/>
              <w:rPr>
                <w:rFonts w:ascii="Arial" w:hAnsi="Arial" w:cs="Arial"/>
              </w:rPr>
            </w:pPr>
            <w:r>
              <w:rPr>
                <w:rFonts w:ascii="Arial" w:hAnsi="Arial" w:cs="Arial"/>
              </w:rPr>
              <w:t>-0.50</w:t>
            </w:r>
          </w:p>
        </w:tc>
        <w:tc>
          <w:tcPr>
            <w:tcW w:w="1214"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17188952" w14:textId="77777777" w:rsidR="00047DC5" w:rsidRDefault="00047DC5" w:rsidP="00AE2E92">
            <w:pPr>
              <w:spacing w:line="360" w:lineRule="auto"/>
              <w:jc w:val="both"/>
              <w:rPr>
                <w:rFonts w:ascii="Arial" w:hAnsi="Arial" w:cs="Arial"/>
              </w:rPr>
            </w:pPr>
            <w:r>
              <w:rPr>
                <w:rFonts w:ascii="Arial" w:hAnsi="Arial" w:cs="Arial"/>
              </w:rPr>
              <w:t>1.00</w:t>
            </w:r>
          </w:p>
        </w:tc>
        <w:tc>
          <w:tcPr>
            <w:tcW w:w="1806"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2358DE24" w14:textId="77777777" w:rsidR="00047DC5" w:rsidRDefault="00047DC5" w:rsidP="00AE2E92">
            <w:pPr>
              <w:spacing w:line="360" w:lineRule="auto"/>
              <w:jc w:val="both"/>
              <w:rPr>
                <w:rFonts w:ascii="Arial" w:hAnsi="Arial" w:cs="Arial"/>
              </w:rPr>
            </w:pPr>
            <w:r>
              <w:rPr>
                <w:rFonts w:ascii="Arial" w:hAnsi="Arial" w:cs="Arial"/>
              </w:rPr>
              <w:t>1.00</w:t>
            </w:r>
          </w:p>
        </w:tc>
        <w:tc>
          <w:tcPr>
            <w:tcW w:w="2009"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234ECC45" w14:textId="77777777" w:rsidR="00047DC5" w:rsidRDefault="00047DC5" w:rsidP="00AE2E92">
            <w:pPr>
              <w:spacing w:line="360" w:lineRule="auto"/>
              <w:jc w:val="both"/>
              <w:rPr>
                <w:rFonts w:ascii="Arial" w:hAnsi="Arial" w:cs="Arial"/>
              </w:rPr>
            </w:pPr>
            <w:r>
              <w:rPr>
                <w:rFonts w:ascii="Arial" w:hAnsi="Arial" w:cs="Arial"/>
              </w:rPr>
              <w:t>0.73</w:t>
            </w:r>
          </w:p>
        </w:tc>
        <w:tc>
          <w:tcPr>
            <w:tcW w:w="1763"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20FF2798" w14:textId="77777777" w:rsidR="00047DC5" w:rsidRDefault="00047DC5" w:rsidP="00AE2E92">
            <w:pPr>
              <w:spacing w:line="360" w:lineRule="auto"/>
              <w:jc w:val="both"/>
              <w:rPr>
                <w:rFonts w:ascii="Arial" w:hAnsi="Arial" w:cs="Arial"/>
              </w:rPr>
            </w:pPr>
            <w:r>
              <w:rPr>
                <w:rFonts w:ascii="Arial" w:hAnsi="Arial" w:cs="Arial"/>
              </w:rPr>
              <w:t>1.00</w:t>
            </w:r>
          </w:p>
        </w:tc>
      </w:tr>
      <w:tr w:rsidR="00047DC5" w14:paraId="4FD51DEB" w14:textId="77777777" w:rsidTr="00AE2E92">
        <w:trPr>
          <w:trHeight w:val="583"/>
        </w:trPr>
        <w:tc>
          <w:tcPr>
            <w:tcW w:w="1769"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1E2D397B" w14:textId="77777777" w:rsidR="00047DC5" w:rsidRDefault="00047DC5" w:rsidP="00AE2E92">
            <w:pPr>
              <w:spacing w:line="360" w:lineRule="auto"/>
              <w:jc w:val="both"/>
            </w:pPr>
            <w:r>
              <w:rPr>
                <w:rFonts w:ascii="Arial" w:hAnsi="Arial" w:cs="Arial"/>
                <w:b/>
                <w:bCs/>
              </w:rPr>
              <w:t>Salary Threshold</w:t>
            </w:r>
          </w:p>
        </w:tc>
        <w:tc>
          <w:tcPr>
            <w:tcW w:w="137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4802F73A" w14:textId="77777777" w:rsidR="00047DC5" w:rsidRDefault="00047DC5" w:rsidP="00AE2E92">
            <w:pPr>
              <w:spacing w:line="360" w:lineRule="auto"/>
              <w:jc w:val="both"/>
              <w:rPr>
                <w:rFonts w:ascii="Arial" w:hAnsi="Arial" w:cs="Arial"/>
              </w:rPr>
            </w:pPr>
            <w:r>
              <w:rPr>
                <w:rFonts w:ascii="Arial" w:hAnsi="Arial" w:cs="Arial"/>
              </w:rPr>
              <w:t>-0.50</w:t>
            </w:r>
          </w:p>
        </w:tc>
        <w:tc>
          <w:tcPr>
            <w:tcW w:w="1214"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34D35A37" w14:textId="77777777" w:rsidR="00047DC5" w:rsidRDefault="00047DC5" w:rsidP="00AE2E92">
            <w:pPr>
              <w:spacing w:line="360" w:lineRule="auto"/>
              <w:jc w:val="both"/>
              <w:rPr>
                <w:rFonts w:ascii="Arial" w:hAnsi="Arial" w:cs="Arial"/>
              </w:rPr>
            </w:pPr>
            <w:r>
              <w:rPr>
                <w:rFonts w:ascii="Arial" w:hAnsi="Arial" w:cs="Arial"/>
              </w:rPr>
              <w:t>1.00</w:t>
            </w:r>
          </w:p>
        </w:tc>
        <w:tc>
          <w:tcPr>
            <w:tcW w:w="1806"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2B38CA45" w14:textId="77777777" w:rsidR="00047DC5" w:rsidRDefault="00047DC5" w:rsidP="00AE2E92">
            <w:pPr>
              <w:spacing w:line="360" w:lineRule="auto"/>
              <w:jc w:val="both"/>
              <w:rPr>
                <w:rFonts w:ascii="Arial" w:hAnsi="Arial" w:cs="Arial"/>
              </w:rPr>
            </w:pPr>
            <w:r>
              <w:rPr>
                <w:rFonts w:ascii="Arial" w:hAnsi="Arial" w:cs="Arial"/>
              </w:rPr>
              <w:t>1.00</w:t>
            </w:r>
          </w:p>
        </w:tc>
        <w:tc>
          <w:tcPr>
            <w:tcW w:w="2009"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3CB48E2F" w14:textId="77777777" w:rsidR="00047DC5" w:rsidRDefault="00047DC5" w:rsidP="00AE2E92">
            <w:pPr>
              <w:spacing w:line="360" w:lineRule="auto"/>
              <w:jc w:val="both"/>
              <w:rPr>
                <w:rFonts w:ascii="Arial" w:hAnsi="Arial" w:cs="Arial"/>
              </w:rPr>
            </w:pPr>
            <w:r>
              <w:rPr>
                <w:rFonts w:ascii="Arial" w:hAnsi="Arial" w:cs="Arial"/>
              </w:rPr>
              <w:t>0.73</w:t>
            </w:r>
          </w:p>
        </w:tc>
        <w:tc>
          <w:tcPr>
            <w:tcW w:w="1763"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75BF8819" w14:textId="77777777" w:rsidR="00047DC5" w:rsidRDefault="00047DC5" w:rsidP="00AE2E92">
            <w:pPr>
              <w:spacing w:line="360" w:lineRule="auto"/>
              <w:jc w:val="both"/>
              <w:rPr>
                <w:rFonts w:ascii="Arial" w:hAnsi="Arial" w:cs="Arial"/>
              </w:rPr>
            </w:pPr>
            <w:r>
              <w:rPr>
                <w:rFonts w:ascii="Arial" w:hAnsi="Arial" w:cs="Arial"/>
              </w:rPr>
              <w:t>1.00</w:t>
            </w:r>
          </w:p>
        </w:tc>
      </w:tr>
      <w:tr w:rsidR="00047DC5" w14:paraId="528DFE50" w14:textId="77777777" w:rsidTr="00AE2E92">
        <w:trPr>
          <w:trHeight w:val="583"/>
        </w:trPr>
        <w:tc>
          <w:tcPr>
            <w:tcW w:w="1769"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3DE99D82" w14:textId="77777777" w:rsidR="00047DC5" w:rsidRDefault="00047DC5" w:rsidP="00AE2E92">
            <w:pPr>
              <w:spacing w:line="360" w:lineRule="auto"/>
              <w:jc w:val="both"/>
            </w:pPr>
            <w:proofErr w:type="spellStart"/>
            <w:r>
              <w:rPr>
                <w:rFonts w:ascii="Arial" w:hAnsi="Arial" w:cs="Arial"/>
                <w:b/>
                <w:bCs/>
              </w:rPr>
              <w:t>Dependant</w:t>
            </w:r>
            <w:proofErr w:type="spellEnd"/>
            <w:r>
              <w:rPr>
                <w:rFonts w:ascii="Arial" w:hAnsi="Arial" w:cs="Arial"/>
                <w:b/>
                <w:bCs/>
              </w:rPr>
              <w:t xml:space="preserve"> Restriction</w:t>
            </w:r>
          </w:p>
        </w:tc>
        <w:tc>
          <w:tcPr>
            <w:tcW w:w="137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464C5599" w14:textId="77777777" w:rsidR="00047DC5" w:rsidRDefault="00047DC5" w:rsidP="00AE2E92">
            <w:pPr>
              <w:spacing w:line="360" w:lineRule="auto"/>
              <w:jc w:val="both"/>
              <w:rPr>
                <w:rFonts w:ascii="Arial" w:hAnsi="Arial" w:cs="Arial"/>
              </w:rPr>
            </w:pPr>
            <w:r>
              <w:rPr>
                <w:rFonts w:ascii="Arial" w:hAnsi="Arial" w:cs="Arial"/>
              </w:rPr>
              <w:t>-0.62</w:t>
            </w:r>
          </w:p>
        </w:tc>
        <w:tc>
          <w:tcPr>
            <w:tcW w:w="1214"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797CB275" w14:textId="77777777" w:rsidR="00047DC5" w:rsidRDefault="00047DC5" w:rsidP="00AE2E92">
            <w:pPr>
              <w:spacing w:line="360" w:lineRule="auto"/>
              <w:jc w:val="both"/>
              <w:rPr>
                <w:rFonts w:ascii="Arial" w:hAnsi="Arial" w:cs="Arial"/>
              </w:rPr>
            </w:pPr>
            <w:r>
              <w:rPr>
                <w:rFonts w:ascii="Arial" w:hAnsi="Arial" w:cs="Arial"/>
              </w:rPr>
              <w:t>0.73</w:t>
            </w:r>
          </w:p>
        </w:tc>
        <w:tc>
          <w:tcPr>
            <w:tcW w:w="1806"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3FD73794" w14:textId="77777777" w:rsidR="00047DC5" w:rsidRDefault="00047DC5" w:rsidP="00AE2E92">
            <w:pPr>
              <w:spacing w:line="360" w:lineRule="auto"/>
              <w:jc w:val="both"/>
              <w:rPr>
                <w:rFonts w:ascii="Arial" w:hAnsi="Arial" w:cs="Arial"/>
              </w:rPr>
            </w:pPr>
            <w:r>
              <w:rPr>
                <w:rFonts w:ascii="Arial" w:hAnsi="Arial" w:cs="Arial"/>
              </w:rPr>
              <w:t>0.73</w:t>
            </w:r>
          </w:p>
        </w:tc>
        <w:tc>
          <w:tcPr>
            <w:tcW w:w="2009"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3E7BF305" w14:textId="77777777" w:rsidR="00047DC5" w:rsidRDefault="00047DC5" w:rsidP="00AE2E92">
            <w:pPr>
              <w:spacing w:line="360" w:lineRule="auto"/>
              <w:jc w:val="both"/>
              <w:rPr>
                <w:rFonts w:ascii="Arial" w:hAnsi="Arial" w:cs="Arial"/>
              </w:rPr>
            </w:pPr>
            <w:r>
              <w:rPr>
                <w:rFonts w:ascii="Arial" w:hAnsi="Arial" w:cs="Arial"/>
              </w:rPr>
              <w:t>1.00</w:t>
            </w:r>
          </w:p>
        </w:tc>
        <w:tc>
          <w:tcPr>
            <w:tcW w:w="1763"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3426E0E2" w14:textId="77777777" w:rsidR="00047DC5" w:rsidRDefault="00047DC5" w:rsidP="00AE2E92">
            <w:pPr>
              <w:spacing w:line="360" w:lineRule="auto"/>
              <w:jc w:val="both"/>
              <w:rPr>
                <w:rFonts w:ascii="Arial" w:hAnsi="Arial" w:cs="Arial"/>
              </w:rPr>
            </w:pPr>
            <w:r>
              <w:rPr>
                <w:rFonts w:ascii="Arial" w:hAnsi="Arial" w:cs="Arial"/>
              </w:rPr>
              <w:t>0.73</w:t>
            </w:r>
          </w:p>
        </w:tc>
      </w:tr>
      <w:tr w:rsidR="00047DC5" w14:paraId="438A7F79" w14:textId="77777777" w:rsidTr="00AE2E92">
        <w:trPr>
          <w:trHeight w:val="583"/>
        </w:trPr>
        <w:tc>
          <w:tcPr>
            <w:tcW w:w="1769" w:type="dxa"/>
            <w:tcBorders>
              <w:top w:val="single" w:sz="4" w:space="0" w:color="000000"/>
              <w:left w:val="single" w:sz="4" w:space="0" w:color="000000"/>
              <w:bottom w:val="single" w:sz="4" w:space="0" w:color="000000"/>
              <w:right w:val="single" w:sz="4" w:space="0" w:color="000000"/>
            </w:tcBorders>
            <w:tcMar>
              <w:top w:w="150" w:type="dxa"/>
              <w:left w:w="0" w:type="dxa"/>
              <w:bottom w:w="150" w:type="dxa"/>
              <w:right w:w="240" w:type="dxa"/>
            </w:tcMar>
            <w:vAlign w:val="center"/>
          </w:tcPr>
          <w:p w14:paraId="2C623674" w14:textId="77777777" w:rsidR="00047DC5" w:rsidRDefault="00047DC5" w:rsidP="00AE2E92">
            <w:pPr>
              <w:spacing w:line="360" w:lineRule="auto"/>
              <w:jc w:val="both"/>
            </w:pPr>
            <w:r>
              <w:rPr>
                <w:rFonts w:ascii="Arial" w:hAnsi="Arial" w:cs="Arial"/>
                <w:b/>
                <w:bCs/>
              </w:rPr>
              <w:t>Overseas Closure</w:t>
            </w:r>
          </w:p>
        </w:tc>
        <w:tc>
          <w:tcPr>
            <w:tcW w:w="1371"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4ECFCF7D" w14:textId="77777777" w:rsidR="00047DC5" w:rsidRDefault="00047DC5" w:rsidP="00AE2E92">
            <w:pPr>
              <w:spacing w:line="360" w:lineRule="auto"/>
              <w:jc w:val="both"/>
              <w:rPr>
                <w:rFonts w:ascii="Arial" w:hAnsi="Arial" w:cs="Arial"/>
              </w:rPr>
            </w:pPr>
            <w:r>
              <w:rPr>
                <w:rFonts w:ascii="Arial" w:hAnsi="Arial" w:cs="Arial"/>
              </w:rPr>
              <w:t>-0.50</w:t>
            </w:r>
          </w:p>
        </w:tc>
        <w:tc>
          <w:tcPr>
            <w:tcW w:w="1214"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1557D5F7" w14:textId="77777777" w:rsidR="00047DC5" w:rsidRDefault="00047DC5" w:rsidP="00AE2E92">
            <w:pPr>
              <w:spacing w:line="360" w:lineRule="auto"/>
              <w:jc w:val="both"/>
              <w:rPr>
                <w:rFonts w:ascii="Arial" w:hAnsi="Arial" w:cs="Arial"/>
              </w:rPr>
            </w:pPr>
            <w:r>
              <w:rPr>
                <w:rFonts w:ascii="Arial" w:hAnsi="Arial" w:cs="Arial"/>
              </w:rPr>
              <w:t>1.00</w:t>
            </w:r>
          </w:p>
        </w:tc>
        <w:tc>
          <w:tcPr>
            <w:tcW w:w="1806"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65B81941" w14:textId="77777777" w:rsidR="00047DC5" w:rsidRDefault="00047DC5" w:rsidP="00AE2E92">
            <w:pPr>
              <w:spacing w:line="360" w:lineRule="auto"/>
              <w:jc w:val="both"/>
              <w:rPr>
                <w:rFonts w:ascii="Arial" w:hAnsi="Arial" w:cs="Arial"/>
              </w:rPr>
            </w:pPr>
            <w:r>
              <w:rPr>
                <w:rFonts w:ascii="Arial" w:hAnsi="Arial" w:cs="Arial"/>
              </w:rPr>
              <w:t>1.00</w:t>
            </w:r>
          </w:p>
        </w:tc>
        <w:tc>
          <w:tcPr>
            <w:tcW w:w="2009"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240" w:type="dxa"/>
            </w:tcMar>
            <w:vAlign w:val="center"/>
          </w:tcPr>
          <w:p w14:paraId="62ADB91D" w14:textId="77777777" w:rsidR="00047DC5" w:rsidRDefault="00047DC5" w:rsidP="00AE2E92">
            <w:pPr>
              <w:spacing w:line="360" w:lineRule="auto"/>
              <w:jc w:val="both"/>
              <w:rPr>
                <w:rFonts w:ascii="Arial" w:hAnsi="Arial" w:cs="Arial"/>
              </w:rPr>
            </w:pPr>
            <w:r>
              <w:rPr>
                <w:rFonts w:ascii="Arial" w:hAnsi="Arial" w:cs="Arial"/>
              </w:rPr>
              <w:t>0.73</w:t>
            </w:r>
          </w:p>
        </w:tc>
        <w:tc>
          <w:tcPr>
            <w:tcW w:w="1763" w:type="dxa"/>
            <w:tcBorders>
              <w:top w:val="single" w:sz="4" w:space="0" w:color="000000"/>
              <w:left w:val="single" w:sz="4" w:space="0" w:color="000000"/>
              <w:bottom w:val="single" w:sz="4" w:space="0" w:color="000000"/>
              <w:right w:val="single" w:sz="4" w:space="0" w:color="000000"/>
            </w:tcBorders>
            <w:tcMar>
              <w:top w:w="150" w:type="dxa"/>
              <w:left w:w="240" w:type="dxa"/>
              <w:bottom w:w="150" w:type="dxa"/>
              <w:right w:w="0" w:type="dxa"/>
            </w:tcMar>
            <w:vAlign w:val="center"/>
          </w:tcPr>
          <w:p w14:paraId="3DA379F5" w14:textId="77777777" w:rsidR="00047DC5" w:rsidRDefault="00047DC5" w:rsidP="00AE2E92">
            <w:pPr>
              <w:spacing w:line="360" w:lineRule="auto"/>
              <w:jc w:val="both"/>
              <w:rPr>
                <w:rFonts w:ascii="Arial" w:hAnsi="Arial" w:cs="Arial"/>
              </w:rPr>
            </w:pPr>
            <w:r>
              <w:rPr>
                <w:rFonts w:ascii="Arial" w:hAnsi="Arial" w:cs="Arial"/>
              </w:rPr>
              <w:t>1.00</w:t>
            </w:r>
          </w:p>
        </w:tc>
      </w:tr>
    </w:tbl>
    <w:p w14:paraId="33492C22" w14:textId="77777777" w:rsidR="00047DC5" w:rsidRDefault="00047DC5" w:rsidP="00047DC5">
      <w:pPr>
        <w:spacing w:line="360" w:lineRule="auto"/>
        <w:jc w:val="both"/>
      </w:pPr>
      <w:r>
        <w:rPr>
          <w:rFonts w:ascii="Arial" w:hAnsi="Arial" w:cs="Arial"/>
          <w:i/>
          <w:iCs/>
        </w:rPr>
        <w:t>Source: Correlation analysis of Home Office visa statistics (2020–2026) conducted in Microsoft Excel.</w:t>
      </w:r>
    </w:p>
    <w:p w14:paraId="192EF2C4" w14:textId="77777777" w:rsidR="00047DC5" w:rsidRDefault="00047DC5" w:rsidP="00047DC5">
      <w:pPr>
        <w:spacing w:line="360" w:lineRule="auto"/>
        <w:jc w:val="both"/>
        <w:rPr>
          <w:rFonts w:ascii="Arial" w:hAnsi="Arial" w:cs="Arial"/>
        </w:rPr>
      </w:pPr>
      <w:r>
        <w:rPr>
          <w:rFonts w:ascii="Arial" w:hAnsi="Arial" w:cs="Arial"/>
        </w:rPr>
        <w:lastRenderedPageBreak/>
        <w:t xml:space="preserve">The correlation matrix reveals that all four policy variables are negatively correlated with visa grant rates, with </w:t>
      </w:r>
      <w:proofErr w:type="spellStart"/>
      <w:r>
        <w:rPr>
          <w:rFonts w:ascii="Arial" w:hAnsi="Arial" w:cs="Arial"/>
        </w:rPr>
        <w:t>Dependant</w:t>
      </w:r>
      <w:proofErr w:type="spellEnd"/>
      <w:r>
        <w:rPr>
          <w:rFonts w:ascii="Arial" w:hAnsi="Arial" w:cs="Arial"/>
        </w:rPr>
        <w:t xml:space="preserve"> Restriction showing the strongest association (r = -0.62), followed by RQF Level, Salary Threshold, and Overseas Closure (r = -0.50 each). This indicates that as each immigration restriction was introduced, visa grants declined, consistent with the theoretical predictions of Human Capital Theory and Conservation of Resources Theory. The high positive correlations among the policy variables (ranging from 0.73 to 1.00) confirm multicollinearity, reflecting that the 2025 reforms were implemented simultaneously as a package. These findings provide initial evidence that immigration policy changes are negatively associated with workforce inflows, supporting the need for regression analysis to isolate individual policy impacts.</w:t>
      </w:r>
    </w:p>
    <w:p w14:paraId="3923F796" w14:textId="77777777" w:rsidR="00047DC5" w:rsidRDefault="00047DC5" w:rsidP="00047DC5">
      <w:pPr>
        <w:pStyle w:val="Caption"/>
        <w:keepNext/>
      </w:pPr>
      <w:r>
        <w:rPr>
          <w:sz w:val="28"/>
          <w:szCs w:val="28"/>
        </w:rPr>
        <w:t xml:space="preserve">Figure 6 </w:t>
      </w:r>
      <w:r>
        <w:rPr>
          <w:sz w:val="24"/>
          <w:szCs w:val="24"/>
        </w:rPr>
        <w:t>Correlation Bar Chart.</w:t>
      </w:r>
    </w:p>
    <w:p w14:paraId="5DBBA780" w14:textId="497B5288" w:rsidR="001E69F7" w:rsidRDefault="00E57B46" w:rsidP="00047DC5">
      <w:r>
        <w:rPr>
          <w:noProof/>
        </w:rPr>
        <mc:AlternateContent>
          <mc:Choice Requires="wpg">
            <w:drawing>
              <wp:inline distT="0" distB="0" distL="0" distR="0" wp14:anchorId="1B1A076C" wp14:editId="509B6FCF">
                <wp:extent cx="4395216" cy="2657094"/>
                <wp:effectExtent l="0" t="0" r="0" b="0"/>
                <wp:docPr id="1915502945" name="Group 1915502945"/>
                <wp:cNvGraphicFramePr/>
                <a:graphic xmlns:a="http://schemas.openxmlformats.org/drawingml/2006/main">
                  <a:graphicData uri="http://schemas.microsoft.com/office/word/2010/wordprocessingGroup">
                    <wpg:wgp>
                      <wpg:cNvGrpSpPr/>
                      <wpg:grpSpPr>
                        <a:xfrm>
                          <a:off x="0" y="0"/>
                          <a:ext cx="4395216" cy="2657094"/>
                          <a:chOff x="0" y="0"/>
                          <a:chExt cx="4395216" cy="2657094"/>
                        </a:xfrm>
                      </wpg:grpSpPr>
                      <wps:wsp>
                        <wps:cNvPr id="1549576851" name="Shape 34"/>
                        <wps:cNvSpPr/>
                        <wps:spPr>
                          <a:xfrm>
                            <a:off x="368605" y="2031619"/>
                            <a:ext cx="3886911" cy="0"/>
                          </a:xfrm>
                          <a:custGeom>
                            <a:avLst/>
                            <a:gdLst/>
                            <a:ahLst/>
                            <a:cxnLst/>
                            <a:rect l="0" t="0" r="0" b="0"/>
                            <a:pathLst>
                              <a:path w="3886911">
                                <a:moveTo>
                                  <a:pt x="0" y="0"/>
                                </a:moveTo>
                                <a:lnTo>
                                  <a:pt x="388691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617605897" name="Shape 35"/>
                        <wps:cNvSpPr/>
                        <wps:spPr>
                          <a:xfrm>
                            <a:off x="368605" y="1732026"/>
                            <a:ext cx="3886911" cy="0"/>
                          </a:xfrm>
                          <a:custGeom>
                            <a:avLst/>
                            <a:gdLst/>
                            <a:ahLst/>
                            <a:cxnLst/>
                            <a:rect l="0" t="0" r="0" b="0"/>
                            <a:pathLst>
                              <a:path w="3886911">
                                <a:moveTo>
                                  <a:pt x="0" y="0"/>
                                </a:moveTo>
                                <a:lnTo>
                                  <a:pt x="388691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588468836" name="Shape 36"/>
                        <wps:cNvSpPr/>
                        <wps:spPr>
                          <a:xfrm>
                            <a:off x="368605" y="1133094"/>
                            <a:ext cx="3886911" cy="0"/>
                          </a:xfrm>
                          <a:custGeom>
                            <a:avLst/>
                            <a:gdLst/>
                            <a:ahLst/>
                            <a:cxnLst/>
                            <a:rect l="0" t="0" r="0" b="0"/>
                            <a:pathLst>
                              <a:path w="3886911">
                                <a:moveTo>
                                  <a:pt x="0" y="0"/>
                                </a:moveTo>
                                <a:lnTo>
                                  <a:pt x="388691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45764914" name="Shape 37"/>
                        <wps:cNvSpPr/>
                        <wps:spPr>
                          <a:xfrm>
                            <a:off x="368605" y="832866"/>
                            <a:ext cx="3886911" cy="0"/>
                          </a:xfrm>
                          <a:custGeom>
                            <a:avLst/>
                            <a:gdLst/>
                            <a:ahLst/>
                            <a:cxnLst/>
                            <a:rect l="0" t="0" r="0" b="0"/>
                            <a:pathLst>
                              <a:path w="3886911">
                                <a:moveTo>
                                  <a:pt x="0" y="0"/>
                                </a:moveTo>
                                <a:lnTo>
                                  <a:pt x="388691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474947271" name="Shape 38"/>
                        <wps:cNvSpPr/>
                        <wps:spPr>
                          <a:xfrm>
                            <a:off x="368605" y="533019"/>
                            <a:ext cx="3886911" cy="0"/>
                          </a:xfrm>
                          <a:custGeom>
                            <a:avLst/>
                            <a:gdLst/>
                            <a:ahLst/>
                            <a:cxnLst/>
                            <a:rect l="0" t="0" r="0" b="0"/>
                            <a:pathLst>
                              <a:path w="3886911">
                                <a:moveTo>
                                  <a:pt x="0" y="0"/>
                                </a:moveTo>
                                <a:lnTo>
                                  <a:pt x="388691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980561003" name="Shape 872"/>
                        <wps:cNvSpPr/>
                        <wps:spPr>
                          <a:xfrm>
                            <a:off x="3581400" y="1431798"/>
                            <a:ext cx="92964" cy="297180"/>
                          </a:xfrm>
                          <a:custGeom>
                            <a:avLst/>
                            <a:gdLst/>
                            <a:ahLst/>
                            <a:cxnLst/>
                            <a:rect l="0" t="0" r="0" b="0"/>
                            <a:pathLst>
                              <a:path w="92964" h="297180">
                                <a:moveTo>
                                  <a:pt x="0" y="0"/>
                                </a:moveTo>
                                <a:lnTo>
                                  <a:pt x="92964" y="0"/>
                                </a:lnTo>
                                <a:lnTo>
                                  <a:pt x="92964" y="297180"/>
                                </a:lnTo>
                                <a:lnTo>
                                  <a:pt x="0" y="297180"/>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1180327499" name="Shape 873"/>
                        <wps:cNvSpPr/>
                        <wps:spPr>
                          <a:xfrm>
                            <a:off x="2804160" y="1431798"/>
                            <a:ext cx="92964" cy="370332"/>
                          </a:xfrm>
                          <a:custGeom>
                            <a:avLst/>
                            <a:gdLst/>
                            <a:ahLst/>
                            <a:cxnLst/>
                            <a:rect l="0" t="0" r="0" b="0"/>
                            <a:pathLst>
                              <a:path w="92964" h="370332">
                                <a:moveTo>
                                  <a:pt x="0" y="0"/>
                                </a:moveTo>
                                <a:lnTo>
                                  <a:pt x="92964" y="0"/>
                                </a:lnTo>
                                <a:lnTo>
                                  <a:pt x="92964" y="370332"/>
                                </a:lnTo>
                                <a:lnTo>
                                  <a:pt x="0" y="370332"/>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108444659" name="Shape 874"/>
                        <wps:cNvSpPr/>
                        <wps:spPr>
                          <a:xfrm>
                            <a:off x="2026920" y="1431798"/>
                            <a:ext cx="92964" cy="297180"/>
                          </a:xfrm>
                          <a:custGeom>
                            <a:avLst/>
                            <a:gdLst/>
                            <a:ahLst/>
                            <a:cxnLst/>
                            <a:rect l="0" t="0" r="0" b="0"/>
                            <a:pathLst>
                              <a:path w="92964" h="297180">
                                <a:moveTo>
                                  <a:pt x="0" y="0"/>
                                </a:moveTo>
                                <a:lnTo>
                                  <a:pt x="92964" y="0"/>
                                </a:lnTo>
                                <a:lnTo>
                                  <a:pt x="92964" y="297180"/>
                                </a:lnTo>
                                <a:lnTo>
                                  <a:pt x="0" y="297180"/>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1326966416" name="Shape 875"/>
                        <wps:cNvSpPr/>
                        <wps:spPr>
                          <a:xfrm>
                            <a:off x="1249680" y="1431798"/>
                            <a:ext cx="92964" cy="297180"/>
                          </a:xfrm>
                          <a:custGeom>
                            <a:avLst/>
                            <a:gdLst/>
                            <a:ahLst/>
                            <a:cxnLst/>
                            <a:rect l="0" t="0" r="0" b="0"/>
                            <a:pathLst>
                              <a:path w="92964" h="297180">
                                <a:moveTo>
                                  <a:pt x="0" y="0"/>
                                </a:moveTo>
                                <a:lnTo>
                                  <a:pt x="92964" y="0"/>
                                </a:lnTo>
                                <a:lnTo>
                                  <a:pt x="92964" y="297180"/>
                                </a:lnTo>
                                <a:lnTo>
                                  <a:pt x="0" y="297180"/>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1036966599" name="Shape 876"/>
                        <wps:cNvSpPr/>
                        <wps:spPr>
                          <a:xfrm>
                            <a:off x="470916" y="832866"/>
                            <a:ext cx="94488" cy="598932"/>
                          </a:xfrm>
                          <a:custGeom>
                            <a:avLst/>
                            <a:gdLst/>
                            <a:ahLst/>
                            <a:cxnLst/>
                            <a:rect l="0" t="0" r="0" b="0"/>
                            <a:pathLst>
                              <a:path w="94488" h="598932">
                                <a:moveTo>
                                  <a:pt x="0" y="0"/>
                                </a:moveTo>
                                <a:lnTo>
                                  <a:pt x="94488" y="0"/>
                                </a:lnTo>
                                <a:lnTo>
                                  <a:pt x="94488" y="598932"/>
                                </a:lnTo>
                                <a:lnTo>
                                  <a:pt x="0" y="598932"/>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2098864574" name="Shape 877"/>
                        <wps:cNvSpPr/>
                        <wps:spPr>
                          <a:xfrm>
                            <a:off x="2923032" y="994410"/>
                            <a:ext cx="94488" cy="437388"/>
                          </a:xfrm>
                          <a:custGeom>
                            <a:avLst/>
                            <a:gdLst/>
                            <a:ahLst/>
                            <a:cxnLst/>
                            <a:rect l="0" t="0" r="0" b="0"/>
                            <a:pathLst>
                              <a:path w="94488" h="437388">
                                <a:moveTo>
                                  <a:pt x="0" y="0"/>
                                </a:moveTo>
                                <a:lnTo>
                                  <a:pt x="94488" y="0"/>
                                </a:lnTo>
                                <a:lnTo>
                                  <a:pt x="94488" y="437388"/>
                                </a:lnTo>
                                <a:lnTo>
                                  <a:pt x="0" y="437388"/>
                                </a:lnTo>
                                <a:lnTo>
                                  <a:pt x="0" y="0"/>
                                </a:lnTo>
                              </a:path>
                            </a:pathLst>
                          </a:custGeom>
                          <a:ln w="0" cap="flat">
                            <a:round/>
                          </a:ln>
                        </wps:spPr>
                        <wps:style>
                          <a:lnRef idx="0">
                            <a:srgbClr val="000000">
                              <a:alpha val="0"/>
                            </a:srgbClr>
                          </a:lnRef>
                          <a:fillRef idx="1">
                            <a:srgbClr val="E97132"/>
                          </a:fillRef>
                          <a:effectRef idx="0">
                            <a:scrgbClr r="0" g="0" b="0"/>
                          </a:effectRef>
                          <a:fontRef idx="none"/>
                        </wps:style>
                        <wps:bodyPr/>
                      </wps:wsp>
                      <wps:wsp>
                        <wps:cNvPr id="448953506" name="Shape 878"/>
                        <wps:cNvSpPr/>
                        <wps:spPr>
                          <a:xfrm>
                            <a:off x="3700272" y="832866"/>
                            <a:ext cx="94488" cy="598932"/>
                          </a:xfrm>
                          <a:custGeom>
                            <a:avLst/>
                            <a:gdLst/>
                            <a:ahLst/>
                            <a:cxnLst/>
                            <a:rect l="0" t="0" r="0" b="0"/>
                            <a:pathLst>
                              <a:path w="94488" h="598932">
                                <a:moveTo>
                                  <a:pt x="0" y="0"/>
                                </a:moveTo>
                                <a:lnTo>
                                  <a:pt x="94488" y="0"/>
                                </a:lnTo>
                                <a:lnTo>
                                  <a:pt x="94488" y="598932"/>
                                </a:lnTo>
                                <a:lnTo>
                                  <a:pt x="0" y="598932"/>
                                </a:lnTo>
                                <a:lnTo>
                                  <a:pt x="0" y="0"/>
                                </a:lnTo>
                              </a:path>
                            </a:pathLst>
                          </a:custGeom>
                          <a:ln w="0" cap="flat">
                            <a:round/>
                          </a:ln>
                        </wps:spPr>
                        <wps:style>
                          <a:lnRef idx="0">
                            <a:srgbClr val="000000">
                              <a:alpha val="0"/>
                            </a:srgbClr>
                          </a:lnRef>
                          <a:fillRef idx="1">
                            <a:srgbClr val="E97132"/>
                          </a:fillRef>
                          <a:effectRef idx="0">
                            <a:scrgbClr r="0" g="0" b="0"/>
                          </a:effectRef>
                          <a:fontRef idx="none"/>
                        </wps:style>
                        <wps:bodyPr/>
                      </wps:wsp>
                      <wps:wsp>
                        <wps:cNvPr id="703835772" name="Shape 879"/>
                        <wps:cNvSpPr/>
                        <wps:spPr>
                          <a:xfrm>
                            <a:off x="2145792" y="832866"/>
                            <a:ext cx="94488" cy="598932"/>
                          </a:xfrm>
                          <a:custGeom>
                            <a:avLst/>
                            <a:gdLst/>
                            <a:ahLst/>
                            <a:cxnLst/>
                            <a:rect l="0" t="0" r="0" b="0"/>
                            <a:pathLst>
                              <a:path w="94488" h="598932">
                                <a:moveTo>
                                  <a:pt x="0" y="0"/>
                                </a:moveTo>
                                <a:lnTo>
                                  <a:pt x="94488" y="0"/>
                                </a:lnTo>
                                <a:lnTo>
                                  <a:pt x="94488" y="598932"/>
                                </a:lnTo>
                                <a:lnTo>
                                  <a:pt x="0" y="598932"/>
                                </a:lnTo>
                                <a:lnTo>
                                  <a:pt x="0" y="0"/>
                                </a:lnTo>
                              </a:path>
                            </a:pathLst>
                          </a:custGeom>
                          <a:ln w="0" cap="flat">
                            <a:round/>
                          </a:ln>
                        </wps:spPr>
                        <wps:style>
                          <a:lnRef idx="0">
                            <a:srgbClr val="000000">
                              <a:alpha val="0"/>
                            </a:srgbClr>
                          </a:lnRef>
                          <a:fillRef idx="1">
                            <a:srgbClr val="E97132"/>
                          </a:fillRef>
                          <a:effectRef idx="0">
                            <a:scrgbClr r="0" g="0" b="0"/>
                          </a:effectRef>
                          <a:fontRef idx="none"/>
                        </wps:style>
                        <wps:bodyPr/>
                      </wps:wsp>
                      <wps:wsp>
                        <wps:cNvPr id="1416585786" name="Shape 880"/>
                        <wps:cNvSpPr/>
                        <wps:spPr>
                          <a:xfrm>
                            <a:off x="1368552" y="832866"/>
                            <a:ext cx="94488" cy="598932"/>
                          </a:xfrm>
                          <a:custGeom>
                            <a:avLst/>
                            <a:gdLst/>
                            <a:ahLst/>
                            <a:cxnLst/>
                            <a:rect l="0" t="0" r="0" b="0"/>
                            <a:pathLst>
                              <a:path w="94488" h="598932">
                                <a:moveTo>
                                  <a:pt x="0" y="0"/>
                                </a:moveTo>
                                <a:lnTo>
                                  <a:pt x="94488" y="0"/>
                                </a:lnTo>
                                <a:lnTo>
                                  <a:pt x="94488" y="598932"/>
                                </a:lnTo>
                                <a:lnTo>
                                  <a:pt x="0" y="598932"/>
                                </a:lnTo>
                                <a:lnTo>
                                  <a:pt x="0" y="0"/>
                                </a:lnTo>
                              </a:path>
                            </a:pathLst>
                          </a:custGeom>
                          <a:ln w="0" cap="flat">
                            <a:round/>
                          </a:ln>
                        </wps:spPr>
                        <wps:style>
                          <a:lnRef idx="0">
                            <a:srgbClr val="000000">
                              <a:alpha val="0"/>
                            </a:srgbClr>
                          </a:lnRef>
                          <a:fillRef idx="1">
                            <a:srgbClr val="E97132"/>
                          </a:fillRef>
                          <a:effectRef idx="0">
                            <a:scrgbClr r="0" g="0" b="0"/>
                          </a:effectRef>
                          <a:fontRef idx="none"/>
                        </wps:style>
                        <wps:bodyPr/>
                      </wps:wsp>
                      <wps:wsp>
                        <wps:cNvPr id="1013527871" name="Shape 881"/>
                        <wps:cNvSpPr/>
                        <wps:spPr>
                          <a:xfrm>
                            <a:off x="3041904" y="994410"/>
                            <a:ext cx="94488" cy="437388"/>
                          </a:xfrm>
                          <a:custGeom>
                            <a:avLst/>
                            <a:gdLst/>
                            <a:ahLst/>
                            <a:cxnLst/>
                            <a:rect l="0" t="0" r="0" b="0"/>
                            <a:pathLst>
                              <a:path w="94488" h="437388">
                                <a:moveTo>
                                  <a:pt x="0" y="0"/>
                                </a:moveTo>
                                <a:lnTo>
                                  <a:pt x="94488" y="0"/>
                                </a:lnTo>
                                <a:lnTo>
                                  <a:pt x="94488" y="437388"/>
                                </a:lnTo>
                                <a:lnTo>
                                  <a:pt x="0" y="437388"/>
                                </a:lnTo>
                                <a:lnTo>
                                  <a:pt x="0" y="0"/>
                                </a:lnTo>
                              </a:path>
                            </a:pathLst>
                          </a:custGeom>
                          <a:ln w="0" cap="flat">
                            <a:round/>
                          </a:ln>
                        </wps:spPr>
                        <wps:style>
                          <a:lnRef idx="0">
                            <a:srgbClr val="000000">
                              <a:alpha val="0"/>
                            </a:srgbClr>
                          </a:lnRef>
                          <a:fillRef idx="1">
                            <a:srgbClr val="196B24"/>
                          </a:fillRef>
                          <a:effectRef idx="0">
                            <a:scrgbClr r="0" g="0" b="0"/>
                          </a:effectRef>
                          <a:fontRef idx="none"/>
                        </wps:style>
                        <wps:bodyPr/>
                      </wps:wsp>
                      <wps:wsp>
                        <wps:cNvPr id="669367197" name="Shape 882"/>
                        <wps:cNvSpPr/>
                        <wps:spPr>
                          <a:xfrm>
                            <a:off x="3819144" y="832866"/>
                            <a:ext cx="94488" cy="598932"/>
                          </a:xfrm>
                          <a:custGeom>
                            <a:avLst/>
                            <a:gdLst/>
                            <a:ahLst/>
                            <a:cxnLst/>
                            <a:rect l="0" t="0" r="0" b="0"/>
                            <a:pathLst>
                              <a:path w="94488" h="598932">
                                <a:moveTo>
                                  <a:pt x="0" y="0"/>
                                </a:moveTo>
                                <a:lnTo>
                                  <a:pt x="94488" y="0"/>
                                </a:lnTo>
                                <a:lnTo>
                                  <a:pt x="94488" y="598932"/>
                                </a:lnTo>
                                <a:lnTo>
                                  <a:pt x="0" y="598932"/>
                                </a:lnTo>
                                <a:lnTo>
                                  <a:pt x="0" y="0"/>
                                </a:lnTo>
                              </a:path>
                            </a:pathLst>
                          </a:custGeom>
                          <a:ln w="0" cap="flat">
                            <a:round/>
                          </a:ln>
                        </wps:spPr>
                        <wps:style>
                          <a:lnRef idx="0">
                            <a:srgbClr val="000000">
                              <a:alpha val="0"/>
                            </a:srgbClr>
                          </a:lnRef>
                          <a:fillRef idx="1">
                            <a:srgbClr val="196B24"/>
                          </a:fillRef>
                          <a:effectRef idx="0">
                            <a:scrgbClr r="0" g="0" b="0"/>
                          </a:effectRef>
                          <a:fontRef idx="none"/>
                        </wps:style>
                        <wps:bodyPr/>
                      </wps:wsp>
                      <wps:wsp>
                        <wps:cNvPr id="500210111" name="Shape 883"/>
                        <wps:cNvSpPr/>
                        <wps:spPr>
                          <a:xfrm>
                            <a:off x="2264664" y="832866"/>
                            <a:ext cx="94488" cy="598932"/>
                          </a:xfrm>
                          <a:custGeom>
                            <a:avLst/>
                            <a:gdLst/>
                            <a:ahLst/>
                            <a:cxnLst/>
                            <a:rect l="0" t="0" r="0" b="0"/>
                            <a:pathLst>
                              <a:path w="94488" h="598932">
                                <a:moveTo>
                                  <a:pt x="0" y="0"/>
                                </a:moveTo>
                                <a:lnTo>
                                  <a:pt x="94488" y="0"/>
                                </a:lnTo>
                                <a:lnTo>
                                  <a:pt x="94488" y="598932"/>
                                </a:lnTo>
                                <a:lnTo>
                                  <a:pt x="0" y="598932"/>
                                </a:lnTo>
                                <a:lnTo>
                                  <a:pt x="0" y="0"/>
                                </a:lnTo>
                              </a:path>
                            </a:pathLst>
                          </a:custGeom>
                          <a:ln w="0" cap="flat">
                            <a:round/>
                          </a:ln>
                        </wps:spPr>
                        <wps:style>
                          <a:lnRef idx="0">
                            <a:srgbClr val="000000">
                              <a:alpha val="0"/>
                            </a:srgbClr>
                          </a:lnRef>
                          <a:fillRef idx="1">
                            <a:srgbClr val="196B24"/>
                          </a:fillRef>
                          <a:effectRef idx="0">
                            <a:scrgbClr r="0" g="0" b="0"/>
                          </a:effectRef>
                          <a:fontRef idx="none"/>
                        </wps:style>
                        <wps:bodyPr/>
                      </wps:wsp>
                      <wps:wsp>
                        <wps:cNvPr id="239514274" name="Shape 884"/>
                        <wps:cNvSpPr/>
                        <wps:spPr>
                          <a:xfrm>
                            <a:off x="3939540" y="994410"/>
                            <a:ext cx="92964" cy="437388"/>
                          </a:xfrm>
                          <a:custGeom>
                            <a:avLst/>
                            <a:gdLst/>
                            <a:ahLst/>
                            <a:cxnLst/>
                            <a:rect l="0" t="0" r="0" b="0"/>
                            <a:pathLst>
                              <a:path w="92964" h="437388">
                                <a:moveTo>
                                  <a:pt x="0" y="0"/>
                                </a:moveTo>
                                <a:lnTo>
                                  <a:pt x="92964" y="0"/>
                                </a:lnTo>
                                <a:lnTo>
                                  <a:pt x="92964" y="437388"/>
                                </a:lnTo>
                                <a:lnTo>
                                  <a:pt x="0" y="437388"/>
                                </a:lnTo>
                                <a:lnTo>
                                  <a:pt x="0" y="0"/>
                                </a:lnTo>
                              </a:path>
                            </a:pathLst>
                          </a:custGeom>
                          <a:ln w="0" cap="flat">
                            <a:round/>
                          </a:ln>
                        </wps:spPr>
                        <wps:style>
                          <a:lnRef idx="0">
                            <a:srgbClr val="000000">
                              <a:alpha val="0"/>
                            </a:srgbClr>
                          </a:lnRef>
                          <a:fillRef idx="1">
                            <a:srgbClr val="0F9ED5"/>
                          </a:fillRef>
                          <a:effectRef idx="0">
                            <a:scrgbClr r="0" g="0" b="0"/>
                          </a:effectRef>
                          <a:fontRef idx="none"/>
                        </wps:style>
                        <wps:bodyPr/>
                      </wps:wsp>
                      <wps:wsp>
                        <wps:cNvPr id="1976323836" name="Shape 885"/>
                        <wps:cNvSpPr/>
                        <wps:spPr>
                          <a:xfrm>
                            <a:off x="3162300" y="832866"/>
                            <a:ext cx="92964" cy="598932"/>
                          </a:xfrm>
                          <a:custGeom>
                            <a:avLst/>
                            <a:gdLst/>
                            <a:ahLst/>
                            <a:cxnLst/>
                            <a:rect l="0" t="0" r="0" b="0"/>
                            <a:pathLst>
                              <a:path w="92964" h="598932">
                                <a:moveTo>
                                  <a:pt x="0" y="0"/>
                                </a:moveTo>
                                <a:lnTo>
                                  <a:pt x="92964" y="0"/>
                                </a:lnTo>
                                <a:lnTo>
                                  <a:pt x="92964" y="598932"/>
                                </a:lnTo>
                                <a:lnTo>
                                  <a:pt x="0" y="598932"/>
                                </a:lnTo>
                                <a:lnTo>
                                  <a:pt x="0" y="0"/>
                                </a:lnTo>
                              </a:path>
                            </a:pathLst>
                          </a:custGeom>
                          <a:ln w="0" cap="flat">
                            <a:round/>
                          </a:ln>
                        </wps:spPr>
                        <wps:style>
                          <a:lnRef idx="0">
                            <a:srgbClr val="000000">
                              <a:alpha val="0"/>
                            </a:srgbClr>
                          </a:lnRef>
                          <a:fillRef idx="1">
                            <a:srgbClr val="0F9ED5"/>
                          </a:fillRef>
                          <a:effectRef idx="0">
                            <a:scrgbClr r="0" g="0" b="0"/>
                          </a:effectRef>
                          <a:fontRef idx="none"/>
                        </wps:style>
                        <wps:bodyPr/>
                      </wps:wsp>
                      <wps:wsp>
                        <wps:cNvPr id="1681577097" name="Shape 886"/>
                        <wps:cNvSpPr/>
                        <wps:spPr>
                          <a:xfrm>
                            <a:off x="4058412" y="832866"/>
                            <a:ext cx="94488" cy="598932"/>
                          </a:xfrm>
                          <a:custGeom>
                            <a:avLst/>
                            <a:gdLst/>
                            <a:ahLst/>
                            <a:cxnLst/>
                            <a:rect l="0" t="0" r="0" b="0"/>
                            <a:pathLst>
                              <a:path w="94488" h="598932">
                                <a:moveTo>
                                  <a:pt x="0" y="0"/>
                                </a:moveTo>
                                <a:lnTo>
                                  <a:pt x="94488" y="0"/>
                                </a:lnTo>
                                <a:lnTo>
                                  <a:pt x="94488" y="598932"/>
                                </a:lnTo>
                                <a:lnTo>
                                  <a:pt x="0" y="598932"/>
                                </a:lnTo>
                                <a:lnTo>
                                  <a:pt x="0" y="0"/>
                                </a:lnTo>
                              </a:path>
                            </a:pathLst>
                          </a:custGeom>
                          <a:ln w="0" cap="flat">
                            <a:round/>
                          </a:ln>
                        </wps:spPr>
                        <wps:style>
                          <a:lnRef idx="0">
                            <a:srgbClr val="000000">
                              <a:alpha val="0"/>
                            </a:srgbClr>
                          </a:lnRef>
                          <a:fillRef idx="1">
                            <a:srgbClr val="A02B93"/>
                          </a:fillRef>
                          <a:effectRef idx="0">
                            <a:scrgbClr r="0" g="0" b="0"/>
                          </a:effectRef>
                          <a:fontRef idx="none"/>
                        </wps:style>
                        <wps:bodyPr/>
                      </wps:wsp>
                      <wps:wsp>
                        <wps:cNvPr id="1288029607" name="Shape 54"/>
                        <wps:cNvSpPr/>
                        <wps:spPr>
                          <a:xfrm>
                            <a:off x="368605" y="1432179"/>
                            <a:ext cx="3886911" cy="0"/>
                          </a:xfrm>
                          <a:custGeom>
                            <a:avLst/>
                            <a:gdLst/>
                            <a:ahLst/>
                            <a:cxnLst/>
                            <a:rect l="0" t="0" r="0" b="0"/>
                            <a:pathLst>
                              <a:path w="3886911">
                                <a:moveTo>
                                  <a:pt x="0" y="0"/>
                                </a:moveTo>
                                <a:lnTo>
                                  <a:pt x="388691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1279773729" name="Rectangle 1279773729"/>
                        <wps:cNvSpPr/>
                        <wps:spPr>
                          <a:xfrm>
                            <a:off x="170383" y="1955125"/>
                            <a:ext cx="123898" cy="186065"/>
                          </a:xfrm>
                          <a:prstGeom prst="rect">
                            <a:avLst/>
                          </a:prstGeom>
                          <a:ln>
                            <a:noFill/>
                          </a:ln>
                        </wps:spPr>
                        <wps:txbx>
                          <w:txbxContent>
                            <w:p w14:paraId="4852CF7A" w14:textId="77777777" w:rsidR="00E57B46" w:rsidRDefault="00E57B46" w:rsidP="00E57B46">
                              <w:r>
                                <w:rPr>
                                  <w:rFonts w:ascii="Calibri" w:eastAsia="Calibri" w:hAnsi="Calibri" w:cs="Calibri"/>
                                  <w:color w:val="595959"/>
                                  <w:w w:val="99"/>
                                  <w:sz w:val="18"/>
                                </w:rPr>
                                <w:t>-1</w:t>
                              </w:r>
                            </w:p>
                          </w:txbxContent>
                        </wps:txbx>
                        <wps:bodyPr horzOverflow="overflow" vert="horz" lIns="0" tIns="0" rIns="0" bIns="0" rtlCol="0">
                          <a:noAutofit/>
                        </wps:bodyPr>
                      </wps:wsp>
                      <wps:wsp>
                        <wps:cNvPr id="1285045731" name="Rectangle 1285045731"/>
                        <wps:cNvSpPr/>
                        <wps:spPr>
                          <a:xfrm>
                            <a:off x="82601" y="1655818"/>
                            <a:ext cx="239278" cy="185570"/>
                          </a:xfrm>
                          <a:prstGeom prst="rect">
                            <a:avLst/>
                          </a:prstGeom>
                          <a:ln>
                            <a:noFill/>
                          </a:ln>
                        </wps:spPr>
                        <wps:txbx>
                          <w:txbxContent>
                            <w:p w14:paraId="2BEE5A2E" w14:textId="77777777" w:rsidR="00E57B46" w:rsidRDefault="00E57B46" w:rsidP="00E57B46">
                              <w:r>
                                <w:rPr>
                                  <w:rFonts w:ascii="Calibri" w:eastAsia="Calibri" w:hAnsi="Calibri" w:cs="Calibri"/>
                                  <w:color w:val="595959"/>
                                  <w:sz w:val="18"/>
                                </w:rPr>
                                <w:t>-0.5</w:t>
                              </w:r>
                            </w:p>
                          </w:txbxContent>
                        </wps:txbx>
                        <wps:bodyPr horzOverflow="overflow" vert="horz" lIns="0" tIns="0" rIns="0" bIns="0" rtlCol="0">
                          <a:noAutofit/>
                        </wps:bodyPr>
                      </wps:wsp>
                      <wps:wsp>
                        <wps:cNvPr id="373894598" name="Rectangle 373894598"/>
                        <wps:cNvSpPr/>
                        <wps:spPr>
                          <a:xfrm>
                            <a:off x="205435" y="1356224"/>
                            <a:ext cx="77074" cy="185570"/>
                          </a:xfrm>
                          <a:prstGeom prst="rect">
                            <a:avLst/>
                          </a:prstGeom>
                          <a:ln>
                            <a:noFill/>
                          </a:ln>
                        </wps:spPr>
                        <wps:txbx>
                          <w:txbxContent>
                            <w:p w14:paraId="72066EE6" w14:textId="77777777" w:rsidR="00E57B46" w:rsidRDefault="00E57B46" w:rsidP="00E57B46">
                              <w:r>
                                <w:rPr>
                                  <w:rFonts w:ascii="Calibri" w:eastAsia="Calibri" w:hAnsi="Calibri" w:cs="Calibri"/>
                                  <w:color w:val="595959"/>
                                  <w:sz w:val="18"/>
                                </w:rPr>
                                <w:t>0</w:t>
                              </w:r>
                            </w:p>
                          </w:txbxContent>
                        </wps:txbx>
                        <wps:bodyPr horzOverflow="overflow" vert="horz" lIns="0" tIns="0" rIns="0" bIns="0" rtlCol="0">
                          <a:noAutofit/>
                        </wps:bodyPr>
                      </wps:wsp>
                      <wps:wsp>
                        <wps:cNvPr id="1015273321" name="Rectangle 1015273321"/>
                        <wps:cNvSpPr/>
                        <wps:spPr>
                          <a:xfrm>
                            <a:off x="117653" y="1056250"/>
                            <a:ext cx="194432" cy="185570"/>
                          </a:xfrm>
                          <a:prstGeom prst="rect">
                            <a:avLst/>
                          </a:prstGeom>
                          <a:ln>
                            <a:noFill/>
                          </a:ln>
                        </wps:spPr>
                        <wps:txbx>
                          <w:txbxContent>
                            <w:p w14:paraId="7BD965BD" w14:textId="77777777" w:rsidR="00E57B46" w:rsidRDefault="00E57B46" w:rsidP="00E57B46">
                              <w:r>
                                <w:rPr>
                                  <w:rFonts w:ascii="Calibri" w:eastAsia="Calibri" w:hAnsi="Calibri" w:cs="Calibri"/>
                                  <w:color w:val="595959"/>
                                  <w:w w:val="101"/>
                                  <w:sz w:val="18"/>
                                </w:rPr>
                                <w:t>0.5</w:t>
                              </w:r>
                            </w:p>
                          </w:txbxContent>
                        </wps:txbx>
                        <wps:bodyPr horzOverflow="overflow" vert="horz" lIns="0" tIns="0" rIns="0" bIns="0" rtlCol="0">
                          <a:noAutofit/>
                        </wps:bodyPr>
                      </wps:wsp>
                      <wps:wsp>
                        <wps:cNvPr id="52808" name="Rectangle 52808"/>
                        <wps:cNvSpPr/>
                        <wps:spPr>
                          <a:xfrm>
                            <a:off x="205435" y="756658"/>
                            <a:ext cx="77074" cy="185570"/>
                          </a:xfrm>
                          <a:prstGeom prst="rect">
                            <a:avLst/>
                          </a:prstGeom>
                          <a:ln>
                            <a:noFill/>
                          </a:ln>
                        </wps:spPr>
                        <wps:txbx>
                          <w:txbxContent>
                            <w:p w14:paraId="5E20EAFC" w14:textId="77777777" w:rsidR="00E57B46" w:rsidRDefault="00E57B46" w:rsidP="00E57B46">
                              <w:r>
                                <w:rPr>
                                  <w:rFonts w:ascii="Calibri" w:eastAsia="Calibri" w:hAnsi="Calibri" w:cs="Calibri"/>
                                  <w:color w:val="595959"/>
                                  <w:sz w:val="18"/>
                                </w:rPr>
                                <w:t>1</w:t>
                              </w:r>
                            </w:p>
                          </w:txbxContent>
                        </wps:txbx>
                        <wps:bodyPr horzOverflow="overflow" vert="horz" lIns="0" tIns="0" rIns="0" bIns="0" rtlCol="0">
                          <a:noAutofit/>
                        </wps:bodyPr>
                      </wps:wsp>
                      <wps:wsp>
                        <wps:cNvPr id="108248486" name="Rectangle 108248486"/>
                        <wps:cNvSpPr/>
                        <wps:spPr>
                          <a:xfrm>
                            <a:off x="117653" y="456684"/>
                            <a:ext cx="194432" cy="185570"/>
                          </a:xfrm>
                          <a:prstGeom prst="rect">
                            <a:avLst/>
                          </a:prstGeom>
                          <a:ln>
                            <a:noFill/>
                          </a:ln>
                        </wps:spPr>
                        <wps:txbx>
                          <w:txbxContent>
                            <w:p w14:paraId="2FE3B1F8" w14:textId="77777777" w:rsidR="00E57B46" w:rsidRDefault="00E57B46" w:rsidP="00E57B46">
                              <w:r>
                                <w:rPr>
                                  <w:rFonts w:ascii="Calibri" w:eastAsia="Calibri" w:hAnsi="Calibri" w:cs="Calibri"/>
                                  <w:color w:val="595959"/>
                                  <w:w w:val="101"/>
                                  <w:sz w:val="18"/>
                                </w:rPr>
                                <w:t>1.5</w:t>
                              </w:r>
                            </w:p>
                          </w:txbxContent>
                        </wps:txbx>
                        <wps:bodyPr horzOverflow="overflow" vert="horz" lIns="0" tIns="0" rIns="0" bIns="0" rtlCol="0">
                          <a:noAutofit/>
                        </wps:bodyPr>
                      </wps:wsp>
                      <wps:wsp>
                        <wps:cNvPr id="1419333972" name="Rectangle 1419333972"/>
                        <wps:cNvSpPr/>
                        <wps:spPr>
                          <a:xfrm>
                            <a:off x="1660525" y="95741"/>
                            <a:ext cx="1426851" cy="371140"/>
                          </a:xfrm>
                          <a:prstGeom prst="rect">
                            <a:avLst/>
                          </a:prstGeom>
                          <a:ln>
                            <a:noFill/>
                          </a:ln>
                        </wps:spPr>
                        <wps:txbx>
                          <w:txbxContent>
                            <w:p w14:paraId="4D2F4A90" w14:textId="77777777" w:rsidR="00E57B46" w:rsidRDefault="00E57B46" w:rsidP="00E57B46">
                              <w:r>
                                <w:rPr>
                                  <w:rFonts w:ascii="Calibri" w:eastAsia="Calibri" w:hAnsi="Calibri" w:cs="Calibri"/>
                                  <w:b/>
                                  <w:color w:val="595959"/>
                                  <w:w w:val="103"/>
                                  <w:sz w:val="36"/>
                                </w:rPr>
                                <w:t>Correlation</w:t>
                              </w:r>
                            </w:p>
                          </w:txbxContent>
                        </wps:txbx>
                        <wps:bodyPr horzOverflow="overflow" vert="horz" lIns="0" tIns="0" rIns="0" bIns="0" rtlCol="0">
                          <a:noAutofit/>
                        </wps:bodyPr>
                      </wps:wsp>
                      <wps:wsp>
                        <wps:cNvPr id="1845542520" name="Shape 897"/>
                        <wps:cNvSpPr/>
                        <wps:spPr>
                          <a:xfrm>
                            <a:off x="518554" y="2247096"/>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910015353" name="Rectangle 910015353"/>
                        <wps:cNvSpPr/>
                        <wps:spPr>
                          <a:xfrm>
                            <a:off x="608076" y="2202553"/>
                            <a:ext cx="693207" cy="185570"/>
                          </a:xfrm>
                          <a:prstGeom prst="rect">
                            <a:avLst/>
                          </a:prstGeom>
                          <a:ln>
                            <a:noFill/>
                          </a:ln>
                        </wps:spPr>
                        <wps:txbx>
                          <w:txbxContent>
                            <w:p w14:paraId="2A4C5D7E" w14:textId="77777777" w:rsidR="00E57B46" w:rsidRDefault="00E57B46" w:rsidP="00E57B46">
                              <w:r>
                                <w:rPr>
                                  <w:rFonts w:ascii="Calibri" w:eastAsia="Calibri" w:hAnsi="Calibri" w:cs="Calibri"/>
                                  <w:color w:val="595959"/>
                                  <w:w w:val="101"/>
                                  <w:sz w:val="18"/>
                                </w:rPr>
                                <w:t>Visa</w:t>
                              </w:r>
                              <w:r>
                                <w:rPr>
                                  <w:rFonts w:ascii="Calibri" w:eastAsia="Calibri" w:hAnsi="Calibri" w:cs="Calibri"/>
                                  <w:color w:val="595959"/>
                                  <w:spacing w:val="-9"/>
                                  <w:w w:val="101"/>
                                  <w:sz w:val="18"/>
                                </w:rPr>
                                <w:t xml:space="preserve"> </w:t>
                              </w:r>
                              <w:r>
                                <w:rPr>
                                  <w:rFonts w:ascii="Calibri" w:eastAsia="Calibri" w:hAnsi="Calibri" w:cs="Calibri"/>
                                  <w:color w:val="595959"/>
                                  <w:w w:val="101"/>
                                  <w:sz w:val="18"/>
                                </w:rPr>
                                <w:t>Grants</w:t>
                              </w:r>
                            </w:p>
                          </w:txbxContent>
                        </wps:txbx>
                        <wps:bodyPr horzOverflow="overflow" vert="horz" lIns="0" tIns="0" rIns="0" bIns="0" rtlCol="0">
                          <a:noAutofit/>
                        </wps:bodyPr>
                      </wps:wsp>
                      <wps:wsp>
                        <wps:cNvPr id="1968213295" name="Shape 902"/>
                        <wps:cNvSpPr/>
                        <wps:spPr>
                          <a:xfrm>
                            <a:off x="1665224" y="2247096"/>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E97132"/>
                          </a:fillRef>
                          <a:effectRef idx="0">
                            <a:scrgbClr r="0" g="0" b="0"/>
                          </a:effectRef>
                          <a:fontRef idx="none"/>
                        </wps:style>
                        <wps:bodyPr/>
                      </wps:wsp>
                      <wps:wsp>
                        <wps:cNvPr id="258824589" name="Rectangle 258824589"/>
                        <wps:cNvSpPr/>
                        <wps:spPr>
                          <a:xfrm>
                            <a:off x="1755013" y="2202553"/>
                            <a:ext cx="604275" cy="185570"/>
                          </a:xfrm>
                          <a:prstGeom prst="rect">
                            <a:avLst/>
                          </a:prstGeom>
                          <a:ln>
                            <a:noFill/>
                          </a:ln>
                        </wps:spPr>
                        <wps:txbx>
                          <w:txbxContent>
                            <w:p w14:paraId="4EAB62D2" w14:textId="77777777" w:rsidR="00E57B46" w:rsidRDefault="00E57B46" w:rsidP="00E57B46">
                              <w:r>
                                <w:rPr>
                                  <w:rFonts w:ascii="Calibri" w:eastAsia="Calibri" w:hAnsi="Calibri" w:cs="Calibri"/>
                                  <w:color w:val="595959"/>
                                  <w:w w:val="101"/>
                                  <w:sz w:val="18"/>
                                </w:rPr>
                                <w:t>RQF</w:t>
                              </w:r>
                              <w:r>
                                <w:rPr>
                                  <w:rFonts w:ascii="Calibri" w:eastAsia="Calibri" w:hAnsi="Calibri" w:cs="Calibri"/>
                                  <w:color w:val="595959"/>
                                  <w:spacing w:val="-7"/>
                                  <w:w w:val="101"/>
                                  <w:sz w:val="18"/>
                                </w:rPr>
                                <w:t xml:space="preserve"> </w:t>
                              </w:r>
                              <w:r>
                                <w:rPr>
                                  <w:rFonts w:ascii="Calibri" w:eastAsia="Calibri" w:hAnsi="Calibri" w:cs="Calibri"/>
                                  <w:color w:val="595959"/>
                                  <w:w w:val="101"/>
                                  <w:sz w:val="18"/>
                                </w:rPr>
                                <w:t>Level</w:t>
                              </w:r>
                            </w:p>
                          </w:txbxContent>
                        </wps:txbx>
                        <wps:bodyPr horzOverflow="overflow" vert="horz" lIns="0" tIns="0" rIns="0" bIns="0" rtlCol="0">
                          <a:noAutofit/>
                        </wps:bodyPr>
                      </wps:wsp>
                      <wps:wsp>
                        <wps:cNvPr id="1686332636" name="Shape 907"/>
                        <wps:cNvSpPr/>
                        <wps:spPr>
                          <a:xfrm>
                            <a:off x="2811907" y="2247096"/>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196B24"/>
                          </a:fillRef>
                          <a:effectRef idx="0">
                            <a:scrgbClr r="0" g="0" b="0"/>
                          </a:effectRef>
                          <a:fontRef idx="none"/>
                        </wps:style>
                        <wps:bodyPr/>
                      </wps:wsp>
                      <wps:wsp>
                        <wps:cNvPr id="1612720974" name="Rectangle 1612720974"/>
                        <wps:cNvSpPr/>
                        <wps:spPr>
                          <a:xfrm>
                            <a:off x="2901950" y="2202553"/>
                            <a:ext cx="1002261" cy="185570"/>
                          </a:xfrm>
                          <a:prstGeom prst="rect">
                            <a:avLst/>
                          </a:prstGeom>
                          <a:ln>
                            <a:noFill/>
                          </a:ln>
                        </wps:spPr>
                        <wps:txbx>
                          <w:txbxContent>
                            <w:p w14:paraId="1FFAE709" w14:textId="77777777" w:rsidR="00E57B46" w:rsidRDefault="00E57B46" w:rsidP="00E57B46">
                              <w:r>
                                <w:rPr>
                                  <w:rFonts w:ascii="Calibri" w:eastAsia="Calibri" w:hAnsi="Calibri" w:cs="Calibri"/>
                                  <w:color w:val="595959"/>
                                  <w:w w:val="99"/>
                                  <w:sz w:val="18"/>
                                </w:rPr>
                                <w:t>Salary</w:t>
                              </w:r>
                              <w:r>
                                <w:rPr>
                                  <w:rFonts w:ascii="Calibri" w:eastAsia="Calibri" w:hAnsi="Calibri" w:cs="Calibri"/>
                                  <w:color w:val="595959"/>
                                  <w:spacing w:val="-8"/>
                                  <w:w w:val="99"/>
                                  <w:sz w:val="18"/>
                                </w:rPr>
                                <w:t xml:space="preserve"> </w:t>
                              </w:r>
                              <w:r>
                                <w:rPr>
                                  <w:rFonts w:ascii="Calibri" w:eastAsia="Calibri" w:hAnsi="Calibri" w:cs="Calibri"/>
                                  <w:color w:val="595959"/>
                                  <w:w w:val="99"/>
                                  <w:sz w:val="18"/>
                                </w:rPr>
                                <w:t>Threshold</w:t>
                              </w:r>
                            </w:p>
                          </w:txbxContent>
                        </wps:txbx>
                        <wps:bodyPr horzOverflow="overflow" vert="horz" lIns="0" tIns="0" rIns="0" bIns="0" rtlCol="0">
                          <a:noAutofit/>
                        </wps:bodyPr>
                      </wps:wsp>
                      <wps:wsp>
                        <wps:cNvPr id="1794060263" name="Shape 912"/>
                        <wps:cNvSpPr/>
                        <wps:spPr>
                          <a:xfrm>
                            <a:off x="518554" y="2461345"/>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0F9ED5"/>
                          </a:fillRef>
                          <a:effectRef idx="0">
                            <a:scrgbClr r="0" g="0" b="0"/>
                          </a:effectRef>
                          <a:fontRef idx="none"/>
                        </wps:style>
                        <wps:bodyPr/>
                      </wps:wsp>
                      <wps:wsp>
                        <wps:cNvPr id="1329957704" name="Rectangle 1329957704"/>
                        <wps:cNvSpPr/>
                        <wps:spPr>
                          <a:xfrm>
                            <a:off x="608076" y="2416929"/>
                            <a:ext cx="1357074" cy="185570"/>
                          </a:xfrm>
                          <a:prstGeom prst="rect">
                            <a:avLst/>
                          </a:prstGeom>
                          <a:ln>
                            <a:noFill/>
                          </a:ln>
                        </wps:spPr>
                        <wps:txbx>
                          <w:txbxContent>
                            <w:p w14:paraId="777E0874" w14:textId="77777777" w:rsidR="00E57B46" w:rsidRDefault="00E57B46" w:rsidP="00E57B46">
                              <w:proofErr w:type="spellStart"/>
                              <w:r>
                                <w:rPr>
                                  <w:rFonts w:ascii="Calibri" w:eastAsia="Calibri" w:hAnsi="Calibri" w:cs="Calibri"/>
                                  <w:color w:val="595959"/>
                                  <w:w w:val="99"/>
                                  <w:sz w:val="18"/>
                                </w:rPr>
                                <w:t>Dependant</w:t>
                              </w:r>
                              <w:proofErr w:type="spellEnd"/>
                              <w:r>
                                <w:rPr>
                                  <w:rFonts w:ascii="Calibri" w:eastAsia="Calibri" w:hAnsi="Calibri" w:cs="Calibri"/>
                                  <w:color w:val="595959"/>
                                  <w:spacing w:val="-8"/>
                                  <w:w w:val="99"/>
                                  <w:sz w:val="18"/>
                                </w:rPr>
                                <w:t xml:space="preserve"> </w:t>
                              </w:r>
                              <w:r>
                                <w:rPr>
                                  <w:rFonts w:ascii="Calibri" w:eastAsia="Calibri" w:hAnsi="Calibri" w:cs="Calibri"/>
                                  <w:color w:val="595959"/>
                                  <w:w w:val="99"/>
                                  <w:sz w:val="18"/>
                                </w:rPr>
                                <w:t>Restriction</w:t>
                              </w:r>
                            </w:p>
                          </w:txbxContent>
                        </wps:txbx>
                        <wps:bodyPr horzOverflow="overflow" vert="horz" lIns="0" tIns="0" rIns="0" bIns="0" rtlCol="0">
                          <a:noAutofit/>
                        </wps:bodyPr>
                      </wps:wsp>
                      <wps:wsp>
                        <wps:cNvPr id="1713243176" name="Shape 917"/>
                        <wps:cNvSpPr/>
                        <wps:spPr>
                          <a:xfrm>
                            <a:off x="1665224" y="2461345"/>
                            <a:ext cx="62780" cy="62780"/>
                          </a:xfrm>
                          <a:custGeom>
                            <a:avLst/>
                            <a:gdLst/>
                            <a:ahLst/>
                            <a:cxnLst/>
                            <a:rect l="0" t="0" r="0" b="0"/>
                            <a:pathLst>
                              <a:path w="62780" h="62780">
                                <a:moveTo>
                                  <a:pt x="0" y="0"/>
                                </a:moveTo>
                                <a:lnTo>
                                  <a:pt x="62780" y="0"/>
                                </a:lnTo>
                                <a:lnTo>
                                  <a:pt x="62780" y="62780"/>
                                </a:lnTo>
                                <a:lnTo>
                                  <a:pt x="0" y="62780"/>
                                </a:lnTo>
                                <a:lnTo>
                                  <a:pt x="0" y="0"/>
                                </a:lnTo>
                              </a:path>
                            </a:pathLst>
                          </a:custGeom>
                          <a:ln w="0" cap="flat">
                            <a:round/>
                          </a:ln>
                        </wps:spPr>
                        <wps:style>
                          <a:lnRef idx="0">
                            <a:srgbClr val="000000">
                              <a:alpha val="0"/>
                            </a:srgbClr>
                          </a:lnRef>
                          <a:fillRef idx="1">
                            <a:srgbClr val="A02B93"/>
                          </a:fillRef>
                          <a:effectRef idx="0">
                            <a:scrgbClr r="0" g="0" b="0"/>
                          </a:effectRef>
                          <a:fontRef idx="none"/>
                        </wps:style>
                        <wps:bodyPr/>
                      </wps:wsp>
                      <wps:wsp>
                        <wps:cNvPr id="1561367556" name="Rectangle 1561367556"/>
                        <wps:cNvSpPr/>
                        <wps:spPr>
                          <a:xfrm>
                            <a:off x="1755013" y="2416929"/>
                            <a:ext cx="1070822" cy="185570"/>
                          </a:xfrm>
                          <a:prstGeom prst="rect">
                            <a:avLst/>
                          </a:prstGeom>
                          <a:ln>
                            <a:noFill/>
                          </a:ln>
                        </wps:spPr>
                        <wps:txbx>
                          <w:txbxContent>
                            <w:p w14:paraId="39172F38" w14:textId="77777777" w:rsidR="00E57B46" w:rsidRDefault="00E57B46" w:rsidP="00E57B46">
                              <w:r>
                                <w:rPr>
                                  <w:rFonts w:ascii="Calibri" w:eastAsia="Calibri" w:hAnsi="Calibri" w:cs="Calibri"/>
                                  <w:color w:val="595959"/>
                                  <w:w w:val="102"/>
                                  <w:sz w:val="18"/>
                                </w:rPr>
                                <w:t>Overseas</w:t>
                              </w:r>
                              <w:r>
                                <w:rPr>
                                  <w:rFonts w:ascii="Calibri" w:eastAsia="Calibri" w:hAnsi="Calibri" w:cs="Calibri"/>
                                  <w:color w:val="595959"/>
                                  <w:spacing w:val="-8"/>
                                  <w:w w:val="102"/>
                                  <w:sz w:val="18"/>
                                </w:rPr>
                                <w:t xml:space="preserve"> </w:t>
                              </w:r>
                              <w:r>
                                <w:rPr>
                                  <w:rFonts w:ascii="Calibri" w:eastAsia="Calibri" w:hAnsi="Calibri" w:cs="Calibri"/>
                                  <w:color w:val="595959"/>
                                  <w:w w:val="102"/>
                                  <w:sz w:val="18"/>
                                </w:rPr>
                                <w:t>Closure</w:t>
                              </w:r>
                            </w:p>
                          </w:txbxContent>
                        </wps:txbx>
                        <wps:bodyPr horzOverflow="overflow" vert="horz" lIns="0" tIns="0" rIns="0" bIns="0" rtlCol="0">
                          <a:noAutofit/>
                        </wps:bodyPr>
                      </wps:wsp>
                      <wps:wsp>
                        <wps:cNvPr id="613751729" name="Shape 72"/>
                        <wps:cNvSpPr/>
                        <wps:spPr>
                          <a:xfrm>
                            <a:off x="0" y="0"/>
                            <a:ext cx="4395216" cy="2657094"/>
                          </a:xfrm>
                          <a:custGeom>
                            <a:avLst/>
                            <a:gdLst/>
                            <a:ahLst/>
                            <a:cxnLst/>
                            <a:rect l="0" t="0" r="0" b="0"/>
                            <a:pathLst>
                              <a:path w="4395216" h="2657094">
                                <a:moveTo>
                                  <a:pt x="0" y="2657094"/>
                                </a:moveTo>
                                <a:lnTo>
                                  <a:pt x="4395216" y="2657094"/>
                                </a:lnTo>
                                <a:lnTo>
                                  <a:pt x="4395216" y="0"/>
                                </a:lnTo>
                                <a:lnTo>
                                  <a:pt x="0" y="0"/>
                                </a:lnTo>
                                <a:close/>
                              </a:path>
                            </a:pathLst>
                          </a:custGeom>
                          <a:ln w="9525" cap="flat">
                            <a:round/>
                          </a:ln>
                        </wps:spPr>
                        <wps:style>
                          <a:lnRef idx="1">
                            <a:srgbClr val="D9D9D9"/>
                          </a:lnRef>
                          <a:fillRef idx="0">
                            <a:srgbClr val="000000">
                              <a:alpha val="0"/>
                            </a:srgbClr>
                          </a:fillRef>
                          <a:effectRef idx="0">
                            <a:scrgbClr r="0" g="0" b="0"/>
                          </a:effectRef>
                          <a:fontRef idx="none"/>
                        </wps:style>
                        <wps:bodyPr/>
                      </wps:wsp>
                    </wpg:wgp>
                  </a:graphicData>
                </a:graphic>
              </wp:inline>
            </w:drawing>
          </mc:Choice>
          <mc:Fallback>
            <w:pict>
              <v:group w14:anchorId="1B1A076C" id="Group 1915502945" o:spid="_x0000_s1131" style="width:346.1pt;height:209.2pt;mso-position-horizontal-relative:char;mso-position-vertical-relative:line" coordsize="43952,265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">
                <v:shape id="Shape 34" o:spid="_x0000_s1132" style="position:absolute;left:3686;top:20316;width:38869;height:0;visibility:visible;mso-wrap-style:square;v-text-anchor:top" coordsize="38869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" path="m,l3886911,e" filled="f" strokecolor="#d9d9d9">
                  <v:path arrowok="t" textboxrect="0,0,3886911,0"/>
                </v:shape>
                <v:shape id="Shape 35" o:spid="_x0000_s1133" style="position:absolute;left:3686;top:17320;width:38869;height:0;visibility:visible;mso-wrap-style:square;v-text-anchor:top" coordsize="38869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" path="m,l3886911,e" filled="f" strokecolor="#d9d9d9">
                  <v:path arrowok="t" textboxrect="0,0,3886911,0"/>
                </v:shape>
                <v:shape id="Shape 36" o:spid="_x0000_s1134" style="position:absolute;left:3686;top:11330;width:38869;height:0;visibility:visible;mso-wrap-style:square;v-text-anchor:top" coordsize="38869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" path="m,l3886911,e" filled="f" strokecolor="#d9d9d9">
                  <v:path arrowok="t" textboxrect="0,0,3886911,0"/>
                </v:shape>
                <v:shape id="Shape 37" o:spid="_x0000_s1135" style="position:absolute;left:3686;top:8328;width:38869;height:0;visibility:visible;mso-wrap-style:square;v-text-anchor:top" coordsize="38869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" path="m,l3886911,e" filled="f" strokecolor="#d9d9d9">
                  <v:path arrowok="t" textboxrect="0,0,3886911,0"/>
                </v:shape>
                <v:shape id="Shape 38" o:spid="_x0000_s1136" style="position:absolute;left:3686;top:5330;width:38869;height:0;visibility:visible;mso-wrap-style:square;v-text-anchor:top" coordsize="38869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" path="m,l3886911,e" filled="f" strokecolor="#d9d9d9">
                  <v:path arrowok="t" textboxrect="0,0,3886911,0"/>
                </v:shape>
                <v:shape id="Shape 872" o:spid="_x0000_s1137" style="position:absolute;left:35814;top:14317;width:929;height:2972;visibility:visible;mso-wrap-style:square;v-text-anchor:top" coordsize="92964,297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" path="m,l92964,r,297180l,297180,,e" fillcolor="#156082" stroked="f" strokeweight="0">
                  <v:path arrowok="t" textboxrect="0,0,92964,297180"/>
                </v:shape>
                <v:shape id="Shape 873" o:spid="_x0000_s1138" style="position:absolute;left:28041;top:14317;width:930;height:3704;visibility:visible;mso-wrap-style:square;v-text-anchor:top" coordsize="92964,3703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" path="m,l92964,r,370332l,370332,,e" fillcolor="#156082" stroked="f" strokeweight="0">
                  <v:path arrowok="t" textboxrect="0,0,92964,370332"/>
                </v:shape>
                <v:shape id="Shape 874" o:spid="_x0000_s1139" style="position:absolute;left:20269;top:14317;width:929;height:2972;visibility:visible;mso-wrap-style:square;v-text-anchor:top" coordsize="92964,297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" path="m,l92964,r,297180l,297180,,e" fillcolor="#156082" stroked="f" strokeweight="0">
                  <v:path arrowok="t" textboxrect="0,0,92964,297180"/>
                </v:shape>
                <v:shape id="Shape 875" o:spid="_x0000_s1140" style="position:absolute;left:12496;top:14317;width:930;height:2972;visibility:visible;mso-wrap-style:square;v-text-anchor:top" coordsize="92964,297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" path="m,l92964,r,297180l,297180,,e" fillcolor="#156082" stroked="f" strokeweight="0">
                  <v:path arrowok="t" textboxrect="0,0,92964,297180"/>
                </v:shape>
                <v:shape id="Shape 876" o:spid="_x0000_s1141" style="position:absolute;left:4709;top:8328;width:945;height:5989;visibility:visible;mso-wrap-style:square;v-text-anchor:top" coordsize="94488,59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" path="m,l94488,r,598932l,598932,,e" fillcolor="#156082" stroked="f" strokeweight="0">
                  <v:path arrowok="t" textboxrect="0,0,94488,598932"/>
                </v:shape>
                <v:shape id="Shape 877" o:spid="_x0000_s1142" style="position:absolute;left:29230;top:9944;width:945;height:4373;visibility:visible;mso-wrap-style:square;v-text-anchor:top" coordsize="94488,437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" path="m,l94488,r,437388l,437388,,e" fillcolor="#e97132" stroked="f" strokeweight="0">
                  <v:path arrowok="t" textboxrect="0,0,94488,437388"/>
                </v:shape>
                <v:shape id="Shape 878" o:spid="_x0000_s1143" style="position:absolute;left:37002;top:8328;width:945;height:5989;visibility:visible;mso-wrap-style:square;v-text-anchor:top" coordsize="94488,59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" path="m,l94488,r,598932l,598932,,e" fillcolor="#e97132" stroked="f" strokeweight="0">
                  <v:path arrowok="t" textboxrect="0,0,94488,598932"/>
                </v:shape>
                <v:shape id="Shape 879" o:spid="_x0000_s1144" style="position:absolute;left:21457;top:8328;width:945;height:5989;visibility:visible;mso-wrap-style:square;v-text-anchor:top" coordsize="94488,59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" path="m,l94488,r,598932l,598932,,e" fillcolor="#e97132" stroked="f" strokeweight="0">
                  <v:path arrowok="t" textboxrect="0,0,94488,598932"/>
                </v:shape>
                <v:shape id="Shape 880" o:spid="_x0000_s1145" style="position:absolute;left:13685;top:8328;width:945;height:5989;visibility:visible;mso-wrap-style:square;v-text-anchor:top" coordsize="94488,59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" path="m,l94488,r,598932l,598932,,e" fillcolor="#e97132" stroked="f" strokeweight="0">
                  <v:path arrowok="t" textboxrect="0,0,94488,598932"/>
                </v:shape>
                <v:shape id="Shape 881" o:spid="_x0000_s1146" style="position:absolute;left:30419;top:9944;width:944;height:4373;visibility:visible;mso-wrap-style:square;v-text-anchor:top" coordsize="94488,437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" path="m,l94488,r,437388l,437388,,e" fillcolor="#196b24" stroked="f" strokeweight="0">
                  <v:path arrowok="t" textboxrect="0,0,94488,437388"/>
                </v:shape>
                <v:shape id="Shape 882" o:spid="_x0000_s1147" style="position:absolute;left:38191;top:8328;width:945;height:5989;visibility:visible;mso-wrap-style:square;v-text-anchor:top" coordsize="94488,59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" path="m,l94488,r,598932l,598932,,e" fillcolor="#196b24" stroked="f" strokeweight="0">
                  <v:path arrowok="t" textboxrect="0,0,94488,598932"/>
                </v:shape>
                <v:shape id="Shape 883" o:spid="_x0000_s1148" style="position:absolute;left:22646;top:8328;width:945;height:5989;visibility:visible;mso-wrap-style:square;v-text-anchor:top" coordsize="94488,59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" path="m,l94488,r,598932l,598932,,e" fillcolor="#196b24" stroked="f" strokeweight="0">
                  <v:path arrowok="t" textboxrect="0,0,94488,598932"/>
                </v:shape>
                <v:shape id="Shape 884" o:spid="_x0000_s1149" style="position:absolute;left:39395;top:9944;width:930;height:4373;visibility:visible;mso-wrap-style:square;v-text-anchor:top" coordsize="92964,437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" path="m,l92964,r,437388l,437388,,e" fillcolor="#0f9ed5" stroked="f" strokeweight="0">
                  <v:path arrowok="t" textboxrect="0,0,92964,437388"/>
                </v:shape>
                <v:shape id="Shape 885" o:spid="_x0000_s1150" style="position:absolute;left:31623;top:8328;width:929;height:5989;visibility:visible;mso-wrap-style:square;v-text-anchor:top" coordsize="92964,59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" path="m,l92964,r,598932l,598932,,e" fillcolor="#0f9ed5" stroked="f" strokeweight="0">
                  <v:path arrowok="t" textboxrect="0,0,92964,598932"/>
                </v:shape>
                <v:shape id="Shape 886" o:spid="_x0000_s1151" style="position:absolute;left:40584;top:8328;width:945;height:5989;visibility:visible;mso-wrap-style:square;v-text-anchor:top" coordsize="94488,5989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" path="m,l94488,r,598932l,598932,,e" fillcolor="#a02b93" stroked="f" strokeweight="0">
                  <v:path arrowok="t" textboxrect="0,0,94488,598932"/>
                </v:shape>
                <v:shape id="Shape 54" o:spid="_x0000_s1152" style="position:absolute;left:3686;top:14321;width:38869;height:0;visibility:visible;mso-wrap-style:square;v-text-anchor:top" coordsize="38869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" path="m,l3886911,e" filled="f" strokecolor="#d9d9d9">
                  <v:path arrowok="t" textboxrect="0,0,3886911,0"/>
                </v:shape>
                <v:rect id="Rectangle 1279773729" o:spid="_x0000_s1153" style="position:absolute;left:1703;top:19551;width:1239;height:1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" filled="f" stroked="f">
                  <v:textbox inset="0,0,0,0">
                    <w:txbxContent>
                      <w:p w14:paraId="4852CF7A" w14:textId="77777777" w:rsidR="00E57B46" w:rsidRDefault="00E57B46" w:rsidP="00E57B46">
                        <w:r>
                          <w:rPr>
                            <w:rFonts w:ascii="Calibri" w:eastAsia="Calibri" w:hAnsi="Calibri" w:cs="Calibri"/>
                            <w:color w:val="595959"/>
                            <w:w w:val="99"/>
                            <w:sz w:val="18"/>
                          </w:rPr>
                          <w:t>-1</w:t>
                        </w:r>
                      </w:p>
                    </w:txbxContent>
                  </v:textbox>
                </v:rect>
                <v:rect id="Rectangle 1285045731" o:spid="_x0000_s1154" style="position:absolute;left:826;top:16558;width:2392;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" filled="f" stroked="f">
                  <v:textbox inset="0,0,0,0">
                    <w:txbxContent>
                      <w:p w14:paraId="2BEE5A2E" w14:textId="77777777" w:rsidR="00E57B46" w:rsidRDefault="00E57B46" w:rsidP="00E57B46">
                        <w:r>
                          <w:rPr>
                            <w:rFonts w:ascii="Calibri" w:eastAsia="Calibri" w:hAnsi="Calibri" w:cs="Calibri"/>
                            <w:color w:val="595959"/>
                            <w:sz w:val="18"/>
                          </w:rPr>
                          <w:t>-0.5</w:t>
                        </w:r>
                      </w:p>
                    </w:txbxContent>
                  </v:textbox>
                </v:rect>
                <v:rect id="Rectangle 373894598" o:spid="_x0000_s1155" style="position:absolute;left:2054;top:13562;width:7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" filled="f" stroked="f">
                  <v:textbox inset="0,0,0,0">
                    <w:txbxContent>
                      <w:p w14:paraId="72066EE6" w14:textId="77777777" w:rsidR="00E57B46" w:rsidRDefault="00E57B46" w:rsidP="00E57B46">
                        <w:r>
                          <w:rPr>
                            <w:rFonts w:ascii="Calibri" w:eastAsia="Calibri" w:hAnsi="Calibri" w:cs="Calibri"/>
                            <w:color w:val="595959"/>
                            <w:sz w:val="18"/>
                          </w:rPr>
                          <w:t>0</w:t>
                        </w:r>
                      </w:p>
                    </w:txbxContent>
                  </v:textbox>
                </v:rect>
                <v:rect id="Rectangle 1015273321" o:spid="_x0000_s1156" style="position:absolute;left:1176;top:10562;width:1944;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" filled="f" stroked="f">
                  <v:textbox inset="0,0,0,0">
                    <w:txbxContent>
                      <w:p w14:paraId="7BD965BD" w14:textId="77777777" w:rsidR="00E57B46" w:rsidRDefault="00E57B46" w:rsidP="00E57B46">
                        <w:r>
                          <w:rPr>
                            <w:rFonts w:ascii="Calibri" w:eastAsia="Calibri" w:hAnsi="Calibri" w:cs="Calibri"/>
                            <w:color w:val="595959"/>
                            <w:w w:val="101"/>
                            <w:sz w:val="18"/>
                          </w:rPr>
                          <w:t>0.5</w:t>
                        </w:r>
                      </w:p>
                    </w:txbxContent>
                  </v:textbox>
                </v:rect>
                <v:rect id="Rectangle 52808" o:spid="_x0000_s1157" style="position:absolute;left:2054;top:7566;width:771;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" filled="f" stroked="f">
                  <v:textbox inset="0,0,0,0">
                    <w:txbxContent>
                      <w:p w14:paraId="5E20EAFC" w14:textId="77777777" w:rsidR="00E57B46" w:rsidRDefault="00E57B46" w:rsidP="00E57B46">
                        <w:r>
                          <w:rPr>
                            <w:rFonts w:ascii="Calibri" w:eastAsia="Calibri" w:hAnsi="Calibri" w:cs="Calibri"/>
                            <w:color w:val="595959"/>
                            <w:sz w:val="18"/>
                          </w:rPr>
                          <w:t>1</w:t>
                        </w:r>
                      </w:p>
                    </w:txbxContent>
                  </v:textbox>
                </v:rect>
                <v:rect id="Rectangle 108248486" o:spid="_x0000_s1158" style="position:absolute;left:1176;top:4566;width:1944;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" filled="f" stroked="f">
                  <v:textbox inset="0,0,0,0">
                    <w:txbxContent>
                      <w:p w14:paraId="2FE3B1F8" w14:textId="77777777" w:rsidR="00E57B46" w:rsidRDefault="00E57B46" w:rsidP="00E57B46">
                        <w:r>
                          <w:rPr>
                            <w:rFonts w:ascii="Calibri" w:eastAsia="Calibri" w:hAnsi="Calibri" w:cs="Calibri"/>
                            <w:color w:val="595959"/>
                            <w:w w:val="101"/>
                            <w:sz w:val="18"/>
                          </w:rPr>
                          <w:t>1.5</w:t>
                        </w:r>
                      </w:p>
                    </w:txbxContent>
                  </v:textbox>
                </v:rect>
                <v:rect id="Rectangle 1419333972" o:spid="_x0000_s1159" style="position:absolute;left:16605;top:957;width:14268;height:37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" filled="f" stroked="f">
                  <v:textbox inset="0,0,0,0">
                    <w:txbxContent>
                      <w:p w14:paraId="4D2F4A90" w14:textId="77777777" w:rsidR="00E57B46" w:rsidRDefault="00E57B46" w:rsidP="00E57B46">
                        <w:r>
                          <w:rPr>
                            <w:rFonts w:ascii="Calibri" w:eastAsia="Calibri" w:hAnsi="Calibri" w:cs="Calibri"/>
                            <w:b/>
                            <w:color w:val="595959"/>
                            <w:w w:val="103"/>
                            <w:sz w:val="36"/>
                          </w:rPr>
                          <w:t>Correlation</w:t>
                        </w:r>
                      </w:p>
                    </w:txbxContent>
                  </v:textbox>
                </v:rect>
                <v:shape id="Shape 897" o:spid="_x0000_s1160" style="position:absolute;left:5185;top:22470;width:628;height:628;visibility:visible;mso-wrap-style:square;v-text-anchor:top" coordsize="62780,6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" path="m,l62780,r,62780l,62780,,e" fillcolor="#156082" stroked="f" strokeweight="0">
                  <v:path arrowok="t" textboxrect="0,0,62780,62780"/>
                </v:shape>
                <v:rect id="Rectangle 910015353" o:spid="_x0000_s1161" style="position:absolute;left:6080;top:22025;width:693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" filled="f" stroked="f">
                  <v:textbox inset="0,0,0,0">
                    <w:txbxContent>
                      <w:p w14:paraId="2A4C5D7E" w14:textId="77777777" w:rsidR="00E57B46" w:rsidRDefault="00E57B46" w:rsidP="00E57B46">
                        <w:r>
                          <w:rPr>
                            <w:rFonts w:ascii="Calibri" w:eastAsia="Calibri" w:hAnsi="Calibri" w:cs="Calibri"/>
                            <w:color w:val="595959"/>
                            <w:w w:val="101"/>
                            <w:sz w:val="18"/>
                          </w:rPr>
                          <w:t>Visa</w:t>
                        </w:r>
                        <w:r>
                          <w:rPr>
                            <w:rFonts w:ascii="Calibri" w:eastAsia="Calibri" w:hAnsi="Calibri" w:cs="Calibri"/>
                            <w:color w:val="595959"/>
                            <w:spacing w:val="-9"/>
                            <w:w w:val="101"/>
                            <w:sz w:val="18"/>
                          </w:rPr>
                          <w:t xml:space="preserve"> </w:t>
                        </w:r>
                        <w:r>
                          <w:rPr>
                            <w:rFonts w:ascii="Calibri" w:eastAsia="Calibri" w:hAnsi="Calibri" w:cs="Calibri"/>
                            <w:color w:val="595959"/>
                            <w:w w:val="101"/>
                            <w:sz w:val="18"/>
                          </w:rPr>
                          <w:t>Grants</w:t>
                        </w:r>
                      </w:p>
                    </w:txbxContent>
                  </v:textbox>
                </v:rect>
                <v:shape id="Shape 902" o:spid="_x0000_s1162" style="position:absolute;left:16652;top:22470;width:628;height:628;visibility:visible;mso-wrap-style:square;v-text-anchor:top" coordsize="62780,6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" path="m,l62780,r,62780l,62780,,e" fillcolor="#e97132" stroked="f" strokeweight="0">
                  <v:path arrowok="t" textboxrect="0,0,62780,62780"/>
                </v:shape>
                <v:rect id="Rectangle 258824589" o:spid="_x0000_s1163" style="position:absolute;left:17550;top:22025;width:604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" filled="f" stroked="f">
                  <v:textbox inset="0,0,0,0">
                    <w:txbxContent>
                      <w:p w14:paraId="4EAB62D2" w14:textId="77777777" w:rsidR="00E57B46" w:rsidRDefault="00E57B46" w:rsidP="00E57B46">
                        <w:r>
                          <w:rPr>
                            <w:rFonts w:ascii="Calibri" w:eastAsia="Calibri" w:hAnsi="Calibri" w:cs="Calibri"/>
                            <w:color w:val="595959"/>
                            <w:w w:val="101"/>
                            <w:sz w:val="18"/>
                          </w:rPr>
                          <w:t>RQF</w:t>
                        </w:r>
                        <w:r>
                          <w:rPr>
                            <w:rFonts w:ascii="Calibri" w:eastAsia="Calibri" w:hAnsi="Calibri" w:cs="Calibri"/>
                            <w:color w:val="595959"/>
                            <w:spacing w:val="-7"/>
                            <w:w w:val="101"/>
                            <w:sz w:val="18"/>
                          </w:rPr>
                          <w:t xml:space="preserve"> </w:t>
                        </w:r>
                        <w:r>
                          <w:rPr>
                            <w:rFonts w:ascii="Calibri" w:eastAsia="Calibri" w:hAnsi="Calibri" w:cs="Calibri"/>
                            <w:color w:val="595959"/>
                            <w:w w:val="101"/>
                            <w:sz w:val="18"/>
                          </w:rPr>
                          <w:t>Level</w:t>
                        </w:r>
                      </w:p>
                    </w:txbxContent>
                  </v:textbox>
                </v:rect>
                <v:shape id="Shape 907" o:spid="_x0000_s1164" style="position:absolute;left:28119;top:22470;width:627;height:628;visibility:visible;mso-wrap-style:square;v-text-anchor:top" coordsize="62780,6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" path="m,l62780,r,62780l,62780,,e" fillcolor="#196b24" stroked="f" strokeweight="0">
                  <v:path arrowok="t" textboxrect="0,0,62780,62780"/>
                </v:shape>
                <v:rect id="Rectangle 1612720974" o:spid="_x0000_s1165" style="position:absolute;left:29019;top:22025;width:10023;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" filled="f" stroked="f">
                  <v:textbox inset="0,0,0,0">
                    <w:txbxContent>
                      <w:p w14:paraId="1FFAE709" w14:textId="77777777" w:rsidR="00E57B46" w:rsidRDefault="00E57B46" w:rsidP="00E57B46">
                        <w:r>
                          <w:rPr>
                            <w:rFonts w:ascii="Calibri" w:eastAsia="Calibri" w:hAnsi="Calibri" w:cs="Calibri"/>
                            <w:color w:val="595959"/>
                            <w:w w:val="99"/>
                            <w:sz w:val="18"/>
                          </w:rPr>
                          <w:t>Salary</w:t>
                        </w:r>
                        <w:r>
                          <w:rPr>
                            <w:rFonts w:ascii="Calibri" w:eastAsia="Calibri" w:hAnsi="Calibri" w:cs="Calibri"/>
                            <w:color w:val="595959"/>
                            <w:spacing w:val="-8"/>
                            <w:w w:val="99"/>
                            <w:sz w:val="18"/>
                          </w:rPr>
                          <w:t xml:space="preserve"> </w:t>
                        </w:r>
                        <w:r>
                          <w:rPr>
                            <w:rFonts w:ascii="Calibri" w:eastAsia="Calibri" w:hAnsi="Calibri" w:cs="Calibri"/>
                            <w:color w:val="595959"/>
                            <w:w w:val="99"/>
                            <w:sz w:val="18"/>
                          </w:rPr>
                          <w:t>Threshold</w:t>
                        </w:r>
                      </w:p>
                    </w:txbxContent>
                  </v:textbox>
                </v:rect>
                <v:shape id="Shape 912" o:spid="_x0000_s1166" style="position:absolute;left:5185;top:24613;width:628;height:628;visibility:visible;mso-wrap-style:square;v-text-anchor:top" coordsize="62780,6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" path="m,l62780,r,62780l,62780,,e" fillcolor="#0f9ed5" stroked="f" strokeweight="0">
                  <v:path arrowok="t" textboxrect="0,0,62780,62780"/>
                </v:shape>
                <v:rect id="Rectangle 1329957704" o:spid="_x0000_s1167" style="position:absolute;left:6080;top:24169;width:13571;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" filled="f" stroked="f">
                  <v:textbox inset="0,0,0,0">
                    <w:txbxContent>
                      <w:p w14:paraId="777E0874" w14:textId="77777777" w:rsidR="00E57B46" w:rsidRDefault="00E57B46" w:rsidP="00E57B46">
                        <w:proofErr w:type="spellStart"/>
                        <w:r>
                          <w:rPr>
                            <w:rFonts w:ascii="Calibri" w:eastAsia="Calibri" w:hAnsi="Calibri" w:cs="Calibri"/>
                            <w:color w:val="595959"/>
                            <w:w w:val="99"/>
                            <w:sz w:val="18"/>
                          </w:rPr>
                          <w:t>Dependant</w:t>
                        </w:r>
                        <w:proofErr w:type="spellEnd"/>
                        <w:r>
                          <w:rPr>
                            <w:rFonts w:ascii="Calibri" w:eastAsia="Calibri" w:hAnsi="Calibri" w:cs="Calibri"/>
                            <w:color w:val="595959"/>
                            <w:spacing w:val="-8"/>
                            <w:w w:val="99"/>
                            <w:sz w:val="18"/>
                          </w:rPr>
                          <w:t xml:space="preserve"> </w:t>
                        </w:r>
                        <w:r>
                          <w:rPr>
                            <w:rFonts w:ascii="Calibri" w:eastAsia="Calibri" w:hAnsi="Calibri" w:cs="Calibri"/>
                            <w:color w:val="595959"/>
                            <w:w w:val="99"/>
                            <w:sz w:val="18"/>
                          </w:rPr>
                          <w:t>Restriction</w:t>
                        </w:r>
                      </w:p>
                    </w:txbxContent>
                  </v:textbox>
                </v:rect>
                <v:shape id="Shape 917" o:spid="_x0000_s1168" style="position:absolute;left:16652;top:24613;width:628;height:628;visibility:visible;mso-wrap-style:square;v-text-anchor:top" coordsize="62780,62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" path="m,l62780,r,62780l,62780,,e" fillcolor="#a02b93" stroked="f" strokeweight="0">
                  <v:path arrowok="t" textboxrect="0,0,62780,62780"/>
                </v:shape>
                <v:rect id="Rectangle 1561367556" o:spid="_x0000_s1169" style="position:absolute;left:17550;top:24169;width:10708;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" filled="f" stroked="f">
                  <v:textbox inset="0,0,0,0">
                    <w:txbxContent>
                      <w:p w14:paraId="39172F38" w14:textId="77777777" w:rsidR="00E57B46" w:rsidRDefault="00E57B46" w:rsidP="00E57B46">
                        <w:r>
                          <w:rPr>
                            <w:rFonts w:ascii="Calibri" w:eastAsia="Calibri" w:hAnsi="Calibri" w:cs="Calibri"/>
                            <w:color w:val="595959"/>
                            <w:w w:val="102"/>
                            <w:sz w:val="18"/>
                          </w:rPr>
                          <w:t>Overseas</w:t>
                        </w:r>
                        <w:r>
                          <w:rPr>
                            <w:rFonts w:ascii="Calibri" w:eastAsia="Calibri" w:hAnsi="Calibri" w:cs="Calibri"/>
                            <w:color w:val="595959"/>
                            <w:spacing w:val="-8"/>
                            <w:w w:val="102"/>
                            <w:sz w:val="18"/>
                          </w:rPr>
                          <w:t xml:space="preserve"> </w:t>
                        </w:r>
                        <w:r>
                          <w:rPr>
                            <w:rFonts w:ascii="Calibri" w:eastAsia="Calibri" w:hAnsi="Calibri" w:cs="Calibri"/>
                            <w:color w:val="595959"/>
                            <w:w w:val="102"/>
                            <w:sz w:val="18"/>
                          </w:rPr>
                          <w:t>Closure</w:t>
                        </w:r>
                      </w:p>
                    </w:txbxContent>
                  </v:textbox>
                </v:rect>
                <v:shape id="Shape 72" o:spid="_x0000_s1170" style="position:absolute;width:43952;height:26570;visibility:visible;mso-wrap-style:square;v-text-anchor:top" coordsize="4395216,26570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" path="m,2657094r4395216,l4395216,,,,,2657094xe" filled="f" strokecolor="#d9d9d9">
                  <v:path arrowok="t" textboxrect="0,0,4395216,2657094"/>
                </v:shape>
                <w10:anchorlock/>
              </v:group>
            </w:pict>
          </mc:Fallback>
        </mc:AlternateContent>
      </w:r>
    </w:p>
    <w:p w14:paraId="65C046ED" w14:textId="77777777" w:rsidR="00047DC5" w:rsidRDefault="00047DC5" w:rsidP="00047DC5">
      <w:pPr>
        <w:spacing w:line="360" w:lineRule="auto"/>
        <w:jc w:val="both"/>
      </w:pPr>
      <w:r>
        <w:rPr>
          <w:rFonts w:ascii="Arial" w:hAnsi="Arial" w:cs="Arial"/>
          <w:i/>
          <w:iCs/>
        </w:rPr>
        <w:t>Source: Correlation analysis of Home Office visa statistics (2020–2026) conducted in Microsoft Excel.</w:t>
      </w:r>
    </w:p>
    <w:p w14:paraId="1C6DCD37" w14:textId="77777777" w:rsidR="00047DC5" w:rsidRDefault="00047DC5" w:rsidP="00047DC5">
      <w:pPr>
        <w:jc w:val="both"/>
        <w:rPr>
          <w:rFonts w:ascii="Arial" w:hAnsi="Arial" w:cs="Arial"/>
          <w:b/>
          <w:bCs/>
        </w:rPr>
      </w:pPr>
      <w:r>
        <w:rPr>
          <w:rFonts w:ascii="Arial" w:hAnsi="Arial" w:cs="Arial"/>
          <w:b/>
          <w:bCs/>
        </w:rPr>
        <w:t>A.3 Regression Analysis</w:t>
      </w:r>
    </w:p>
    <w:p w14:paraId="3B6665A9" w14:textId="77777777" w:rsidR="00047DC5" w:rsidRDefault="00047DC5" w:rsidP="00047DC5">
      <w:pPr>
        <w:jc w:val="both"/>
        <w:rPr>
          <w:rFonts w:ascii="Arial" w:hAnsi="Arial" w:cs="Arial"/>
        </w:rPr>
      </w:pPr>
      <w:r>
        <w:rPr>
          <w:rFonts w:ascii="Arial" w:hAnsi="Arial" w:cs="Arial"/>
        </w:rPr>
        <w:t>Multiple regression analysis was conducted to examine the association between policy changes (independent variables) and visa grant rates (dependent variable). The regression model was specified as:</w:t>
      </w:r>
    </w:p>
    <w:p w14:paraId="6256E473" w14:textId="77777777" w:rsidR="00047DC5" w:rsidRDefault="00047DC5" w:rsidP="00047DC5">
      <w:pPr>
        <w:jc w:val="both"/>
      </w:pPr>
      <w:r>
        <w:rPr>
          <w:rFonts w:ascii="Arial" w:hAnsi="Arial" w:cs="Arial"/>
          <w:i/>
          <w:iCs/>
        </w:rPr>
        <w:t>Y = β</w:t>
      </w:r>
      <w:r>
        <w:rPr>
          <w:rFonts w:ascii="Cambria Math" w:hAnsi="Cambria Math" w:cs="Cambria Math"/>
          <w:i/>
          <w:iCs/>
        </w:rPr>
        <w:t>₀</w:t>
      </w:r>
      <w:r>
        <w:rPr>
          <w:rFonts w:ascii="Arial" w:hAnsi="Arial" w:cs="Arial"/>
          <w:i/>
          <w:iCs/>
        </w:rPr>
        <w:t xml:space="preserve"> + β</w:t>
      </w:r>
      <w:r>
        <w:rPr>
          <w:rFonts w:ascii="Cambria Math" w:hAnsi="Cambria Math" w:cs="Cambria Math"/>
          <w:i/>
          <w:iCs/>
        </w:rPr>
        <w:t>₁</w:t>
      </w:r>
      <w:r>
        <w:rPr>
          <w:rFonts w:ascii="Arial" w:hAnsi="Arial" w:cs="Arial"/>
          <w:i/>
          <w:iCs/>
        </w:rPr>
        <w:t>X</w:t>
      </w:r>
      <w:r>
        <w:rPr>
          <w:rFonts w:ascii="Cambria Math" w:hAnsi="Cambria Math" w:cs="Cambria Math"/>
          <w:i/>
          <w:iCs/>
        </w:rPr>
        <w:t>₁</w:t>
      </w:r>
      <w:r>
        <w:rPr>
          <w:rFonts w:ascii="Arial" w:hAnsi="Arial" w:cs="Arial"/>
          <w:i/>
          <w:iCs/>
        </w:rPr>
        <w:t xml:space="preserve"> + β</w:t>
      </w:r>
      <w:r>
        <w:rPr>
          <w:rFonts w:ascii="Cambria Math" w:hAnsi="Cambria Math" w:cs="Cambria Math"/>
          <w:i/>
          <w:iCs/>
        </w:rPr>
        <w:t>₂</w:t>
      </w:r>
      <w:r>
        <w:rPr>
          <w:rFonts w:ascii="Arial" w:hAnsi="Arial" w:cs="Arial"/>
          <w:i/>
          <w:iCs/>
        </w:rPr>
        <w:t>X</w:t>
      </w:r>
      <w:r>
        <w:rPr>
          <w:rFonts w:ascii="Cambria Math" w:hAnsi="Cambria Math" w:cs="Cambria Math"/>
          <w:i/>
          <w:iCs/>
        </w:rPr>
        <w:t>₂</w:t>
      </w:r>
      <w:r>
        <w:rPr>
          <w:rFonts w:ascii="Arial" w:hAnsi="Arial" w:cs="Arial"/>
          <w:i/>
          <w:iCs/>
        </w:rPr>
        <w:t xml:space="preserve"> + β</w:t>
      </w:r>
      <w:r>
        <w:rPr>
          <w:rFonts w:ascii="Cambria Math" w:hAnsi="Cambria Math" w:cs="Cambria Math"/>
          <w:i/>
          <w:iCs/>
        </w:rPr>
        <w:t>₃</w:t>
      </w:r>
      <w:r>
        <w:rPr>
          <w:rFonts w:ascii="Arial" w:hAnsi="Arial" w:cs="Arial"/>
          <w:i/>
          <w:iCs/>
        </w:rPr>
        <w:t>X</w:t>
      </w:r>
      <w:r>
        <w:rPr>
          <w:rFonts w:ascii="Cambria Math" w:hAnsi="Cambria Math" w:cs="Cambria Math"/>
          <w:i/>
          <w:iCs/>
        </w:rPr>
        <w:t>₃</w:t>
      </w:r>
      <w:r>
        <w:rPr>
          <w:rFonts w:ascii="Arial" w:hAnsi="Arial" w:cs="Arial"/>
          <w:i/>
          <w:iCs/>
        </w:rPr>
        <w:t xml:space="preserve"> + β</w:t>
      </w:r>
      <w:r>
        <w:rPr>
          <w:rFonts w:ascii="Cambria Math" w:hAnsi="Cambria Math" w:cs="Cambria Math"/>
          <w:i/>
          <w:iCs/>
        </w:rPr>
        <w:t>₄</w:t>
      </w:r>
      <w:r>
        <w:rPr>
          <w:rFonts w:ascii="Arial" w:hAnsi="Arial" w:cs="Arial"/>
          <w:i/>
          <w:iCs/>
        </w:rPr>
        <w:t>X</w:t>
      </w:r>
      <w:r>
        <w:rPr>
          <w:rFonts w:ascii="Cambria Math" w:hAnsi="Cambria Math" w:cs="Cambria Math"/>
          <w:i/>
          <w:iCs/>
        </w:rPr>
        <w:t>₄</w:t>
      </w:r>
      <w:r>
        <w:rPr>
          <w:rFonts w:ascii="Arial" w:hAnsi="Arial" w:cs="Arial"/>
          <w:i/>
          <w:iCs/>
        </w:rPr>
        <w:t xml:space="preserve"> + ε</w:t>
      </w:r>
    </w:p>
    <w:p w14:paraId="3A870ABC" w14:textId="77777777" w:rsidR="00047DC5" w:rsidRDefault="00047DC5" w:rsidP="00047DC5">
      <w:pPr>
        <w:jc w:val="both"/>
        <w:rPr>
          <w:rFonts w:ascii="Arial" w:hAnsi="Arial" w:cs="Arial"/>
        </w:rPr>
      </w:pPr>
      <w:r>
        <w:rPr>
          <w:rFonts w:ascii="Arial" w:hAnsi="Arial" w:cs="Arial"/>
        </w:rPr>
        <w:t>Where:</w:t>
      </w:r>
    </w:p>
    <w:p w14:paraId="69B3AAE8" w14:textId="77777777" w:rsidR="00047DC5" w:rsidRDefault="00047DC5" w:rsidP="00047DC5">
      <w:pPr>
        <w:ind w:left="360"/>
        <w:jc w:val="both"/>
      </w:pPr>
      <w:r>
        <w:rPr>
          <w:rFonts w:ascii="Arial" w:hAnsi="Arial" w:cs="Arial"/>
          <w:i/>
          <w:iCs/>
        </w:rPr>
        <w:lastRenderedPageBreak/>
        <w:t>Y</w:t>
      </w:r>
      <w:r>
        <w:rPr>
          <w:rFonts w:ascii="Arial" w:hAnsi="Arial" w:cs="Arial"/>
        </w:rPr>
        <w:t> = Visa grant rate</w:t>
      </w:r>
    </w:p>
    <w:p w14:paraId="2CB0739A" w14:textId="77777777" w:rsidR="00047DC5" w:rsidRDefault="00047DC5" w:rsidP="00047DC5">
      <w:pPr>
        <w:ind w:left="360"/>
        <w:jc w:val="both"/>
      </w:pPr>
      <w:r>
        <w:rPr>
          <w:rFonts w:ascii="Arial" w:hAnsi="Arial" w:cs="Arial"/>
          <w:i/>
          <w:iCs/>
        </w:rPr>
        <w:t>X</w:t>
      </w:r>
      <w:r>
        <w:rPr>
          <w:rFonts w:ascii="Cambria Math" w:hAnsi="Cambria Math" w:cs="Cambria Math"/>
          <w:i/>
          <w:iCs/>
        </w:rPr>
        <w:t>₁</w:t>
      </w:r>
      <w:r>
        <w:rPr>
          <w:rFonts w:ascii="Arial" w:hAnsi="Arial" w:cs="Arial"/>
        </w:rPr>
        <w:t> = Skill threshold (RQF Level)</w:t>
      </w:r>
    </w:p>
    <w:p w14:paraId="084FB550" w14:textId="77777777" w:rsidR="00047DC5" w:rsidRDefault="00047DC5" w:rsidP="00047DC5">
      <w:pPr>
        <w:ind w:left="360"/>
        <w:jc w:val="both"/>
      </w:pPr>
      <w:r>
        <w:rPr>
          <w:rFonts w:ascii="Arial" w:hAnsi="Arial" w:cs="Arial"/>
          <w:i/>
          <w:iCs/>
        </w:rPr>
        <w:t>X</w:t>
      </w:r>
      <w:r>
        <w:rPr>
          <w:rFonts w:ascii="Cambria Math" w:hAnsi="Cambria Math" w:cs="Cambria Math"/>
          <w:i/>
          <w:iCs/>
        </w:rPr>
        <w:t>₂</w:t>
      </w:r>
      <w:r>
        <w:rPr>
          <w:rFonts w:ascii="Arial" w:hAnsi="Arial" w:cs="Arial"/>
        </w:rPr>
        <w:t> = Salary threshold (£'000)</w:t>
      </w:r>
    </w:p>
    <w:p w14:paraId="74EB73C8" w14:textId="77777777" w:rsidR="00047DC5" w:rsidRDefault="00047DC5" w:rsidP="00047DC5">
      <w:pPr>
        <w:ind w:left="360"/>
        <w:jc w:val="both"/>
      </w:pPr>
      <w:r>
        <w:rPr>
          <w:rFonts w:ascii="Arial" w:hAnsi="Arial" w:cs="Arial"/>
          <w:i/>
          <w:iCs/>
        </w:rPr>
        <w:t>X</w:t>
      </w:r>
      <w:r>
        <w:rPr>
          <w:rFonts w:ascii="Cambria Math" w:hAnsi="Cambria Math" w:cs="Cambria Math"/>
          <w:i/>
          <w:iCs/>
        </w:rPr>
        <w:t>₃</w:t>
      </w:r>
      <w:r>
        <w:rPr>
          <w:rFonts w:ascii="Arial" w:hAnsi="Arial" w:cs="Arial"/>
        </w:rPr>
        <w:t xml:space="preserve"> = </w:t>
      </w:r>
      <w:proofErr w:type="spellStart"/>
      <w:r>
        <w:rPr>
          <w:rFonts w:ascii="Arial" w:hAnsi="Arial" w:cs="Arial"/>
        </w:rPr>
        <w:t>Dependant</w:t>
      </w:r>
      <w:proofErr w:type="spellEnd"/>
      <w:r>
        <w:rPr>
          <w:rFonts w:ascii="Arial" w:hAnsi="Arial" w:cs="Arial"/>
        </w:rPr>
        <w:t xml:space="preserve"> restriction (binary)</w:t>
      </w:r>
    </w:p>
    <w:p w14:paraId="07C5C8EE" w14:textId="77777777" w:rsidR="00047DC5" w:rsidRDefault="00047DC5" w:rsidP="00047DC5">
      <w:pPr>
        <w:ind w:left="360"/>
        <w:jc w:val="both"/>
      </w:pPr>
      <w:r>
        <w:rPr>
          <w:rFonts w:ascii="Arial" w:hAnsi="Arial" w:cs="Arial"/>
          <w:i/>
          <w:iCs/>
        </w:rPr>
        <w:t>X</w:t>
      </w:r>
      <w:r>
        <w:rPr>
          <w:rFonts w:ascii="Cambria Math" w:hAnsi="Cambria Math" w:cs="Cambria Math"/>
          <w:i/>
          <w:iCs/>
        </w:rPr>
        <w:t>₄</w:t>
      </w:r>
      <w:r>
        <w:rPr>
          <w:rFonts w:ascii="Arial" w:hAnsi="Arial" w:cs="Arial"/>
        </w:rPr>
        <w:t> = Overseas recruitment closure (binary)</w:t>
      </w:r>
    </w:p>
    <w:p w14:paraId="49B9FCF2" w14:textId="77777777" w:rsidR="00047DC5" w:rsidRDefault="00047DC5" w:rsidP="00047DC5">
      <w:pPr>
        <w:pStyle w:val="Caption"/>
        <w:keepNext/>
      </w:pPr>
      <w:bookmarkStart w:id="189" w:name="_Toc238206099"/>
      <w:r>
        <w:rPr>
          <w:sz w:val="28"/>
          <w:szCs w:val="28"/>
        </w:rPr>
        <w:lastRenderedPageBreak/>
        <w:t>Table 15 Regression Statistics.</w:t>
      </w:r>
      <w:bookmarkEnd w:id="189"/>
    </w:p>
    <w:p w14:paraId="7F29A960" w14:textId="77777777" w:rsidR="00047DC5" w:rsidRDefault="00047DC5" w:rsidP="00047DC5">
      <w:r>
        <w:object w:dxaOrig="9994" w:dyaOrig="10594" w14:anchorId="287BF31D">
          <v:shape id="Object 5" o:spid="_x0000_i1029" type="#_x0000_t75" style="width:500.25pt;height:530.25pt;visibility:visible;mso-wrap-style:square" o:ole="">
            <v:imagedata r:id="rId40" o:title=""/>
          </v:shape>
          <o:OLEObject Type="Embed" ProgID="Excel.Sheet.8" ShapeID="Object 5" DrawAspect="Content" ObjectID="_1849297600" r:id="rId41"/>
        </w:object>
      </w:r>
    </w:p>
    <w:p w14:paraId="7C53C36E" w14:textId="77777777" w:rsidR="00047DC5" w:rsidRDefault="00047DC5" w:rsidP="00047DC5">
      <w:pPr>
        <w:jc w:val="both"/>
        <w:rPr>
          <w:rFonts w:ascii="Arial" w:hAnsi="Arial" w:cs="Arial"/>
          <w:b/>
          <w:bCs/>
        </w:rPr>
      </w:pPr>
      <w:r>
        <w:rPr>
          <w:rFonts w:ascii="Arial" w:hAnsi="Arial" w:cs="Arial"/>
          <w:b/>
          <w:bCs/>
        </w:rPr>
        <w:t>Interpretation</w:t>
      </w:r>
    </w:p>
    <w:p w14:paraId="347D4108" w14:textId="77777777" w:rsidR="00047DC5" w:rsidRDefault="00047DC5" w:rsidP="00047DC5">
      <w:pPr>
        <w:jc w:val="both"/>
        <w:rPr>
          <w:rFonts w:ascii="Arial" w:hAnsi="Arial" w:cs="Arial"/>
        </w:rPr>
      </w:pPr>
      <w:r>
        <w:rPr>
          <w:rFonts w:ascii="Arial" w:hAnsi="Arial" w:cs="Arial"/>
        </w:rPr>
        <w:t xml:space="preserve">The regression analysis shows that the model explains approximately 38.5% of the variance in visa grant rates (R² = 0.3848). However, the overall model is not statistically significant (F = 1.2509, p = 0.4896), indicating that the independent variables do not </w:t>
      </w:r>
      <w:r>
        <w:rPr>
          <w:rFonts w:ascii="Arial" w:hAnsi="Arial" w:cs="Arial"/>
        </w:rPr>
        <w:lastRenderedPageBreak/>
        <w:t>collectively predict visa grant rates with statistical confidence. All four policy variables have negative coefficients, suggesting each policy change is associated with a decrease in visa grants, but none are individually significant (p &gt; 0.05). The lack of statistical significance may be attributed to the small sample size (7 years) and multicollinearity, as all reforms were implemented simultaneously. These findings should be interpreted with caution and supplemented by correlation analysis.</w:t>
      </w:r>
    </w:p>
    <w:p w14:paraId="4434A34D" w14:textId="7546D062" w:rsidR="00047DC5" w:rsidRDefault="00047DC5" w:rsidP="00047DC5">
      <w:pPr>
        <w:pStyle w:val="Caption"/>
        <w:keepNext/>
      </w:pPr>
      <w:r>
        <w:rPr>
          <w:sz w:val="28"/>
          <w:szCs w:val="28"/>
        </w:rPr>
        <w:lastRenderedPageBreak/>
        <w:t>Figure 7</w:t>
      </w:r>
      <w:r w:rsidR="006B4BE5">
        <w:rPr>
          <w:sz w:val="28"/>
          <w:szCs w:val="28"/>
        </w:rPr>
        <w:t xml:space="preserve"> </w:t>
      </w:r>
      <w:r w:rsidR="006B4BE5" w:rsidRPr="006B4BE5">
        <w:rPr>
          <w:rFonts w:asciiTheme="minorHAnsi" w:hAnsiTheme="minorHAnsi" w:cs="Arial"/>
          <w:sz w:val="28"/>
          <w:szCs w:val="28"/>
        </w:rPr>
        <w:t>Regression analysis</w:t>
      </w:r>
      <w:r w:rsidR="006B4BE5" w:rsidRPr="006B4BE5">
        <w:rPr>
          <w:rFonts w:asciiTheme="minorHAnsi" w:hAnsiTheme="minorHAnsi" w:cs="Arial"/>
          <w:sz w:val="28"/>
          <w:szCs w:val="28"/>
        </w:rPr>
        <w:t>.</w:t>
      </w:r>
    </w:p>
    <w:p w14:paraId="3269A12F" w14:textId="77777777" w:rsidR="00047DC5" w:rsidRDefault="00047DC5" w:rsidP="00047DC5">
      <w:pPr>
        <w:spacing w:after="0"/>
        <w:ind w:left="-182"/>
      </w:pPr>
      <w:r>
        <w:rPr>
          <w:noProof/>
        </w:rPr>
        <w:drawing>
          <wp:inline distT="0" distB="0" distL="0" distR="0" wp14:anchorId="5EAF3977" wp14:editId="033C6FC3">
            <wp:extent cx="3543647" cy="7254959"/>
            <wp:effectExtent l="0" t="0" r="0" b="3091"/>
            <wp:docPr id="766874952" name="Picture 11030720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3543647" cy="7254959"/>
                    </a:xfrm>
                    <a:prstGeom prst="rect">
                      <a:avLst/>
                    </a:prstGeom>
                    <a:noFill/>
                    <a:ln>
                      <a:noFill/>
                      <a:prstDash/>
                    </a:ln>
                  </pic:spPr>
                </pic:pic>
              </a:graphicData>
            </a:graphic>
          </wp:inline>
        </w:drawing>
      </w:r>
    </w:p>
    <w:p w14:paraId="5E69DA72" w14:textId="73692D92" w:rsidR="00E97BA5" w:rsidRDefault="00047DC5" w:rsidP="00BD213E">
      <w:pPr>
        <w:spacing w:after="0"/>
        <w:ind w:left="-182"/>
      </w:pPr>
      <w:r>
        <w:rPr>
          <w:rFonts w:ascii="Arial" w:hAnsi="Arial" w:cs="Arial"/>
          <w:i/>
          <w:iCs/>
        </w:rPr>
        <w:t>Source: Regression analysis of Home Office visa statistics (2020–2026) conducted in Microsoft Excel.</w:t>
      </w:r>
    </w:p>
    <w:sectPr w:rsidR="00E97BA5" w:rsidSect="00047DC5">
      <w:footerReference w:type="default" r:id="rId43"/>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B2152" w14:textId="77777777" w:rsidR="00597B68" w:rsidRDefault="00597B68">
      <w:pPr>
        <w:spacing w:after="0" w:line="240" w:lineRule="auto"/>
      </w:pPr>
      <w:r>
        <w:separator/>
      </w:r>
    </w:p>
  </w:endnote>
  <w:endnote w:type="continuationSeparator" w:id="0">
    <w:p w14:paraId="0081849A" w14:textId="77777777" w:rsidR="00597B68" w:rsidRDefault="0059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93"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984409" w14:textId="77777777" w:rsidR="00047DC5" w:rsidRDefault="00047DC5">
    <w:pPr>
      <w:pStyle w:val="Footer"/>
      <w:jc w:val="right"/>
    </w:pPr>
    <w:r>
      <w:fldChar w:fldCharType="begin"/>
    </w:r>
    <w:r>
      <w:instrText xml:space="preserve"> PAGE </w:instrText>
    </w:r>
    <w:r>
      <w:fldChar w:fldCharType="separate"/>
    </w:r>
    <w:r>
      <w:t>2</w:t>
    </w:r>
    <w:r>
      <w:fldChar w:fldCharType="end"/>
    </w:r>
  </w:p>
  <w:p w14:paraId="2C76EFF4" w14:textId="77777777" w:rsidR="00047DC5" w:rsidRDefault="00047D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A0B081" w14:textId="77777777" w:rsidR="00597B68" w:rsidRDefault="00597B68">
      <w:pPr>
        <w:spacing w:after="0" w:line="240" w:lineRule="auto"/>
      </w:pPr>
      <w:r>
        <w:separator/>
      </w:r>
    </w:p>
  </w:footnote>
  <w:footnote w:type="continuationSeparator" w:id="0">
    <w:p w14:paraId="39266658" w14:textId="77777777" w:rsidR="00597B68" w:rsidRDefault="00597B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760"/>
    <w:rsid w:val="00047DC5"/>
    <w:rsid w:val="0012182B"/>
    <w:rsid w:val="001E69F7"/>
    <w:rsid w:val="004A784B"/>
    <w:rsid w:val="00522F2D"/>
    <w:rsid w:val="00597B68"/>
    <w:rsid w:val="006B4BE5"/>
    <w:rsid w:val="00781CBC"/>
    <w:rsid w:val="00A81727"/>
    <w:rsid w:val="00BD213E"/>
    <w:rsid w:val="00CA40A9"/>
    <w:rsid w:val="00DA66FB"/>
    <w:rsid w:val="00E51A53"/>
    <w:rsid w:val="00E57B46"/>
    <w:rsid w:val="00E97BA5"/>
    <w:rsid w:val="00ED5760"/>
    <w:rsid w:val="00FD69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1A161"/>
  <w15:chartTrackingRefBased/>
  <w15:docId w15:val="{C553E8F1-2744-49C5-A367-9123DE78B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0" w:qFormat="1"/>
    <w:lsdException w:name="Intense Quote"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0" w:qFormat="1"/>
    <w:lsdException w:name="Subtle Reference" w:uiPriority="31" w:qFormat="1"/>
    <w:lsdException w:name="Intense Reference" w:uiPriority="0"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iPriority="0" w:unhideWhenUsed="1"/>
    <w:lsdException w:name="Smart Link" w:semiHidden="1" w:unhideWhenUsed="1"/>
  </w:latentStyles>
  <w:style w:type="paragraph" w:default="1" w:styleId="Normal">
    <w:name w:val="Normal"/>
    <w:qFormat/>
    <w:rsid w:val="00047DC5"/>
    <w:pPr>
      <w:suppressAutoHyphens/>
      <w:autoSpaceDN w:val="0"/>
      <w:spacing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ED5760"/>
    <w:pPr>
      <w:keepNext/>
      <w:keepLines/>
      <w:suppressAutoHyphens w:val="0"/>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ED5760"/>
    <w:pPr>
      <w:keepNext/>
      <w:keepLines/>
      <w:suppressAutoHyphens w:val="0"/>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ED5760"/>
    <w:pPr>
      <w:keepNext/>
      <w:keepLines/>
      <w:suppressAutoHyphens w:val="0"/>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unhideWhenUsed/>
    <w:qFormat/>
    <w:rsid w:val="00ED5760"/>
    <w:pPr>
      <w:keepNext/>
      <w:keepLines/>
      <w:suppressAutoHyphens w:val="0"/>
      <w:autoSpaceDN/>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unhideWhenUsed/>
    <w:qFormat/>
    <w:rsid w:val="00ED5760"/>
    <w:pPr>
      <w:keepNext/>
      <w:keepLines/>
      <w:suppressAutoHyphens w:val="0"/>
      <w:autoSpaceDN/>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ED5760"/>
    <w:pPr>
      <w:keepNext/>
      <w:keepLines/>
      <w:suppressAutoHyphens w:val="0"/>
      <w:autoSpaceDN/>
      <w:spacing w:before="40" w:after="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nhideWhenUsed/>
    <w:qFormat/>
    <w:rsid w:val="00ED5760"/>
    <w:pPr>
      <w:keepNext/>
      <w:keepLines/>
      <w:suppressAutoHyphens w:val="0"/>
      <w:autoSpaceDN/>
      <w:spacing w:before="40" w:after="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nhideWhenUsed/>
    <w:qFormat/>
    <w:rsid w:val="00ED5760"/>
    <w:pPr>
      <w:keepNext/>
      <w:keepLines/>
      <w:suppressAutoHyphens w:val="0"/>
      <w:autoSpaceDN/>
      <w:spacing w:after="0"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nhideWhenUsed/>
    <w:qFormat/>
    <w:rsid w:val="00ED5760"/>
    <w:pPr>
      <w:keepNext/>
      <w:keepLines/>
      <w:suppressAutoHyphens w:val="0"/>
      <w:autoSpaceDN/>
      <w:spacing w:after="0"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D57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ED57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ED57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ED5760"/>
    <w:rPr>
      <w:rFonts w:eastAsiaTheme="majorEastAsia" w:cstheme="majorBidi"/>
      <w:i/>
      <w:iCs/>
      <w:color w:val="0F4761" w:themeColor="accent1" w:themeShade="BF"/>
    </w:rPr>
  </w:style>
  <w:style w:type="character" w:customStyle="1" w:styleId="Heading5Char">
    <w:name w:val="Heading 5 Char"/>
    <w:basedOn w:val="DefaultParagraphFont"/>
    <w:link w:val="Heading5"/>
    <w:rsid w:val="00ED5760"/>
    <w:rPr>
      <w:rFonts w:eastAsiaTheme="majorEastAsia" w:cstheme="majorBidi"/>
      <w:color w:val="0F4761" w:themeColor="accent1" w:themeShade="BF"/>
    </w:rPr>
  </w:style>
  <w:style w:type="character" w:customStyle="1" w:styleId="Heading6Char">
    <w:name w:val="Heading 6 Char"/>
    <w:basedOn w:val="DefaultParagraphFont"/>
    <w:link w:val="Heading6"/>
    <w:rsid w:val="00ED5760"/>
    <w:rPr>
      <w:rFonts w:eastAsiaTheme="majorEastAsia" w:cstheme="majorBidi"/>
      <w:i/>
      <w:iCs/>
      <w:color w:val="595959" w:themeColor="text1" w:themeTint="A6"/>
    </w:rPr>
  </w:style>
  <w:style w:type="character" w:customStyle="1" w:styleId="Heading7Char">
    <w:name w:val="Heading 7 Char"/>
    <w:basedOn w:val="DefaultParagraphFont"/>
    <w:link w:val="Heading7"/>
    <w:rsid w:val="00ED5760"/>
    <w:rPr>
      <w:rFonts w:eastAsiaTheme="majorEastAsia" w:cstheme="majorBidi"/>
      <w:color w:val="595959" w:themeColor="text1" w:themeTint="A6"/>
    </w:rPr>
  </w:style>
  <w:style w:type="character" w:customStyle="1" w:styleId="Heading8Char">
    <w:name w:val="Heading 8 Char"/>
    <w:basedOn w:val="DefaultParagraphFont"/>
    <w:link w:val="Heading8"/>
    <w:rsid w:val="00ED5760"/>
    <w:rPr>
      <w:rFonts w:eastAsiaTheme="majorEastAsia" w:cstheme="majorBidi"/>
      <w:i/>
      <w:iCs/>
      <w:color w:val="272727" w:themeColor="text1" w:themeTint="D8"/>
    </w:rPr>
  </w:style>
  <w:style w:type="character" w:customStyle="1" w:styleId="Heading9Char">
    <w:name w:val="Heading 9 Char"/>
    <w:basedOn w:val="DefaultParagraphFont"/>
    <w:link w:val="Heading9"/>
    <w:rsid w:val="00ED5760"/>
    <w:rPr>
      <w:rFonts w:eastAsiaTheme="majorEastAsia" w:cstheme="majorBidi"/>
      <w:color w:val="272727" w:themeColor="text1" w:themeTint="D8"/>
    </w:rPr>
  </w:style>
  <w:style w:type="paragraph" w:styleId="Title">
    <w:name w:val="Title"/>
    <w:basedOn w:val="Normal"/>
    <w:next w:val="Normal"/>
    <w:link w:val="TitleChar"/>
    <w:uiPriority w:val="10"/>
    <w:qFormat/>
    <w:rsid w:val="00ED5760"/>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rsid w:val="00ED57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5760"/>
    <w:pPr>
      <w:numPr>
        <w:ilvl w:val="1"/>
      </w:numPr>
      <w:suppressAutoHyphens w:val="0"/>
      <w:autoSpaceDN/>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rsid w:val="00ED5760"/>
    <w:rPr>
      <w:rFonts w:eastAsiaTheme="majorEastAsia" w:cstheme="majorBidi"/>
      <w:color w:val="595959" w:themeColor="text1" w:themeTint="A6"/>
      <w:spacing w:val="15"/>
      <w:sz w:val="28"/>
      <w:szCs w:val="28"/>
    </w:rPr>
  </w:style>
  <w:style w:type="paragraph" w:styleId="Quote">
    <w:name w:val="Quote"/>
    <w:basedOn w:val="Normal"/>
    <w:next w:val="Normal"/>
    <w:link w:val="QuoteChar"/>
    <w:qFormat/>
    <w:rsid w:val="00ED5760"/>
    <w:pPr>
      <w:suppressAutoHyphens w:val="0"/>
      <w:autoSpaceDN/>
      <w:spacing w:before="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rsid w:val="00ED5760"/>
    <w:rPr>
      <w:i/>
      <w:iCs/>
      <w:color w:val="404040" w:themeColor="text1" w:themeTint="BF"/>
    </w:rPr>
  </w:style>
  <w:style w:type="paragraph" w:styleId="ListParagraph">
    <w:name w:val="List Paragraph"/>
    <w:basedOn w:val="Normal"/>
    <w:qFormat/>
    <w:rsid w:val="00ED5760"/>
    <w:pPr>
      <w:suppressAutoHyphens w:val="0"/>
      <w:autoSpaceDN/>
      <w:spacing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qFormat/>
    <w:rsid w:val="00ED5760"/>
    <w:rPr>
      <w:i/>
      <w:iCs/>
      <w:color w:val="0F4761" w:themeColor="accent1" w:themeShade="BF"/>
    </w:rPr>
  </w:style>
  <w:style w:type="paragraph" w:styleId="IntenseQuote">
    <w:name w:val="Intense Quote"/>
    <w:basedOn w:val="Normal"/>
    <w:next w:val="Normal"/>
    <w:link w:val="IntenseQuoteChar"/>
    <w:qFormat/>
    <w:rsid w:val="00ED5760"/>
    <w:pPr>
      <w:pBdr>
        <w:top w:val="single" w:sz="4" w:space="10" w:color="0F4761" w:themeColor="accent1" w:themeShade="BF"/>
        <w:bottom w:val="single" w:sz="4" w:space="10" w:color="0F4761" w:themeColor="accent1" w:themeShade="BF"/>
      </w:pBdr>
      <w:suppressAutoHyphens w:val="0"/>
      <w:autoSpaceDN/>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rsid w:val="00ED5760"/>
    <w:rPr>
      <w:i/>
      <w:iCs/>
      <w:color w:val="0F4761" w:themeColor="accent1" w:themeShade="BF"/>
    </w:rPr>
  </w:style>
  <w:style w:type="character" w:styleId="IntenseReference">
    <w:name w:val="Intense Reference"/>
    <w:basedOn w:val="DefaultParagraphFont"/>
    <w:qFormat/>
    <w:rsid w:val="00ED5760"/>
    <w:rPr>
      <w:b/>
      <w:bCs/>
      <w:smallCaps/>
      <w:color w:val="0F4761" w:themeColor="accent1" w:themeShade="BF"/>
      <w:spacing w:val="5"/>
    </w:rPr>
  </w:style>
  <w:style w:type="paragraph" w:styleId="TOCHeading">
    <w:name w:val="TOC Heading"/>
    <w:basedOn w:val="Heading1"/>
    <w:next w:val="Normal"/>
    <w:rsid w:val="00047DC5"/>
    <w:pPr>
      <w:suppressAutoHyphens/>
      <w:autoSpaceDN w:val="0"/>
      <w:spacing w:before="240" w:after="0" w:line="254" w:lineRule="auto"/>
    </w:pPr>
    <w:rPr>
      <w:rFonts w:ascii="Aptos Display" w:eastAsia="Times New Roman" w:hAnsi="Aptos Display" w:cs="Times New Roman"/>
      <w:color w:val="0F4761"/>
      <w:kern w:val="0"/>
      <w:sz w:val="32"/>
      <w:szCs w:val="32"/>
      <w14:ligatures w14:val="none"/>
    </w:rPr>
  </w:style>
  <w:style w:type="paragraph" w:styleId="TOC1">
    <w:name w:val="toc 1"/>
    <w:basedOn w:val="Normal"/>
    <w:next w:val="Normal"/>
    <w:autoRedefine/>
    <w:rsid w:val="00047DC5"/>
    <w:pPr>
      <w:spacing w:after="100"/>
    </w:pPr>
  </w:style>
  <w:style w:type="paragraph" w:styleId="TOC2">
    <w:name w:val="toc 2"/>
    <w:basedOn w:val="Normal"/>
    <w:next w:val="Normal"/>
    <w:autoRedefine/>
    <w:rsid w:val="00047DC5"/>
    <w:pPr>
      <w:spacing w:after="100"/>
      <w:ind w:left="240"/>
    </w:pPr>
  </w:style>
  <w:style w:type="paragraph" w:styleId="TOC3">
    <w:name w:val="toc 3"/>
    <w:basedOn w:val="Normal"/>
    <w:next w:val="Normal"/>
    <w:autoRedefine/>
    <w:rsid w:val="00047DC5"/>
    <w:pPr>
      <w:spacing w:after="100"/>
      <w:ind w:left="480"/>
    </w:pPr>
  </w:style>
  <w:style w:type="character" w:styleId="Hyperlink">
    <w:name w:val="Hyperlink"/>
    <w:basedOn w:val="DefaultParagraphFont"/>
    <w:rsid w:val="00047DC5"/>
    <w:rPr>
      <w:color w:val="467886"/>
      <w:u w:val="single"/>
    </w:rPr>
  </w:style>
  <w:style w:type="paragraph" w:styleId="Header">
    <w:name w:val="header"/>
    <w:basedOn w:val="Normal"/>
    <w:link w:val="HeaderChar"/>
    <w:rsid w:val="00047DC5"/>
    <w:pPr>
      <w:tabs>
        <w:tab w:val="center" w:pos="4680"/>
        <w:tab w:val="right" w:pos="9360"/>
      </w:tabs>
      <w:spacing w:after="0" w:line="240" w:lineRule="auto"/>
    </w:pPr>
  </w:style>
  <w:style w:type="character" w:customStyle="1" w:styleId="HeaderChar">
    <w:name w:val="Header Char"/>
    <w:basedOn w:val="DefaultParagraphFont"/>
    <w:link w:val="Header"/>
    <w:rsid w:val="00047DC5"/>
    <w:rPr>
      <w:rFonts w:ascii="Aptos" w:eastAsia="Aptos" w:hAnsi="Aptos" w:cs="Times New Roman"/>
      <w:kern w:val="3"/>
      <w14:ligatures w14:val="none"/>
    </w:rPr>
  </w:style>
  <w:style w:type="paragraph" w:styleId="Footer">
    <w:name w:val="footer"/>
    <w:basedOn w:val="Normal"/>
    <w:link w:val="FooterChar"/>
    <w:rsid w:val="00047DC5"/>
    <w:pPr>
      <w:tabs>
        <w:tab w:val="center" w:pos="4680"/>
        <w:tab w:val="right" w:pos="9360"/>
      </w:tabs>
      <w:spacing w:after="0" w:line="240" w:lineRule="auto"/>
    </w:pPr>
  </w:style>
  <w:style w:type="character" w:customStyle="1" w:styleId="FooterChar">
    <w:name w:val="Footer Char"/>
    <w:basedOn w:val="DefaultParagraphFont"/>
    <w:link w:val="Footer"/>
    <w:rsid w:val="00047DC5"/>
    <w:rPr>
      <w:rFonts w:ascii="Aptos" w:eastAsia="Aptos" w:hAnsi="Aptos" w:cs="Times New Roman"/>
      <w:kern w:val="3"/>
      <w14:ligatures w14:val="none"/>
    </w:rPr>
  </w:style>
  <w:style w:type="paragraph" w:styleId="TOC4">
    <w:name w:val="toc 4"/>
    <w:basedOn w:val="Normal"/>
    <w:next w:val="Normal"/>
    <w:autoRedefine/>
    <w:rsid w:val="00047DC5"/>
    <w:pPr>
      <w:spacing w:after="100"/>
      <w:ind w:left="720"/>
    </w:pPr>
    <w:rPr>
      <w:rFonts w:eastAsia="Times New Roman"/>
    </w:rPr>
  </w:style>
  <w:style w:type="paragraph" w:styleId="TOC5">
    <w:name w:val="toc 5"/>
    <w:basedOn w:val="Normal"/>
    <w:next w:val="Normal"/>
    <w:autoRedefine/>
    <w:rsid w:val="00047DC5"/>
    <w:pPr>
      <w:spacing w:after="100"/>
      <w:ind w:left="960"/>
    </w:pPr>
    <w:rPr>
      <w:rFonts w:eastAsia="Times New Roman"/>
    </w:rPr>
  </w:style>
  <w:style w:type="paragraph" w:styleId="TOC6">
    <w:name w:val="toc 6"/>
    <w:basedOn w:val="Normal"/>
    <w:next w:val="Normal"/>
    <w:autoRedefine/>
    <w:rsid w:val="00047DC5"/>
    <w:pPr>
      <w:spacing w:after="100"/>
      <w:ind w:left="1200"/>
    </w:pPr>
    <w:rPr>
      <w:rFonts w:eastAsia="Times New Roman"/>
    </w:rPr>
  </w:style>
  <w:style w:type="paragraph" w:styleId="TOC7">
    <w:name w:val="toc 7"/>
    <w:basedOn w:val="Normal"/>
    <w:next w:val="Normal"/>
    <w:autoRedefine/>
    <w:rsid w:val="00047DC5"/>
    <w:pPr>
      <w:spacing w:after="100"/>
      <w:ind w:left="1440"/>
    </w:pPr>
    <w:rPr>
      <w:rFonts w:eastAsia="Times New Roman"/>
    </w:rPr>
  </w:style>
  <w:style w:type="paragraph" w:styleId="TOC8">
    <w:name w:val="toc 8"/>
    <w:basedOn w:val="Normal"/>
    <w:next w:val="Normal"/>
    <w:autoRedefine/>
    <w:rsid w:val="00047DC5"/>
    <w:pPr>
      <w:spacing w:after="100"/>
      <w:ind w:left="1680"/>
    </w:pPr>
    <w:rPr>
      <w:rFonts w:eastAsia="Times New Roman"/>
    </w:rPr>
  </w:style>
  <w:style w:type="paragraph" w:styleId="TOC9">
    <w:name w:val="toc 9"/>
    <w:basedOn w:val="Normal"/>
    <w:next w:val="Normal"/>
    <w:autoRedefine/>
    <w:rsid w:val="00047DC5"/>
    <w:pPr>
      <w:spacing w:after="100"/>
      <w:ind w:left="1920"/>
    </w:pPr>
    <w:rPr>
      <w:rFonts w:eastAsia="Times New Roman"/>
    </w:rPr>
  </w:style>
  <w:style w:type="character" w:styleId="UnresolvedMention">
    <w:name w:val="Unresolved Mention"/>
    <w:basedOn w:val="DefaultParagraphFont"/>
    <w:rsid w:val="00047DC5"/>
    <w:rPr>
      <w:color w:val="605E5C"/>
      <w:shd w:val="clear" w:color="auto" w:fill="E1DFDD"/>
    </w:rPr>
  </w:style>
  <w:style w:type="paragraph" w:styleId="Caption">
    <w:name w:val="caption"/>
    <w:basedOn w:val="Normal"/>
    <w:next w:val="Normal"/>
    <w:rsid w:val="00047DC5"/>
    <w:pPr>
      <w:spacing w:after="200" w:line="240" w:lineRule="auto"/>
    </w:pPr>
    <w:rPr>
      <w:i/>
      <w:iCs/>
      <w:color w:val="0E2841"/>
      <w:sz w:val="18"/>
      <w:szCs w:val="18"/>
    </w:rPr>
  </w:style>
  <w:style w:type="paragraph" w:styleId="TableofFigures">
    <w:name w:val="table of figures"/>
    <w:basedOn w:val="Normal"/>
    <w:next w:val="Normal"/>
    <w:autoRedefine/>
    <w:rsid w:val="00047DC5"/>
    <w:pPr>
      <w:spacing w:after="0"/>
    </w:pPr>
  </w:style>
  <w:style w:type="character" w:styleId="FollowedHyperlink">
    <w:name w:val="FollowedHyperlink"/>
    <w:basedOn w:val="DefaultParagraphFont"/>
    <w:rsid w:val="00047DC5"/>
    <w:rPr>
      <w:color w:val="96607D"/>
      <w:u w:val="single"/>
    </w:rPr>
  </w:style>
  <w:style w:type="character" w:styleId="Strong">
    <w:name w:val="Strong"/>
    <w:basedOn w:val="DefaultParagraphFont"/>
    <w:rsid w:val="00047DC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69a9a1f58fd807b03bbe92e5/E03553349_-_HC_1691_-_Immigration_Rules_Changes__Web_Accessible_.pdf" TargetMode="External"/><Relationship Id="rId18" Type="http://schemas.openxmlformats.org/officeDocument/2006/relationships/hyperlink" Target="https://www.ons.gov.uk/peoplepopulationandcommunity/populationandmigration/internationalmigration/bulletins/longterminternationalmigrationprovisional/yearendingdecember2023" TargetMode="External"/><Relationship Id="rId26" Type="http://schemas.openxmlformats.org/officeDocument/2006/relationships/hyperlink" Target="https://www.sciencedirect.com/" TargetMode="External"/><Relationship Id="rId39" Type="http://schemas.openxmlformats.org/officeDocument/2006/relationships/oleObject" Target="embeddings/Microsoft_Excel_97-2003_Worksheet3.xls"/><Relationship Id="rId21" Type="http://schemas.openxmlformats.org/officeDocument/2006/relationships/hyperlink" Target="https://doi.org/10.1177/01410768261421438" TargetMode="External"/><Relationship Id="rId34" Type="http://schemas.openxmlformats.org/officeDocument/2006/relationships/image" Target="media/image3.emf"/><Relationship Id="rId42" Type="http://schemas.openxmlformats.org/officeDocument/2006/relationships/image" Target="media/image7.png"/><Relationship Id="rId7" Type="http://schemas.openxmlformats.org/officeDocument/2006/relationships/chart" Target="charts/chart1.xml"/><Relationship Id="rId2" Type="http://schemas.openxmlformats.org/officeDocument/2006/relationships/settings" Target="settings.xml"/><Relationship Id="rId16" Type="http://schemas.openxmlformats.org/officeDocument/2006/relationships/hyperlink" Target="https://www.england.nhs.uk/publication/nhs-long-term-workforce-plan/" TargetMode="External"/><Relationship Id="rId29" Type="http://schemas.openxmlformats.org/officeDocument/2006/relationships/hyperlink" Target="https://www.skillsforcare.org.uk/"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v.uk/government/publications/statement-of-changes-to-the-immigration-rules-hc-997-1-july-2025/spring-2025-immigration-rules-impact-assessment-skilled-worker-and-care-worker-july-2025-accessible-version" TargetMode="External"/><Relationship Id="rId24" Type="http://schemas.openxmlformats.org/officeDocument/2006/relationships/hyperlink" Target="https://doi.org/10.1136/bmj.r1554" TargetMode="External"/><Relationship Id="rId32" Type="http://schemas.openxmlformats.org/officeDocument/2006/relationships/image" Target="media/image2.emf"/><Relationship Id="rId37" Type="http://schemas.openxmlformats.org/officeDocument/2006/relationships/oleObject" Target="embeddings/Microsoft_Excel_97-2003_Worksheet2.xls"/><Relationship Id="rId40" Type="http://schemas.openxmlformats.org/officeDocument/2006/relationships/image" Target="media/image6.emf"/><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nhsemployers.org/" TargetMode="External"/><Relationship Id="rId23" Type="http://schemas.openxmlformats.org/officeDocument/2006/relationships/hyperlink" Target="https://www.rcn.org.uk/" TargetMode="External"/><Relationship Id="rId28" Type="http://schemas.openxmlformats.org/officeDocument/2006/relationships/hyperlink" Target="https://www.skillsforcare.org.uk/" TargetMode="External"/><Relationship Id="rId36" Type="http://schemas.openxmlformats.org/officeDocument/2006/relationships/image" Target="media/image4.emf"/><Relationship Id="rId10" Type="http://schemas.openxmlformats.org/officeDocument/2006/relationships/hyperlink" Target="https://www.gov.uk/government/publications/restoring-control-over-the-immigration-system-white-paper/restoring-control-over-the-immigration-system-accessible" TargetMode="External"/><Relationship Id="rId19" Type="http://schemas.openxmlformats.org/officeDocument/2006/relationships/hyperlink" Target="https://www.pmc.org.uk/" TargetMode="External"/><Relationship Id="rId31" Type="http://schemas.openxmlformats.org/officeDocument/2006/relationships/hyperlink" Target="https://morningstaronline.co.uk/" TargetMode="External"/><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bc.co.uk/news/live/cvgzjpd1jjgt" TargetMode="External"/><Relationship Id="rId14" Type="http://schemas.openxmlformats.org/officeDocument/2006/relationships/hyperlink" Target="https://blogs.lse.ac.uk/businessreview" TargetMode="External"/><Relationship Id="rId22" Type="http://schemas.openxmlformats.org/officeDocument/2006/relationships/hyperlink" Target="https://www.rcn.org.uk/" TargetMode="External"/><Relationship Id="rId27" Type="http://schemas.openxmlformats.org/officeDocument/2006/relationships/hyperlink" Target="https://www.seraphus.co.uk/" TargetMode="External"/><Relationship Id="rId30" Type="http://schemas.openxmlformats.org/officeDocument/2006/relationships/hyperlink" Target="https://doi.org/10.1016/j.jmh.2024.100245" TargetMode="External"/><Relationship Id="rId35" Type="http://schemas.openxmlformats.org/officeDocument/2006/relationships/oleObject" Target="embeddings/Microsoft_Excel_97-2003_Worksheet1.xls"/><Relationship Id="rId43" Type="http://schemas.openxmlformats.org/officeDocument/2006/relationships/footer" Target="footer1.xml"/><Relationship Id="rId8" Type="http://schemas.openxmlformats.org/officeDocument/2006/relationships/chart" Target="charts/chart2.xml"/><Relationship Id="rId3" Type="http://schemas.openxmlformats.org/officeDocument/2006/relationships/webSettings" Target="webSettings.xml"/><Relationship Id="rId12" Type="http://schemas.openxmlformats.org/officeDocument/2006/relationships/hyperlink" Target="https://www.gov.uk/government/publications/health-and-care-visa-guidance" TargetMode="External"/><Relationship Id="rId17" Type="http://schemas.openxmlformats.org/officeDocument/2006/relationships/hyperlink" Target="https://www.nuffieldtrust.org.uk/" TargetMode="External"/><Relationship Id="rId25" Type="http://schemas.openxmlformats.org/officeDocument/2006/relationships/hyperlink" Target="https://www.rovelegal.com/" TargetMode="External"/><Relationship Id="rId33" Type="http://schemas.openxmlformats.org/officeDocument/2006/relationships/oleObject" Target="embeddings/Microsoft_Excel_97-2003_Worksheet.xls"/><Relationship Id="rId38" Type="http://schemas.openxmlformats.org/officeDocument/2006/relationships/image" Target="media/image5.emf"/><Relationship Id="rId20" Type="http://schemas.openxmlformats.org/officeDocument/2006/relationships/hyperlink" Target="https://post.parliament.uk/" TargetMode="External"/><Relationship Id="rId41" Type="http://schemas.openxmlformats.org/officeDocument/2006/relationships/oleObject" Target="embeddings/Microsoft_Excel_97-2003_Worksheet4.xls"/></Relationships>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Aptos"/>
              </a:defRPr>
            </a:pPr>
            <a:r>
              <a:rPr lang="en-US" sz="1400" b="0" i="0" u="none" strike="noStrike" kern="1200" cap="none" spc="0" baseline="0">
                <a:solidFill>
                  <a:srgbClr val="595959"/>
                </a:solidFill>
                <a:uFillTx/>
                <a:latin typeface="Aptos"/>
              </a:rPr>
              <a:t>Health and Care Worker Visa Grants (2020–2026)</a:t>
            </a:r>
          </a:p>
        </c:rich>
      </c:tx>
      <c:overlay val="0"/>
      <c:spPr>
        <a:noFill/>
        <a:ln>
          <a:noFill/>
        </a:ln>
      </c:spPr>
    </c:title>
    <c:autoTitleDeleted val="0"/>
    <c:plotArea>
      <c:layout/>
      <c:lineChart>
        <c:grouping val="standard"/>
        <c:varyColors val="0"/>
        <c:ser>
          <c:idx val="0"/>
          <c:order val="0"/>
          <c:tx>
            <c:v>Year</c:v>
          </c:tx>
          <c:spPr>
            <a:ln w="28575" cap="rnd">
              <a:solidFill>
                <a:srgbClr val="156082"/>
              </a:solidFill>
              <a:prstDash val="solid"/>
              <a:round/>
            </a:ln>
          </c:spPr>
          <c:marker>
            <c:symbol val="circle"/>
            <c:size val="5"/>
          </c:marker>
          <c:cat>
            <c:strLit>
              <c:ptCount val="7"/>
              <c:pt idx="0">
                <c:v>1</c:v>
              </c:pt>
              <c:pt idx="1">
                <c:v>2</c:v>
              </c:pt>
              <c:pt idx="2">
                <c:v>3</c:v>
              </c:pt>
              <c:pt idx="3">
                <c:v>4</c:v>
              </c:pt>
              <c:pt idx="4">
                <c:v>5</c:v>
              </c:pt>
              <c:pt idx="5">
                <c:v>6</c:v>
              </c:pt>
              <c:pt idx="6">
                <c:v>7</c:v>
              </c:pt>
            </c:strLit>
          </c:cat>
          <c:val>
            <c:numLit>
              <c:formatCode>General</c:formatCode>
              <c:ptCount val="7"/>
              <c:pt idx="0">
                <c:v>2020</c:v>
              </c:pt>
              <c:pt idx="1">
                <c:v>2021</c:v>
              </c:pt>
              <c:pt idx="2">
                <c:v>2022</c:v>
              </c:pt>
              <c:pt idx="3">
                <c:v>2023</c:v>
              </c:pt>
              <c:pt idx="4">
                <c:v>2024</c:v>
              </c:pt>
              <c:pt idx="5">
                <c:v>2025</c:v>
              </c:pt>
              <c:pt idx="6">
                <c:v>2026</c:v>
              </c:pt>
            </c:numLit>
          </c:val>
          <c:smooth val="0"/>
          <c:extLst>
            <c:ext xmlns:c16="http://schemas.microsoft.com/office/drawing/2014/chart" uri="{C3380CC4-5D6E-409C-BE32-E72D297353CC}">
              <c16:uniqueId val="{00000000-D972-4881-91F5-3BF1DF517C30}"/>
            </c:ext>
          </c:extLst>
        </c:ser>
        <c:ser>
          <c:idx val="1"/>
          <c:order val="1"/>
          <c:tx>
            <c:v>Visa Grants</c:v>
          </c:tx>
          <c:spPr>
            <a:ln w="28575" cap="rnd">
              <a:solidFill>
                <a:srgbClr val="E97132"/>
              </a:solidFill>
              <a:prstDash val="solid"/>
              <a:round/>
            </a:ln>
          </c:spPr>
          <c:marker>
            <c:symbol val="circle"/>
            <c:size val="5"/>
          </c:marker>
          <c:cat>
            <c:strLit>
              <c:ptCount val="7"/>
              <c:pt idx="0">
                <c:v>1</c:v>
              </c:pt>
              <c:pt idx="1">
                <c:v>2</c:v>
              </c:pt>
              <c:pt idx="2">
                <c:v>3</c:v>
              </c:pt>
              <c:pt idx="3">
                <c:v>4</c:v>
              </c:pt>
              <c:pt idx="4">
                <c:v>5</c:v>
              </c:pt>
              <c:pt idx="5">
                <c:v>6</c:v>
              </c:pt>
              <c:pt idx="6">
                <c:v>7</c:v>
              </c:pt>
            </c:strLit>
          </c:cat>
          <c:val>
            <c:numLit>
              <c:formatCode>General</c:formatCode>
              <c:ptCount val="7"/>
              <c:pt idx="0">
                <c:v>31800</c:v>
              </c:pt>
              <c:pt idx="1">
                <c:v>37416</c:v>
              </c:pt>
              <c:pt idx="2">
                <c:v>90000</c:v>
              </c:pt>
              <c:pt idx="3">
                <c:v>145823</c:v>
              </c:pt>
              <c:pt idx="4">
                <c:v>27174</c:v>
              </c:pt>
              <c:pt idx="5">
                <c:v>22582</c:v>
              </c:pt>
              <c:pt idx="6">
                <c:v>12300</c:v>
              </c:pt>
            </c:numLit>
          </c:val>
          <c:smooth val="0"/>
          <c:extLst>
            <c:ext xmlns:c16="http://schemas.microsoft.com/office/drawing/2014/chart" uri="{C3380CC4-5D6E-409C-BE32-E72D297353CC}">
              <c16:uniqueId val="{00000001-D972-4881-91F5-3BF1DF517C30}"/>
            </c:ext>
          </c:extLst>
        </c:ser>
        <c:dLbls>
          <c:showLegendKey val="0"/>
          <c:showVal val="0"/>
          <c:showCatName val="0"/>
          <c:showSerName val="0"/>
          <c:showPercent val="0"/>
          <c:showBubbleSize val="0"/>
        </c:dLbls>
        <c:marker val="1"/>
        <c:smooth val="0"/>
        <c:axId val="1950176480"/>
        <c:axId val="1950185600"/>
      </c:lineChart>
      <c:valAx>
        <c:axId val="1950185600"/>
        <c:scaling>
          <c:orientation val="minMax"/>
        </c:scaling>
        <c:delete val="0"/>
        <c:axPos val="l"/>
        <c:majorGridlines>
          <c:spPr>
            <a:ln w="9528" cap="flat">
              <a:solidFill>
                <a:srgbClr val="D9D9D9"/>
              </a:solidFill>
              <a:prstDash val="solid"/>
              <a:round/>
            </a:ln>
          </c:spPr>
        </c:majorGridlines>
        <c:numFmt formatCode="General"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1950176480"/>
        <c:crosses val="autoZero"/>
        <c:crossBetween val="between"/>
      </c:valAx>
      <c:catAx>
        <c:axId val="1950176480"/>
        <c:scaling>
          <c:orientation val="minMax"/>
        </c:scaling>
        <c:delete val="0"/>
        <c:axPos val="b"/>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1950185600"/>
        <c:crosses val="autoZero"/>
        <c:auto val="1"/>
        <c:lblAlgn val="ctr"/>
        <c:lblOffset val="100"/>
        <c:noMultiLvlLbl val="0"/>
      </c:catAx>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lang="en-US" sz="1400" b="0" i="0" u="none" strike="noStrike" kern="1200" spc="0" baseline="0">
                <a:solidFill>
                  <a:srgbClr val="595959"/>
                </a:solidFill>
                <a:latin typeface="Aptos"/>
              </a:defRPr>
            </a:pPr>
            <a:r>
              <a:rPr lang="en-US" sz="1400" b="0" i="0" u="none" strike="noStrike" kern="1200" cap="none" spc="0" baseline="0">
                <a:solidFill>
                  <a:srgbClr val="595959"/>
                </a:solidFill>
                <a:uFillTx/>
                <a:latin typeface="Aptos"/>
              </a:rPr>
              <a:t>Average Visa Grants</a:t>
            </a:r>
          </a:p>
        </c:rich>
      </c:tx>
      <c:overlay val="0"/>
      <c:spPr>
        <a:noFill/>
        <a:ln>
          <a:noFill/>
        </a:ln>
      </c:spPr>
    </c:title>
    <c:autoTitleDeleted val="0"/>
    <c:plotArea>
      <c:layout/>
      <c:barChart>
        <c:barDir val="col"/>
        <c:grouping val="clustered"/>
        <c:varyColors val="0"/>
        <c:ser>
          <c:idx val="0"/>
          <c:order val="0"/>
          <c:tx>
            <c:v>Average Visa Grants</c:v>
          </c:tx>
          <c:spPr>
            <a:solidFill>
              <a:srgbClr val="156082"/>
            </a:solidFill>
            <a:ln>
              <a:noFill/>
            </a:ln>
          </c:spPr>
          <c:invertIfNegative val="0"/>
          <c:cat>
            <c:strLit>
              <c:ptCount val="2"/>
              <c:pt idx="0">
                <c:v>2021-2023</c:v>
              </c:pt>
              <c:pt idx="1">
                <c:v>2024-2026</c:v>
              </c:pt>
            </c:strLit>
          </c:cat>
          <c:val>
            <c:numLit>
              <c:formatCode>General</c:formatCode>
              <c:ptCount val="2"/>
              <c:pt idx="0">
                <c:v>76260</c:v>
              </c:pt>
              <c:pt idx="1">
                <c:v>20685</c:v>
              </c:pt>
            </c:numLit>
          </c:val>
          <c:extLst>
            <c:ext xmlns:c16="http://schemas.microsoft.com/office/drawing/2014/chart" uri="{C3380CC4-5D6E-409C-BE32-E72D297353CC}">
              <c16:uniqueId val="{00000000-2B0B-4D53-9182-90C003E47F5D}"/>
            </c:ext>
          </c:extLst>
        </c:ser>
        <c:dLbls>
          <c:showLegendKey val="0"/>
          <c:showVal val="0"/>
          <c:showCatName val="0"/>
          <c:showSerName val="0"/>
          <c:showPercent val="0"/>
          <c:showBubbleSize val="0"/>
        </c:dLbls>
        <c:gapWidth val="219"/>
        <c:overlap val="-27"/>
        <c:axId val="1950175520"/>
        <c:axId val="1950177440"/>
      </c:barChart>
      <c:valAx>
        <c:axId val="1950177440"/>
        <c:scaling>
          <c:orientation val="minMax"/>
        </c:scaling>
        <c:delete val="0"/>
        <c:axPos val="l"/>
        <c:majorGridlines>
          <c:spPr>
            <a:ln w="9528" cap="flat">
              <a:solidFill>
                <a:srgbClr val="D9D9D9"/>
              </a:solidFill>
              <a:prstDash val="solid"/>
              <a:round/>
            </a:ln>
          </c:spPr>
        </c:majorGridlines>
        <c:numFmt formatCode="#,##0"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1950175520"/>
        <c:crosses val="autoZero"/>
        <c:crossBetween val="between"/>
      </c:valAx>
      <c:catAx>
        <c:axId val="1950175520"/>
        <c:scaling>
          <c:orientation val="minMax"/>
        </c:scaling>
        <c:delete val="0"/>
        <c:axPos val="b"/>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595959"/>
                </a:solidFill>
                <a:latin typeface="Aptos"/>
              </a:defRPr>
            </a:pPr>
            <a:endParaRPr lang="en-US"/>
          </a:p>
        </c:txPr>
        <c:crossAx val="1950177440"/>
        <c:crosses val="autoZero"/>
        <c:auto val="1"/>
        <c:lblAlgn val="ctr"/>
        <c:lblOffset val="100"/>
        <c:noMultiLvlLbl val="0"/>
      </c:cat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Aptos"/>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91</Pages>
  <Words>22822</Words>
  <Characters>130087</Characters>
  <Application>Microsoft Office Word</Application>
  <DocSecurity>0</DocSecurity>
  <Lines>1084</Lines>
  <Paragraphs>305</Paragraphs>
  <ScaleCrop>false</ScaleCrop>
  <Company/>
  <LinksUpToDate>false</LinksUpToDate>
  <CharactersWithSpaces>152604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Fazle Rabby Nahi (2515592)</dc:creator>
  <cp:keywords/>
  <dc:description/>
  <cp:lastModifiedBy>Fazle Rabby Nahi (2515592)</cp:lastModifiedBy>
  <cp:revision>8</cp:revision>
  <dcterms:created xsi:type="dcterms:W3CDTF">2026-08-26T23:41:00Z</dcterms:created>
  <dcterms:modified xsi:type="dcterms:W3CDTF">2026-08-27T00:00:00Z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0803036a-4ec0-48d8-a001-34ea9ce315a8</vt:lpwstr>
  </property>
</Properties>
</file>