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2FB60" w14:textId="727858A7" w:rsidR="00CF24BC" w:rsidRDefault="00CF24BC" w:rsidP="00CF24BC">
      <w:pPr>
        <w:spacing w:line="360" w:lineRule="auto"/>
        <w:rPr>
          <w:rFonts w:ascii="Arial" w:hAnsi="Arial" w:cs="Arial"/>
          <w:b/>
          <w:bCs/>
          <w:sz w:val="32"/>
          <w:szCs w:val="32"/>
        </w:rPr>
      </w:pPr>
      <w:r>
        <w:rPr>
          <w:rFonts w:ascii="Arial" w:hAnsi="Arial" w:cs="Arial"/>
          <w:b/>
          <w:bCs/>
          <w:sz w:val="32"/>
          <w:szCs w:val="32"/>
        </w:rPr>
        <w:t xml:space="preserve">Title: Report </w:t>
      </w:r>
      <w:r w:rsidRPr="00CF24BC">
        <w:rPr>
          <w:rFonts w:ascii="Arial" w:hAnsi="Arial" w:cs="Arial"/>
          <w:b/>
          <w:bCs/>
          <w:sz w:val="32"/>
          <w:szCs w:val="32"/>
        </w:rPr>
        <w:t>Ensuring Sufficient Nursing Care Home Places in Derbyshire</w:t>
      </w:r>
      <w:r>
        <w:rPr>
          <w:rFonts w:ascii="Arial" w:hAnsi="Arial" w:cs="Arial"/>
          <w:b/>
          <w:bCs/>
          <w:sz w:val="32"/>
          <w:szCs w:val="32"/>
        </w:rPr>
        <w:t>.</w:t>
      </w:r>
    </w:p>
    <w:p w14:paraId="7DF2E735" w14:textId="028A7D75" w:rsidR="00CF24BC" w:rsidRDefault="00CF24BC" w:rsidP="00CF24BC">
      <w:pPr>
        <w:spacing w:line="360" w:lineRule="auto"/>
        <w:rPr>
          <w:rFonts w:ascii="Arial" w:hAnsi="Arial" w:cs="Arial"/>
          <w:b/>
          <w:bCs/>
          <w:sz w:val="32"/>
          <w:szCs w:val="32"/>
        </w:rPr>
      </w:pPr>
      <w:r>
        <w:rPr>
          <w:rFonts w:ascii="Arial" w:hAnsi="Arial" w:cs="Arial"/>
          <w:b/>
          <w:bCs/>
          <w:sz w:val="32"/>
          <w:szCs w:val="32"/>
        </w:rPr>
        <w:t>Name: Karla Esmeralda Rodriguez de Romero</w:t>
      </w:r>
    </w:p>
    <w:p w14:paraId="6657CDB1" w14:textId="793E2848" w:rsidR="00CF24BC" w:rsidRDefault="00CF24BC" w:rsidP="00CF24BC">
      <w:pPr>
        <w:spacing w:line="360" w:lineRule="auto"/>
        <w:rPr>
          <w:rFonts w:ascii="Arial" w:hAnsi="Arial" w:cs="Arial"/>
          <w:b/>
          <w:bCs/>
          <w:sz w:val="32"/>
          <w:szCs w:val="32"/>
        </w:rPr>
      </w:pPr>
      <w:r>
        <w:rPr>
          <w:rFonts w:ascii="Arial" w:hAnsi="Arial" w:cs="Arial"/>
          <w:b/>
          <w:bCs/>
          <w:sz w:val="32"/>
          <w:szCs w:val="32"/>
        </w:rPr>
        <w:t>Student Number:2435930</w:t>
      </w:r>
    </w:p>
    <w:p w14:paraId="6BF7C076" w14:textId="217C8592" w:rsidR="00CF24BC" w:rsidRDefault="00DF3454" w:rsidP="00CF24BC">
      <w:pPr>
        <w:spacing w:line="360" w:lineRule="auto"/>
        <w:rPr>
          <w:rFonts w:ascii="Arial" w:hAnsi="Arial" w:cs="Arial"/>
          <w:b/>
          <w:bCs/>
          <w:sz w:val="32"/>
          <w:szCs w:val="32"/>
        </w:rPr>
      </w:pPr>
      <w:r>
        <w:rPr>
          <w:rFonts w:ascii="Arial" w:hAnsi="Arial" w:cs="Arial"/>
          <w:b/>
          <w:bCs/>
          <w:sz w:val="32"/>
          <w:szCs w:val="32"/>
        </w:rPr>
        <w:t>Module Code: LCHS4003</w:t>
      </w:r>
    </w:p>
    <w:p w14:paraId="4C2EE353" w14:textId="07E4C4C1" w:rsidR="00DF3454" w:rsidRDefault="00DF3454" w:rsidP="00CF24BC">
      <w:pPr>
        <w:spacing w:line="360" w:lineRule="auto"/>
        <w:rPr>
          <w:rFonts w:ascii="Arial" w:hAnsi="Arial" w:cs="Arial"/>
          <w:b/>
          <w:bCs/>
          <w:sz w:val="32"/>
          <w:szCs w:val="32"/>
        </w:rPr>
      </w:pPr>
      <w:r>
        <w:rPr>
          <w:rFonts w:ascii="Arial" w:hAnsi="Arial" w:cs="Arial"/>
          <w:b/>
          <w:bCs/>
          <w:sz w:val="32"/>
          <w:szCs w:val="32"/>
        </w:rPr>
        <w:t>Module Title: Introduction to Health and Social Care</w:t>
      </w:r>
    </w:p>
    <w:p w14:paraId="7B7E6A65" w14:textId="6DE56EEA" w:rsidR="00DF3454" w:rsidRDefault="008D1177" w:rsidP="00CF24BC">
      <w:pPr>
        <w:spacing w:line="360" w:lineRule="auto"/>
        <w:rPr>
          <w:rFonts w:ascii="Arial" w:hAnsi="Arial" w:cs="Arial"/>
          <w:b/>
          <w:bCs/>
          <w:sz w:val="32"/>
          <w:szCs w:val="32"/>
        </w:rPr>
      </w:pPr>
      <w:r>
        <w:rPr>
          <w:rFonts w:ascii="Arial" w:hAnsi="Arial" w:cs="Arial"/>
          <w:b/>
          <w:bCs/>
          <w:sz w:val="32"/>
          <w:szCs w:val="32"/>
        </w:rPr>
        <w:t>Lecturer’s Name: Debra Odeh</w:t>
      </w:r>
    </w:p>
    <w:p w14:paraId="5A8D1E65" w14:textId="77777777" w:rsidR="008D1177" w:rsidRDefault="008D1177" w:rsidP="00CF24BC">
      <w:pPr>
        <w:spacing w:line="360" w:lineRule="auto"/>
        <w:rPr>
          <w:rFonts w:ascii="Arial" w:hAnsi="Arial" w:cs="Arial"/>
          <w:b/>
          <w:bCs/>
          <w:sz w:val="32"/>
          <w:szCs w:val="32"/>
        </w:rPr>
      </w:pPr>
    </w:p>
    <w:p w14:paraId="493B43D3" w14:textId="77777777" w:rsidR="008D1177" w:rsidRDefault="008D1177" w:rsidP="00CF24BC">
      <w:pPr>
        <w:spacing w:line="360" w:lineRule="auto"/>
        <w:rPr>
          <w:rFonts w:ascii="Arial" w:hAnsi="Arial" w:cs="Arial"/>
          <w:b/>
          <w:bCs/>
          <w:sz w:val="32"/>
          <w:szCs w:val="32"/>
        </w:rPr>
      </w:pPr>
    </w:p>
    <w:p w14:paraId="4F7DB8CF" w14:textId="77777777" w:rsidR="008D1177" w:rsidRDefault="008D1177" w:rsidP="00CF24BC">
      <w:pPr>
        <w:spacing w:line="360" w:lineRule="auto"/>
        <w:rPr>
          <w:rFonts w:ascii="Arial" w:hAnsi="Arial" w:cs="Arial"/>
          <w:b/>
          <w:bCs/>
          <w:sz w:val="32"/>
          <w:szCs w:val="32"/>
        </w:rPr>
      </w:pPr>
    </w:p>
    <w:p w14:paraId="010A47BD" w14:textId="77777777" w:rsidR="008D1177" w:rsidRDefault="008D1177" w:rsidP="00CF24BC">
      <w:pPr>
        <w:spacing w:line="360" w:lineRule="auto"/>
        <w:rPr>
          <w:rFonts w:ascii="Arial" w:hAnsi="Arial" w:cs="Arial"/>
          <w:b/>
          <w:bCs/>
          <w:sz w:val="32"/>
          <w:szCs w:val="32"/>
        </w:rPr>
      </w:pPr>
    </w:p>
    <w:p w14:paraId="6D3DC135" w14:textId="77777777" w:rsidR="008D1177" w:rsidRDefault="008D1177" w:rsidP="00CF24BC">
      <w:pPr>
        <w:spacing w:line="360" w:lineRule="auto"/>
        <w:rPr>
          <w:rFonts w:ascii="Arial" w:hAnsi="Arial" w:cs="Arial"/>
          <w:b/>
          <w:bCs/>
          <w:sz w:val="32"/>
          <w:szCs w:val="32"/>
        </w:rPr>
      </w:pPr>
    </w:p>
    <w:p w14:paraId="69BA0660" w14:textId="77777777" w:rsidR="008D1177" w:rsidRDefault="008D1177" w:rsidP="00CF24BC">
      <w:pPr>
        <w:spacing w:line="360" w:lineRule="auto"/>
        <w:rPr>
          <w:rFonts w:ascii="Arial" w:hAnsi="Arial" w:cs="Arial"/>
          <w:b/>
          <w:bCs/>
          <w:sz w:val="32"/>
          <w:szCs w:val="32"/>
        </w:rPr>
      </w:pPr>
    </w:p>
    <w:p w14:paraId="52EA7AB8" w14:textId="77777777" w:rsidR="008D1177" w:rsidRDefault="008D1177" w:rsidP="00CF24BC">
      <w:pPr>
        <w:spacing w:line="360" w:lineRule="auto"/>
        <w:rPr>
          <w:rFonts w:ascii="Arial" w:hAnsi="Arial" w:cs="Arial"/>
          <w:b/>
          <w:bCs/>
          <w:sz w:val="32"/>
          <w:szCs w:val="32"/>
        </w:rPr>
      </w:pPr>
    </w:p>
    <w:p w14:paraId="37C771B1" w14:textId="77777777" w:rsidR="008D1177" w:rsidRDefault="008D1177" w:rsidP="00CF24BC">
      <w:pPr>
        <w:spacing w:line="360" w:lineRule="auto"/>
        <w:rPr>
          <w:rFonts w:ascii="Arial" w:hAnsi="Arial" w:cs="Arial"/>
          <w:b/>
          <w:bCs/>
          <w:sz w:val="32"/>
          <w:szCs w:val="32"/>
        </w:rPr>
      </w:pPr>
    </w:p>
    <w:p w14:paraId="285D1E7F" w14:textId="77777777" w:rsidR="008D1177" w:rsidRDefault="008D1177" w:rsidP="00CF24BC">
      <w:pPr>
        <w:spacing w:line="360" w:lineRule="auto"/>
        <w:rPr>
          <w:rFonts w:ascii="Arial" w:hAnsi="Arial" w:cs="Arial"/>
          <w:b/>
          <w:bCs/>
          <w:sz w:val="32"/>
          <w:szCs w:val="32"/>
        </w:rPr>
      </w:pPr>
    </w:p>
    <w:p w14:paraId="7F08C62F" w14:textId="77777777" w:rsidR="008D1177" w:rsidRDefault="008D1177" w:rsidP="00CF24BC">
      <w:pPr>
        <w:spacing w:line="360" w:lineRule="auto"/>
        <w:rPr>
          <w:rFonts w:ascii="Arial" w:hAnsi="Arial" w:cs="Arial"/>
          <w:b/>
          <w:bCs/>
          <w:sz w:val="32"/>
          <w:szCs w:val="32"/>
        </w:rPr>
      </w:pPr>
    </w:p>
    <w:p w14:paraId="5DA2A412" w14:textId="77777777" w:rsidR="008D1177" w:rsidRDefault="008D1177" w:rsidP="00CF24BC">
      <w:pPr>
        <w:spacing w:line="360" w:lineRule="auto"/>
        <w:rPr>
          <w:rFonts w:ascii="Arial" w:hAnsi="Arial" w:cs="Arial"/>
          <w:b/>
          <w:bCs/>
          <w:sz w:val="32"/>
          <w:szCs w:val="32"/>
        </w:rPr>
      </w:pPr>
    </w:p>
    <w:p w14:paraId="36E7A604" w14:textId="77777777" w:rsidR="008D1177" w:rsidRDefault="008D1177" w:rsidP="00CF24BC">
      <w:pPr>
        <w:spacing w:line="360" w:lineRule="auto"/>
        <w:rPr>
          <w:rFonts w:ascii="Arial" w:hAnsi="Arial" w:cs="Arial"/>
          <w:b/>
          <w:bCs/>
          <w:sz w:val="32"/>
          <w:szCs w:val="32"/>
        </w:rPr>
      </w:pPr>
    </w:p>
    <w:p w14:paraId="69C9C86D" w14:textId="77777777" w:rsidR="008D1177" w:rsidRDefault="008D1177" w:rsidP="00CF24BC">
      <w:pPr>
        <w:spacing w:line="360" w:lineRule="auto"/>
        <w:rPr>
          <w:rFonts w:ascii="Arial" w:hAnsi="Arial" w:cs="Arial"/>
          <w:b/>
          <w:bCs/>
          <w:sz w:val="32"/>
          <w:szCs w:val="32"/>
        </w:rPr>
      </w:pPr>
    </w:p>
    <w:p w14:paraId="26C4D544" w14:textId="77777777" w:rsidR="00E75080" w:rsidRDefault="00E75080" w:rsidP="00E75080">
      <w:pPr>
        <w:spacing w:line="360" w:lineRule="auto"/>
        <w:rPr>
          <w:rFonts w:ascii="Arial" w:hAnsi="Arial" w:cs="Arial"/>
          <w:sz w:val="22"/>
          <w:szCs w:val="22"/>
        </w:rPr>
      </w:pPr>
      <w:r w:rsidRPr="00E75080">
        <w:rPr>
          <w:rFonts w:ascii="Arial" w:hAnsi="Arial" w:cs="Arial"/>
          <w:sz w:val="22"/>
          <w:szCs w:val="22"/>
        </w:rPr>
        <w:lastRenderedPageBreak/>
        <w:t>To: Cabinet Member for Adult Care, Derbyshire County Council</w:t>
      </w:r>
      <w:r w:rsidRPr="00E75080">
        <w:rPr>
          <w:rFonts w:ascii="Arial" w:hAnsi="Arial" w:cs="Arial"/>
          <w:sz w:val="22"/>
          <w:szCs w:val="22"/>
        </w:rPr>
        <w:br/>
        <w:t>Subject: Addressing the need for nursing care home places in Derbyshire</w:t>
      </w:r>
    </w:p>
    <w:p w14:paraId="3CCE03D7" w14:textId="77777777" w:rsidR="00E75080" w:rsidRPr="00E75080" w:rsidRDefault="00E75080" w:rsidP="00E75080">
      <w:pPr>
        <w:spacing w:line="360" w:lineRule="auto"/>
        <w:rPr>
          <w:rFonts w:ascii="Arial" w:hAnsi="Arial" w:cs="Arial"/>
          <w:sz w:val="22"/>
          <w:szCs w:val="22"/>
        </w:rPr>
      </w:pPr>
      <w:r w:rsidRPr="00E75080">
        <w:rPr>
          <w:rFonts w:ascii="Arial" w:hAnsi="Arial" w:cs="Arial"/>
          <w:sz w:val="22"/>
          <w:szCs w:val="22"/>
        </w:rPr>
        <w:t>This report considers the need for nursing care home places in Derbyshire and recommends ways to improve care for older people. Nursing care homes provide accommodation, personal care and nursing support for people with complex health needs. Under the Care Act 2014, local authorities have responsibilities to promote wellbeing and support a sustainable market for adult social care (Care Act 2014, ss. 1 and 5).</w:t>
      </w:r>
    </w:p>
    <w:p w14:paraId="3E3E7B63" w14:textId="44D9B33E" w:rsidR="00E75080" w:rsidRPr="005D029B" w:rsidRDefault="00E75080" w:rsidP="00E75080">
      <w:pPr>
        <w:spacing w:line="360" w:lineRule="auto"/>
        <w:rPr>
          <w:rFonts w:ascii="Arial" w:hAnsi="Arial" w:cs="Arial"/>
          <w:b/>
          <w:bCs/>
          <w:sz w:val="22"/>
          <w:szCs w:val="22"/>
        </w:rPr>
      </w:pPr>
      <w:r w:rsidRPr="00E75080">
        <w:rPr>
          <w:rFonts w:ascii="Arial" w:hAnsi="Arial" w:cs="Arial"/>
          <w:sz w:val="22"/>
          <w:szCs w:val="22"/>
        </w:rPr>
        <w:t>Derbyshire County Council, the care homes covered by its information are registered to provide 2,904 nursing care beds, 3,023 residential care beds and 136 Council-owned dementia care beds (Derbyshire County Council, 2025). These figures show the different types of care available in the county. However, registered beds do not necessarily mean that beds are currently available.</w:t>
      </w:r>
    </w:p>
    <w:p w14:paraId="7E106505" w14:textId="77777777" w:rsidR="00E75080" w:rsidRPr="00E75080" w:rsidRDefault="00E75080" w:rsidP="00E75080">
      <w:pPr>
        <w:spacing w:line="360" w:lineRule="auto"/>
        <w:rPr>
          <w:rFonts w:ascii="Arial" w:hAnsi="Arial" w:cs="Arial"/>
          <w:sz w:val="22"/>
          <w:szCs w:val="22"/>
        </w:rPr>
      </w:pPr>
      <w:r w:rsidRPr="00E75080">
        <w:rPr>
          <w:rFonts w:ascii="Arial" w:hAnsi="Arial" w:cs="Arial"/>
          <w:sz w:val="22"/>
          <w:szCs w:val="22"/>
        </w:rPr>
        <w:t>The Council also reports that average nursing bed occupancy increased from 83.58% in 2023–2024 to 87.26% in 2024–2025. During the same period, 252 council-funded people entered long-term nursing care, compared with 306 in the previous year. The number of nursing beds per 100,000 people aged over 65 also decreased slightly between 2022 and 2025 (Derbyshire County Council, 2025).</w:t>
      </w:r>
    </w:p>
    <w:p w14:paraId="56006BC6" w14:textId="77777777" w:rsidR="00E75080" w:rsidRPr="00E75080" w:rsidRDefault="00E75080" w:rsidP="00E75080">
      <w:pPr>
        <w:spacing w:line="360" w:lineRule="auto"/>
        <w:rPr>
          <w:rFonts w:ascii="Arial" w:hAnsi="Arial" w:cs="Arial"/>
          <w:sz w:val="22"/>
          <w:szCs w:val="22"/>
        </w:rPr>
      </w:pPr>
      <w:r w:rsidRPr="00E75080">
        <w:rPr>
          <w:rFonts w:ascii="Arial" w:hAnsi="Arial" w:cs="Arial"/>
          <w:sz w:val="22"/>
          <w:szCs w:val="22"/>
        </w:rPr>
        <w:t>These figures suggest that the Council should continue monitoring bed availability and future demand. However, they do not prove that there is a shortage of nursing care beds across all of Derbyshire. More information about local availability, waiting times and individual care needs is required.</w:t>
      </w:r>
    </w:p>
    <w:p w14:paraId="4702D465" w14:textId="1D2332AA" w:rsidR="00E75080" w:rsidRPr="005D029B" w:rsidRDefault="00E75080" w:rsidP="00E75080">
      <w:pPr>
        <w:spacing w:line="360" w:lineRule="auto"/>
        <w:rPr>
          <w:rFonts w:ascii="Arial" w:hAnsi="Arial" w:cs="Arial"/>
          <w:sz w:val="22"/>
          <w:szCs w:val="22"/>
        </w:rPr>
      </w:pPr>
      <w:r w:rsidRPr="00E75080">
        <w:rPr>
          <w:rFonts w:ascii="Arial" w:hAnsi="Arial" w:cs="Arial"/>
          <w:sz w:val="22"/>
          <w:szCs w:val="22"/>
        </w:rPr>
        <w:t>If suitable nursing care is not available when needed, older people and their families may experience stress and uncertainty. People may have to wait for an appropriate placement or travel further from family and friends. This may affect their emotional wellbeing, relationships and sense of independence. Care must therefore be safe, suitable and respectful of each person's needs and choices.</w:t>
      </w:r>
    </w:p>
    <w:p w14:paraId="529B033A" w14:textId="77777777" w:rsidR="00E75080" w:rsidRPr="00E75080" w:rsidRDefault="00E75080" w:rsidP="00E75080">
      <w:pPr>
        <w:spacing w:line="360" w:lineRule="auto"/>
        <w:rPr>
          <w:rFonts w:ascii="Arial" w:hAnsi="Arial" w:cs="Arial"/>
          <w:sz w:val="22"/>
          <w:szCs w:val="22"/>
        </w:rPr>
      </w:pPr>
      <w:r w:rsidRPr="00E75080">
        <w:rPr>
          <w:rFonts w:ascii="Arial" w:hAnsi="Arial" w:cs="Arial"/>
          <w:sz w:val="22"/>
          <w:szCs w:val="22"/>
        </w:rPr>
        <w:t>Derbyshire County Council should regularly review available beds, occupancy rates, waiting times and the future needs of the older population. The Council should work with nursing care providers to identify areas where additional places or different types of care may be needed. Decisions should be based on reliable local evidence rather than assumptions that all areas have the same level of demand (Derbyshire County Council, 2025).</w:t>
      </w:r>
    </w:p>
    <w:p w14:paraId="6E6748DE" w14:textId="77777777" w:rsidR="009E46F0" w:rsidRPr="009E46F0" w:rsidRDefault="00E75080" w:rsidP="009E46F0">
      <w:pPr>
        <w:spacing w:line="360" w:lineRule="auto"/>
        <w:rPr>
          <w:rFonts w:ascii="Arial" w:hAnsi="Arial" w:cs="Arial"/>
          <w:sz w:val="22"/>
          <w:szCs w:val="22"/>
        </w:rPr>
      </w:pPr>
      <w:r w:rsidRPr="005D029B">
        <w:rPr>
          <w:rFonts w:ascii="Arial" w:hAnsi="Arial" w:cs="Arial"/>
          <w:sz w:val="22"/>
          <w:szCs w:val="22"/>
        </w:rPr>
        <w:t>Support staff and safe nursing care</w:t>
      </w:r>
      <w:r w:rsidR="005D029B">
        <w:rPr>
          <w:rFonts w:ascii="Arial" w:hAnsi="Arial" w:cs="Arial"/>
          <w:sz w:val="22"/>
          <w:szCs w:val="22"/>
        </w:rPr>
        <w:t xml:space="preserve"> </w:t>
      </w:r>
      <w:r w:rsidR="005D029B" w:rsidRPr="005D029B">
        <w:rPr>
          <w:rFonts w:ascii="Arial" w:hAnsi="Arial" w:cs="Arial"/>
          <w:sz w:val="22"/>
          <w:szCs w:val="22"/>
          <w:lang w:val="en"/>
        </w:rPr>
        <w:t>since we all have the right to be treated with dignity and to be understood</w:t>
      </w:r>
      <w:r w:rsidR="005D029B">
        <w:rPr>
          <w:rFonts w:ascii="Arial" w:hAnsi="Arial" w:cs="Arial"/>
          <w:sz w:val="22"/>
          <w:szCs w:val="22"/>
          <w:lang w:val="en"/>
        </w:rPr>
        <w:t xml:space="preserve">. </w:t>
      </w:r>
      <w:r w:rsidRPr="00E75080">
        <w:rPr>
          <w:rFonts w:ascii="Arial" w:hAnsi="Arial" w:cs="Arial"/>
          <w:sz w:val="22"/>
          <w:szCs w:val="22"/>
        </w:rPr>
        <w:t xml:space="preserve">Care homes need enough suitably trained staff to provide safe, person-centred care. Staff should monitor residents’ health, recognise changes in physical or mental </w:t>
      </w:r>
      <w:r w:rsidRPr="00E75080">
        <w:rPr>
          <w:rFonts w:ascii="Arial" w:hAnsi="Arial" w:cs="Arial"/>
          <w:sz w:val="22"/>
          <w:szCs w:val="22"/>
        </w:rPr>
        <w:lastRenderedPageBreak/>
        <w:t xml:space="preserve">wellbeing, maintain accurate records and report concerns to appropriate health professionals. Care plans should help prevent risks such as falls, dehydration, </w:t>
      </w:r>
      <w:r w:rsidR="009E46F0" w:rsidRPr="009E46F0">
        <w:rPr>
          <w:rFonts w:ascii="Arial" w:hAnsi="Arial" w:cs="Arial"/>
          <w:sz w:val="22"/>
          <w:szCs w:val="22"/>
        </w:rPr>
        <w:t>infections and pressure ulcers.</w:t>
      </w:r>
    </w:p>
    <w:p w14:paraId="00791731" w14:textId="5C5DAD97" w:rsidR="009E46F0" w:rsidRPr="009E46F0" w:rsidRDefault="009E46F0" w:rsidP="009E46F0">
      <w:pPr>
        <w:spacing w:line="360" w:lineRule="auto"/>
        <w:rPr>
          <w:rFonts w:ascii="Arial" w:hAnsi="Arial" w:cs="Arial"/>
          <w:sz w:val="22"/>
          <w:szCs w:val="22"/>
        </w:rPr>
      </w:pPr>
      <w:r w:rsidRPr="009E46F0">
        <w:rPr>
          <w:rFonts w:ascii="Arial" w:hAnsi="Arial" w:cs="Arial"/>
          <w:sz w:val="22"/>
          <w:szCs w:val="22"/>
        </w:rPr>
        <w:t>Medicines must also be managed safely. NICE (2014) recommends clear processes for ordering, storing, administering and recording medicines. Residents should be supported to understand and manage their medicines where appropriate. These actions can help reduce errors and protect residents’ health.</w:t>
      </w:r>
    </w:p>
    <w:p w14:paraId="407B569E" w14:textId="77777777" w:rsidR="009E46F0" w:rsidRPr="009E46F0" w:rsidRDefault="009E46F0" w:rsidP="009E46F0">
      <w:pPr>
        <w:spacing w:line="360" w:lineRule="auto"/>
        <w:rPr>
          <w:rFonts w:ascii="Arial" w:hAnsi="Arial" w:cs="Arial"/>
          <w:sz w:val="22"/>
          <w:szCs w:val="22"/>
        </w:rPr>
      </w:pPr>
      <w:r w:rsidRPr="009E46F0">
        <w:rPr>
          <w:rFonts w:ascii="Arial" w:hAnsi="Arial" w:cs="Arial"/>
          <w:sz w:val="22"/>
          <w:szCs w:val="22"/>
        </w:rPr>
        <w:t>Joint working between Derbyshire County Council, the NHS and nursing care homes is important for meeting residents’ health and social care needs. Section 6 of the Care Act 2014 sets out duties for local authorities and relevant partners to cooperate. Better communication and integrated planning can help professionals respond to residents’ changing needs and use services and resources effectively (Care Act 2014, s. 6; NHS England, n.d.).</w:t>
      </w:r>
    </w:p>
    <w:p w14:paraId="31A2CCF7" w14:textId="4D9DFCA4" w:rsidR="009E46F0" w:rsidRPr="009E46F0" w:rsidRDefault="009E46F0" w:rsidP="009E46F0">
      <w:pPr>
        <w:spacing w:line="360" w:lineRule="auto"/>
        <w:rPr>
          <w:rFonts w:ascii="Arial" w:hAnsi="Arial" w:cs="Arial"/>
          <w:sz w:val="22"/>
          <w:szCs w:val="22"/>
        </w:rPr>
      </w:pPr>
      <w:r w:rsidRPr="009E46F0">
        <w:rPr>
          <w:rFonts w:ascii="Arial" w:hAnsi="Arial" w:cs="Arial"/>
          <w:sz w:val="22"/>
          <w:szCs w:val="22"/>
        </w:rPr>
        <w:t>Nurses and care home staff should keep records accurate and up to date. They should share relevan</w:t>
      </w:r>
      <w:r>
        <w:rPr>
          <w:rFonts w:ascii="Arial" w:hAnsi="Arial" w:cs="Arial"/>
          <w:sz w:val="22"/>
          <w:szCs w:val="22"/>
        </w:rPr>
        <w:t xml:space="preserve">t </w:t>
      </w:r>
      <w:proofErr w:type="spellStart"/>
      <w:r w:rsidRPr="009E46F0">
        <w:rPr>
          <w:rFonts w:ascii="Arial" w:hAnsi="Arial" w:cs="Arial"/>
          <w:sz w:val="22"/>
          <w:szCs w:val="22"/>
        </w:rPr>
        <w:t>nformation</w:t>
      </w:r>
      <w:proofErr w:type="spellEnd"/>
      <w:r w:rsidRPr="009E46F0">
        <w:rPr>
          <w:rFonts w:ascii="Arial" w:hAnsi="Arial" w:cs="Arial"/>
          <w:sz w:val="22"/>
          <w:szCs w:val="22"/>
        </w:rPr>
        <w:t xml:space="preserve"> with authorised professionals when necessary and lawful, so that residents receive appropriate care and changes in their health are acted on promptly.</w:t>
      </w:r>
    </w:p>
    <w:p w14:paraId="1A1DD71F" w14:textId="77777777" w:rsidR="009E46F0" w:rsidRPr="009E46F0" w:rsidRDefault="009E46F0" w:rsidP="009E46F0">
      <w:pPr>
        <w:spacing w:line="360" w:lineRule="auto"/>
        <w:rPr>
          <w:rFonts w:ascii="Arial" w:hAnsi="Arial" w:cs="Arial"/>
          <w:sz w:val="22"/>
          <w:szCs w:val="22"/>
        </w:rPr>
      </w:pPr>
      <w:r w:rsidRPr="009E46F0">
        <w:rPr>
          <w:rFonts w:ascii="Arial" w:hAnsi="Arial" w:cs="Arial"/>
          <w:sz w:val="22"/>
          <w:szCs w:val="22"/>
        </w:rPr>
        <w:t>Residents should be treated with respect and supported to make choices about their lives. Under section 42 of the Care Act 2014, the local authority must make safeguarding enquiries when the legal conditions are met, including where an adult with care and support needs is experiencing or at risk of abuse or neglect and cannot protect themselves because of those needs. Staff should report concerns promptly and follow safeguarding procedures.</w:t>
      </w:r>
    </w:p>
    <w:p w14:paraId="05D289FF" w14:textId="77777777" w:rsidR="009E46F0" w:rsidRPr="009E46F0" w:rsidRDefault="009E46F0" w:rsidP="009E46F0">
      <w:pPr>
        <w:spacing w:line="360" w:lineRule="auto"/>
        <w:rPr>
          <w:rFonts w:ascii="Arial" w:hAnsi="Arial" w:cs="Arial"/>
          <w:sz w:val="22"/>
          <w:szCs w:val="22"/>
        </w:rPr>
      </w:pPr>
      <w:r w:rsidRPr="009E46F0">
        <w:rPr>
          <w:rFonts w:ascii="Arial" w:hAnsi="Arial" w:cs="Arial"/>
          <w:sz w:val="22"/>
          <w:szCs w:val="22"/>
        </w:rPr>
        <w:t>The Mental Capacity Act 2005 states that adults must be assumed to have capacity unless it is established otherwise. If a person lacks capacity for a particular decision, any decision made on their behalf must be in their best interests and be as least restrictive as possible (Mental Capacity Act 2005, s. 1). These principles help protect residents’ rights, dignity and wellbeing.</w:t>
      </w:r>
    </w:p>
    <w:p w14:paraId="4237CECC" w14:textId="26FDAED4" w:rsidR="009E46F0" w:rsidRPr="009E46F0" w:rsidRDefault="009E46F0" w:rsidP="009E46F0">
      <w:pPr>
        <w:spacing w:line="360" w:lineRule="auto"/>
        <w:rPr>
          <w:rFonts w:ascii="Arial" w:hAnsi="Arial" w:cs="Arial"/>
          <w:sz w:val="22"/>
          <w:szCs w:val="22"/>
        </w:rPr>
      </w:pPr>
      <w:r w:rsidRPr="009E46F0">
        <w:rPr>
          <w:rFonts w:ascii="Arial" w:hAnsi="Arial" w:cs="Arial"/>
          <w:sz w:val="22"/>
          <w:szCs w:val="22"/>
        </w:rPr>
        <w:t>Care homes should also help residents maintain contact with family and friends. Visiting should normally be supported while following appropriate infection prevention measures when necessary (UK Health Security Agency, n.d.).</w:t>
      </w:r>
    </w:p>
    <w:p w14:paraId="720532A9" w14:textId="77777777" w:rsidR="009E46F0" w:rsidRPr="009E46F0" w:rsidRDefault="009E46F0" w:rsidP="009E46F0">
      <w:pPr>
        <w:spacing w:line="360" w:lineRule="auto"/>
        <w:rPr>
          <w:rFonts w:ascii="Arial" w:hAnsi="Arial" w:cs="Arial"/>
          <w:sz w:val="22"/>
          <w:szCs w:val="22"/>
        </w:rPr>
      </w:pPr>
      <w:r w:rsidRPr="009E46F0">
        <w:rPr>
          <w:rFonts w:ascii="Arial" w:hAnsi="Arial" w:cs="Arial"/>
          <w:sz w:val="22"/>
          <w:szCs w:val="22"/>
        </w:rPr>
        <w:t xml:space="preserve">Derbyshire has an established nursing care home market, but rising occupancy and a slight reduction in beds per 100,000 older people show why future capacity needs to be monitored. The Council should work with the NHS and care providers to plan services, support the workforce, improve communication and protect residents from harm. These actions can help </w:t>
      </w:r>
      <w:r w:rsidRPr="009E46F0">
        <w:rPr>
          <w:rFonts w:ascii="Arial" w:hAnsi="Arial" w:cs="Arial"/>
          <w:sz w:val="22"/>
          <w:szCs w:val="22"/>
        </w:rPr>
        <w:lastRenderedPageBreak/>
        <w:t>older people receive safe, suitable and person-centred care while maintaining their rights, dignity and wellbeing.</w:t>
      </w:r>
    </w:p>
    <w:p w14:paraId="4C757355" w14:textId="77777777" w:rsidR="009E46F0" w:rsidRPr="009E46F0" w:rsidRDefault="009E46F0" w:rsidP="009E46F0">
      <w:pPr>
        <w:spacing w:line="360" w:lineRule="auto"/>
        <w:rPr>
          <w:rFonts w:ascii="Arial" w:hAnsi="Arial" w:cs="Arial"/>
          <w:b/>
          <w:bCs/>
          <w:sz w:val="22"/>
          <w:szCs w:val="22"/>
        </w:rPr>
      </w:pPr>
      <w:r w:rsidRPr="009E46F0">
        <w:rPr>
          <w:rFonts w:ascii="Arial" w:hAnsi="Arial" w:cs="Arial"/>
          <w:b/>
          <w:bCs/>
          <w:sz w:val="22"/>
          <w:szCs w:val="22"/>
        </w:rPr>
        <w:t>References</w:t>
      </w:r>
    </w:p>
    <w:p w14:paraId="1D73DFAE" w14:textId="77777777" w:rsidR="00AA0C5A" w:rsidRPr="00AA0C5A" w:rsidRDefault="00AA0C5A" w:rsidP="00AA0C5A">
      <w:pPr>
        <w:spacing w:line="360" w:lineRule="auto"/>
        <w:rPr>
          <w:rFonts w:ascii="Arial" w:hAnsi="Arial" w:cs="Arial"/>
          <w:sz w:val="22"/>
          <w:szCs w:val="22"/>
        </w:rPr>
      </w:pPr>
      <w:r w:rsidRPr="00AA0C5A">
        <w:rPr>
          <w:rFonts w:ascii="Arial" w:hAnsi="Arial" w:cs="Arial"/>
          <w:sz w:val="22"/>
          <w:szCs w:val="22"/>
        </w:rPr>
        <w:t xml:space="preserve">Care Act 2014, c. 23. Available at: </w:t>
      </w:r>
      <w:hyperlink r:id="rId9" w:history="1">
        <w:r w:rsidRPr="00AA0C5A">
          <w:rPr>
            <w:rStyle w:val="Hyperlink"/>
            <w:rFonts w:ascii="Arial" w:hAnsi="Arial" w:cs="Arial"/>
            <w:sz w:val="22"/>
            <w:szCs w:val="22"/>
          </w:rPr>
          <w:t>https://www.legislation.gov.uk/ukpga/2014/23/contents</w:t>
        </w:r>
      </w:hyperlink>
      <w:r w:rsidRPr="00AA0C5A">
        <w:rPr>
          <w:rFonts w:ascii="Arial" w:hAnsi="Arial" w:cs="Arial"/>
          <w:sz w:val="22"/>
          <w:szCs w:val="22"/>
        </w:rPr>
        <w:t xml:space="preserve"> (Accessed: 19 October 2026).</w:t>
      </w:r>
    </w:p>
    <w:p w14:paraId="0158CE43" w14:textId="77777777" w:rsidR="00AA0C5A" w:rsidRPr="00AA0C5A" w:rsidRDefault="00AA0C5A" w:rsidP="00AA0C5A">
      <w:pPr>
        <w:spacing w:line="360" w:lineRule="auto"/>
        <w:rPr>
          <w:rFonts w:ascii="Arial" w:hAnsi="Arial" w:cs="Arial"/>
          <w:sz w:val="22"/>
          <w:szCs w:val="22"/>
        </w:rPr>
      </w:pPr>
      <w:r w:rsidRPr="00AA0C5A">
        <w:rPr>
          <w:rFonts w:ascii="Arial" w:hAnsi="Arial" w:cs="Arial"/>
          <w:sz w:val="22"/>
          <w:szCs w:val="22"/>
        </w:rPr>
        <w:t xml:space="preserve">Derbyshire County Council (2025) Market Position Statement: Community and accommodation-based support for older people 2025 to 2027. Available at: </w:t>
      </w:r>
      <w:hyperlink r:id="rId10" w:history="1">
        <w:r w:rsidRPr="00AA0C5A">
          <w:rPr>
            <w:rStyle w:val="Hyperlink"/>
            <w:rFonts w:ascii="Arial" w:hAnsi="Arial" w:cs="Arial"/>
            <w:sz w:val="22"/>
            <w:szCs w:val="22"/>
          </w:rPr>
          <w:t>https://www.derbyshire.gov.uk/site-elements/documents/pdf/social-health/care-health-service-providers/commissioning/market-position-statement-community-and-accommodation-based-support-for-older-people-2025-2027.pdf</w:t>
        </w:r>
      </w:hyperlink>
      <w:r w:rsidRPr="00AA0C5A">
        <w:rPr>
          <w:rFonts w:ascii="Arial" w:hAnsi="Arial" w:cs="Arial"/>
          <w:sz w:val="22"/>
          <w:szCs w:val="22"/>
        </w:rPr>
        <w:t xml:space="preserve"> (Accessed: 19 October 2026).</w:t>
      </w:r>
    </w:p>
    <w:p w14:paraId="46ED8EB8" w14:textId="77777777" w:rsidR="00AA0C5A" w:rsidRPr="00AA0C5A" w:rsidRDefault="00AA0C5A" w:rsidP="00AA0C5A">
      <w:pPr>
        <w:spacing w:line="360" w:lineRule="auto"/>
        <w:rPr>
          <w:rFonts w:ascii="Arial" w:hAnsi="Arial" w:cs="Arial"/>
          <w:sz w:val="22"/>
          <w:szCs w:val="22"/>
        </w:rPr>
      </w:pPr>
      <w:r w:rsidRPr="00AA0C5A">
        <w:rPr>
          <w:rFonts w:ascii="Arial" w:hAnsi="Arial" w:cs="Arial"/>
          <w:sz w:val="22"/>
          <w:szCs w:val="22"/>
        </w:rPr>
        <w:t xml:space="preserve">Great Britain (2005) Mental Capacity Act 2005, c. 9. Available at: </w:t>
      </w:r>
      <w:hyperlink r:id="rId11" w:history="1">
        <w:r w:rsidRPr="00AA0C5A">
          <w:rPr>
            <w:rStyle w:val="Hyperlink"/>
            <w:rFonts w:ascii="Arial" w:hAnsi="Arial" w:cs="Arial"/>
            <w:sz w:val="22"/>
            <w:szCs w:val="22"/>
          </w:rPr>
          <w:t>https://www.legislation.gov.uk/ukpga/2005/9/contents</w:t>
        </w:r>
      </w:hyperlink>
      <w:r w:rsidRPr="00AA0C5A">
        <w:rPr>
          <w:rFonts w:ascii="Arial" w:hAnsi="Arial" w:cs="Arial"/>
          <w:sz w:val="22"/>
          <w:szCs w:val="22"/>
        </w:rPr>
        <w:t xml:space="preserve"> (Accessed: 19 October 2026).</w:t>
      </w:r>
    </w:p>
    <w:p w14:paraId="22891365" w14:textId="77777777" w:rsidR="00AA0C5A" w:rsidRPr="00AA0C5A" w:rsidRDefault="00AA0C5A" w:rsidP="00AA0C5A">
      <w:pPr>
        <w:spacing w:line="360" w:lineRule="auto"/>
        <w:rPr>
          <w:rFonts w:ascii="Arial" w:hAnsi="Arial" w:cs="Arial"/>
          <w:sz w:val="22"/>
          <w:szCs w:val="22"/>
        </w:rPr>
      </w:pPr>
      <w:r w:rsidRPr="00AA0C5A">
        <w:rPr>
          <w:rFonts w:ascii="Arial" w:hAnsi="Arial" w:cs="Arial"/>
          <w:sz w:val="22"/>
          <w:szCs w:val="22"/>
        </w:rPr>
        <w:t xml:space="preserve">Great Britain (2022) Health and Care Act 2022, c. 31. Available at: </w:t>
      </w:r>
      <w:hyperlink r:id="rId12" w:history="1">
        <w:r w:rsidRPr="00AA0C5A">
          <w:rPr>
            <w:rStyle w:val="Hyperlink"/>
            <w:rFonts w:ascii="Arial" w:hAnsi="Arial" w:cs="Arial"/>
            <w:sz w:val="22"/>
            <w:szCs w:val="22"/>
          </w:rPr>
          <w:t>https://www.legislation.gov.uk/ukpga/2022/31/contents</w:t>
        </w:r>
      </w:hyperlink>
      <w:r w:rsidRPr="00AA0C5A">
        <w:rPr>
          <w:rFonts w:ascii="Arial" w:hAnsi="Arial" w:cs="Arial"/>
          <w:sz w:val="22"/>
          <w:szCs w:val="22"/>
        </w:rPr>
        <w:t xml:space="preserve"> (Accessed: 19 October 2026).</w:t>
      </w:r>
    </w:p>
    <w:p w14:paraId="7FB9D3DE" w14:textId="77777777" w:rsidR="00AA0C5A" w:rsidRPr="00AA0C5A" w:rsidRDefault="00AA0C5A" w:rsidP="00AA0C5A">
      <w:pPr>
        <w:spacing w:line="360" w:lineRule="auto"/>
        <w:rPr>
          <w:rFonts w:ascii="Arial" w:hAnsi="Arial" w:cs="Arial"/>
          <w:sz w:val="22"/>
          <w:szCs w:val="22"/>
        </w:rPr>
      </w:pPr>
      <w:r w:rsidRPr="00AA0C5A">
        <w:rPr>
          <w:rFonts w:ascii="Arial" w:hAnsi="Arial" w:cs="Arial"/>
          <w:sz w:val="22"/>
          <w:szCs w:val="22"/>
        </w:rPr>
        <w:t xml:space="preserve">Joined Up Care Derbyshire (n.d.) Integrated Care System. Available at: </w:t>
      </w:r>
      <w:hyperlink r:id="rId13" w:history="1">
        <w:r w:rsidRPr="00AA0C5A">
          <w:rPr>
            <w:rStyle w:val="Hyperlink"/>
            <w:rFonts w:ascii="Arial" w:hAnsi="Arial" w:cs="Arial"/>
            <w:sz w:val="22"/>
            <w:szCs w:val="22"/>
          </w:rPr>
          <w:t>https://joinedupcarederbyshire.co.uk/about-us/</w:t>
        </w:r>
      </w:hyperlink>
      <w:r w:rsidRPr="00AA0C5A">
        <w:rPr>
          <w:rFonts w:ascii="Arial" w:hAnsi="Arial" w:cs="Arial"/>
          <w:sz w:val="22"/>
          <w:szCs w:val="22"/>
        </w:rPr>
        <w:t xml:space="preserve"> (Accessed: 19 October 2026).</w:t>
      </w:r>
    </w:p>
    <w:p w14:paraId="1701E51C" w14:textId="77777777" w:rsidR="00AA0C5A" w:rsidRPr="00AA0C5A" w:rsidRDefault="00AA0C5A" w:rsidP="00AA0C5A">
      <w:pPr>
        <w:spacing w:line="360" w:lineRule="auto"/>
        <w:rPr>
          <w:rFonts w:ascii="Arial" w:hAnsi="Arial" w:cs="Arial"/>
          <w:sz w:val="22"/>
          <w:szCs w:val="22"/>
        </w:rPr>
      </w:pPr>
      <w:r w:rsidRPr="00AA0C5A">
        <w:rPr>
          <w:rFonts w:ascii="Arial" w:hAnsi="Arial" w:cs="Arial"/>
          <w:sz w:val="22"/>
          <w:szCs w:val="22"/>
        </w:rPr>
        <w:t xml:space="preserve">National Institute for Health and Care Excellence (NICE) (2014) Managing medicines in care homes. Available at: </w:t>
      </w:r>
      <w:hyperlink r:id="rId14" w:history="1">
        <w:r w:rsidRPr="00AA0C5A">
          <w:rPr>
            <w:rStyle w:val="Hyperlink"/>
            <w:rFonts w:ascii="Arial" w:hAnsi="Arial" w:cs="Arial"/>
            <w:sz w:val="22"/>
            <w:szCs w:val="22"/>
          </w:rPr>
          <w:t>https://www.nice.org.uk/guidance/sc1/chapter/Recommendations</w:t>
        </w:r>
      </w:hyperlink>
      <w:r w:rsidRPr="00AA0C5A">
        <w:rPr>
          <w:rFonts w:ascii="Arial" w:hAnsi="Arial" w:cs="Arial"/>
          <w:sz w:val="22"/>
          <w:szCs w:val="22"/>
        </w:rPr>
        <w:t xml:space="preserve"> (Accessed: 19 October 2026).</w:t>
      </w:r>
    </w:p>
    <w:p w14:paraId="465E52C0" w14:textId="0641666F" w:rsidR="00AA0C5A" w:rsidRDefault="00AA0C5A" w:rsidP="00AA0C5A">
      <w:pPr>
        <w:spacing w:line="360" w:lineRule="auto"/>
        <w:rPr>
          <w:rFonts w:ascii="Arial" w:hAnsi="Arial" w:cs="Arial"/>
          <w:sz w:val="22"/>
          <w:szCs w:val="22"/>
        </w:rPr>
      </w:pPr>
      <w:r w:rsidRPr="00AA0C5A">
        <w:rPr>
          <w:rFonts w:ascii="Arial" w:hAnsi="Arial" w:cs="Arial"/>
          <w:sz w:val="22"/>
          <w:szCs w:val="22"/>
        </w:rPr>
        <w:t xml:space="preserve">UK Health Security Agency (UKHSA) (n.d.) Supporting safer visiting in care homes during infectious illness outbreaks. Available at: </w:t>
      </w:r>
      <w:hyperlink r:id="rId15" w:history="1">
        <w:r w:rsidRPr="00AA0C5A">
          <w:rPr>
            <w:rStyle w:val="Hyperlink"/>
            <w:rFonts w:ascii="Arial" w:hAnsi="Arial" w:cs="Arial"/>
            <w:sz w:val="22"/>
            <w:szCs w:val="22"/>
          </w:rPr>
          <w:t>https://www.gov.uk/guidance/supporting-safer-visiting-in-care-homes-during-infectious-illness-outbreaks</w:t>
        </w:r>
      </w:hyperlink>
      <w:r w:rsidRPr="00AA0C5A">
        <w:rPr>
          <w:rFonts w:ascii="Arial" w:hAnsi="Arial" w:cs="Arial"/>
          <w:sz w:val="22"/>
          <w:szCs w:val="22"/>
        </w:rPr>
        <w:t xml:space="preserve"> (Accessed: 19 October 2026).</w:t>
      </w:r>
    </w:p>
    <w:p w14:paraId="6CFC0716" w14:textId="77777777" w:rsidR="001C440B" w:rsidRPr="001C440B" w:rsidRDefault="001C440B" w:rsidP="001C440B">
      <w:pPr>
        <w:spacing w:line="360" w:lineRule="auto"/>
        <w:rPr>
          <w:rFonts w:ascii="Arial" w:hAnsi="Arial" w:cs="Arial"/>
          <w:b/>
          <w:bCs/>
          <w:sz w:val="22"/>
          <w:szCs w:val="22"/>
        </w:rPr>
      </w:pPr>
      <w:r w:rsidRPr="001C440B">
        <w:rPr>
          <w:rFonts w:ascii="Arial" w:hAnsi="Arial" w:cs="Arial"/>
          <w:b/>
          <w:bCs/>
          <w:sz w:val="22"/>
          <w:szCs w:val="22"/>
        </w:rPr>
        <w:t>Pharmacy Services in the UK</w:t>
      </w:r>
    </w:p>
    <w:p w14:paraId="1BA8C8F6" w14:textId="62584207" w:rsidR="001C440B" w:rsidRPr="001C440B" w:rsidRDefault="001C440B" w:rsidP="001C440B">
      <w:pPr>
        <w:spacing w:line="360" w:lineRule="auto"/>
        <w:rPr>
          <w:rFonts w:ascii="Arial" w:hAnsi="Arial" w:cs="Arial"/>
          <w:b/>
          <w:bCs/>
          <w:sz w:val="22"/>
          <w:szCs w:val="22"/>
        </w:rPr>
      </w:pPr>
    </w:p>
    <w:p w14:paraId="6453B5C6" w14:textId="2C8BA0E3" w:rsidR="001C440B" w:rsidRPr="001C440B" w:rsidRDefault="001C440B" w:rsidP="001C440B">
      <w:pPr>
        <w:spacing w:line="360" w:lineRule="auto"/>
        <w:rPr>
          <w:rFonts w:ascii="Arial" w:hAnsi="Arial" w:cs="Arial"/>
          <w:sz w:val="22"/>
          <w:szCs w:val="22"/>
        </w:rPr>
      </w:pPr>
      <w:r w:rsidRPr="001C440B">
        <w:rPr>
          <w:rFonts w:ascii="Arial" w:hAnsi="Arial" w:cs="Arial"/>
          <w:sz w:val="22"/>
          <w:szCs w:val="22"/>
        </w:rPr>
        <w:t>Pharmacy services are an important part of health care in the United Kingdom (UK). Pharmacists help people use medicines safely, give advice about common illnesses and support the prevention of health problems. Pharmacy services are available in community pharmacies, hospitals and other health care settings. This essay will explore the historical development of pharmacy services, evaluate how they work today and discuss their importance in improving service users’ quality of life.</w:t>
      </w:r>
    </w:p>
    <w:p w14:paraId="7A7162F0" w14:textId="77777777" w:rsidR="001C440B" w:rsidRPr="001C440B" w:rsidRDefault="001C440B" w:rsidP="001C440B">
      <w:pPr>
        <w:spacing w:line="360" w:lineRule="auto"/>
        <w:rPr>
          <w:rFonts w:ascii="Arial" w:hAnsi="Arial" w:cs="Arial"/>
          <w:sz w:val="22"/>
          <w:szCs w:val="22"/>
        </w:rPr>
      </w:pPr>
      <w:r w:rsidRPr="001C440B">
        <w:rPr>
          <w:rFonts w:ascii="Arial" w:hAnsi="Arial" w:cs="Arial"/>
          <w:sz w:val="22"/>
          <w:szCs w:val="22"/>
        </w:rPr>
        <w:lastRenderedPageBreak/>
        <w:t>Pharmacy has a long history in Britain. In the past, apothecaries prepared and sold medicines, while chemists and druggists supplied different treatments. However, there were concerns about training and the safe supply of medicines. In 1841, the Pharmaceutical Society of Great Britain was established to support the profession and improve professional standards (Royal Pharmaceutical Society, n.d.).</w:t>
      </w:r>
    </w:p>
    <w:p w14:paraId="6AED949C" w14:textId="77777777" w:rsidR="001C440B" w:rsidRPr="001C440B" w:rsidRDefault="001C440B" w:rsidP="001C440B">
      <w:pPr>
        <w:spacing w:line="360" w:lineRule="auto"/>
        <w:rPr>
          <w:rFonts w:ascii="Arial" w:hAnsi="Arial" w:cs="Arial"/>
          <w:sz w:val="22"/>
          <w:szCs w:val="22"/>
        </w:rPr>
      </w:pPr>
      <w:r w:rsidRPr="001C440B">
        <w:rPr>
          <w:rFonts w:ascii="Arial" w:hAnsi="Arial" w:cs="Arial"/>
          <w:sz w:val="22"/>
          <w:szCs w:val="22"/>
        </w:rPr>
        <w:t>An important development was the Pharmacy Act 1868. This introduced stronger regulation for people selling and dispensing certain medicines and poisons. It also supported the development of professional qualifications and registration (Royal Pharmaceutical Society, n.d.). These changes were important because incorrect medicines or unsafe doses could cause harm.</w:t>
      </w:r>
    </w:p>
    <w:p w14:paraId="22281182" w14:textId="1B437F69" w:rsidR="001C440B" w:rsidRPr="001C440B" w:rsidRDefault="001C440B" w:rsidP="001C440B">
      <w:pPr>
        <w:spacing w:line="360" w:lineRule="auto"/>
        <w:rPr>
          <w:rFonts w:ascii="Arial" w:hAnsi="Arial" w:cs="Arial"/>
          <w:sz w:val="22"/>
          <w:szCs w:val="22"/>
        </w:rPr>
      </w:pPr>
      <w:r w:rsidRPr="001C440B">
        <w:rPr>
          <w:rFonts w:ascii="Arial" w:hAnsi="Arial" w:cs="Arial"/>
          <w:sz w:val="22"/>
          <w:szCs w:val="22"/>
        </w:rPr>
        <w:t>Another major change was the creation of the National Health Service (NHS) in 1948. Health services became available to the population through a national system, increasing the demand for prescription medicines and the role of pharmacists (British Society for the History of Pharmacy, n.d.). Over time, pharmacy developed beyond supplying medicines. Pharmacists increasingly became involved in giving health advice, supporting long-term conditions and working with other health professionals.</w:t>
      </w:r>
    </w:p>
    <w:p w14:paraId="76345EEC" w14:textId="77777777" w:rsidR="001C440B" w:rsidRDefault="001C440B" w:rsidP="001C440B">
      <w:pPr>
        <w:spacing w:line="360" w:lineRule="auto"/>
        <w:rPr>
          <w:rFonts w:ascii="Arial" w:hAnsi="Arial" w:cs="Arial"/>
          <w:sz w:val="22"/>
          <w:szCs w:val="22"/>
        </w:rPr>
      </w:pPr>
      <w:r w:rsidRPr="001C440B">
        <w:rPr>
          <w:rFonts w:ascii="Arial" w:hAnsi="Arial" w:cs="Arial"/>
          <w:sz w:val="22"/>
          <w:szCs w:val="22"/>
        </w:rPr>
        <w:t>Today, pharmacy services in England include dispensing prescribed medicines, explaining how medicines should be taken and advising people about side effects. Pharmacists can also recommend treatments for minor illnesses and refer people to a GP or another health professional when necessary (NHS, n.d.).</w:t>
      </w:r>
    </w:p>
    <w:p w14:paraId="33487CB3" w14:textId="77777777" w:rsidR="001C440B" w:rsidRPr="001C440B" w:rsidRDefault="001C440B" w:rsidP="001C440B">
      <w:pPr>
        <w:spacing w:line="360" w:lineRule="auto"/>
        <w:rPr>
          <w:rFonts w:ascii="Arial" w:hAnsi="Arial" w:cs="Arial"/>
          <w:sz w:val="22"/>
          <w:szCs w:val="22"/>
        </w:rPr>
      </w:pPr>
      <w:r w:rsidRPr="001C440B">
        <w:rPr>
          <w:rFonts w:ascii="Arial" w:hAnsi="Arial" w:cs="Arial"/>
          <w:sz w:val="22"/>
          <w:szCs w:val="22"/>
        </w:rPr>
        <w:t>but development is the NHS Pharmacy First service, launched in January 2024. It allows participating community pharmacies to assess and treat eligible patients for seven common conditions, following specific clinical pathways. These include sore throat, sinusitis, impetigo and uncomplicated urinary tract infections in eligible women (NHS England, 2024a). This service can help people receive appropriate treatment without always needing a GP appointment.</w:t>
      </w:r>
    </w:p>
    <w:p w14:paraId="17BCD994" w14:textId="11DC3A2B"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Pharmacies so provide other services, such as blood pressure checks, contraception support and help with stopping smoking (NHS England, n.d.). These services show that pharmacy is not only about giving out medicines; it also supports prevention and early treatment.</w:t>
      </w:r>
    </w:p>
    <w:p w14:paraId="2C2D2105" w14:textId="77777777" w:rsidR="00997759" w:rsidRDefault="00997759" w:rsidP="00997759">
      <w:pPr>
        <w:spacing w:line="360" w:lineRule="auto"/>
        <w:rPr>
          <w:rFonts w:ascii="Arial" w:hAnsi="Arial" w:cs="Arial"/>
          <w:sz w:val="22"/>
          <w:szCs w:val="22"/>
        </w:rPr>
      </w:pPr>
      <w:r w:rsidRPr="00997759">
        <w:rPr>
          <w:rFonts w:ascii="Arial" w:hAnsi="Arial" w:cs="Arial"/>
          <w:sz w:val="22"/>
          <w:szCs w:val="22"/>
        </w:rPr>
        <w:t xml:space="preserve">However, pharmacy services have some limitations. Not every condition can be treated by a pharmacist, and patients may still need a GP, nurse or hospital service. Pharmacists must recognise when a problem is serious and refer the person appropriately. Access may also vary depending on pharmacy opening times, staffing and the services available locally. </w:t>
      </w:r>
    </w:p>
    <w:p w14:paraId="42F3C800" w14:textId="48B03D51" w:rsidR="00997759" w:rsidRDefault="00997759" w:rsidP="00997759">
      <w:pPr>
        <w:spacing w:line="360" w:lineRule="auto"/>
        <w:rPr>
          <w:rFonts w:ascii="Arial" w:hAnsi="Arial" w:cs="Arial"/>
          <w:sz w:val="22"/>
          <w:szCs w:val="22"/>
        </w:rPr>
      </w:pPr>
      <w:r>
        <w:rPr>
          <w:rFonts w:ascii="Arial" w:hAnsi="Arial" w:cs="Arial"/>
          <w:sz w:val="22"/>
          <w:szCs w:val="22"/>
        </w:rPr>
        <w:lastRenderedPageBreak/>
        <w:t>For that</w:t>
      </w:r>
      <w:r w:rsidRPr="00997759">
        <w:rPr>
          <w:rFonts w:ascii="Arial" w:hAnsi="Arial" w:cs="Arial"/>
          <w:sz w:val="22"/>
          <w:szCs w:val="22"/>
        </w:rPr>
        <w:t>, pharmacy services work best when they are properly resourced and connected with other health services. NHS England (2024b) explains that Pharmacy First aims to improve access to care and reduce pressure on general practice. Nevertheless, its success depends on safe clinical decisions, suitable training and good communication between professionals.</w:t>
      </w:r>
    </w:p>
    <w:p w14:paraId="5728FB39"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Pharmacy services can improve quality of life in several ways. Firstly, local pharmacies can provide convenient access to advice and treatment. This may be particularly helpful for older people, people with disabilities and those who find it difficult to travel or obtain a GP appointment.</w:t>
      </w:r>
    </w:p>
    <w:p w14:paraId="5A3AB03E"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Secondly, pharmacists help people understand their medicines. Clear advice about dosage, possible side effects and when to take medication can support safer medicine use. This is especially important for people who take several medicines for long-term conditions.</w:t>
      </w:r>
    </w:p>
    <w:p w14:paraId="175C2301"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Pharmacies can support independence and wellbeing. For example, a person with a minor illness may receive advice and suitable treatment without needing to travel to a hospital or wait for a GP appointment. Early advice can also help people recognise when they need further medical care. These benefits may reduce worry and help people continue with everyday activities.</w:t>
      </w:r>
    </w:p>
    <w:p w14:paraId="44B7A2D2"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However, good quality care must be accessible to everyone. People with language barriers, hearing difficulties or limited health knowledge may need extra support to understand advice. Pharmacists should communicate clearly, respect privacy and consider each person’s individual needs. Pharmacy services cannot replace all GP or hospital care, but they can make an important contribution when they work alongside other professionals.</w:t>
      </w:r>
    </w:p>
    <w:p w14:paraId="69627C11"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In conclusion, pharmacy services in the UK have developed from the preparation and sale of medicines into a wider part of modern health care. Historical regulation helped improve professional standards, while the NHS and services such as Pharmacy First have expanded access to care. Pharmacies can improve service users’ quality of life by supporting safe medicine use, providing convenient advice and helping people receive treatment earlier. However, safe referrals, adequate staffing and equal access remain important. Strong cooperation between pharmacies and other health services is needed to provide effective, person-centred care.</w:t>
      </w:r>
    </w:p>
    <w:p w14:paraId="51331262"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 xml:space="preserve">British Society for the History of Pharmacy (n.d.) </w:t>
      </w:r>
      <w:r w:rsidRPr="00997759">
        <w:rPr>
          <w:rFonts w:ascii="Arial" w:hAnsi="Arial" w:cs="Arial"/>
          <w:i/>
          <w:iCs/>
          <w:sz w:val="22"/>
          <w:szCs w:val="22"/>
        </w:rPr>
        <w:t>History of pharmacy in Great Britain 1841–present</w:t>
      </w:r>
      <w:r w:rsidRPr="00997759">
        <w:rPr>
          <w:rFonts w:ascii="Arial" w:hAnsi="Arial" w:cs="Arial"/>
          <w:sz w:val="22"/>
          <w:szCs w:val="22"/>
        </w:rPr>
        <w:t xml:space="preserve">. Available at: </w:t>
      </w:r>
      <w:hyperlink r:id="rId16" w:history="1">
        <w:r w:rsidRPr="00997759">
          <w:rPr>
            <w:rStyle w:val="Hyperlink"/>
            <w:rFonts w:ascii="Arial" w:hAnsi="Arial" w:cs="Arial"/>
            <w:sz w:val="22"/>
            <w:szCs w:val="22"/>
          </w:rPr>
          <w:t>https://www.bshp.org/history-of-pharmacy</w:t>
        </w:r>
      </w:hyperlink>
      <w:r w:rsidRPr="00997759">
        <w:rPr>
          <w:rFonts w:ascii="Arial" w:hAnsi="Arial" w:cs="Arial"/>
          <w:sz w:val="22"/>
          <w:szCs w:val="22"/>
        </w:rPr>
        <w:t xml:space="preserve"> (Accessed: 19 October 2026).</w:t>
      </w:r>
    </w:p>
    <w:p w14:paraId="2F5523DA"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 xml:space="preserve">NHS (n.d.) </w:t>
      </w:r>
      <w:r w:rsidRPr="00997759">
        <w:rPr>
          <w:rFonts w:ascii="Arial" w:hAnsi="Arial" w:cs="Arial"/>
          <w:i/>
          <w:iCs/>
          <w:sz w:val="22"/>
          <w:szCs w:val="22"/>
        </w:rPr>
        <w:t>How pharmacies can help</w:t>
      </w:r>
      <w:r w:rsidRPr="00997759">
        <w:rPr>
          <w:rFonts w:ascii="Arial" w:hAnsi="Arial" w:cs="Arial"/>
          <w:sz w:val="22"/>
          <w:szCs w:val="22"/>
        </w:rPr>
        <w:t xml:space="preserve">. Available at: </w:t>
      </w:r>
      <w:hyperlink r:id="rId17" w:history="1">
        <w:r w:rsidRPr="00997759">
          <w:rPr>
            <w:rStyle w:val="Hyperlink"/>
            <w:rFonts w:ascii="Arial" w:hAnsi="Arial" w:cs="Arial"/>
            <w:sz w:val="22"/>
            <w:szCs w:val="22"/>
          </w:rPr>
          <w:t>https://www.nhs.uk/nhs-services/pharmacies/how-pharmacies-can-help/</w:t>
        </w:r>
      </w:hyperlink>
      <w:r w:rsidRPr="00997759">
        <w:rPr>
          <w:rFonts w:ascii="Arial" w:hAnsi="Arial" w:cs="Arial"/>
          <w:sz w:val="22"/>
          <w:szCs w:val="22"/>
        </w:rPr>
        <w:t xml:space="preserve"> (Accessed: 19 October 2026).</w:t>
      </w:r>
    </w:p>
    <w:p w14:paraId="704D2B66"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lastRenderedPageBreak/>
        <w:t xml:space="preserve">NHS England (2024a) </w:t>
      </w:r>
      <w:r w:rsidRPr="00997759">
        <w:rPr>
          <w:rFonts w:ascii="Arial" w:hAnsi="Arial" w:cs="Arial"/>
          <w:i/>
          <w:iCs/>
          <w:sz w:val="22"/>
          <w:szCs w:val="22"/>
        </w:rPr>
        <w:t>Launch of NHS Pharmacy First advanced service</w:t>
      </w:r>
      <w:r w:rsidRPr="00997759">
        <w:rPr>
          <w:rFonts w:ascii="Arial" w:hAnsi="Arial" w:cs="Arial"/>
          <w:sz w:val="22"/>
          <w:szCs w:val="22"/>
        </w:rPr>
        <w:t xml:space="preserve">. Available at: </w:t>
      </w:r>
      <w:hyperlink r:id="rId18" w:history="1">
        <w:r w:rsidRPr="00997759">
          <w:rPr>
            <w:rStyle w:val="Hyperlink"/>
            <w:rFonts w:ascii="Arial" w:hAnsi="Arial" w:cs="Arial"/>
            <w:sz w:val="22"/>
            <w:szCs w:val="22"/>
          </w:rPr>
          <w:t>https://www.england.nhs.uk/long-read/launch-of-nhs-pharmacy-first-advanced-service/</w:t>
        </w:r>
      </w:hyperlink>
      <w:r w:rsidRPr="00997759">
        <w:rPr>
          <w:rFonts w:ascii="Arial" w:hAnsi="Arial" w:cs="Arial"/>
          <w:sz w:val="22"/>
          <w:szCs w:val="22"/>
        </w:rPr>
        <w:t xml:space="preserve"> (Accessed: 19 October 2026).</w:t>
      </w:r>
    </w:p>
    <w:p w14:paraId="5B86D3A6"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 xml:space="preserve">NHS England (2024b) </w:t>
      </w:r>
      <w:r w:rsidRPr="00997759">
        <w:rPr>
          <w:rFonts w:ascii="Arial" w:hAnsi="Arial" w:cs="Arial"/>
          <w:i/>
          <w:iCs/>
          <w:sz w:val="22"/>
          <w:szCs w:val="22"/>
        </w:rPr>
        <w:t>Update on the Pharmacy First service</w:t>
      </w:r>
      <w:r w:rsidRPr="00997759">
        <w:rPr>
          <w:rFonts w:ascii="Arial" w:hAnsi="Arial" w:cs="Arial"/>
          <w:sz w:val="22"/>
          <w:szCs w:val="22"/>
        </w:rPr>
        <w:t xml:space="preserve">. Available at: </w:t>
      </w:r>
      <w:hyperlink r:id="rId19" w:history="1">
        <w:r w:rsidRPr="00997759">
          <w:rPr>
            <w:rStyle w:val="Hyperlink"/>
            <w:rFonts w:ascii="Arial" w:hAnsi="Arial" w:cs="Arial"/>
            <w:sz w:val="22"/>
            <w:szCs w:val="22"/>
          </w:rPr>
          <w:t>https://www.england.nhs.uk/long-read/update-on-the-pharmacy-first-service/</w:t>
        </w:r>
      </w:hyperlink>
      <w:r w:rsidRPr="00997759">
        <w:rPr>
          <w:rFonts w:ascii="Arial" w:hAnsi="Arial" w:cs="Arial"/>
          <w:sz w:val="22"/>
          <w:szCs w:val="22"/>
        </w:rPr>
        <w:t xml:space="preserve"> (Accessed: 19 October 2026).</w:t>
      </w:r>
    </w:p>
    <w:p w14:paraId="5E728136"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 xml:space="preserve">NHS England (n.d.) </w:t>
      </w:r>
      <w:r w:rsidRPr="00997759">
        <w:rPr>
          <w:rFonts w:ascii="Arial" w:hAnsi="Arial" w:cs="Arial"/>
          <w:i/>
          <w:iCs/>
          <w:sz w:val="22"/>
          <w:szCs w:val="22"/>
        </w:rPr>
        <w:t>Pharmacy services</w:t>
      </w:r>
      <w:r w:rsidRPr="00997759">
        <w:rPr>
          <w:rFonts w:ascii="Arial" w:hAnsi="Arial" w:cs="Arial"/>
          <w:sz w:val="22"/>
          <w:szCs w:val="22"/>
        </w:rPr>
        <w:t xml:space="preserve">. Available at: </w:t>
      </w:r>
      <w:hyperlink r:id="rId20" w:history="1">
        <w:r w:rsidRPr="00997759">
          <w:rPr>
            <w:rStyle w:val="Hyperlink"/>
            <w:rFonts w:ascii="Arial" w:hAnsi="Arial" w:cs="Arial"/>
            <w:sz w:val="22"/>
            <w:szCs w:val="22"/>
          </w:rPr>
          <w:t>https://www.england.nhs.uk/primary-care/pharmacy/pharmacy-services/</w:t>
        </w:r>
      </w:hyperlink>
      <w:r w:rsidRPr="00997759">
        <w:rPr>
          <w:rFonts w:ascii="Arial" w:hAnsi="Arial" w:cs="Arial"/>
          <w:sz w:val="22"/>
          <w:szCs w:val="22"/>
        </w:rPr>
        <w:t xml:space="preserve"> (Accessed: 19 October 2026).</w:t>
      </w:r>
    </w:p>
    <w:p w14:paraId="781F4C12" w14:textId="77777777" w:rsidR="00997759" w:rsidRPr="00997759" w:rsidRDefault="00997759" w:rsidP="00997759">
      <w:pPr>
        <w:spacing w:line="360" w:lineRule="auto"/>
        <w:rPr>
          <w:rFonts w:ascii="Arial" w:hAnsi="Arial" w:cs="Arial"/>
          <w:sz w:val="22"/>
          <w:szCs w:val="22"/>
        </w:rPr>
      </w:pPr>
      <w:r w:rsidRPr="00997759">
        <w:rPr>
          <w:rFonts w:ascii="Arial" w:hAnsi="Arial" w:cs="Arial"/>
          <w:sz w:val="22"/>
          <w:szCs w:val="22"/>
        </w:rPr>
        <w:t xml:space="preserve">Royal Pharmaceutical Society (n.d.) </w:t>
      </w:r>
      <w:r w:rsidRPr="00997759">
        <w:rPr>
          <w:rFonts w:ascii="Arial" w:hAnsi="Arial" w:cs="Arial"/>
          <w:i/>
          <w:iCs/>
          <w:sz w:val="22"/>
          <w:szCs w:val="22"/>
        </w:rPr>
        <w:t>The history of the Royal Pharmaceutical Society</w:t>
      </w:r>
      <w:r w:rsidRPr="00997759">
        <w:rPr>
          <w:rFonts w:ascii="Arial" w:hAnsi="Arial" w:cs="Arial"/>
          <w:sz w:val="22"/>
          <w:szCs w:val="22"/>
        </w:rPr>
        <w:t xml:space="preserve">. Available at: </w:t>
      </w:r>
      <w:hyperlink r:id="rId21" w:history="1">
        <w:r w:rsidRPr="00997759">
          <w:rPr>
            <w:rStyle w:val="Hyperlink"/>
            <w:rFonts w:ascii="Arial" w:hAnsi="Arial" w:cs="Arial"/>
            <w:sz w:val="22"/>
            <w:szCs w:val="22"/>
          </w:rPr>
          <w:t>https://museum.rcpharm.org/exhibitions/the-history-of-the-royal-pharmaceutical-society/</w:t>
        </w:r>
      </w:hyperlink>
      <w:r w:rsidRPr="00997759">
        <w:rPr>
          <w:rFonts w:ascii="Arial" w:hAnsi="Arial" w:cs="Arial"/>
          <w:sz w:val="22"/>
          <w:szCs w:val="22"/>
        </w:rPr>
        <w:t xml:space="preserve"> (Accessed: 19 October 2026).</w:t>
      </w:r>
    </w:p>
    <w:p w14:paraId="1402D7EC" w14:textId="77777777" w:rsidR="00997759" w:rsidRDefault="00997759" w:rsidP="00997759">
      <w:pPr>
        <w:spacing w:line="360" w:lineRule="auto"/>
        <w:rPr>
          <w:rFonts w:ascii="Arial" w:hAnsi="Arial" w:cs="Arial"/>
          <w:sz w:val="22"/>
          <w:szCs w:val="22"/>
        </w:rPr>
      </w:pPr>
    </w:p>
    <w:p w14:paraId="791EC207" w14:textId="77777777" w:rsidR="00997759" w:rsidRPr="00997759" w:rsidRDefault="00997759" w:rsidP="00997759">
      <w:pPr>
        <w:spacing w:line="360" w:lineRule="auto"/>
        <w:rPr>
          <w:rFonts w:ascii="Arial" w:hAnsi="Arial" w:cs="Arial"/>
          <w:sz w:val="22"/>
          <w:szCs w:val="22"/>
        </w:rPr>
      </w:pPr>
    </w:p>
    <w:p w14:paraId="2A0DF6F0" w14:textId="77777777" w:rsidR="001C440B" w:rsidRPr="001C440B" w:rsidRDefault="001C440B" w:rsidP="001C440B">
      <w:pPr>
        <w:spacing w:line="360" w:lineRule="auto"/>
        <w:rPr>
          <w:rFonts w:ascii="Arial" w:hAnsi="Arial" w:cs="Arial"/>
          <w:sz w:val="22"/>
          <w:szCs w:val="22"/>
        </w:rPr>
      </w:pPr>
    </w:p>
    <w:p w14:paraId="49B397B1" w14:textId="77777777" w:rsidR="001C440B" w:rsidRPr="00AA0C5A" w:rsidRDefault="001C440B" w:rsidP="00AA0C5A">
      <w:pPr>
        <w:spacing w:line="360" w:lineRule="auto"/>
        <w:rPr>
          <w:rFonts w:ascii="Arial" w:hAnsi="Arial" w:cs="Arial"/>
          <w:sz w:val="22"/>
          <w:szCs w:val="22"/>
        </w:rPr>
      </w:pPr>
    </w:p>
    <w:p w14:paraId="56B6BE7E" w14:textId="78874CD6" w:rsidR="009E46F0" w:rsidRPr="009E46F0" w:rsidRDefault="009E46F0" w:rsidP="009E46F0">
      <w:pPr>
        <w:spacing w:line="360" w:lineRule="auto"/>
        <w:rPr>
          <w:rFonts w:ascii="Arial" w:hAnsi="Arial" w:cs="Arial"/>
          <w:sz w:val="22"/>
          <w:szCs w:val="22"/>
        </w:rPr>
      </w:pPr>
    </w:p>
    <w:p w14:paraId="304B43B8" w14:textId="3BB6DDF0" w:rsidR="00E75080" w:rsidRPr="00E75080" w:rsidRDefault="00E75080" w:rsidP="00E75080">
      <w:pPr>
        <w:spacing w:line="360" w:lineRule="auto"/>
        <w:rPr>
          <w:rFonts w:ascii="Arial" w:hAnsi="Arial" w:cs="Arial"/>
          <w:sz w:val="22"/>
          <w:szCs w:val="22"/>
        </w:rPr>
      </w:pPr>
    </w:p>
    <w:p w14:paraId="10EC4CA2" w14:textId="77777777" w:rsidR="00E75080" w:rsidRPr="00E75080" w:rsidRDefault="00E75080" w:rsidP="00E75080">
      <w:pPr>
        <w:spacing w:line="360" w:lineRule="auto"/>
        <w:rPr>
          <w:rFonts w:ascii="Arial" w:hAnsi="Arial" w:cs="Arial"/>
          <w:sz w:val="22"/>
          <w:szCs w:val="22"/>
        </w:rPr>
      </w:pPr>
    </w:p>
    <w:p w14:paraId="0A4BEF6A" w14:textId="77777777" w:rsidR="008D1177" w:rsidRPr="00E75080" w:rsidRDefault="008D1177" w:rsidP="008D1177">
      <w:pPr>
        <w:spacing w:line="360" w:lineRule="auto"/>
        <w:rPr>
          <w:rFonts w:ascii="Arial" w:hAnsi="Arial" w:cs="Arial"/>
          <w:sz w:val="22"/>
          <w:szCs w:val="22"/>
        </w:rPr>
      </w:pPr>
    </w:p>
    <w:p w14:paraId="0C672D16" w14:textId="77777777" w:rsidR="00DF3454" w:rsidRDefault="00DF3454" w:rsidP="00CF24BC">
      <w:pPr>
        <w:spacing w:line="360" w:lineRule="auto"/>
        <w:rPr>
          <w:rFonts w:ascii="Arial" w:hAnsi="Arial" w:cs="Arial"/>
          <w:b/>
          <w:bCs/>
          <w:sz w:val="32"/>
          <w:szCs w:val="32"/>
        </w:rPr>
      </w:pPr>
    </w:p>
    <w:p w14:paraId="670DB0CE" w14:textId="77777777" w:rsidR="00CF24BC" w:rsidRDefault="00CF24BC" w:rsidP="00CF24BC">
      <w:pPr>
        <w:spacing w:line="360" w:lineRule="auto"/>
        <w:rPr>
          <w:rFonts w:ascii="Arial" w:hAnsi="Arial" w:cs="Arial"/>
          <w:b/>
          <w:bCs/>
          <w:sz w:val="32"/>
          <w:szCs w:val="32"/>
        </w:rPr>
      </w:pPr>
    </w:p>
    <w:p w14:paraId="50D8EF0A" w14:textId="3850111A" w:rsidR="00CF24BC" w:rsidRPr="00CF24BC" w:rsidRDefault="00CF24BC" w:rsidP="00CF24BC">
      <w:pPr>
        <w:spacing w:line="360" w:lineRule="auto"/>
        <w:rPr>
          <w:rFonts w:ascii="Arial" w:hAnsi="Arial" w:cs="Arial"/>
          <w:b/>
          <w:bCs/>
          <w:sz w:val="32"/>
          <w:szCs w:val="32"/>
        </w:rPr>
      </w:pPr>
    </w:p>
    <w:sectPr w:rsidR="00CF24BC" w:rsidRPr="00CF24BC">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D3775" w14:textId="77777777" w:rsidR="00586661" w:rsidRDefault="00586661" w:rsidP="00E857C7">
      <w:pPr>
        <w:spacing w:after="0" w:line="240" w:lineRule="auto"/>
      </w:pPr>
      <w:r>
        <w:separator/>
      </w:r>
    </w:p>
  </w:endnote>
  <w:endnote w:type="continuationSeparator" w:id="0">
    <w:p w14:paraId="0B29CDA3" w14:textId="77777777" w:rsidR="00586661" w:rsidRDefault="00586661" w:rsidP="00E85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AAB058" w14:textId="77777777" w:rsidR="00E857C7" w:rsidRDefault="00E857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BB7320" w14:textId="5520A8C2" w:rsidR="00E857C7" w:rsidRDefault="00E857C7">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0F70A7E" wp14:editId="005A72D2">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CB6336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B0FF9" w14:textId="77777777" w:rsidR="00E857C7" w:rsidRDefault="00E85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746D3" w14:textId="77777777" w:rsidR="00586661" w:rsidRDefault="00586661" w:rsidP="00E857C7">
      <w:pPr>
        <w:spacing w:after="0" w:line="240" w:lineRule="auto"/>
      </w:pPr>
      <w:r>
        <w:separator/>
      </w:r>
    </w:p>
  </w:footnote>
  <w:footnote w:type="continuationSeparator" w:id="0">
    <w:p w14:paraId="265265C5" w14:textId="77777777" w:rsidR="00586661" w:rsidRDefault="00586661" w:rsidP="00E857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3868C" w14:textId="77777777" w:rsidR="00E857C7" w:rsidRDefault="00E857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A90D3" w14:textId="77777777" w:rsidR="00E857C7" w:rsidRDefault="00E857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F3512" w14:textId="77777777" w:rsidR="00E857C7" w:rsidRDefault="00E857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4BC"/>
    <w:rsid w:val="001C440B"/>
    <w:rsid w:val="002E58C9"/>
    <w:rsid w:val="004761E2"/>
    <w:rsid w:val="00586661"/>
    <w:rsid w:val="005B2017"/>
    <w:rsid w:val="005D029B"/>
    <w:rsid w:val="008D1177"/>
    <w:rsid w:val="00997759"/>
    <w:rsid w:val="009E46F0"/>
    <w:rsid w:val="00AA0C5A"/>
    <w:rsid w:val="00C12F7C"/>
    <w:rsid w:val="00CF24BC"/>
    <w:rsid w:val="00DE07E6"/>
    <w:rsid w:val="00DF3454"/>
    <w:rsid w:val="00E75080"/>
    <w:rsid w:val="00E85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2A326"/>
  <w15:chartTrackingRefBased/>
  <w15:docId w15:val="{252A4B24-E6D0-4BDB-9511-21583FE66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2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2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4BC"/>
    <w:rPr>
      <w:rFonts w:eastAsiaTheme="majorEastAsia" w:cstheme="majorBidi"/>
      <w:color w:val="272727" w:themeColor="text1" w:themeTint="D8"/>
    </w:rPr>
  </w:style>
  <w:style w:type="paragraph" w:styleId="Title">
    <w:name w:val="Title"/>
    <w:basedOn w:val="Normal"/>
    <w:next w:val="Normal"/>
    <w:link w:val="TitleChar"/>
    <w:uiPriority w:val="10"/>
    <w:qFormat/>
    <w:rsid w:val="00CF2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4BC"/>
    <w:pPr>
      <w:spacing w:before="160"/>
      <w:jc w:val="center"/>
    </w:pPr>
    <w:rPr>
      <w:i/>
      <w:iCs/>
      <w:color w:val="404040" w:themeColor="text1" w:themeTint="BF"/>
    </w:rPr>
  </w:style>
  <w:style w:type="character" w:customStyle="1" w:styleId="QuoteChar">
    <w:name w:val="Quote Char"/>
    <w:basedOn w:val="DefaultParagraphFont"/>
    <w:link w:val="Quote"/>
    <w:uiPriority w:val="29"/>
    <w:rsid w:val="00CF24BC"/>
    <w:rPr>
      <w:i/>
      <w:iCs/>
      <w:color w:val="404040" w:themeColor="text1" w:themeTint="BF"/>
    </w:rPr>
  </w:style>
  <w:style w:type="paragraph" w:styleId="ListParagraph">
    <w:name w:val="List Paragraph"/>
    <w:basedOn w:val="Normal"/>
    <w:uiPriority w:val="34"/>
    <w:qFormat/>
    <w:rsid w:val="00CF24BC"/>
    <w:pPr>
      <w:ind w:left="720"/>
      <w:contextualSpacing/>
    </w:pPr>
  </w:style>
  <w:style w:type="character" w:styleId="IntenseEmphasis">
    <w:name w:val="Intense Emphasis"/>
    <w:basedOn w:val="DefaultParagraphFont"/>
    <w:uiPriority w:val="21"/>
    <w:qFormat/>
    <w:rsid w:val="00CF24BC"/>
    <w:rPr>
      <w:i/>
      <w:iCs/>
      <w:color w:val="0F4761" w:themeColor="accent1" w:themeShade="BF"/>
    </w:rPr>
  </w:style>
  <w:style w:type="paragraph" w:styleId="IntenseQuote">
    <w:name w:val="Intense Quote"/>
    <w:basedOn w:val="Normal"/>
    <w:next w:val="Normal"/>
    <w:link w:val="IntenseQuoteChar"/>
    <w:uiPriority w:val="30"/>
    <w:qFormat/>
    <w:rsid w:val="00CF2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4BC"/>
    <w:rPr>
      <w:i/>
      <w:iCs/>
      <w:color w:val="0F4761" w:themeColor="accent1" w:themeShade="BF"/>
    </w:rPr>
  </w:style>
  <w:style w:type="character" w:styleId="IntenseReference">
    <w:name w:val="Intense Reference"/>
    <w:basedOn w:val="DefaultParagraphFont"/>
    <w:uiPriority w:val="32"/>
    <w:qFormat/>
    <w:rsid w:val="00CF24BC"/>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5D029B"/>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D029B"/>
    <w:rPr>
      <w:rFonts w:ascii="Consolas" w:hAnsi="Consolas"/>
      <w:sz w:val="20"/>
      <w:szCs w:val="20"/>
    </w:rPr>
  </w:style>
  <w:style w:type="paragraph" w:styleId="NormalWeb">
    <w:name w:val="Normal (Web)"/>
    <w:basedOn w:val="Normal"/>
    <w:uiPriority w:val="99"/>
    <w:semiHidden/>
    <w:unhideWhenUsed/>
    <w:rsid w:val="009E46F0"/>
    <w:rPr>
      <w:rFonts w:ascii="Times New Roman" w:hAnsi="Times New Roman" w:cs="Times New Roman"/>
    </w:rPr>
  </w:style>
  <w:style w:type="character" w:styleId="Hyperlink">
    <w:name w:val="Hyperlink"/>
    <w:basedOn w:val="DefaultParagraphFont"/>
    <w:uiPriority w:val="99"/>
    <w:unhideWhenUsed/>
    <w:rsid w:val="009E46F0"/>
    <w:rPr>
      <w:color w:val="467886" w:themeColor="hyperlink"/>
      <w:u w:val="single"/>
    </w:rPr>
  </w:style>
  <w:style w:type="character" w:styleId="UnresolvedMention">
    <w:name w:val="Unresolved Mention"/>
    <w:basedOn w:val="DefaultParagraphFont"/>
    <w:uiPriority w:val="99"/>
    <w:semiHidden/>
    <w:unhideWhenUsed/>
    <w:rsid w:val="009E46F0"/>
    <w:rPr>
      <w:color w:val="605E5C"/>
      <w:shd w:val="clear" w:color="auto" w:fill="E1DFDD"/>
    </w:rPr>
  </w:style>
  <w:style w:type="paragraph" w:styleId="Header">
    <w:name w:val="header"/>
    <w:basedOn w:val="Normal"/>
    <w:link w:val="HeaderChar"/>
    <w:uiPriority w:val="99"/>
    <w:unhideWhenUsed/>
    <w:rsid w:val="00E85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7C7"/>
  </w:style>
  <w:style w:type="paragraph" w:styleId="Footer">
    <w:name w:val="footer"/>
    <w:basedOn w:val="Normal"/>
    <w:link w:val="FooterChar"/>
    <w:uiPriority w:val="99"/>
    <w:unhideWhenUsed/>
    <w:rsid w:val="00E85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inedupcarederbyshire.co.uk/about-us/?utm_source=chatgpt.com" TargetMode="External"/><Relationship Id="rId18" Type="http://schemas.openxmlformats.org/officeDocument/2006/relationships/hyperlink" Target="https://www.england.nhs.uk/long-read/launch-of-nhs-pharmacy-first-advanced-service/"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museum.rcpharm.org/exhibitions/the-history-of-the-royal-pharmaceutical-society/" TargetMode="External"/><Relationship Id="rId7" Type="http://schemas.openxmlformats.org/officeDocument/2006/relationships/footnotes" Target="footnotes.xml"/><Relationship Id="rId12" Type="http://schemas.openxmlformats.org/officeDocument/2006/relationships/hyperlink" Target="https://www.legislation.gov.uk/ukpga/2022/31/contents?utm_source=chatgpt.com" TargetMode="External"/><Relationship Id="rId17" Type="http://schemas.openxmlformats.org/officeDocument/2006/relationships/hyperlink" Target="https://www.nhs.uk/nhs-services/pharmacies/how-pharmacies-can-help/"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bshp.org/history-of-pharmacy" TargetMode="External"/><Relationship Id="rId20" Type="http://schemas.openxmlformats.org/officeDocument/2006/relationships/hyperlink" Target="https://www.england.nhs.uk/primary-care/pharmacy/pharmacy-servic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05/9/contents?utm_source=chatgpt.com"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gov.uk/guidance/supporting-safer-visiting-in-care-homes-during-infectious-illness-outbreaks?utm_source=chatgpt.com"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derbyshire.gov.uk/site-elements/documents/pdf/social-health/care-health-service-providers/commissioning/market-position-statement-community-and-accommodation-based-support-for-older-people-2025-2027.pdf?utm_source=chatgpt.com" TargetMode="External"/><Relationship Id="rId19" Type="http://schemas.openxmlformats.org/officeDocument/2006/relationships/hyperlink" Target="https://www.england.nhs.uk/long-read/update-on-the-pharmacy-first-service/" TargetMode="External"/><Relationship Id="rId4" Type="http://schemas.openxmlformats.org/officeDocument/2006/relationships/styles" Target="styles.xml"/><Relationship Id="rId9" Type="http://schemas.openxmlformats.org/officeDocument/2006/relationships/hyperlink" Target="https://www.legislation.gov.uk/ukpga/2014/23/contents?utm_source=chatgpt.com" TargetMode="External"/><Relationship Id="rId14" Type="http://schemas.openxmlformats.org/officeDocument/2006/relationships/hyperlink" Target="https://www.nice.org.uk/guidance/sc1/chapter/Recommendations"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5a8e1686b6bc1710e13fb97dc274de5c">
  <xsd:schema xmlns:xsd="http://www.w3.org/2001/XMLSchema" xmlns:xs="http://www.w3.org/2001/XMLSchema" xmlns:p="http://schemas.microsoft.com/office/2006/metadata/properties" xmlns:ns3="936e02c4-a484-4998-a51a-c24e6dc61f3e" targetNamespace="http://schemas.microsoft.com/office/2006/metadata/properties" ma:root="true" ma:fieldsID="91460265461bb745528e0df251af7074"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23D1FC63-BCC3-47AF-BED6-2CA1ADE039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3CA960-98A0-45F1-8BD4-07C33572EB22}">
  <ds:schemaRefs>
    <ds:schemaRef ds:uri="http://schemas.microsoft.com/sharepoint/v3/contenttype/forms"/>
  </ds:schemaRefs>
</ds:datastoreItem>
</file>

<file path=customXml/itemProps3.xml><?xml version="1.0" encoding="utf-8"?>
<ds:datastoreItem xmlns:ds="http://schemas.openxmlformats.org/officeDocument/2006/customXml" ds:itemID="{CA1EA8A3-D543-4823-BA94-DF106C0738F2}">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2246</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Esmeralda Rodriguez De Romero (2435930)</dc:creator>
  <cp:keywords/>
  <dc:description/>
  <cp:lastModifiedBy>Karla Esmeralda Rodriguez De Romero (2435930)</cp:lastModifiedBy>
  <cp:revision>2</cp:revision>
  <dcterms:created xsi:type="dcterms:W3CDTF">2026-10-19T11:48:00Z</dcterms:created>
  <dcterms:modified xsi:type="dcterms:W3CDTF">2026-10-19T11:48:00Z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