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iagrams/colors1.xml" ContentType="application/vnd.openxmlformats-officedocument.drawingml.diagramColors+xml"/>
  <Override PartName="/word/diagrams/colors2.xml" ContentType="application/vnd.openxmlformats-officedocument.drawingml.diagramColors+xml"/>
  <Override PartName="/word/diagrams/data1.xml" ContentType="application/vnd.openxmlformats-officedocument.drawingml.diagramData+xml"/>
  <Override PartName="/word/diagrams/data2.xml" ContentType="application/vnd.openxmlformats-officedocument.drawingml.diagramData+xml"/>
  <Override PartName="/word/diagrams/drawing1.xml" ContentType="application/vnd.ms-office.drawingml.diagramDrawing+xml"/>
  <Override PartName="/word/diagrams/drawing2.xml" ContentType="application/vnd.ms-office.drawingml.diagramDrawing+xml"/>
  <Override PartName="/word/diagrams/layout1.xml" ContentType="application/vnd.openxmlformats-officedocument.drawingml.diagramLayout+xml"/>
  <Override PartName="/word/diagrams/layout2.xml" ContentType="application/vnd.openxmlformats-officedocument.drawingml.diagramLayout+xml"/>
  <Override PartName="/word/diagrams/quickStyle1.xml" ContentType="application/vnd.openxmlformats-officedocument.drawingml.diagramStyle+xml"/>
  <Override PartName="/word/diagrams/quickStyle2.xml" ContentType="application/vnd.openxmlformats-officedocument.drawingml.diagramStyl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id w:val="-519935357"/>
        <w:docPartObj>
          <w:docPartGallery w:val="autotext"/>
        </w:docPartObj>
      </w:sdtPr>
      <w:sdtEndPr>
        <w:rPr>
          <w:rFonts w:ascii="Calibri" w:hAnsi="Calibri" w:eastAsia="Calibri" w:cs="Calibri"/>
          <w:color w:val="000000" w:themeColor="text1"/>
          <w14:textFill>
            <w14:solidFill>
              <w14:schemeClr w14:val="tx1"/>
            </w14:solidFill>
          </w14:textFill>
        </w:rPr>
      </w:sdtEndPr>
      <w:sdtContent>
        <w:p/>
        <w:tbl>
          <w:tblPr>
            <w:tblStyle w:val="4"/>
            <w:tblpPr w:leftFromText="187" w:rightFromText="187" w:horzAnchor="margin" w:tblpXSpec="center" w:tblpYSpec="bottom"/>
            <w:tblW w:w="3857" w:type="pct"/>
            <w:tblInd w:w="0" w:type="dxa"/>
            <w:tblLayout w:type="autofit"/>
            <w:tblCellMar>
              <w:top w:w="0" w:type="dxa"/>
              <w:left w:w="108" w:type="dxa"/>
              <w:bottom w:w="0" w:type="dxa"/>
              <w:right w:w="108" w:type="dxa"/>
            </w:tblCellMar>
          </w:tblPr>
          <w:tblGrid>
            <w:gridCol w:w="7140"/>
          </w:tblGrid>
          <w:tr>
            <w:tblPrEx>
              <w:tblCellMar>
                <w:top w:w="0" w:type="dxa"/>
                <w:left w:w="108" w:type="dxa"/>
                <w:bottom w:w="0" w:type="dxa"/>
                <w:right w:w="108" w:type="dxa"/>
              </w:tblCellMar>
            </w:tblPrEx>
            <w:tc>
              <w:tcPr>
                <w:tcW w:w="7221" w:type="dxa"/>
                <w:tcMar>
                  <w:top w:w="216" w:type="dxa"/>
                  <w:left w:w="115" w:type="dxa"/>
                  <w:bottom w:w="216" w:type="dxa"/>
                  <w:right w:w="115" w:type="dxa"/>
                </w:tcMar>
              </w:tcPr>
              <w:sdt>
                <w:sdtPr>
                  <w:rPr>
                    <w:color w:val="4472C4" w:themeColor="accent1"/>
                    <w:sz w:val="28"/>
                    <w:szCs w:val="28"/>
                    <w14:textFill>
                      <w14:solidFill>
                        <w14:schemeClr w14:val="accent1"/>
                      </w14:solidFill>
                    </w14:textFill>
                  </w:rPr>
                  <w:alias w:val="Author"/>
                  <w:id w:val="13406928"/>
                  <w:placeholder>
                    <w:docPart w:val="9E2BF1E301D14EFB8DF1BC2CA3313459"/>
                  </w:placeholder>
                  <w15:dataBinding w:prefixMappings="xmlns:ns0='http://schemas.openxmlformats.org/package/2006/metadata/core-properties' xmlns:ns1='http://purl.org/dc/elements/1.1/'" w:xpath="/ns0:coreProperties[1]/ns1:creator[1]" w:storeItemID="{6C3C8BC8-F283-45AE-878A-BAB7291924A1}"/>
                  <w:text/>
                </w:sdtPr>
                <w:sdtEndPr>
                  <w:rPr>
                    <w:color w:val="4472C4" w:themeColor="accent1"/>
                    <w:sz w:val="28"/>
                    <w:szCs w:val="28"/>
                    <w14:textFill>
                      <w14:solidFill>
                        <w14:schemeClr w14:val="accent1"/>
                      </w14:solidFill>
                    </w14:textFill>
                  </w:rPr>
                </w:sdtEndPr>
                <w:sdtContent>
                  <w:p>
                    <w:pPr>
                      <w:pStyle w:val="11"/>
                      <w:rPr>
                        <w:color w:val="4472C4" w:themeColor="accent1"/>
                        <w:sz w:val="28"/>
                        <w:szCs w:val="28"/>
                        <w14:textFill>
                          <w14:solidFill>
                            <w14:schemeClr w14:val="accent1"/>
                          </w14:solidFill>
                        </w14:textFill>
                      </w:rPr>
                    </w:pPr>
                    <w:r>
                      <w:rPr>
                        <w:color w:val="4472C4" w:themeColor="accent1"/>
                        <w:sz w:val="28"/>
                        <w:szCs w:val="28"/>
                        <w:lang w:val="en-GB"/>
                        <w14:textFill>
                          <w14:solidFill>
                            <w14:schemeClr w14:val="accent1"/>
                          </w14:solidFill>
                        </w14:textFill>
                      </w:rPr>
                      <w:t>Gyulten Harla (2133453)</w:t>
                    </w:r>
                  </w:p>
                </w:sdtContent>
              </w:sdt>
              <w:sdt>
                <w:sdtPr>
                  <w:rPr>
                    <w:color w:val="4472C4" w:themeColor="accent1"/>
                    <w:sz w:val="28"/>
                    <w:szCs w:val="28"/>
                    <w14:textFill>
                      <w14:solidFill>
                        <w14:schemeClr w14:val="accent1"/>
                      </w14:solidFill>
                    </w14:textFill>
                  </w:rPr>
                  <w:alias w:val="Date"/>
                  <w:tag w:val="Date"/>
                  <w:id w:val="13406932"/>
                  <w:placeholder>
                    <w:docPart w:val="4DEC2680579F41E694F714014F2C7805"/>
                  </w:placeholder>
                  <w:showingPlcHdr/>
                  <w15: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rPr>
                    <w:color w:val="4472C4" w:themeColor="accent1"/>
                    <w:sz w:val="28"/>
                    <w:szCs w:val="28"/>
                    <w14:textFill>
                      <w14:solidFill>
                        <w14:schemeClr w14:val="accent1"/>
                      </w14:solidFill>
                    </w14:textFill>
                  </w:rPr>
                </w:sdtEndPr>
                <w:sdtContent>
                  <w:p>
                    <w:pPr>
                      <w:pStyle w:val="11"/>
                      <w:rPr>
                        <w:color w:val="4472C4" w:themeColor="accent1"/>
                        <w:sz w:val="28"/>
                        <w:szCs w:val="28"/>
                        <w14:textFill>
                          <w14:solidFill>
                            <w14:schemeClr w14:val="accent1"/>
                          </w14:solidFill>
                        </w14:textFill>
                      </w:rPr>
                    </w:pPr>
                    <w:r>
                      <w:rPr>
                        <w:color w:val="4472C4" w:themeColor="accent1"/>
                        <w:sz w:val="28"/>
                        <w:szCs w:val="28"/>
                        <w14:textFill>
                          <w14:solidFill>
                            <w14:schemeClr w14:val="accent1"/>
                          </w14:solidFill>
                        </w14:textFill>
                      </w:rPr>
                      <w:t>[Date]</w:t>
                    </w:r>
                  </w:p>
                </w:sdtContent>
              </w:sdt>
              <w:p>
                <w:pPr>
                  <w:pStyle w:val="11"/>
                  <w:rPr>
                    <w:color w:val="4472C4" w:themeColor="accent1"/>
                    <w14:textFill>
                      <w14:solidFill>
                        <w14:schemeClr w14:val="accent1"/>
                      </w14:solidFill>
                    </w14:textFill>
                  </w:rPr>
                </w:pPr>
              </w:p>
            </w:tc>
          </w:tr>
        </w:tbl>
        <w:tbl>
          <w:tblPr>
            <w:tblStyle w:val="4"/>
            <w:tblpPr w:leftFromText="187" w:rightFromText="187" w:vertAnchor="page" w:horzAnchor="page" w:tblpX="2122" w:tblpY="3376"/>
            <w:tblW w:w="3954" w:type="pct"/>
            <w:tblInd w:w="0" w:type="dxa"/>
            <w:tblBorders>
              <w:top w:val="none" w:color="auto" w:sz="0" w:space="0"/>
              <w:left w:val="single" w:color="4472C4" w:themeColor="accent1" w:sz="12" w:space="0"/>
              <w:bottom w:val="none" w:color="auto" w:sz="0" w:space="0"/>
              <w:right w:val="none" w:color="auto" w:sz="0" w:space="0"/>
              <w:insideH w:val="none" w:color="auto" w:sz="0" w:space="0"/>
              <w:insideV w:val="none" w:color="auto" w:sz="0" w:space="0"/>
            </w:tblBorders>
            <w:tblLayout w:type="autofit"/>
            <w:tblCellMar>
              <w:top w:w="0" w:type="dxa"/>
              <w:left w:w="144" w:type="dxa"/>
              <w:bottom w:w="0" w:type="dxa"/>
              <w:right w:w="115" w:type="dxa"/>
            </w:tblCellMar>
          </w:tblPr>
          <w:tblGrid>
            <w:gridCol w:w="7320"/>
          </w:tblGrid>
          <w:tr>
            <w:tblPrEx>
              <w:tblBorders>
                <w:top w:val="none" w:color="auto" w:sz="0" w:space="0"/>
                <w:left w:val="single" w:color="4472C4" w:themeColor="accent1" w:sz="12" w:space="0"/>
                <w:bottom w:val="none" w:color="auto" w:sz="0" w:space="0"/>
                <w:right w:val="none" w:color="auto" w:sz="0" w:space="0"/>
                <w:insideH w:val="none" w:color="auto" w:sz="0" w:space="0"/>
                <w:insideV w:val="none" w:color="auto" w:sz="0" w:space="0"/>
              </w:tblBorders>
            </w:tblPrEx>
            <w:trPr>
              <w:trHeight w:val="2262" w:hRule="atLeast"/>
            </w:trPr>
            <w:tc>
              <w:tcPr>
                <w:tcW w:w="7320" w:type="dxa"/>
                <w:tcMar>
                  <w:top w:w="216" w:type="dxa"/>
                  <w:left w:w="115" w:type="dxa"/>
                  <w:bottom w:w="216" w:type="dxa"/>
                  <w:right w:w="115" w:type="dxa"/>
                </w:tcMar>
              </w:tcPr>
              <w:p>
                <w:pPr>
                  <w:pStyle w:val="11"/>
                  <w:rPr>
                    <w:color w:val="2F5597" w:themeColor="accent1" w:themeShade="BF"/>
                    <w:sz w:val="24"/>
                  </w:rPr>
                </w:pPr>
              </w:p>
            </w:tc>
          </w:tr>
          <w:tr>
            <w:tblPrEx>
              <w:tblBorders>
                <w:top w:val="none" w:color="auto" w:sz="0" w:space="0"/>
                <w:left w:val="single" w:color="4472C4" w:themeColor="accent1" w:sz="12" w:space="0"/>
                <w:bottom w:val="none" w:color="auto" w:sz="0" w:space="0"/>
                <w:right w:val="none" w:color="auto" w:sz="0" w:space="0"/>
                <w:insideH w:val="none" w:color="auto" w:sz="0" w:space="0"/>
                <w:insideV w:val="none" w:color="auto" w:sz="0" w:space="0"/>
              </w:tblBorders>
              <w:tblCellMar>
                <w:top w:w="0" w:type="dxa"/>
                <w:left w:w="144" w:type="dxa"/>
                <w:bottom w:w="0" w:type="dxa"/>
                <w:right w:w="115" w:type="dxa"/>
              </w:tblCellMar>
            </w:tblPrEx>
            <w:trPr>
              <w:trHeight w:val="858" w:hRule="atLeast"/>
            </w:trPr>
            <w:tc>
              <w:tcPr>
                <w:tcW w:w="7320" w:type="dxa"/>
              </w:tcPr>
              <w:sdt>
                <w:sdtPr>
                  <w:rPr>
                    <w:rFonts w:eastAsiaTheme="majorEastAsia" w:cstheme="minorHAnsi"/>
                    <w:color w:val="4472C4" w:themeColor="accent1"/>
                    <w:sz w:val="56"/>
                    <w:szCs w:val="56"/>
                    <w14:textFill>
                      <w14:solidFill>
                        <w14:schemeClr w14:val="accent1"/>
                      </w14:solidFill>
                    </w14:textFill>
                  </w:rPr>
                  <w:alias w:val="Title"/>
                  <w:id w:val="13406919"/>
                  <w:placeholder>
                    <w:docPart w:val="{426317d3-2d39-4f97-9711-2eb05454ec64}"/>
                  </w:placeholder>
                  <w15:dataBinding w:prefixMappings="xmlns:ns0='http://schemas.openxmlformats.org/package/2006/metadata/core-properties' xmlns:ns1='http://purl.org/dc/elements/1.1/'" w:xpath="/ns0:coreProperties[1]/ns1:title[1]" w:storeItemID="{6C3C8BC8-F283-45AE-878A-BAB7291924A1}"/>
                  <w:text/>
                </w:sdtPr>
                <w:sdtEndPr>
                  <w:rPr>
                    <w:rFonts w:hint="default" w:eastAsiaTheme="majorEastAsia" w:cstheme="minorHAnsi"/>
                    <w:color w:val="4472C4" w:themeColor="accent1"/>
                    <w:sz w:val="56"/>
                    <w:szCs w:val="56"/>
                    <w:lang w:val="en-US"/>
                    <w14:textFill>
                      <w14:solidFill>
                        <w14:schemeClr w14:val="accent1"/>
                      </w14:solidFill>
                    </w14:textFill>
                  </w:rPr>
                </w:sdtEndPr>
                <w:sdtContent>
                  <w:p>
                    <w:pPr>
                      <w:pStyle w:val="11"/>
                      <w:spacing w:line="216" w:lineRule="auto"/>
                      <w:rPr>
                        <w:rFonts w:eastAsiaTheme="majorEastAsia" w:cstheme="minorHAnsi"/>
                        <w:color w:val="4472C4" w:themeColor="accent1"/>
                        <w:sz w:val="56"/>
                        <w:szCs w:val="56"/>
                        <w14:textFill>
                          <w14:solidFill>
                            <w14:schemeClr w14:val="accent1"/>
                          </w14:solidFill>
                        </w14:textFill>
                      </w:rPr>
                    </w:pPr>
                    <w:r>
                      <w:rPr>
                        <w:rFonts w:eastAsiaTheme="majorEastAsia" w:cstheme="minorHAnsi"/>
                        <w:color w:val="4472C4" w:themeColor="accent1"/>
                        <w:sz w:val="56"/>
                        <w:szCs w:val="56"/>
                        <w:lang w:val="en-GB"/>
                        <w14:textFill>
                          <w14:solidFill>
                            <w14:schemeClr w14:val="accent1"/>
                          </w14:solidFill>
                        </w14:textFill>
                      </w:rPr>
                      <w:t>Mental Health Diseases</w:t>
                    </w:r>
                  </w:p>
                </w:sdtContent>
              </w:sdt>
            </w:tc>
          </w:tr>
          <w:tr>
            <w:tblPrEx>
              <w:tblBorders>
                <w:top w:val="none" w:color="auto" w:sz="0" w:space="0"/>
                <w:left w:val="single" w:color="4472C4" w:themeColor="accent1" w:sz="12" w:space="0"/>
                <w:bottom w:val="none" w:color="auto" w:sz="0" w:space="0"/>
                <w:right w:val="none" w:color="auto" w:sz="0" w:space="0"/>
                <w:insideH w:val="none" w:color="auto" w:sz="0" w:space="0"/>
                <w:insideV w:val="none" w:color="auto" w:sz="0" w:space="0"/>
              </w:tblBorders>
              <w:tblCellMar>
                <w:top w:w="0" w:type="dxa"/>
                <w:left w:w="144" w:type="dxa"/>
                <w:bottom w:w="0" w:type="dxa"/>
                <w:right w:w="115" w:type="dxa"/>
              </w:tblCellMar>
            </w:tblPrEx>
            <w:trPr>
              <w:trHeight w:val="2262" w:hRule="atLeast"/>
            </w:trPr>
            <w:tc>
              <w:tcPr>
                <w:tcW w:w="7320" w:type="dxa"/>
                <w:tcMar>
                  <w:top w:w="216" w:type="dxa"/>
                  <w:left w:w="115" w:type="dxa"/>
                  <w:bottom w:w="216" w:type="dxa"/>
                  <w:right w:w="115" w:type="dxa"/>
                </w:tcMar>
              </w:tcPr>
              <w:p>
                <w:pPr>
                  <w:pStyle w:val="11"/>
                  <w:rPr>
                    <w:rFonts w:hint="default"/>
                    <w:color w:val="2F5597" w:themeColor="accent1" w:themeShade="BF"/>
                    <w:sz w:val="32"/>
                    <w:szCs w:val="32"/>
                    <w:lang w:val="en-GB"/>
                  </w:rPr>
                </w:pPr>
                <w:sdt>
                  <w:sdtPr>
                    <w:rPr>
                      <w:color w:val="2F5597" w:themeColor="accent1" w:themeShade="BF"/>
                      <w:sz w:val="24"/>
                      <w:szCs w:val="24"/>
                    </w:rPr>
                    <w:alias w:val="Subtitle"/>
                    <w:id w:val="13406923"/>
                    <w:placeholder>
                      <w:docPart w:val="{9870d3e8-f0a1-4a34-9bb9-2b6b43868eae}"/>
                    </w:placeholder>
                    <w15:dataBinding w:prefixMappings="xmlns:ns0='http://schemas.openxmlformats.org/package/2006/metadata/core-properties' xmlns:ns1='http://purl.org/dc/elements/1.1/'" w:xpath="/ns0:coreProperties[1]/ns1:subject[1]" w:storeItemID="{6C3C8BC8-F283-45AE-878A-BAB7291924A1}"/>
                    <w:text/>
                  </w:sdtPr>
                  <w:sdtEndPr>
                    <w:rPr>
                      <w:b/>
                      <w:bCs/>
                      <w:color w:val="2F5597" w:themeColor="accent1" w:themeShade="BF"/>
                      <w:sz w:val="32"/>
                      <w:szCs w:val="32"/>
                    </w:rPr>
                  </w:sdtEndPr>
                  <w:sdtContent>
                    <w:r>
                      <w:rPr>
                        <w:b/>
                        <w:bCs/>
                        <w:color w:val="2F5597" w:themeColor="accent1" w:themeShade="BF"/>
                        <w:sz w:val="32"/>
                        <w:szCs w:val="32"/>
                        <w:lang w:val="en-GB"/>
                      </w:rPr>
                      <w:t>Introduction to Public Healt</w:t>
                    </w:r>
                  </w:sdtContent>
                </w:sdt>
                <w:r>
                  <w:rPr>
                    <w:rFonts w:hint="default"/>
                    <w:b/>
                    <w:bCs/>
                    <w:color w:val="2F5597" w:themeColor="accent1" w:themeShade="BF"/>
                    <w:sz w:val="32"/>
                    <w:szCs w:val="32"/>
                    <w:lang w:val="en-GB"/>
                  </w:rPr>
                  <w:t>h</w:t>
                </w:r>
              </w:p>
              <w:p>
                <w:pPr>
                  <w:pStyle w:val="11"/>
                  <w:rPr>
                    <w:rFonts w:hint="default"/>
                    <w:color w:val="2F5597" w:themeColor="accent1" w:themeShade="BF"/>
                    <w:sz w:val="32"/>
                    <w:szCs w:val="32"/>
                    <w:lang w:val="en-GB"/>
                  </w:rPr>
                </w:pPr>
                <w:r>
                  <w:rPr>
                    <w:rFonts w:hint="default"/>
                    <w:b/>
                    <w:bCs/>
                    <w:color w:val="2F5597" w:themeColor="accent1" w:themeShade="BF"/>
                    <w:sz w:val="32"/>
                    <w:szCs w:val="32"/>
                    <w:lang w:val="en-GB"/>
                  </w:rPr>
                  <w:t>Module code</w:t>
                </w:r>
                <w:r>
                  <w:rPr>
                    <w:rFonts w:hint="default"/>
                    <w:color w:val="2F5597" w:themeColor="accent1" w:themeShade="BF"/>
                    <w:sz w:val="32"/>
                    <w:szCs w:val="32"/>
                    <w:lang w:val="en-GB"/>
                  </w:rPr>
                  <w:t>: LCHS4004</w:t>
                </w:r>
              </w:p>
              <w:p>
                <w:pPr>
                  <w:pStyle w:val="11"/>
                  <w:rPr>
                    <w:rFonts w:hint="default"/>
                    <w:color w:val="2F5597" w:themeColor="accent1" w:themeShade="BF"/>
                    <w:sz w:val="32"/>
                    <w:szCs w:val="32"/>
                    <w:lang w:val="en-GB"/>
                  </w:rPr>
                </w:pPr>
                <w:r>
                  <w:rPr>
                    <w:rFonts w:hint="default"/>
                    <w:b/>
                    <w:bCs/>
                    <w:color w:val="2F5597" w:themeColor="accent1" w:themeShade="BF"/>
                    <w:sz w:val="32"/>
                    <w:szCs w:val="32"/>
                    <w:lang w:val="en-GB"/>
                  </w:rPr>
                  <w:t>Lecturer name</w:t>
                </w:r>
                <w:r>
                  <w:rPr>
                    <w:rFonts w:hint="default"/>
                    <w:color w:val="2F5597" w:themeColor="accent1" w:themeShade="BF"/>
                    <w:sz w:val="32"/>
                    <w:szCs w:val="32"/>
                    <w:lang w:val="en-GB"/>
                  </w:rPr>
                  <w:t>: Bianca Sanfilippo</w:t>
                </w:r>
              </w:p>
              <w:p>
                <w:pPr>
                  <w:pStyle w:val="11"/>
                  <w:rPr>
                    <w:rFonts w:hint="default"/>
                    <w:color w:val="2F5597" w:themeColor="accent1" w:themeShade="BF"/>
                    <w:sz w:val="24"/>
                    <w:szCs w:val="24"/>
                    <w:lang w:val="en-GB"/>
                  </w:rPr>
                </w:pPr>
              </w:p>
            </w:tc>
          </w:tr>
        </w:tbl>
        <w:p>
          <w:pPr>
            <w:spacing w:after="0" w:line="240" w:lineRule="auto"/>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14:textFill>
                <w14:solidFill>
                  <w14:schemeClr w14:val="tx1"/>
                </w14:solidFill>
              </w14:textFill>
            </w:rPr>
            <w:br w:type="page"/>
          </w:r>
        </w:p>
      </w:sdtContent>
    </w:sdt>
    <w:p>
      <w:pPr>
        <w:jc w:val="center"/>
      </w:pPr>
      <w:r>
        <w:rPr>
          <w:rFonts w:ascii="Calibri" w:hAnsi="Calibri" w:eastAsia="Calibri" w:cs="Calibri"/>
          <w:color w:val="000000" w:themeColor="text1"/>
          <w:sz w:val="32"/>
          <w:szCs w:val="32"/>
          <w14:textFill>
            <w14:solidFill>
              <w14:schemeClr w14:val="tx1"/>
            </w14:solidFill>
          </w14:textFill>
        </w:rPr>
        <w:t>‌</w:t>
      </w:r>
      <w:r>
        <w:rPr>
          <w:b/>
          <w:color w:val="000000" w:themeColor="text1"/>
          <w14:textFill>
            <w14:solidFill>
              <w14:schemeClr w14:val="tx1"/>
            </w14:solidFill>
          </w14:textFill>
        </w:rPr>
        <w:t>Introduction</w:t>
      </w:r>
    </w:p>
    <w:p>
      <w:pPr>
        <w:spacing w:line="360" w:lineRule="auto"/>
        <w:ind w:firstLine="660" w:firstLineChars="30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People need to take care of their mental health in various ways, just as we do with our physical health. Four out of every five adults experience mental health problems each year. They range from common issues like depression and worry to less frequent ones like schizophrenia and bipolar disorder. A mental illness can ruin people life and prevent them from engaging in normal activities like work, school, and relationships.</w:t>
      </w:r>
    </w:p>
    <w:p>
      <w:pPr>
        <w:spacing w:line="360" w:lineRule="auto"/>
        <w:rPr>
          <w:b/>
          <w:color w:val="000000" w:themeColor="text1"/>
          <w14:textFill>
            <w14:solidFill>
              <w14:schemeClr w14:val="tx1"/>
            </w14:solidFill>
          </w14:textFill>
        </w:rPr>
      </w:pPr>
      <w:r>
        <w:rPr>
          <w:b/>
          <w:color w:val="000000" w:themeColor="text1"/>
          <w14:textFill>
            <w14:solidFill>
              <w14:schemeClr w14:val="tx1"/>
            </w14:solidFill>
          </w14:textFill>
        </w:rPr>
        <w:t>Anxiety and depression</w:t>
      </w:r>
    </w:p>
    <w:p>
      <w:pPr>
        <w:spacing w:line="360" w:lineRule="auto"/>
        <w:ind w:firstLine="720"/>
        <w:rPr>
          <w:rFonts w:ascii="Calibri" w:hAnsi="Calibri" w:eastAsia="Calibri" w:cs="Calibri"/>
          <w:color w:val="0E101A"/>
          <w:sz w:val="32"/>
          <w:szCs w:val="32"/>
        </w:rPr>
      </w:pPr>
      <w:r>
        <w:rPr>
          <w:rFonts w:ascii="Calibri" w:hAnsi="Calibri" w:eastAsia="Calibri" w:cs="Calibri"/>
          <w:color w:val="000000" w:themeColor="text1"/>
          <w14:textFill>
            <w14:solidFill>
              <w14:schemeClr w14:val="tx1"/>
            </w14:solidFill>
          </w14:textFill>
        </w:rPr>
        <w:t>More than 300 million individuals worldwide experience depression, the leading cause of disability and over 260 million people suffer from anxiety problems (Dianova, 2017). Both illnesses are prevalent</w:t>
      </w:r>
      <w:r>
        <w:rPr>
          <w:rFonts w:ascii="Calibri" w:hAnsi="Calibri" w:eastAsia="Calibri" w:cs="Calibri"/>
          <w:color w:val="000000" w:themeColor="text1"/>
          <w:sz w:val="32"/>
          <w:szCs w:val="32"/>
          <w14:textFill>
            <w14:solidFill>
              <w14:schemeClr w14:val="tx1"/>
            </w14:solidFill>
          </w14:textFill>
        </w:rPr>
        <w:t xml:space="preserve">. </w:t>
      </w:r>
      <w:r>
        <w:rPr>
          <w:rFonts w:ascii="Calibri" w:hAnsi="Calibri" w:eastAsia="Calibri" w:cs="Calibri"/>
          <w:color w:val="0E101A"/>
        </w:rPr>
        <w:t xml:space="preserve">Anxiety is feeling stressed, worried, or afraid, especially about impending or improbable future events (Mind. 2017). </w:t>
      </w:r>
      <w:r>
        <w:rPr>
          <w:rFonts w:hint="default" w:ascii="Calibri" w:hAnsi="Calibri" w:eastAsia="Calibri"/>
          <w:color w:val="0E101A"/>
        </w:rPr>
        <w:t>When they feel a threat to their safety, humans inherently experience anxiety. It is something that we can sense, consider, and actually experience.</w:t>
      </w:r>
      <w:r>
        <w:rPr>
          <w:rFonts w:ascii="Calibri" w:hAnsi="Calibri" w:eastAsia="Calibri" w:cs="Calibri"/>
          <w:color w:val="0E101A"/>
        </w:rPr>
        <w:t>. Anxiety interferes with our ability to enjoy life as fully as we want.</w:t>
      </w:r>
      <w:r>
        <w:rPr>
          <w:rFonts w:ascii="Calibri" w:hAnsi="Calibri" w:eastAsia="Calibri" w:cs="Calibri"/>
          <w:color w:val="0E101A"/>
          <w:sz w:val="32"/>
          <w:szCs w:val="32"/>
        </w:rPr>
        <w:t xml:space="preserve"> </w:t>
      </w:r>
      <w:r>
        <w:rPr>
          <w:rFonts w:ascii="Calibri" w:hAnsi="Calibri" w:eastAsia="Calibri" w:cs="Calibri"/>
          <w:iCs/>
          <w:color w:val="0E101A"/>
        </w:rPr>
        <w:t>Depression</w:t>
      </w:r>
      <w:r>
        <w:rPr>
          <w:rFonts w:ascii="Calibri" w:hAnsi="Calibri" w:eastAsia="Calibri" w:cs="Calibri"/>
          <w:color w:val="0E101A"/>
        </w:rPr>
        <w:t xml:space="preserve"> is a persistently depressed state that interferes with daily life (Mind, 2017).</w:t>
      </w:r>
      <w:r>
        <w:rPr>
          <w:b/>
          <w:color w:val="000000" w:themeColor="text1"/>
          <w14:textFill>
            <w14:solidFill>
              <w14:schemeClr w14:val="tx1"/>
            </w14:solidFill>
          </w14:textFill>
        </w:rPr>
        <w:t xml:space="preserve"> </w:t>
      </w:r>
      <w:r>
        <w:rPr>
          <w:rFonts w:ascii="Calibri" w:hAnsi="Calibri" w:eastAsia="Calibri" w:cs="Calibri"/>
          <w:iCs/>
          <w:color w:val="0E101A"/>
        </w:rPr>
        <w:t>Depression</w:t>
      </w:r>
      <w:r>
        <w:rPr>
          <w:rFonts w:ascii="Calibri" w:hAnsi="Calibri" w:eastAsia="Calibri" w:cs="Calibri"/>
          <w:color w:val="0E101A"/>
        </w:rPr>
        <w:t xml:space="preserve"> can be defined as feeling down. Although it does not prevent you from living a regular life, it makes everything more complicated and less critical.  Everyone has low moods and negative feelings about life at times.  There are numerous signs and symptoms of anxiety and depression (Figure 1).</w:t>
      </w:r>
      <w:r>
        <w:rPr>
          <w:rFonts w:ascii="Calibri" w:hAnsi="Calibri" w:eastAsia="Calibri" w:cs="Calibri"/>
          <w:color w:val="0E101A"/>
          <w:sz w:val="32"/>
          <w:szCs w:val="32"/>
        </w:rPr>
        <w:t xml:space="preserve"> </w:t>
      </w:r>
    </w:p>
    <w:p>
      <w:pPr>
        <w:spacing w:line="360" w:lineRule="auto"/>
        <w:ind w:firstLine="720"/>
        <w:rPr>
          <w:rFonts w:ascii="Calibri" w:hAnsi="Calibri" w:eastAsia="Calibri" w:cs="Calibri"/>
          <w:color w:val="0E101A"/>
        </w:rPr>
      </w:pPr>
    </w:p>
    <w:p>
      <w:pPr>
        <w:spacing w:line="360" w:lineRule="auto"/>
        <w:rPr>
          <w:b/>
          <w:color w:val="000000" w:themeColor="text1"/>
          <w14:textFill>
            <w14:solidFill>
              <w14:schemeClr w14:val="tx1"/>
            </w14:solidFill>
          </w14:textFill>
        </w:rPr>
      </w:pPr>
      <w:r>
        <w:rPr>
          <w:b/>
          <w:color w:val="000000" w:themeColor="text1"/>
          <w:lang w:eastAsia="en-GB"/>
          <w14:textFill>
            <w14:solidFill>
              <w14:schemeClr w14:val="tx1"/>
            </w14:solidFill>
          </w14:textFill>
        </w:rPr>
        <w:drawing>
          <wp:inline distT="0" distB="0" distL="0" distR="0">
            <wp:extent cx="5486400" cy="5022215"/>
            <wp:effectExtent l="0" t="19050" r="19050" b="4508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pPr>
        <w:spacing w:line="360" w:lineRule="auto"/>
        <w:rPr>
          <w:color w:val="000000" w:themeColor="text1"/>
          <w14:textFill>
            <w14:solidFill>
              <w14:schemeClr w14:val="tx1"/>
            </w14:solidFill>
          </w14:textFill>
        </w:rPr>
      </w:pPr>
      <w:r>
        <w:rPr>
          <w:b/>
          <w:color w:val="000000" w:themeColor="text1"/>
          <w14:textFill>
            <w14:solidFill>
              <w14:schemeClr w14:val="tx1"/>
            </w14:solidFill>
          </w14:textFill>
        </w:rPr>
        <w:t xml:space="preserve">Figure 1: </w:t>
      </w:r>
      <w:r>
        <w:rPr>
          <w:color w:val="000000" w:themeColor="text1"/>
          <w14:textFill>
            <w14:solidFill>
              <w14:schemeClr w14:val="tx1"/>
            </w14:solidFill>
          </w14:textFill>
        </w:rPr>
        <w:t>Symptoms of anxiety and depression (Betterhealth, 2022)</w:t>
      </w:r>
    </w:p>
    <w:p>
      <w:pPr>
        <w:spacing w:line="360" w:lineRule="auto"/>
        <w:rPr>
          <w:rFonts w:ascii="Calibri" w:hAnsi="Calibri" w:eastAsia="Calibri" w:cs="Calibri"/>
          <w:b/>
          <w:color w:val="0E101A"/>
        </w:rPr>
      </w:pPr>
      <w:r>
        <w:rPr>
          <w:rFonts w:ascii="Calibri" w:hAnsi="Calibri" w:eastAsia="Calibri" w:cs="Calibri"/>
          <w:b/>
          <w:color w:val="0E101A"/>
        </w:rPr>
        <w:t>Bipolar disease and schizophrenia</w:t>
      </w:r>
    </w:p>
    <w:p>
      <w:pPr>
        <w:spacing w:line="360" w:lineRule="auto"/>
        <w:ind w:firstLine="720"/>
        <w:rPr>
          <w:rFonts w:ascii="Calibri" w:hAnsi="Calibri" w:cs="Calibri"/>
        </w:rPr>
      </w:pPr>
      <w:r>
        <w:rPr>
          <w:rFonts w:ascii="Calibri" w:hAnsi="Calibri" w:eastAsia="Calibri" w:cs="Calibri"/>
        </w:rPr>
        <w:t xml:space="preserve">Other mental diseases are bipolar diseases and schizophrenia. A mental health condition called bipolar disorder primarily affects people's emotions. </w:t>
      </w:r>
      <w:r>
        <w:rPr>
          <w:rFonts w:hint="default" w:ascii="Calibri" w:hAnsi="Calibri" w:eastAsia="Calibri" w:cs="Calibri"/>
          <w:lang w:val="en-GB"/>
        </w:rPr>
        <w:t>“</w:t>
      </w:r>
      <w:r>
        <w:rPr>
          <w:rFonts w:ascii="Calibri" w:hAnsi="Calibri" w:eastAsia="Calibri" w:cs="Calibri"/>
          <w:color w:val="0E101A"/>
        </w:rPr>
        <w:t>Extreme mood swings, including emotional highs (mania or hypomania) and lows, are symptoms of bipolar illness, formerly known as manic depression</w:t>
      </w:r>
      <w:r>
        <w:rPr>
          <w:rFonts w:hint="default" w:ascii="Calibri" w:hAnsi="Calibri" w:eastAsia="Calibri" w:cs="Calibri"/>
          <w:color w:val="0E101A"/>
          <w:lang w:val="en-GB"/>
        </w:rPr>
        <w:t>”</w:t>
      </w:r>
      <w:r>
        <w:rPr>
          <w:rFonts w:ascii="Calibri" w:hAnsi="Calibri" w:eastAsia="Calibri" w:cs="Calibri"/>
          <w:color w:val="0E101A"/>
        </w:rPr>
        <w:t xml:space="preserve"> </w:t>
      </w:r>
      <w:r>
        <w:rPr>
          <w:rFonts w:ascii="Calibri" w:hAnsi="Calibri" w:eastAsia="Calibri" w:cs="Calibri"/>
        </w:rPr>
        <w:t>(‌</w:t>
      </w:r>
      <w:r>
        <w:rPr>
          <w:rFonts w:ascii="Calibri" w:hAnsi="Calibri" w:eastAsia="Roboto" w:cs="Calibri"/>
        </w:rPr>
        <w:t>Mayo Clinic, 2022</w:t>
      </w:r>
      <w:r>
        <w:rPr>
          <w:rFonts w:hint="default" w:ascii="Calibri" w:hAnsi="Calibri" w:eastAsia="Roboto" w:cs="Calibri"/>
          <w:lang w:val="en-GB"/>
        </w:rPr>
        <w:t>, p.1</w:t>
      </w:r>
      <w:r>
        <w:rPr>
          <w:rFonts w:ascii="Calibri" w:hAnsi="Calibri" w:eastAsia="Roboto" w:cs="Calibri"/>
        </w:rPr>
        <w:t>)</w:t>
      </w:r>
      <w:r>
        <w:rPr>
          <w:rFonts w:ascii="Calibri" w:hAnsi="Calibri" w:eastAsia="Calibri" w:cs="Calibri"/>
          <w:color w:val="0E101A"/>
        </w:rPr>
        <w:t xml:space="preserve">. Users can feel ecstatic, energized, or particularly irritable when their mood swings into mania or hypomania. These mood changes might impair one's ability to think effectively, sleep, be active, have energy, and make decisions. </w:t>
      </w:r>
      <w:r>
        <w:rPr>
          <w:rFonts w:ascii="Calibri" w:hAnsi="Calibri" w:eastAsia="Calibri" w:cs="Calibri"/>
        </w:rPr>
        <w:t>Schizophrenia, on the other hand, is a severe mental illness where patients have aberrant perceptions of reality (‌</w:t>
      </w:r>
      <w:r>
        <w:rPr>
          <w:rFonts w:ascii="Calibri" w:hAnsi="Calibri" w:eastAsia="Roboto" w:cs="Calibri"/>
        </w:rPr>
        <w:t>Mayo Clinic, 2022).</w:t>
      </w:r>
      <w:r>
        <w:rPr>
          <w:rFonts w:ascii="Calibri" w:hAnsi="Calibri" w:eastAsia="Calibri" w:cs="Calibri"/>
        </w:rPr>
        <w:t xml:space="preserve"> The symptoms of schizophrenia may include hallucinations, delusions, disorganized thinking, and incredibly abnormal thoughts and behaviour that make it challenging to go about daily activities and can even be incapacitating.</w:t>
      </w:r>
      <w:r>
        <w:rPr>
          <w:rFonts w:ascii="Calibri" w:hAnsi="Calibri" w:eastAsia="Calibri" w:cs="Calibri"/>
        </w:rPr>
        <w:cr/>
      </w:r>
    </w:p>
    <w:p>
      <w:pPr>
        <w:rPr>
          <w:rFonts w:ascii="Calibri" w:hAnsi="Calibri" w:eastAsia="Calibri" w:cs="Calibri"/>
          <w:color w:val="0E101A"/>
          <w:sz w:val="32"/>
          <w:szCs w:val="32"/>
        </w:rPr>
      </w:pPr>
      <w:r>
        <w:rPr>
          <w:rFonts w:ascii="Calibri" w:hAnsi="Calibri" w:eastAsia="Calibri" w:cs="Calibri"/>
          <w:color w:val="0E101A"/>
          <w:sz w:val="32"/>
          <w:szCs w:val="32"/>
        </w:rPr>
        <w:cr/>
      </w:r>
      <w:r>
        <w:rPr>
          <w:b/>
          <w:color w:val="000000" w:themeColor="text1"/>
          <w14:textFill>
            <w14:solidFill>
              <w14:schemeClr w14:val="tx1"/>
            </w14:solidFill>
          </w14:textFill>
        </w:rPr>
        <w:t>Causes</w:t>
      </w:r>
    </w:p>
    <w:p>
      <w:pPr>
        <w:spacing w:line="360" w:lineRule="auto"/>
        <w:ind w:firstLine="720"/>
        <w:rPr>
          <w:rFonts w:ascii="Calibri" w:hAnsi="Calibri" w:eastAsia="Helvetica" w:cs="Calibri"/>
          <w:color w:val="111111"/>
        </w:rPr>
      </w:pPr>
      <w:r>
        <w:rPr>
          <w:color w:val="000000" w:themeColor="text1"/>
          <w14:textFill>
            <w14:solidFill>
              <w14:schemeClr w14:val="tx1"/>
            </w14:solidFill>
          </w14:textFill>
        </w:rPr>
        <w:t>There are numerous potential causes of mental health issues. Several complex elements are probably at play for many people, while some may significantly impact others.   There may be a family history of mental health issues (Mind, 2017). For instance, people are more likely to acquire schizophrenia if they have a parent with the disorder. Many environmental factors contribute to mental diseases in general. The mental disease may occasionally be associated with prenatal exposure to chemicals, inflammatory disorders, environmental stressors, alcohol, or narcotics (Mayo Clinic, 2022</w:t>
      </w:r>
      <w:r>
        <w:rPr>
          <w:rFonts w:ascii="Calibri" w:hAnsi="Calibri" w:cs="Calibri"/>
          <w:color w:val="000000" w:themeColor="text1"/>
          <w14:textFill>
            <w14:solidFill>
              <w14:schemeClr w14:val="tx1"/>
            </w14:solidFill>
          </w14:textFill>
        </w:rPr>
        <w:t xml:space="preserve">). There are many risk factors </w:t>
      </w:r>
      <w:r>
        <w:rPr>
          <w:rFonts w:ascii="Calibri" w:hAnsi="Calibri" w:eastAsia="Helvetica" w:cs="Calibri"/>
          <w:color w:val="111111"/>
        </w:rPr>
        <w:t>of developing a mental illness, the figure below summarizes some of these:</w:t>
      </w:r>
    </w:p>
    <w:p>
      <w:pPr>
        <w:spacing w:line="360" w:lineRule="auto"/>
        <w:rPr>
          <w:rFonts w:ascii="Calibri" w:hAnsi="Calibri" w:cs="Calibri"/>
          <w:color w:val="000000" w:themeColor="text1"/>
          <w14:textFill>
            <w14:solidFill>
              <w14:schemeClr w14:val="tx1"/>
            </w14:solidFill>
          </w14:textFill>
        </w:rPr>
      </w:pPr>
      <w:r>
        <w:rPr>
          <w:rFonts w:ascii="Calibri" w:hAnsi="Calibri" w:cs="Calibri"/>
          <w:color w:val="000000" w:themeColor="text1"/>
          <w:lang w:eastAsia="en-GB"/>
          <w14:textFill>
            <w14:solidFill>
              <w14:schemeClr w14:val="tx1"/>
            </w14:solidFill>
          </w14:textFill>
        </w:rPr>
        <w:drawing>
          <wp:inline distT="0" distB="0" distL="0" distR="0">
            <wp:extent cx="5486400" cy="3200400"/>
            <wp:effectExtent l="0" t="0" r="5715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pPr>
        <w:rPr>
          <w:rFonts w:hint="default" w:ascii="Calibri" w:hAnsi="Calibri" w:cs="Calibri"/>
          <w:color w:val="000000" w:themeColor="text1"/>
          <w:lang w:val="en-GB"/>
          <w14:textFill>
            <w14:solidFill>
              <w14:schemeClr w14:val="tx1"/>
            </w14:solidFill>
          </w14:textFill>
        </w:rPr>
      </w:pPr>
      <w:r>
        <w:rPr>
          <w:rFonts w:ascii="Calibri" w:hAnsi="Calibri" w:eastAsia="Helvetica" w:cs="Calibri"/>
          <w:b/>
          <w:color w:val="111111"/>
        </w:rPr>
        <w:t>Figure 2</w:t>
      </w:r>
      <w:r>
        <w:rPr>
          <w:rFonts w:ascii="Calibri" w:hAnsi="Calibri" w:eastAsia="Helvetica" w:cs="Calibri"/>
          <w:color w:val="111111"/>
        </w:rPr>
        <w:t>: Risk factors of mental diseases</w:t>
      </w:r>
      <w:r>
        <w:rPr>
          <w:rFonts w:hint="default" w:ascii="Calibri" w:hAnsi="Calibri" w:eastAsia="Helvetica" w:cs="Calibri"/>
          <w:color w:val="111111"/>
          <w:lang w:val="en-GB"/>
        </w:rPr>
        <w:t xml:space="preserve"> (</w:t>
      </w:r>
      <w:r>
        <w:rPr>
          <w:color w:val="000000" w:themeColor="text1"/>
          <w14:textFill>
            <w14:solidFill>
              <w14:schemeClr w14:val="tx1"/>
            </w14:solidFill>
          </w14:textFill>
        </w:rPr>
        <w:t>Mayo Clinic, 2022</w:t>
      </w:r>
      <w:r>
        <w:rPr>
          <w:rFonts w:hint="default"/>
          <w:color w:val="000000" w:themeColor="text1"/>
          <w:lang w:val="en-GB"/>
          <w14:textFill>
            <w14:solidFill>
              <w14:schemeClr w14:val="tx1"/>
            </w14:solidFill>
          </w14:textFill>
        </w:rPr>
        <w:t>).</w:t>
      </w:r>
    </w:p>
    <w:p>
      <w:pPr>
        <w:spacing w:line="360" w:lineRule="auto"/>
        <w:jc w:val="left"/>
        <w:rPr>
          <w:rFonts w:hint="default"/>
          <w:color w:val="000000" w:themeColor="text1"/>
          <w14:textFill>
            <w14:solidFill>
              <w14:schemeClr w14:val="tx1"/>
            </w14:solidFill>
          </w14:textFill>
        </w:rPr>
      </w:pPr>
      <w:r>
        <w:rPr>
          <w:rFonts w:hint="default"/>
          <w:color w:val="000000" w:themeColor="text1"/>
          <w:lang w:val="en-GB"/>
          <w14:textFill>
            <w14:solidFill>
              <w14:schemeClr w14:val="tx1"/>
            </w14:solidFill>
          </w14:textFill>
        </w:rPr>
        <w:t xml:space="preserve">           </w:t>
      </w:r>
      <w:r>
        <w:rPr>
          <w:rFonts w:hint="default"/>
          <w:color w:val="000000" w:themeColor="text1"/>
          <w14:textFill>
            <w14:solidFill>
              <w14:schemeClr w14:val="tx1"/>
            </w14:solidFill>
          </w14:textFill>
        </w:rPr>
        <w:t>There are many people who occasionally struggle with their mental health. However, a mental health condition becomes a mental illness when persistent symptoms cause great stress and limit a person's ability to carry out regular responsibilities (Mayo Clinic, 2022; Mrazek and Haggerty, 2016). A mental illness can ruin people's life and prevent them from engaging in normal activities like work, school, and relationships.</w:t>
      </w:r>
    </w:p>
    <w:p>
      <w:pPr>
        <w:spacing w:line="360" w:lineRule="auto"/>
        <w:ind w:firstLine="1541" w:firstLineChars="700"/>
        <w:jc w:val="both"/>
        <w:rPr>
          <w:b/>
          <w:color w:val="000000" w:themeColor="text1"/>
          <w14:textFill>
            <w14:solidFill>
              <w14:schemeClr w14:val="tx1"/>
            </w14:solidFill>
          </w14:textFill>
        </w:rPr>
      </w:pPr>
      <w:r>
        <w:rPr>
          <w:b/>
          <w:color w:val="000000" w:themeColor="text1"/>
          <w14:textFill>
            <w14:solidFill>
              <w14:schemeClr w14:val="tx1"/>
            </w14:solidFill>
          </w14:textFill>
        </w:rPr>
        <w:t>Strategies used to measure the incidents of mental health diseases</w:t>
      </w:r>
    </w:p>
    <w:p>
      <w:pPr>
        <w:spacing w:line="360" w:lineRule="auto"/>
        <w:ind w:firstLine="720"/>
        <w:rPr>
          <w:rFonts w:ascii="Calibri" w:hAnsi="Calibri" w:eastAsia="Helvetica" w:cs="Calibri"/>
          <w:bCs/>
          <w:color w:val="000000" w:themeColor="text1"/>
          <w14:textFill>
            <w14:solidFill>
              <w14:schemeClr w14:val="tx1"/>
            </w14:solidFill>
          </w14:textFill>
        </w:rPr>
      </w:pPr>
      <w:r>
        <w:rPr>
          <w:rFonts w:ascii="Calibri" w:hAnsi="Calibri" w:eastAsia="Helvetica" w:cs="Calibri"/>
          <w:bCs/>
          <w:color w:val="000000" w:themeColor="text1"/>
          <w14:textFill>
            <w14:solidFill>
              <w14:schemeClr w14:val="tx1"/>
            </w14:solidFill>
          </w14:textFill>
        </w:rPr>
        <w:t>The prevalence and mortality of physical illnesses are higher in those with mental illnesses than in the general population, according to evidence.   Several causes have been identified, including an unhealthy lifestyle, drug side effects, and a lack of physical healthcare. Other recognized dangers include higher rates of accidents and suicide. Patients who receive treatment for mental illness are more likely to smoke, be less likely to exercise, have poor eating habits, and be more likely to be obese due to either general inertia, the side effects of neuroleptic medications, or increased alcohol use.  Diabetes, metabolic syndrome, dyslipidemia, cardiovascular problems, extrapyramidal side effects, and sexual dysfunction are all linked to psychotropic drugs. The issues above are made worse by various clinical and organizational barriers that hinder access to good physical healthcare (</w:t>
      </w:r>
      <w:r>
        <w:rPr>
          <w:rFonts w:ascii="Calibri" w:hAnsi="Calibri" w:eastAsia="Calibri" w:cs="Calibri"/>
        </w:rPr>
        <w:t>Latoo</w:t>
      </w:r>
      <w:r>
        <w:rPr>
          <w:rFonts w:ascii="Calibri" w:hAnsi="Calibri" w:eastAsia="Tahoma" w:cs="Calibri"/>
          <w:bCs/>
        </w:rPr>
        <w:t>, Mistry &amp; Dunne</w:t>
      </w:r>
      <w:r>
        <w:rPr>
          <w:rFonts w:ascii="Calibri" w:hAnsi="Calibri" w:eastAsia="Calibri" w:cs="Calibri"/>
        </w:rPr>
        <w:t>, 2013)</w:t>
      </w:r>
      <w:r>
        <w:rPr>
          <w:rFonts w:ascii="Calibri" w:hAnsi="Calibri" w:eastAsia="Helvetica" w:cs="Calibri"/>
          <w:bCs/>
          <w:color w:val="000000" w:themeColor="text1"/>
          <w14:textFill>
            <w14:solidFill>
              <w14:schemeClr w14:val="tx1"/>
            </w14:solidFill>
          </w14:textFill>
        </w:rPr>
        <w:t>.</w:t>
      </w:r>
    </w:p>
    <w:p>
      <w:pPr>
        <w:spacing w:line="360" w:lineRule="auto"/>
        <w:ind w:firstLine="720"/>
        <w:rPr>
          <w:rFonts w:ascii="Calibri" w:hAnsi="Calibri" w:eastAsia="Helvetica" w:cs="Calibri"/>
          <w:bCs/>
          <w:color w:val="000000" w:themeColor="text1"/>
          <w14:textFill>
            <w14:solidFill>
              <w14:schemeClr w14:val="tx1"/>
            </w14:solidFill>
          </w14:textFill>
        </w:rPr>
      </w:pPr>
      <w:r>
        <w:rPr>
          <w:rFonts w:ascii="Calibri" w:hAnsi="Calibri" w:eastAsia="Helvetica" w:cs="Calibri"/>
          <w:bCs/>
          <w:color w:val="000000" w:themeColor="text1"/>
          <w14:textFill>
            <w14:solidFill>
              <w14:schemeClr w14:val="tx1"/>
            </w14:solidFill>
          </w14:textFill>
        </w:rPr>
        <w:t xml:space="preserve">Type 2 diabetes mellitus is twice as likely to occur in depressed individuals, and the incidence of myocardial infarction and stroke is three and five times higher than it is in depressed individuals, respectively </w:t>
      </w:r>
      <w:r>
        <w:rPr>
          <w:rFonts w:ascii="Calibri" w:hAnsi="Calibri" w:eastAsia="Helvetica" w:cs="Calibri"/>
          <w:bCs/>
        </w:rPr>
        <w:t>(</w:t>
      </w:r>
      <w:r>
        <w:rPr>
          <w:rFonts w:ascii="Calibri" w:hAnsi="Calibri" w:eastAsia="Calibri" w:cs="Calibri"/>
        </w:rPr>
        <w:t>Latoo</w:t>
      </w:r>
      <w:r>
        <w:rPr>
          <w:rFonts w:ascii="Calibri" w:hAnsi="Calibri" w:eastAsia="Tahoma" w:cs="Calibri"/>
          <w:bCs/>
        </w:rPr>
        <w:t>, Mistry &amp; Dunne</w:t>
      </w:r>
      <w:r>
        <w:rPr>
          <w:rFonts w:ascii="Calibri" w:hAnsi="Calibri" w:eastAsia="Calibri" w:cs="Calibri"/>
        </w:rPr>
        <w:t>, 2013)</w:t>
      </w:r>
      <w:r>
        <w:rPr>
          <w:rFonts w:ascii="Calibri" w:hAnsi="Calibri" w:eastAsia="Helvetica" w:cs="Calibri"/>
          <w:bCs/>
        </w:rPr>
        <w:t xml:space="preserve">. </w:t>
      </w:r>
      <w:r>
        <w:rPr>
          <w:rFonts w:ascii="Calibri" w:hAnsi="Calibri" w:eastAsia="Helvetica" w:cs="Calibri"/>
          <w:bCs/>
          <w:color w:val="000000" w:themeColor="text1"/>
          <w14:textFill>
            <w14:solidFill>
              <w14:schemeClr w14:val="tx1"/>
            </w14:solidFill>
          </w14:textFill>
        </w:rPr>
        <w:t xml:space="preserve">In general, patients with schizophrenia or bipolar disorder have a mortality rate ratio (MRR) of two to three. </w:t>
      </w:r>
      <w:r>
        <w:rPr>
          <w:rFonts w:hint="default" w:ascii="Calibri" w:hAnsi="Calibri" w:eastAsia="Helvetica"/>
          <w:bCs/>
          <w:color w:val="000000" w:themeColor="text1"/>
          <w14:textFill>
            <w14:solidFill>
              <w14:schemeClr w14:val="tx1"/>
            </w14:solidFill>
          </w14:textFill>
        </w:rPr>
        <w:t>People with schizophrenia are more likely to have diabetes, osteoporosis, obesity, and cardiovascular problems, and medication side effects may also contribute to these disorders</w:t>
      </w:r>
      <w:r>
        <w:rPr>
          <w:rFonts w:ascii="Calibri" w:hAnsi="Calibri" w:eastAsia="Helvetica" w:cs="Calibri"/>
          <w:bCs/>
          <w:color w:val="000000" w:themeColor="text1"/>
          <w14:textFill>
            <w14:solidFill>
              <w14:schemeClr w14:val="tx1"/>
            </w14:solidFill>
          </w14:textFill>
        </w:rPr>
        <w:t xml:space="preserve">. Life expectancy is thought to have decreased by at least ten years.  People with learning difficulties are more likely to experience new issues, especially if they also have epilepsy, dementia, or polypharmacy. Because anorexia/bulimia nervosa affects other organ systems physically, eating disorders are linked to a high mortality rate. Hepatitis, the human immunodeficiency virus (HIV), TB, and poor oral health are all diseases that are often more common in people with a mental disorders </w:t>
      </w:r>
      <w:r>
        <w:rPr>
          <w:rFonts w:ascii="Calibri" w:hAnsi="Calibri" w:eastAsia="Helvetica" w:cs="Calibri"/>
          <w:bCs/>
        </w:rPr>
        <w:t>(</w:t>
      </w:r>
      <w:r>
        <w:rPr>
          <w:rFonts w:ascii="Calibri" w:hAnsi="Calibri" w:eastAsia="Calibri" w:cs="Calibri"/>
        </w:rPr>
        <w:t>Latoo</w:t>
      </w:r>
      <w:r>
        <w:rPr>
          <w:rFonts w:ascii="Calibri" w:hAnsi="Calibri" w:eastAsia="Tahoma" w:cs="Calibri"/>
          <w:bCs/>
        </w:rPr>
        <w:t>, Mistry &amp; Dunne</w:t>
      </w:r>
      <w:r>
        <w:rPr>
          <w:rFonts w:ascii="Calibri" w:hAnsi="Calibri" w:eastAsia="Calibri" w:cs="Calibri"/>
        </w:rPr>
        <w:t>, 2013)</w:t>
      </w:r>
      <w:r>
        <w:rPr>
          <w:rFonts w:ascii="Calibri" w:hAnsi="Calibri" w:eastAsia="Helvetica" w:cs="Calibri"/>
          <w:bCs/>
          <w:color w:val="000000" w:themeColor="text1"/>
          <w14:textFill>
            <w14:solidFill>
              <w14:schemeClr w14:val="tx1"/>
            </w14:solidFill>
          </w14:textFill>
        </w:rPr>
        <w:t xml:space="preserve">. </w:t>
      </w:r>
    </w:p>
    <w:p>
      <w:pPr>
        <w:spacing w:line="360" w:lineRule="auto"/>
        <w:ind w:firstLine="720"/>
        <w:rPr>
          <w:rFonts w:ascii="Calibri" w:hAnsi="Calibri" w:eastAsia="Helvetica" w:cs="Calibri"/>
          <w:bCs/>
          <w:color w:val="000000" w:themeColor="text1"/>
          <w14:textFill>
            <w14:solidFill>
              <w14:schemeClr w14:val="tx1"/>
            </w14:solidFill>
          </w14:textFill>
        </w:rPr>
      </w:pPr>
      <w:r>
        <w:rPr>
          <w:rFonts w:ascii="Calibri" w:hAnsi="Calibri" w:eastAsia="Helvetica" w:cs="Calibri"/>
          <w:bCs/>
          <w:color w:val="000000" w:themeColor="text1"/>
          <w14:textFill>
            <w14:solidFill>
              <w14:schemeClr w14:val="tx1"/>
            </w14:solidFill>
          </w14:textFill>
        </w:rPr>
        <w:t xml:space="preserve">The greater risk of suicide is one explanation for the higher morbidity and mortality associated with mental illness and cardiovascular and pulmonary issues. Inactivity, smoking, and obesity all lead to high blood pressure </w:t>
      </w:r>
      <w:r>
        <w:rPr>
          <w:rFonts w:ascii="Calibri" w:hAnsi="Calibri" w:eastAsia="Helvetica" w:cs="Calibri"/>
          <w:bCs/>
        </w:rPr>
        <w:t>(</w:t>
      </w:r>
      <w:r>
        <w:rPr>
          <w:rFonts w:ascii="Calibri" w:hAnsi="Calibri" w:eastAsia="Calibri" w:cs="Calibri"/>
        </w:rPr>
        <w:t>Latoo</w:t>
      </w:r>
      <w:r>
        <w:rPr>
          <w:rFonts w:ascii="Calibri" w:hAnsi="Calibri" w:eastAsia="Tahoma" w:cs="Calibri"/>
          <w:bCs/>
        </w:rPr>
        <w:t>, Mistry &amp; Dunne</w:t>
      </w:r>
      <w:r>
        <w:rPr>
          <w:rFonts w:ascii="Calibri" w:hAnsi="Calibri" w:eastAsia="Calibri" w:cs="Calibri"/>
        </w:rPr>
        <w:t>, 2013)</w:t>
      </w:r>
      <w:r>
        <w:rPr>
          <w:rFonts w:ascii="Calibri" w:hAnsi="Calibri" w:eastAsia="Helvetica" w:cs="Calibri"/>
          <w:bCs/>
          <w:color w:val="000000" w:themeColor="text1"/>
          <w14:textFill>
            <w14:solidFill>
              <w14:schemeClr w14:val="tx1"/>
            </w14:solidFill>
          </w14:textFill>
        </w:rPr>
        <w:t xml:space="preserve">. When a patient has a mental illness, poor physical healthcare results are caused by various variables typically categorized as patient/illness, doctor/physician, and service provider/system problems. Another patient/illness component is that patients are less likely to address physical issues due to psychiatric symptoms. Because mental patients may be cognitively impaired, some medical professionals find it difficult or uncomfortable to conduct clinical assessments. In addition, general-care doctors are less likely to encounter mental patients, which makes it harder for them to get other treatments like cancer screenings.  The overemphasis on mental health to the exclusion of physical health, low rates of metabolic abnormality screening, failure to examine patients because physical complaints are frequently a component of the psychiatric presentation, poor communication with the patient and the primary care teams, ignorance of and perhaps noncompliance with treatment guidelines, a lack of medical knowledge, and errors in diagnosis and treatment are all characteristics of psychiatrist-related factors </w:t>
      </w:r>
      <w:r>
        <w:rPr>
          <w:rFonts w:ascii="Calibri" w:hAnsi="Calibri" w:eastAsia="Helvetica" w:cs="Calibri"/>
          <w:bCs/>
        </w:rPr>
        <w:t>(</w:t>
      </w:r>
      <w:r>
        <w:rPr>
          <w:rFonts w:ascii="Calibri" w:hAnsi="Calibri" w:eastAsia="Calibri" w:cs="Calibri"/>
        </w:rPr>
        <w:t>Latoo</w:t>
      </w:r>
      <w:r>
        <w:rPr>
          <w:rFonts w:ascii="Calibri" w:hAnsi="Calibri" w:eastAsia="Tahoma" w:cs="Calibri"/>
          <w:bCs/>
        </w:rPr>
        <w:t>, Mistry &amp; Dunne</w:t>
      </w:r>
      <w:r>
        <w:rPr>
          <w:rFonts w:ascii="Calibri" w:hAnsi="Calibri" w:eastAsia="Calibri" w:cs="Calibri"/>
        </w:rPr>
        <w:t>, 2013)</w:t>
      </w:r>
      <w:r>
        <w:rPr>
          <w:rFonts w:ascii="Calibri" w:hAnsi="Calibri" w:eastAsia="Helvetica" w:cs="Calibri"/>
          <w:bCs/>
          <w:color w:val="000000" w:themeColor="text1"/>
          <w14:textFill>
            <w14:solidFill>
              <w14:schemeClr w14:val="tx1"/>
            </w14:solidFill>
          </w14:textFill>
        </w:rPr>
        <w:t xml:space="preserve">. </w:t>
      </w:r>
    </w:p>
    <w:p>
      <w:pPr>
        <w:spacing w:line="360" w:lineRule="auto"/>
        <w:ind w:firstLine="720"/>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14:textFill>
            <w14:solidFill>
              <w14:schemeClr w14:val="tx1"/>
            </w14:solidFill>
          </w14:textFill>
        </w:rPr>
        <w:t xml:space="preserve">Even though there has not been much research that examines how the COVID-19 pandemic has affected the mental health of the general public nationally, there are signs that things are worsening. For instance, a national survey involving 17,452 participants in the United Kingdom discovered that the percentage of people experiencing clinically significant levels of mental anguish increased from 18.9% in 2018 to 27.3% in April 2020 </w:t>
      </w:r>
      <w:r>
        <w:rPr>
          <w:rFonts w:ascii="Calibri" w:hAnsi="Calibri" w:eastAsia="Calibri" w:cs="Calibri"/>
        </w:rPr>
        <w:t>(BinDhim, 2020)</w:t>
      </w:r>
      <w:r>
        <w:rPr>
          <w:rFonts w:ascii="Calibri" w:hAnsi="Calibri" w:eastAsia="Calibri" w:cs="Calibri"/>
          <w:color w:val="000000" w:themeColor="text1"/>
          <w14:textFill>
            <w14:solidFill>
              <w14:schemeClr w14:val="tx1"/>
            </w14:solidFill>
          </w14:textFill>
        </w:rPr>
        <w:t xml:space="preserve">. According to research conducted in the United States, in April 2020, 13.6% of adults reported experiencing significant psychological discomfort, up from 3.9% in 2018. These findings imply that COVID-19 significantly impacts the general public's mental health </w:t>
      </w:r>
      <w:r>
        <w:rPr>
          <w:rFonts w:ascii="Calibri" w:hAnsi="Calibri" w:eastAsia="Calibri" w:cs="Calibri"/>
        </w:rPr>
        <w:t>(BinDhim, 2020)</w:t>
      </w:r>
      <w:r>
        <w:rPr>
          <w:rFonts w:ascii="Calibri" w:hAnsi="Calibri" w:eastAsia="Calibri" w:cs="Calibri"/>
          <w:color w:val="000000" w:themeColor="text1"/>
          <w14:textFill>
            <w14:solidFill>
              <w14:schemeClr w14:val="tx1"/>
            </w14:solidFill>
          </w14:textFill>
        </w:rPr>
        <w:t>.</w:t>
      </w:r>
    </w:p>
    <w:p>
      <w:pPr>
        <w:spacing w:line="360" w:lineRule="auto"/>
        <w:ind w:firstLine="720"/>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14:textFill>
            <w14:solidFill>
              <w14:schemeClr w14:val="tx1"/>
            </w14:solidFill>
          </w14:textFill>
        </w:rPr>
        <w:t>A report conducted and published by NHS Digital, indicates that among 17 to 19 year olds, the proportion with a probable mental illness increased from 17.4% in 2021 to 25.7% in 2022 (NHS Digital, 2022). The figure below shows how serious is the situation about mental health disorders among children and young people in the UK.</w:t>
      </w:r>
    </w:p>
    <w:p>
      <w:pPr>
        <w:spacing w:line="360" w:lineRule="auto"/>
        <w:ind w:firstLine="720"/>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lang w:eastAsia="en-GB"/>
          <w14:textFill>
            <w14:solidFill>
              <w14:schemeClr w14:val="tx1"/>
            </w14:solidFill>
          </w14:textFill>
        </w:rPr>
        <w:drawing>
          <wp:inline distT="0" distB="0" distL="0" distR="0">
            <wp:extent cx="4959350" cy="2592070"/>
            <wp:effectExtent l="0" t="0" r="0" b="0"/>
            <wp:docPr id="6" name="Picture 6" descr="C:\Users\Ayse\OneDrive - University of Sussex\Desktop\0532-mhcyp-pressrelease_1in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Users\Ayse\OneDrive - University of Sussex\Desktop\0532-mhcyp-pressrelease_1in4.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a:xfrm>
                      <a:off x="0" y="0"/>
                      <a:ext cx="4967759" cy="2596689"/>
                    </a:xfrm>
                    <a:prstGeom prst="rect">
                      <a:avLst/>
                    </a:prstGeom>
                    <a:noFill/>
                    <a:ln>
                      <a:noFill/>
                    </a:ln>
                  </pic:spPr>
                </pic:pic>
              </a:graphicData>
            </a:graphic>
          </wp:inline>
        </w:drawing>
      </w:r>
    </w:p>
    <w:p>
      <w:pPr>
        <w:spacing w:line="360" w:lineRule="auto"/>
        <w:rPr>
          <w:rFonts w:ascii="Calibri" w:hAnsi="Calibri" w:eastAsia="Calibri" w:cs="Calibri"/>
          <w:color w:val="000000" w:themeColor="text1"/>
          <w14:textFill>
            <w14:solidFill>
              <w14:schemeClr w14:val="tx1"/>
            </w14:solidFill>
          </w14:textFill>
        </w:rPr>
      </w:pPr>
      <w:r>
        <w:rPr>
          <w:rFonts w:ascii="Calibri" w:hAnsi="Calibri" w:eastAsia="Calibri" w:cs="Calibri"/>
          <w:b/>
          <w:color w:val="000000" w:themeColor="text1"/>
          <w14:textFill>
            <w14:solidFill>
              <w14:schemeClr w14:val="tx1"/>
            </w14:solidFill>
          </w14:textFill>
        </w:rPr>
        <w:t>Figure 3</w:t>
      </w:r>
      <w:r>
        <w:rPr>
          <w:rFonts w:ascii="Calibri" w:hAnsi="Calibri" w:eastAsia="Calibri" w:cs="Calibri"/>
          <w:color w:val="000000" w:themeColor="text1"/>
          <w14:textFill>
            <w14:solidFill>
              <w14:schemeClr w14:val="tx1"/>
            </w14:solidFill>
          </w14:textFill>
        </w:rPr>
        <w:t>: Prevalence of mental health among children and young people (NHS Digital, 2022)</w:t>
      </w:r>
    </w:p>
    <w:p>
      <w:pPr>
        <w:ind w:firstLine="720"/>
        <w:jc w:val="center"/>
        <w:rPr>
          <w:b/>
          <w:color w:val="000000" w:themeColor="text1"/>
          <w14:textFill>
            <w14:solidFill>
              <w14:schemeClr w14:val="tx1"/>
            </w14:solidFill>
          </w14:textFill>
        </w:rPr>
      </w:pPr>
      <w:r>
        <w:rPr>
          <w:b/>
          <w:color w:val="000000" w:themeColor="text1"/>
          <w14:textFill>
            <w14:solidFill>
              <w14:schemeClr w14:val="tx1"/>
            </w14:solidFill>
          </w14:textFill>
        </w:rPr>
        <w:t>Strategies used in the UK to monitor the incidents of mental health disease</w:t>
      </w:r>
    </w:p>
    <w:p>
      <w:pPr>
        <w:spacing w:line="360" w:lineRule="auto"/>
        <w:ind w:firstLine="720"/>
        <w:rPr>
          <w:rFonts w:ascii="Calibri" w:hAnsi="Calibri" w:eastAsia="Helvetica" w:cs="Calibri"/>
          <w:bCs/>
          <w:color w:val="000000" w:themeColor="text1"/>
          <w14:textFill>
            <w14:solidFill>
              <w14:schemeClr w14:val="tx1"/>
            </w14:solidFill>
          </w14:textFill>
        </w:rPr>
      </w:pPr>
      <w:r>
        <w:rPr>
          <w:rFonts w:ascii="Calibri" w:hAnsi="Calibri" w:eastAsia="Calibri" w:cs="Calibri"/>
        </w:rPr>
        <w:t>Monitoring the incidents of mental health diseases involves gathering timely and practical information which decision makers use to  manage mental health initiatives.</w:t>
      </w:r>
      <w:r>
        <w:rPr>
          <w:rFonts w:ascii="Calibri" w:hAnsi="Calibri" w:eastAsia="Helvetica" w:cs="Calibri"/>
          <w:bCs/>
          <w:color w:val="000000" w:themeColor="text1"/>
          <w14:textFill>
            <w14:solidFill>
              <w14:schemeClr w14:val="tx1"/>
            </w14:solidFill>
          </w14:textFill>
        </w:rPr>
        <w:t xml:space="preserve"> Although talking therapies and community care are highly valued in the United Kingdom (UK), community mental health teams may need more education and training to handle physical health issues effectively </w:t>
      </w:r>
      <w:r>
        <w:rPr>
          <w:rFonts w:ascii="Calibri" w:hAnsi="Calibri" w:eastAsia="Helvetica" w:cs="Calibri"/>
          <w:bCs/>
        </w:rPr>
        <w:t>(</w:t>
      </w:r>
      <w:r>
        <w:rPr>
          <w:rFonts w:ascii="Calibri" w:hAnsi="Calibri" w:eastAsia="Calibri" w:cs="Calibri"/>
        </w:rPr>
        <w:t>Latoo</w:t>
      </w:r>
      <w:r>
        <w:rPr>
          <w:rFonts w:ascii="Calibri" w:hAnsi="Calibri" w:eastAsia="Tahoma" w:cs="Calibri"/>
          <w:bCs/>
        </w:rPr>
        <w:t>, Mistry &amp; Dunne</w:t>
      </w:r>
      <w:r>
        <w:rPr>
          <w:rFonts w:ascii="Calibri" w:hAnsi="Calibri" w:eastAsia="Calibri" w:cs="Calibri"/>
        </w:rPr>
        <w:t>, 2013)</w:t>
      </w:r>
      <w:r>
        <w:rPr>
          <w:rFonts w:ascii="Calibri" w:hAnsi="Calibri" w:eastAsia="Helvetica" w:cs="Calibri"/>
          <w:bCs/>
          <w:color w:val="000000" w:themeColor="text1"/>
          <w14:textFill>
            <w14:solidFill>
              <w14:schemeClr w14:val="tx1"/>
            </w14:solidFill>
          </w14:textFill>
        </w:rPr>
        <w:t>. Psychiatry needs to reestablish a more complex framework for treating mental diseases that includes routine physical health monitoring because it seems to have lost its way. Improvements in clinical education and training, strong coordination between primary and secondary care, increased funding for research, and legislative changes can improve overall health care for psychiatric patients.</w:t>
      </w:r>
    </w:p>
    <w:p>
      <w:pPr>
        <w:spacing w:line="360" w:lineRule="auto"/>
        <w:ind w:firstLine="720"/>
        <w:rPr>
          <w:rFonts w:ascii="Calibri" w:hAnsi="Calibri" w:eastAsia="Calibri" w:cs="Calibri"/>
          <w:color w:val="000000" w:themeColor="text1"/>
          <w:sz w:val="32"/>
          <w:szCs w:val="32"/>
          <w14:textFill>
            <w14:solidFill>
              <w14:schemeClr w14:val="tx1"/>
            </w14:solidFill>
          </w14:textFill>
        </w:rPr>
      </w:pPr>
      <w:r>
        <w:rPr>
          <w:rFonts w:ascii="Calibri" w:hAnsi="Calibri" w:eastAsia="Calibri" w:cs="Calibri"/>
          <w:color w:val="000000" w:themeColor="text1"/>
          <w14:textFill>
            <w14:solidFill>
              <w14:schemeClr w14:val="tx1"/>
            </w14:solidFill>
          </w14:textFill>
        </w:rPr>
        <w:t>Various smartphone apps are available for managing and monitoring mental health illnesses or symptoms (Wang, Varma and Prosperi, 2018). However, most lack convincing, clinically confirmed evidence, raising questions about their long-term patient benefits. Fourteen applications were found to provide clinically relevant evidence of lowering mental health symptoms or illness.</w:t>
      </w:r>
      <w:r>
        <w:rPr>
          <w:rFonts w:hint="default" w:ascii="Calibri" w:hAnsi="Calibri" w:eastAsia="Calibri"/>
          <w:color w:val="000000" w:themeColor="text1"/>
          <w14:textFill>
            <w14:solidFill>
              <w14:schemeClr w14:val="tx1"/>
            </w14:solidFill>
          </w14:textFill>
        </w:rPr>
        <w:t>The great majority of currently available apps, however, have not yet had their efficacy validated by science. Given the quantity and rate at which mobile health (mHealth) apps are being developed, additional comprehensive research is necessary to build and evaluate programmes based on evidence.</w:t>
      </w:r>
    </w:p>
    <w:p>
      <w:pPr>
        <w:ind w:firstLine="720"/>
        <w:jc w:val="center"/>
        <w:rPr>
          <w:b/>
          <w:color w:val="000000" w:themeColor="text1"/>
          <w14:textFill>
            <w14:solidFill>
              <w14:schemeClr w14:val="tx1"/>
            </w14:solidFill>
          </w14:textFill>
        </w:rPr>
      </w:pPr>
      <w:r>
        <w:rPr>
          <w:b/>
          <w:color w:val="000000" w:themeColor="text1"/>
          <w14:textFill>
            <w14:solidFill>
              <w14:schemeClr w14:val="tx1"/>
            </w14:solidFill>
          </w14:textFill>
        </w:rPr>
        <w:t>Strategies used to control the incidents of mental health diseases</w:t>
      </w:r>
    </w:p>
    <w:p>
      <w:pPr>
        <w:spacing w:line="360" w:lineRule="auto"/>
        <w:ind w:firstLine="720"/>
        <w:rPr>
          <w:rFonts w:ascii="Calibri" w:hAnsi="Calibri" w:eastAsia="Calibri" w:cs="Calibri"/>
        </w:rPr>
      </w:pPr>
      <w:r>
        <w:rPr>
          <w:rFonts w:ascii="Calibri" w:hAnsi="Calibri" w:eastAsia="Calibri" w:cs="Calibri"/>
        </w:rPr>
        <w:t xml:space="preserve">Controlling the incidents of mental health diseases involve systematic, continual gathering, management, analysis, and interpretation of data, followed by the prompt transmission of this information to public health programs to encourage public health action towards mental health diseases (BinDhim, 2020). Numerous vital public health research and practice initiatives can use data from surveillance programs for the general public. These duties include estimating the extent and scope of mental health disorders, identifying mental health emergencies, monitoring developments, and documenting the progression of a mental health event within a community (BinDhim, 2020). </w:t>
      </w:r>
    </w:p>
    <w:p>
      <w:pPr>
        <w:spacing w:line="360" w:lineRule="auto"/>
        <w:ind w:firstLine="720"/>
        <w:rPr>
          <w:rFonts w:ascii="Calibri" w:hAnsi="Calibri" w:eastAsia="Calibri" w:cs="Calibri"/>
        </w:rPr>
      </w:pPr>
      <w:r>
        <w:rPr>
          <w:rFonts w:ascii="Calibri" w:hAnsi="Calibri" w:eastAsia="Calibri" w:cs="Calibri"/>
        </w:rPr>
        <w:t xml:space="preserve">Today, mental health examinations are a part of reputable health surveillance studies, including the Behavioral Risk Factor Surveillance System, the National Health Interview Survey, and the National Health and Nutrition Examination Survey, all conducted by the Centers for Disease Control and Prevention (CDC) (BRFSS). </w:t>
      </w:r>
    </w:p>
    <w:p>
      <w:pPr>
        <w:spacing w:line="360" w:lineRule="auto"/>
        <w:ind w:firstLine="720"/>
        <w:rPr>
          <w:rFonts w:ascii="Calibri" w:hAnsi="Calibri" w:eastAsia="Calibri" w:cs="Calibri"/>
        </w:rPr>
      </w:pPr>
      <w:r>
        <w:rPr>
          <w:rFonts w:ascii="Calibri" w:hAnsi="Calibri" w:eastAsia="Calibri" w:cs="Calibri"/>
        </w:rPr>
        <w:t>Data can be gathered on various subjective symptoms that correspond to clinical illnesses, including shifts in thought, mood, behavior, and related suffering.</w:t>
      </w:r>
      <w:r>
        <w:rPr>
          <w:rFonts w:hint="default" w:ascii="Calibri" w:hAnsi="Calibri" w:eastAsia="Calibri" w:cs="Calibri"/>
          <w:lang w:val="en-GB"/>
        </w:rPr>
        <w:t xml:space="preserve"> </w:t>
      </w:r>
      <w:r>
        <w:rPr>
          <w:rFonts w:hint="default" w:ascii="Calibri" w:hAnsi="Calibri" w:eastAsia="Calibri"/>
        </w:rPr>
        <w:t xml:space="preserve">In screening surveys, high-quality </w:t>
      </w:r>
      <w:r>
        <w:rPr>
          <w:rFonts w:hint="default" w:ascii="Calibri" w:hAnsi="Calibri" w:eastAsia="Calibri"/>
          <w:lang w:val="en-GB"/>
        </w:rPr>
        <w:t>mental</w:t>
      </w:r>
      <w:r>
        <w:rPr>
          <w:rFonts w:hint="default" w:ascii="Calibri" w:hAnsi="Calibri" w:eastAsia="Calibri"/>
        </w:rPr>
        <w:t xml:space="preserve"> health data are produced using </w:t>
      </w:r>
      <w:r>
        <w:rPr>
          <w:rFonts w:hint="default" w:ascii="Calibri" w:hAnsi="Calibri" w:eastAsia="Calibri"/>
          <w:lang w:val="en-GB"/>
        </w:rPr>
        <w:t xml:space="preserve">surveys </w:t>
      </w:r>
      <w:r>
        <w:rPr>
          <w:rFonts w:hint="default" w:ascii="Calibri" w:hAnsi="Calibri" w:eastAsia="Calibri"/>
        </w:rPr>
        <w:t xml:space="preserve"> that have been empirically proven to differentiate between people with and without specific mental disorders or general psychological discomfort</w:t>
      </w:r>
      <w:r>
        <w:rPr>
          <w:rFonts w:ascii="Calibri" w:hAnsi="Calibri" w:eastAsia="Calibri" w:cs="Calibri"/>
        </w:rPr>
        <w:t xml:space="preserve"> (BinDhim, 2020). Therefore, surveillance data are essential to achieving public health objectives such as lowering the incidence, prevalence, severity, and economic impact of mental health problems through timely data delivery to decision-makers and creating early intervention opportunities.</w:t>
      </w:r>
    </w:p>
    <w:p>
      <w:pPr>
        <w:spacing w:line="360" w:lineRule="auto"/>
        <w:ind w:firstLine="720"/>
      </w:pPr>
      <w:r>
        <w:rPr>
          <w:rFonts w:ascii="Calibri" w:hAnsi="Calibri" w:eastAsia="Calibri" w:cs="Calibri"/>
          <w:color w:val="000000" w:themeColor="text1"/>
          <w:sz w:val="32"/>
          <w:szCs w:val="32"/>
          <w14:textFill>
            <w14:solidFill>
              <w14:schemeClr w14:val="tx1"/>
            </w14:solidFill>
          </w14:textFill>
        </w:rPr>
        <w:t xml:space="preserve"> </w:t>
      </w:r>
      <w:r>
        <w:rPr>
          <w:rFonts w:ascii="Calibri" w:hAnsi="Calibri" w:eastAsia="Calibri" w:cs="Calibri"/>
          <w:color w:val="000000" w:themeColor="text1"/>
          <w14:textFill>
            <w14:solidFill>
              <w14:schemeClr w14:val="tx1"/>
            </w14:solidFill>
          </w14:textFill>
        </w:rPr>
        <w:t>Mental health community service is now available in every Sustainability and Transformation Partnership (STP) in the UK. All general hospitals currently offer mental health liaison services, and more than 50% of them fulfill the ideal "Core 24" requirements. Mental health support teams are established in schools or colleges, and the NHS supports services. Increased accessibility to evidence-based psychological therapies allow at least 66,000 women with moderate to severe perinatal mental health issues to get specialized community care from conception to 24 months after giving birth (NHS, 2020). Children and young people with mental health problems (CYP) aged 0–25 have access to support through NHS-funded mental health services and school- or college-based Mental Health Support Teams (NHS, 2020).</w:t>
      </w:r>
    </w:p>
    <w:p>
      <w:pPr>
        <w:ind w:firstLine="720"/>
        <w:jc w:val="center"/>
        <w:rPr>
          <w:b/>
          <w:color w:val="000000" w:themeColor="text1"/>
          <w14:textFill>
            <w14:solidFill>
              <w14:schemeClr w14:val="tx1"/>
            </w14:solidFill>
          </w14:textFill>
        </w:rPr>
      </w:pPr>
    </w:p>
    <w:p>
      <w:pPr>
        <w:ind w:firstLine="720"/>
        <w:jc w:val="center"/>
        <w:rPr>
          <w:b/>
          <w:color w:val="000000" w:themeColor="text1"/>
          <w14:textFill>
            <w14:solidFill>
              <w14:schemeClr w14:val="tx1"/>
            </w14:solidFill>
          </w14:textFill>
        </w:rPr>
      </w:pPr>
      <w:r>
        <w:rPr>
          <w:b/>
          <w:color w:val="000000" w:themeColor="text1"/>
          <w14:textFill>
            <w14:solidFill>
              <w14:schemeClr w14:val="tx1"/>
            </w14:solidFill>
          </w14:textFill>
        </w:rPr>
        <w:t>Mental health campaign</w:t>
      </w:r>
    </w:p>
    <w:p>
      <w:pPr>
        <w:spacing w:line="360" w:lineRule="auto"/>
        <w:ind w:firstLine="720"/>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14:textFill>
            <w14:solidFill>
              <w14:schemeClr w14:val="tx1"/>
            </w14:solidFill>
          </w14:textFill>
        </w:rPr>
        <w:t>There are different campaigns on mental health in the world.  The Dianova International network has been focusing on education and health promotion for the past ten years through global campaigns to raise social awareness among teenagers and their parents/families of the risks of drug abuse, whether legal or illegal, and behavioral addiction (Dianova, 2017). Since Dianova is present in 3 continents and 18 countries, this year's campaign will raise awareness of the problem and persuade decision-makers to provide appropriate resources. Associations and foundations in the Americas, Europe, Asia, and Africa work under the name Dianova, an international non-governmental organization. Through various initiatives and programs in the social, health, and humanitarian sectors, member organizations of Dianova, help people, communities, and organizations grow.</w:t>
      </w:r>
    </w:p>
    <w:p>
      <w:pPr>
        <w:spacing w:line="360" w:lineRule="auto"/>
        <w:ind w:firstLine="720"/>
        <w:rPr>
          <w:rFonts w:ascii="Calibri" w:hAnsi="Calibri" w:eastAsia="Calibri" w:cs="Calibri"/>
          <w:color w:val="000000" w:themeColor="text1"/>
          <w14:textFill>
            <w14:solidFill>
              <w14:schemeClr w14:val="tx1"/>
            </w14:solidFill>
          </w14:textFill>
        </w:rPr>
      </w:pPr>
      <w:r>
        <w:rPr>
          <w:rFonts w:ascii="Calibri" w:hAnsi="Calibri" w:eastAsia="Calibri" w:cs="Calibri"/>
          <w:color w:val="000000" w:themeColor="text1"/>
          <w14:textFill>
            <w14:solidFill>
              <w14:schemeClr w14:val="tx1"/>
            </w14:solidFill>
          </w14:textFill>
        </w:rPr>
        <w:t xml:space="preserve">Another mental health campaign that will be held on February 2, 2023 is Time to Talk Day 2023 (Change Your Mind, 2022). Organised by Mind and Rethink Mental Illness with support from Time to Change Wales, See Me, and Change Your Mind / Inspire (Figure 4). </w:t>
      </w:r>
    </w:p>
    <w:p>
      <w:pPr>
        <w:ind w:firstLine="720"/>
        <w:jc w:val="center"/>
        <w:rPr>
          <w:b/>
          <w:color w:val="000000" w:themeColor="text1"/>
          <w14:textFill>
            <w14:solidFill>
              <w14:schemeClr w14:val="tx1"/>
            </w14:solidFill>
          </w14:textFill>
        </w:rPr>
      </w:pPr>
      <w:r>
        <w:rPr>
          <w:lang w:eastAsia="en-GB"/>
        </w:rPr>
        <w:drawing>
          <wp:inline distT="0" distB="0" distL="114300" distR="114300">
            <wp:extent cx="4572000" cy="25717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pPr>
        <w:rPr>
          <w:rFonts w:ascii="Calibri" w:hAnsi="Calibri" w:eastAsia="Calibri" w:cs="Calibri"/>
          <w:color w:val="000000" w:themeColor="text1"/>
          <w14:textFill>
            <w14:solidFill>
              <w14:schemeClr w14:val="tx1"/>
            </w14:solidFill>
          </w14:textFill>
        </w:rPr>
      </w:pPr>
      <w:r>
        <w:rPr>
          <w:rFonts w:ascii="Calibri" w:hAnsi="Calibri" w:eastAsia="Calibri" w:cs="Calibri"/>
          <w:b/>
          <w:color w:val="000000" w:themeColor="text1"/>
          <w14:textFill>
            <w14:solidFill>
              <w14:schemeClr w14:val="tx1"/>
            </w14:solidFill>
          </w14:textFill>
        </w:rPr>
        <w:t xml:space="preserve">Figure 4: </w:t>
      </w:r>
      <w:r>
        <w:rPr>
          <w:rFonts w:ascii="Calibri" w:hAnsi="Calibri" w:eastAsia="Calibri" w:cs="Calibri"/>
          <w:color w:val="000000" w:themeColor="text1"/>
          <w14:textFill>
            <w14:solidFill>
              <w14:schemeClr w14:val="tx1"/>
            </w14:solidFill>
          </w14:textFill>
        </w:rPr>
        <w:t>Mental health campaign (Change Your Mind, 2022)</w:t>
      </w:r>
    </w:p>
    <w:p>
      <w:pPr>
        <w:spacing w:line="360" w:lineRule="auto"/>
        <w:jc w:val="center"/>
        <w:rPr>
          <w:rFonts w:ascii="Calibri" w:hAnsi="Calibri" w:eastAsia="Calibri" w:cs="Calibri"/>
          <w:b/>
        </w:rPr>
      </w:pPr>
      <w:r>
        <w:rPr>
          <w:rFonts w:ascii="Calibri" w:hAnsi="Calibri" w:eastAsia="Calibri" w:cs="Calibri"/>
          <w:b/>
        </w:rPr>
        <w:t>Conclusion</w:t>
      </w:r>
    </w:p>
    <w:p>
      <w:pPr>
        <w:spacing w:line="360" w:lineRule="auto"/>
        <w:ind w:firstLine="720"/>
      </w:pPr>
      <w:r>
        <w:t>Most people are familiar with someone who has struggled with mental illness. People from all backgrounds and types can experience them. Moreover, it will likely improve once they find a self-care, treatment, and support strategy that works for them.  Around the world, there are different ways to treat mental diseases and maintain good mental health. UK medical practitioners generally accept specific causes and therapies for mental health issues to be similar.</w:t>
      </w:r>
    </w:p>
    <w:p>
      <w:pPr>
        <w:spacing w:line="360" w:lineRule="auto"/>
        <w:ind w:firstLine="720"/>
      </w:pPr>
      <w:r>
        <w:rPr>
          <w:rFonts w:ascii="Calibri" w:hAnsi="Calibri" w:eastAsia="Calibri" w:cs="Calibri"/>
        </w:rPr>
        <w:t>Every year on October 10, people worldwide mark World Mental Health Day to spread awareness and mobilize support for improved mental health. The WHO has selected the topic of mental health in the workplace as the focus of World Mental Health Day 2017.</w:t>
      </w:r>
    </w:p>
    <w:p>
      <w:pPr>
        <w:spacing w:line="360" w:lineRule="auto"/>
        <w:rPr>
          <w:rFonts w:ascii="Calibri" w:hAnsi="Calibri" w:eastAsia="Calibri" w:cs="Calibri"/>
        </w:rPr>
      </w:pPr>
    </w:p>
    <w:p>
      <w:pPr>
        <w:spacing w:line="360" w:lineRule="auto"/>
        <w:rPr>
          <w:rFonts w:ascii="Calibri" w:hAnsi="Calibri" w:eastAsia="Calibri" w:cs="Calibri"/>
        </w:rPr>
      </w:pPr>
    </w:p>
    <w:p>
      <w:pPr>
        <w:spacing w:line="360" w:lineRule="auto"/>
        <w:rPr>
          <w:rFonts w:ascii="Calibri" w:hAnsi="Calibri" w:eastAsia="Calibri" w:cs="Calibri"/>
        </w:rPr>
      </w:pPr>
    </w:p>
    <w:p>
      <w:pPr>
        <w:spacing w:line="360" w:lineRule="auto"/>
        <w:rPr>
          <w:rFonts w:ascii="Calibri" w:hAnsi="Calibri" w:eastAsia="Calibri" w:cs="Calibri"/>
        </w:rPr>
      </w:pPr>
    </w:p>
    <w:p>
      <w:pPr>
        <w:rPr>
          <w:rFonts w:ascii="Calibri" w:hAnsi="Calibri" w:eastAsia="Calibri" w:cs="Calibri"/>
        </w:rPr>
      </w:pPr>
    </w:p>
    <w:p>
      <w:pPr>
        <w:rPr>
          <w:rFonts w:ascii="Calibri" w:hAnsi="Calibri" w:eastAsia="Calibri" w:cs="Calibri"/>
        </w:rPr>
      </w:pPr>
    </w:p>
    <w:p>
      <w:pPr>
        <w:rPr>
          <w:rFonts w:ascii="Calibri" w:hAnsi="Calibri" w:eastAsia="Calibri" w:cs="Calibri"/>
          <w:color w:val="ED7D31" w:themeColor="accent2"/>
          <w:sz w:val="32"/>
          <w:szCs w:val="32"/>
          <w14:textFill>
            <w14:solidFill>
              <w14:schemeClr w14:val="accent2"/>
            </w14:solidFill>
          </w14:textFill>
        </w:rPr>
      </w:pPr>
    </w:p>
    <w:p>
      <w:pPr>
        <w:rPr>
          <w:rFonts w:ascii="Calibri" w:hAnsi="Calibri" w:eastAsia="Calibri" w:cs="Calibri"/>
          <w:color w:val="ED7D31" w:themeColor="accent2"/>
          <w:sz w:val="32"/>
          <w:szCs w:val="32"/>
          <w14:textFill>
            <w14:solidFill>
              <w14:schemeClr w14:val="accent2"/>
            </w14:solidFill>
          </w14:textFill>
        </w:rPr>
      </w:pPr>
    </w:p>
    <w:p>
      <w:pPr>
        <w:rPr>
          <w:rFonts w:ascii="Calibri" w:hAnsi="Calibri" w:eastAsia="Calibri" w:cs="Calibri"/>
          <w:color w:val="ED7D31" w:themeColor="accent2"/>
          <w:sz w:val="32"/>
          <w:szCs w:val="32"/>
          <w14:textFill>
            <w14:solidFill>
              <w14:schemeClr w14:val="accent2"/>
            </w14:solidFill>
          </w14:textFill>
        </w:rPr>
      </w:pPr>
    </w:p>
    <w:p>
      <w:pPr>
        <w:rPr>
          <w:rFonts w:ascii="Calibri" w:hAnsi="Calibri" w:eastAsia="Calibri" w:cs="Calibri"/>
          <w:color w:val="ED7D31" w:themeColor="accent2"/>
          <w:sz w:val="32"/>
          <w:szCs w:val="32"/>
          <w14:textFill>
            <w14:solidFill>
              <w14:schemeClr w14:val="accent2"/>
            </w14:solidFill>
          </w14:textFill>
        </w:rPr>
      </w:pPr>
    </w:p>
    <w:p>
      <w:pPr>
        <w:rPr>
          <w:rFonts w:ascii="Calibri" w:hAnsi="Calibri" w:eastAsia="Calibri" w:cs="Calibri"/>
          <w:color w:val="ED7D31" w:themeColor="accent2"/>
          <w:sz w:val="32"/>
          <w:szCs w:val="32"/>
          <w14:textFill>
            <w14:solidFill>
              <w14:schemeClr w14:val="accent2"/>
            </w14:solidFill>
          </w14:textFill>
        </w:rPr>
      </w:pPr>
    </w:p>
    <w:p>
      <w:pPr>
        <w:rPr>
          <w:rFonts w:ascii="Calibri" w:hAnsi="Calibri" w:eastAsia="Calibri" w:cs="Calibri"/>
          <w:color w:val="ED7D31" w:themeColor="accent2"/>
          <w:sz w:val="32"/>
          <w:szCs w:val="32"/>
          <w14:textFill>
            <w14:solidFill>
              <w14:schemeClr w14:val="accent2"/>
            </w14:solidFill>
          </w14:textFill>
        </w:rPr>
      </w:pPr>
    </w:p>
    <w:p>
      <w:pPr>
        <w:rPr>
          <w:rFonts w:ascii="Calibri" w:hAnsi="Calibri" w:eastAsia="Calibri" w:cs="Calibri"/>
          <w:color w:val="ED7D31" w:themeColor="accent2"/>
          <w:sz w:val="32"/>
          <w:szCs w:val="32"/>
          <w14:textFill>
            <w14:solidFill>
              <w14:schemeClr w14:val="accent2"/>
            </w14:solidFill>
          </w14:textFill>
        </w:rPr>
      </w:pPr>
    </w:p>
    <w:p>
      <w:pPr>
        <w:rPr>
          <w:rFonts w:ascii="Calibri" w:hAnsi="Calibri" w:eastAsia="Calibri" w:cs="Calibri"/>
          <w:color w:val="ED7D31" w:themeColor="accent2"/>
          <w:sz w:val="32"/>
          <w:szCs w:val="32"/>
          <w14:textFill>
            <w14:solidFill>
              <w14:schemeClr w14:val="accent2"/>
            </w14:solidFill>
          </w14:textFill>
        </w:rPr>
      </w:pPr>
    </w:p>
    <w:p>
      <w:pPr>
        <w:rPr>
          <w:rFonts w:ascii="Calibri" w:hAnsi="Calibri" w:eastAsia="Calibri" w:cs="Calibri"/>
          <w:color w:val="ED7D31" w:themeColor="accent2"/>
          <w:sz w:val="32"/>
          <w:szCs w:val="32"/>
          <w14:textFill>
            <w14:solidFill>
              <w14:schemeClr w14:val="accent2"/>
            </w14:solidFill>
          </w14:textFill>
        </w:rPr>
      </w:pPr>
    </w:p>
    <w:p>
      <w:pPr>
        <w:rPr>
          <w:rFonts w:ascii="Calibri" w:hAnsi="Calibri" w:eastAsia="Calibri" w:cs="Calibri"/>
          <w:color w:val="ED7D31" w:themeColor="accent2"/>
          <w:sz w:val="32"/>
          <w:szCs w:val="32"/>
          <w14:textFill>
            <w14:solidFill>
              <w14:schemeClr w14:val="accent2"/>
            </w14:solidFill>
          </w14:textFill>
        </w:rPr>
      </w:pPr>
    </w:p>
    <w:p>
      <w:pPr>
        <w:rPr>
          <w:rFonts w:ascii="Calibri" w:hAnsi="Calibri" w:eastAsia="Calibri" w:cs="Calibri"/>
          <w:color w:val="ED7D31" w:themeColor="accent2"/>
          <w:sz w:val="32"/>
          <w:szCs w:val="32"/>
          <w14:textFill>
            <w14:solidFill>
              <w14:schemeClr w14:val="accent2"/>
            </w14:solidFill>
          </w14:textFill>
        </w:rPr>
      </w:pPr>
    </w:p>
    <w:p>
      <w:pPr>
        <w:rPr>
          <w:rFonts w:ascii="Calibri" w:hAnsi="Calibri" w:eastAsia="Calibri" w:cs="Calibri"/>
          <w:color w:val="ED7D31" w:themeColor="accent2"/>
          <w:sz w:val="32"/>
          <w:szCs w:val="32"/>
          <w14:textFill>
            <w14:solidFill>
              <w14:schemeClr w14:val="accent2"/>
            </w14:solidFill>
          </w14:textFill>
        </w:rPr>
      </w:pPr>
    </w:p>
    <w:p>
      <w:pPr>
        <w:rPr>
          <w:rFonts w:ascii="Calibri" w:hAnsi="Calibri" w:eastAsia="Calibri" w:cs="Calibri"/>
          <w:color w:val="ED7D31" w:themeColor="accent2"/>
          <w:sz w:val="32"/>
          <w:szCs w:val="32"/>
          <w14:textFill>
            <w14:solidFill>
              <w14:schemeClr w14:val="accent2"/>
            </w14:solidFill>
          </w14:textFill>
        </w:rPr>
      </w:pPr>
    </w:p>
    <w:p>
      <w:pPr>
        <w:ind w:firstLine="110" w:firstLineChars="50"/>
        <w:rPr>
          <w:rFonts w:hint="default" w:ascii="Calibri" w:hAnsi="Calibri" w:eastAsia="Calibri" w:cs="Calibri"/>
          <w:b/>
          <w:lang w:val="en-GB"/>
        </w:rPr>
      </w:pPr>
      <w:r>
        <w:rPr>
          <w:rFonts w:ascii="Calibri" w:hAnsi="Calibri" w:eastAsia="Calibri" w:cs="Calibri"/>
          <w:b/>
        </w:rPr>
        <w:t>Reference</w:t>
      </w:r>
      <w:r>
        <w:rPr>
          <w:rFonts w:hint="default" w:ascii="Calibri" w:hAnsi="Calibri" w:eastAsia="Calibri" w:cs="Calibri"/>
          <w:b/>
          <w:lang w:val="en-GB"/>
        </w:rPr>
        <w:t>s</w:t>
      </w:r>
    </w:p>
    <w:p>
      <w:pPr>
        <w:spacing w:line="360" w:lineRule="auto"/>
        <w:rPr>
          <w:rFonts w:hint="default" w:eastAsia="SimSun" w:cs="Calibri" w:asciiTheme="minorAscii" w:hAnsiTheme="minorAscii"/>
          <w:i w:val="0"/>
          <w:iCs w:val="0"/>
          <w:caps w:val="0"/>
          <w:color w:val="000000" w:themeColor="text1"/>
          <w:spacing w:val="0"/>
          <w:sz w:val="22"/>
          <w:szCs w:val="22"/>
          <w:shd w:val="clear" w:fill="FFFFFF"/>
          <w14:textFill>
            <w14:solidFill>
              <w14:schemeClr w14:val="tx1"/>
            </w14:solidFill>
          </w14:textFill>
        </w:rPr>
      </w:pPr>
      <w:r>
        <w:rPr>
          <w:rFonts w:hint="default" w:eastAsia="SimSun" w:cs="Calibri" w:asciiTheme="minorAscii" w:hAnsiTheme="minorAscii"/>
          <w:b w:val="0"/>
          <w:bCs w:val="0"/>
          <w:i w:val="0"/>
          <w:iCs w:val="0"/>
          <w:caps w:val="0"/>
          <w:color w:val="000000" w:themeColor="text1"/>
          <w:spacing w:val="0"/>
          <w:sz w:val="22"/>
          <w:szCs w:val="22"/>
          <w:shd w:val="clear" w:fill="FFFFFF"/>
          <w:lang w:val="en-US"/>
          <w14:textFill>
            <w14:solidFill>
              <w14:schemeClr w14:val="tx1"/>
            </w14:solidFill>
          </w14:textFill>
        </w:rPr>
        <w:t>Dianova</w:t>
      </w:r>
      <w:r>
        <w:rPr>
          <w:rFonts w:hint="default" w:eastAsia="SimSun" w:cs="Calibri" w:asciiTheme="minorAscii" w:hAnsiTheme="minorAscii"/>
          <w:b w:val="0"/>
          <w:bCs w:val="0"/>
          <w:i w:val="0"/>
          <w:iCs w:val="0"/>
          <w:caps w:val="0"/>
          <w:color w:val="000000" w:themeColor="text1"/>
          <w:spacing w:val="0"/>
          <w:sz w:val="22"/>
          <w:szCs w:val="22"/>
          <w:shd w:val="clear" w:fill="FFFFFF"/>
          <w:lang w:val="en-GB"/>
          <w14:textFill>
            <w14:solidFill>
              <w14:schemeClr w14:val="tx1"/>
            </w14:solidFill>
          </w14:textFill>
        </w:rPr>
        <w:t>.</w:t>
      </w:r>
      <w:r>
        <w:rPr>
          <w:rFonts w:hint="default" w:eastAsia="SimSun" w:cs="Calibri" w:asciiTheme="minorAscii" w:hAnsiTheme="minorAscii"/>
          <w:b w:val="0"/>
          <w:bCs w:val="0"/>
          <w:i w:val="0"/>
          <w:iCs w:val="0"/>
          <w:caps w:val="0"/>
          <w:color w:val="000000" w:themeColor="text1"/>
          <w:spacing w:val="0"/>
          <w:sz w:val="22"/>
          <w:szCs w:val="22"/>
          <w:shd w:val="clear" w:fill="FFFFFF"/>
          <w:lang w:val="en-US"/>
          <w14:textFill>
            <w14:solidFill>
              <w14:schemeClr w14:val="tx1"/>
            </w14:solidFill>
          </w14:textFill>
        </w:rPr>
        <w:t xml:space="preserve"> (2017). </w:t>
      </w:r>
      <w:r>
        <w:rPr>
          <w:rFonts w:hint="default" w:eastAsia="SimSun" w:cs="Calibri" w:asciiTheme="minorAscii" w:hAnsiTheme="minorAscii"/>
          <w:b w:val="0"/>
          <w:bCs w:val="0"/>
          <w:i/>
          <w:iCs/>
          <w:caps w:val="0"/>
          <w:color w:val="000000" w:themeColor="text1"/>
          <w:spacing w:val="0"/>
          <w:sz w:val="22"/>
          <w:szCs w:val="22"/>
          <w:shd w:val="clear" w:fill="FFFFFF"/>
          <w:lang w:val="en-US"/>
          <w14:textFill>
            <w14:solidFill>
              <w14:schemeClr w14:val="tx1"/>
            </w14:solidFill>
          </w14:textFill>
        </w:rPr>
        <w:t>Campaign on mental health</w:t>
      </w:r>
      <w:r>
        <w:rPr>
          <w:rFonts w:hint="default" w:eastAsia="SimSun" w:cs="Calibri" w:asciiTheme="minorAscii" w:hAnsiTheme="minorAscii"/>
          <w:b w:val="0"/>
          <w:bCs w:val="0"/>
          <w:i/>
          <w:iCs/>
          <w:caps w:val="0"/>
          <w:color w:val="000000" w:themeColor="text1"/>
          <w:spacing w:val="0"/>
          <w:sz w:val="22"/>
          <w:szCs w:val="22"/>
          <w:shd w:val="clear" w:fill="FFFFFF"/>
          <w:lang w:val="en-GB"/>
          <w14:textFill>
            <w14:solidFill>
              <w14:schemeClr w14:val="tx1"/>
            </w14:solidFill>
          </w14:textFill>
        </w:rPr>
        <w:t xml:space="preserve"> </w:t>
      </w:r>
      <w:r>
        <w:rPr>
          <w:rFonts w:hint="default" w:eastAsia="SimSun" w:cs="Calibri" w:asciiTheme="minorAscii" w:hAnsiTheme="minorAscii"/>
          <w:b w:val="0"/>
          <w:bCs w:val="0"/>
          <w:i w:val="0"/>
          <w:iCs w:val="0"/>
          <w:caps w:val="0"/>
          <w:color w:val="000000" w:themeColor="text1"/>
          <w:spacing w:val="0"/>
          <w:sz w:val="22"/>
          <w:szCs w:val="22"/>
          <w:shd w:val="clear" w:fill="FFFFFF"/>
          <w:lang w:val="en-GB"/>
          <w14:textFill>
            <w14:solidFill>
              <w14:schemeClr w14:val="tx1"/>
            </w14:solidFill>
          </w14:textFill>
        </w:rPr>
        <w:t>[</w:t>
      </w:r>
      <w:r>
        <w:rPr>
          <w:rFonts w:hint="default" w:eastAsia="SimSun" w:cs="Calibri" w:asciiTheme="minorAscii" w:hAnsiTheme="minorAscii"/>
          <w:b w:val="0"/>
          <w:bCs w:val="0"/>
          <w:i w:val="0"/>
          <w:iCs w:val="0"/>
          <w:caps w:val="0"/>
          <w:color w:val="000000" w:themeColor="text1"/>
          <w:spacing w:val="0"/>
          <w:sz w:val="22"/>
          <w:szCs w:val="22"/>
          <w:shd w:val="clear" w:fill="FFFFFF"/>
          <w:lang w:val="en-US"/>
          <w14:textFill>
            <w14:solidFill>
              <w14:schemeClr w14:val="tx1"/>
            </w14:solidFill>
          </w14:textFill>
        </w:rPr>
        <w:t>online</w:t>
      </w:r>
      <w:r>
        <w:rPr>
          <w:rFonts w:hint="default" w:eastAsia="SimSun" w:cs="Calibri" w:asciiTheme="minorAscii" w:hAnsiTheme="minorAscii"/>
          <w:b w:val="0"/>
          <w:bCs w:val="0"/>
          <w:i w:val="0"/>
          <w:iCs w:val="0"/>
          <w:caps w:val="0"/>
          <w:color w:val="000000" w:themeColor="text1"/>
          <w:spacing w:val="0"/>
          <w:sz w:val="22"/>
          <w:szCs w:val="22"/>
          <w:shd w:val="clear" w:fill="FFFFFF"/>
          <w:lang w:val="en-GB"/>
          <w14:textFill>
            <w14:solidFill>
              <w14:schemeClr w14:val="tx1"/>
            </w14:solidFill>
          </w14:textFill>
        </w:rPr>
        <w:t xml:space="preserve">]. </w:t>
      </w:r>
      <w:r>
        <w:rPr>
          <w:rFonts w:hint="default" w:eastAsia="SimSun" w:cs="Calibri" w:asciiTheme="minorAscii" w:hAnsiTheme="minorAscii"/>
          <w:b w:val="0"/>
          <w:bCs w:val="0"/>
          <w:i w:val="0"/>
          <w:iCs w:val="0"/>
          <w:caps w:val="0"/>
          <w:color w:val="000000" w:themeColor="text1"/>
          <w:spacing w:val="0"/>
          <w:sz w:val="22"/>
          <w:szCs w:val="22"/>
          <w:shd w:val="clear" w:fill="FFFFFF"/>
          <w:lang w:val="en-US"/>
          <w14:textFill>
            <w14:solidFill>
              <w14:schemeClr w14:val="tx1"/>
            </w14:solidFill>
          </w14:textFill>
        </w:rPr>
        <w:t xml:space="preserve">Available at: </w:t>
      </w:r>
      <w:r>
        <w:rPr>
          <w:rFonts w:hint="default" w:eastAsia="Segoe UI" w:cs="Segoe UI" w:asciiTheme="minorAscii" w:hAnsiTheme="minorAscii"/>
          <w:i w:val="0"/>
          <w:iCs w:val="0"/>
          <w:caps w:val="0"/>
          <w:color w:val="000000" w:themeColor="text1"/>
          <w:spacing w:val="0"/>
          <w:sz w:val="22"/>
          <w:szCs w:val="22"/>
          <w:u w:val="none"/>
          <w:shd w:val="clear" w:fill="FFFFFF"/>
          <w14:textFill>
            <w14:solidFill>
              <w14:schemeClr w14:val="tx1"/>
            </w14:solidFill>
          </w14:textFill>
        </w:rPr>
        <w:fldChar w:fldCharType="begin"/>
      </w:r>
      <w:r>
        <w:rPr>
          <w:rFonts w:hint="default" w:eastAsia="Segoe UI" w:cs="Segoe UI" w:asciiTheme="minorAscii" w:hAnsiTheme="minorAscii"/>
          <w:i w:val="0"/>
          <w:iCs w:val="0"/>
          <w:caps w:val="0"/>
          <w:color w:val="000000" w:themeColor="text1"/>
          <w:spacing w:val="0"/>
          <w:sz w:val="22"/>
          <w:szCs w:val="22"/>
          <w:u w:val="none"/>
          <w:shd w:val="clear" w:fill="FFFFFF"/>
          <w14:textFill>
            <w14:solidFill>
              <w14:schemeClr w14:val="tx1"/>
            </w14:solidFill>
          </w14:textFill>
        </w:rPr>
        <w:instrText xml:space="preserve"> HYPERLINK "https://www.dianova.org/press-room/releases/campaign-on-mental-health/" \t "https://ukc-word-edit.officeapps.live.com/we/_blank" </w:instrText>
      </w:r>
      <w:r>
        <w:rPr>
          <w:rFonts w:hint="default" w:eastAsia="Segoe UI" w:cs="Segoe UI" w:asciiTheme="minorAscii" w:hAnsiTheme="minorAscii"/>
          <w:i w:val="0"/>
          <w:iCs w:val="0"/>
          <w:caps w:val="0"/>
          <w:color w:val="000000" w:themeColor="text1"/>
          <w:spacing w:val="0"/>
          <w:sz w:val="22"/>
          <w:szCs w:val="22"/>
          <w:u w:val="none"/>
          <w:shd w:val="clear" w:fill="FFFFFF"/>
          <w14:textFill>
            <w14:solidFill>
              <w14:schemeClr w14:val="tx1"/>
            </w14:solidFill>
          </w14:textFill>
        </w:rPr>
        <w:fldChar w:fldCharType="separate"/>
      </w:r>
      <w:r>
        <w:rPr>
          <w:rStyle w:val="7"/>
          <w:rFonts w:hint="default" w:eastAsia="Segoe UI" w:cs="Calibri" w:asciiTheme="minorAscii" w:hAnsiTheme="minorAscii"/>
          <w:b w:val="0"/>
          <w:bCs w:val="0"/>
          <w:i w:val="0"/>
          <w:iCs w:val="0"/>
          <w:caps w:val="0"/>
          <w:color w:val="000000" w:themeColor="text1"/>
          <w:spacing w:val="0"/>
          <w:sz w:val="22"/>
          <w:szCs w:val="22"/>
          <w:u w:val="single"/>
          <w:shd w:val="clear" w:fill="FFFFFF"/>
          <w:lang w:val="en-US"/>
          <w14:textFill>
            <w14:solidFill>
              <w14:schemeClr w14:val="tx1"/>
            </w14:solidFill>
          </w14:textFill>
        </w:rPr>
        <w:t>https://www.dianova.org/press-room/releases/campaign-on-mental-health/</w:t>
      </w:r>
      <w:r>
        <w:rPr>
          <w:rFonts w:hint="default" w:eastAsia="Segoe UI" w:cs="Segoe UI" w:asciiTheme="minorAscii" w:hAnsiTheme="minorAscii"/>
          <w:i w:val="0"/>
          <w:iCs w:val="0"/>
          <w:caps w:val="0"/>
          <w:color w:val="000000" w:themeColor="text1"/>
          <w:spacing w:val="0"/>
          <w:sz w:val="22"/>
          <w:szCs w:val="22"/>
          <w:u w:val="none"/>
          <w:shd w:val="clear" w:fill="FFFFFF"/>
          <w14:textFill>
            <w14:solidFill>
              <w14:schemeClr w14:val="tx1"/>
            </w14:solidFill>
          </w14:textFill>
        </w:rPr>
        <w:fldChar w:fldCharType="end"/>
      </w:r>
      <w:r>
        <w:rPr>
          <w:rFonts w:hint="default" w:eastAsia="SimSun" w:cs="Calibri" w:asciiTheme="minorAscii" w:hAnsiTheme="minorAscii"/>
          <w:b w:val="0"/>
          <w:bCs w:val="0"/>
          <w:i w:val="0"/>
          <w:iCs w:val="0"/>
          <w:caps w:val="0"/>
          <w:color w:val="000000" w:themeColor="text1"/>
          <w:spacing w:val="0"/>
          <w:sz w:val="22"/>
          <w:szCs w:val="22"/>
          <w:shd w:val="clear" w:fill="FFFFFF"/>
          <w:lang w:val="en-US"/>
          <w14:textFill>
            <w14:solidFill>
              <w14:schemeClr w14:val="tx1"/>
            </w14:solidFill>
          </w14:textFill>
        </w:rPr>
        <w:t xml:space="preserve"> </w:t>
      </w:r>
      <w:r>
        <w:rPr>
          <w:rFonts w:hint="default" w:eastAsia="SimSun" w:cs="Calibri" w:asciiTheme="minorAscii" w:hAnsiTheme="minorAscii"/>
          <w:b w:val="0"/>
          <w:bCs w:val="0"/>
          <w:i w:val="0"/>
          <w:iCs w:val="0"/>
          <w:caps w:val="0"/>
          <w:color w:val="000000" w:themeColor="text1"/>
          <w:spacing w:val="0"/>
          <w:sz w:val="22"/>
          <w:szCs w:val="22"/>
          <w:shd w:val="clear" w:fill="FFFFFF"/>
          <w:lang w:val="en-GB"/>
          <w14:textFill>
            <w14:solidFill>
              <w14:schemeClr w14:val="tx1"/>
            </w14:solidFill>
          </w14:textFill>
        </w:rPr>
        <w:t>(</w:t>
      </w:r>
      <w:r>
        <w:rPr>
          <w:rFonts w:hint="default" w:eastAsia="SimSun" w:cs="Calibri" w:asciiTheme="minorAscii" w:hAnsiTheme="minorAscii"/>
          <w:b w:val="0"/>
          <w:bCs w:val="0"/>
          <w:i w:val="0"/>
          <w:iCs w:val="0"/>
          <w:caps w:val="0"/>
          <w:color w:val="000000" w:themeColor="text1"/>
          <w:spacing w:val="0"/>
          <w:sz w:val="22"/>
          <w:szCs w:val="22"/>
          <w:shd w:val="clear" w:fill="FFFFFF"/>
          <w:lang w:val="en-US"/>
          <w14:textFill>
            <w14:solidFill>
              <w14:schemeClr w14:val="tx1"/>
            </w14:solidFill>
          </w14:textFill>
        </w:rPr>
        <w:t>Accessed 29 Dec. 2022</w:t>
      </w:r>
      <w:r>
        <w:rPr>
          <w:rFonts w:hint="default" w:eastAsia="SimSun" w:cs="Calibri" w:asciiTheme="minorAscii" w:hAnsiTheme="minorAscii"/>
          <w:b w:val="0"/>
          <w:bCs w:val="0"/>
          <w:i w:val="0"/>
          <w:iCs w:val="0"/>
          <w:caps w:val="0"/>
          <w:color w:val="000000" w:themeColor="text1"/>
          <w:spacing w:val="0"/>
          <w:sz w:val="22"/>
          <w:szCs w:val="22"/>
          <w:shd w:val="clear" w:fill="FFFFFF"/>
          <w:lang w:val="en-GB"/>
          <w14:textFill>
            <w14:solidFill>
              <w14:schemeClr w14:val="tx1"/>
            </w14:solidFill>
          </w14:textFill>
        </w:rPr>
        <w:t>).</w:t>
      </w:r>
      <w:r>
        <w:rPr>
          <w:rFonts w:hint="default" w:eastAsia="SimSun" w:cs="Calibri" w:asciiTheme="minorAscii" w:hAnsiTheme="minorAscii"/>
          <w:i w:val="0"/>
          <w:iCs w:val="0"/>
          <w:caps w:val="0"/>
          <w:color w:val="000000" w:themeColor="text1"/>
          <w:spacing w:val="0"/>
          <w:sz w:val="22"/>
          <w:szCs w:val="22"/>
          <w:shd w:val="clear" w:fill="FFFFFF"/>
          <w14:textFill>
            <w14:solidFill>
              <w14:schemeClr w14:val="tx1"/>
            </w14:solidFill>
          </w14:textFill>
        </w:rPr>
        <w:t> </w:t>
      </w:r>
    </w:p>
    <w:p>
      <w:pPr>
        <w:spacing w:line="360" w:lineRule="auto"/>
        <w:rPr>
          <w:rFonts w:hint="default" w:eastAsia="SimSun" w:cs="Calibri" w:asciiTheme="minorAscii" w:hAnsiTheme="minorAscii"/>
          <w:i w:val="0"/>
          <w:iCs w:val="0"/>
          <w:caps w:val="0"/>
          <w:color w:val="000000" w:themeColor="text1"/>
          <w:spacing w:val="0"/>
          <w:sz w:val="22"/>
          <w:szCs w:val="22"/>
          <w:shd w:val="clear" w:fill="FFFFFF"/>
          <w:lang w:val="en-GB"/>
          <w14:textFill>
            <w14:solidFill>
              <w14:schemeClr w14:val="tx1"/>
            </w14:solidFill>
          </w14:textFill>
        </w:rPr>
      </w:pPr>
      <w:r>
        <w:rPr>
          <w:rFonts w:hint="default" w:eastAsia="SimSun" w:cs="Calibri" w:asciiTheme="minorAscii" w:hAnsiTheme="minorAscii"/>
          <w:b w:val="0"/>
          <w:bCs w:val="0"/>
          <w:i w:val="0"/>
          <w:iCs w:val="0"/>
          <w:caps w:val="0"/>
          <w:color w:val="000000" w:themeColor="text1"/>
          <w:spacing w:val="0"/>
          <w:sz w:val="22"/>
          <w:szCs w:val="22"/>
          <w:shd w:val="clear" w:fill="FFFFFF"/>
          <w:lang w:val="en-US"/>
          <w14:textFill>
            <w14:solidFill>
              <w14:schemeClr w14:val="tx1"/>
            </w14:solidFill>
          </w14:textFill>
        </w:rPr>
        <w:t>NHS</w:t>
      </w:r>
      <w:r>
        <w:rPr>
          <w:rFonts w:hint="default" w:eastAsia="SimSun" w:cs="Calibri" w:asciiTheme="minorAscii" w:hAnsiTheme="minorAscii"/>
          <w:b w:val="0"/>
          <w:bCs w:val="0"/>
          <w:i w:val="0"/>
          <w:iCs w:val="0"/>
          <w:caps w:val="0"/>
          <w:color w:val="000000" w:themeColor="text1"/>
          <w:spacing w:val="0"/>
          <w:sz w:val="22"/>
          <w:szCs w:val="22"/>
          <w:shd w:val="clear" w:fill="FFFFFF"/>
          <w:lang w:val="en-GB"/>
          <w14:textFill>
            <w14:solidFill>
              <w14:schemeClr w14:val="tx1"/>
            </w14:solidFill>
          </w14:textFill>
        </w:rPr>
        <w:t xml:space="preserve">. </w:t>
      </w:r>
      <w:r>
        <w:rPr>
          <w:rFonts w:hint="default" w:eastAsia="SimSun" w:cs="Calibri" w:asciiTheme="minorAscii" w:hAnsiTheme="minorAscii"/>
          <w:b w:val="0"/>
          <w:bCs w:val="0"/>
          <w:i w:val="0"/>
          <w:iCs w:val="0"/>
          <w:caps w:val="0"/>
          <w:color w:val="000000" w:themeColor="text1"/>
          <w:spacing w:val="0"/>
          <w:sz w:val="22"/>
          <w:szCs w:val="22"/>
          <w:shd w:val="clear" w:fill="FFFFFF"/>
          <w:lang w:val="en-US"/>
          <w14:textFill>
            <w14:solidFill>
              <w14:schemeClr w14:val="tx1"/>
            </w14:solidFill>
          </w14:textFill>
        </w:rPr>
        <w:t xml:space="preserve">(2020). </w:t>
      </w:r>
      <w:r>
        <w:rPr>
          <w:rFonts w:hint="default" w:eastAsia="SimSun" w:cs="Calibri" w:asciiTheme="minorAscii" w:hAnsiTheme="minorAscii"/>
          <w:b w:val="0"/>
          <w:bCs w:val="0"/>
          <w:i/>
          <w:iCs/>
          <w:caps w:val="0"/>
          <w:color w:val="000000" w:themeColor="text1"/>
          <w:spacing w:val="0"/>
          <w:sz w:val="22"/>
          <w:szCs w:val="22"/>
          <w:shd w:val="clear" w:fill="FFFFFF"/>
          <w:lang w:val="en-US"/>
          <w14:textFill>
            <w14:solidFill>
              <w14:schemeClr w14:val="tx1"/>
            </w14:solidFill>
          </w14:textFill>
        </w:rPr>
        <w:t>NHS Long Term Plan</w:t>
      </w:r>
      <w:r>
        <w:rPr>
          <w:rFonts w:hint="default" w:eastAsia="SimSun" w:cs="Calibri" w:asciiTheme="minorAscii" w:hAnsiTheme="minorAscii"/>
          <w:b w:val="0"/>
          <w:bCs w:val="0"/>
          <w:i/>
          <w:iCs/>
          <w:caps w:val="0"/>
          <w:color w:val="000000" w:themeColor="text1"/>
          <w:spacing w:val="0"/>
          <w:sz w:val="22"/>
          <w:szCs w:val="22"/>
          <w:shd w:val="clear" w:fill="FFFFFF"/>
          <w:lang w:val="en-GB"/>
          <w14:textFill>
            <w14:solidFill>
              <w14:schemeClr w14:val="tx1"/>
            </w14:solidFill>
          </w14:textFill>
        </w:rPr>
        <w:t xml:space="preserve"> </w:t>
      </w:r>
      <w:r>
        <w:rPr>
          <w:rFonts w:hint="default" w:eastAsia="SimSun" w:cs="Calibri" w:asciiTheme="minorAscii" w:hAnsiTheme="minorAscii"/>
          <w:b w:val="0"/>
          <w:bCs w:val="0"/>
          <w:i w:val="0"/>
          <w:iCs w:val="0"/>
          <w:caps w:val="0"/>
          <w:color w:val="000000" w:themeColor="text1"/>
          <w:spacing w:val="0"/>
          <w:sz w:val="22"/>
          <w:szCs w:val="22"/>
          <w:shd w:val="clear" w:fill="FFFFFF"/>
          <w:lang w:val="en-US"/>
          <w14:textFill>
            <w14:solidFill>
              <w14:schemeClr w14:val="tx1"/>
            </w14:solidFill>
          </w14:textFill>
        </w:rPr>
        <w:t xml:space="preserve"> </w:t>
      </w:r>
      <w:r>
        <w:rPr>
          <w:rFonts w:hint="default" w:eastAsia="SimSun" w:cs="Calibri" w:asciiTheme="minorAscii" w:hAnsiTheme="minorAscii"/>
          <w:b w:val="0"/>
          <w:bCs w:val="0"/>
          <w:i w:val="0"/>
          <w:iCs w:val="0"/>
          <w:caps w:val="0"/>
          <w:color w:val="000000" w:themeColor="text1"/>
          <w:spacing w:val="0"/>
          <w:sz w:val="22"/>
          <w:szCs w:val="22"/>
          <w:shd w:val="clear" w:fill="FFFFFF"/>
          <w:lang w:val="en-GB"/>
          <w14:textFill>
            <w14:solidFill>
              <w14:schemeClr w14:val="tx1"/>
            </w14:solidFill>
          </w14:textFill>
        </w:rPr>
        <w:t>[</w:t>
      </w:r>
      <w:r>
        <w:rPr>
          <w:rFonts w:hint="default" w:eastAsia="SimSun" w:cs="Calibri" w:asciiTheme="minorAscii" w:hAnsiTheme="minorAscii"/>
          <w:b w:val="0"/>
          <w:bCs w:val="0"/>
          <w:i w:val="0"/>
          <w:iCs w:val="0"/>
          <w:caps w:val="0"/>
          <w:color w:val="000000" w:themeColor="text1"/>
          <w:spacing w:val="0"/>
          <w:sz w:val="22"/>
          <w:szCs w:val="22"/>
          <w:shd w:val="clear" w:fill="FFFFFF"/>
          <w:lang w:val="en-US"/>
          <w14:textFill>
            <w14:solidFill>
              <w14:schemeClr w14:val="tx1"/>
            </w14:solidFill>
          </w14:textFill>
        </w:rPr>
        <w:t>online</w:t>
      </w:r>
      <w:r>
        <w:rPr>
          <w:rFonts w:hint="default" w:eastAsia="SimSun" w:cs="Calibri" w:asciiTheme="minorAscii" w:hAnsiTheme="minorAscii"/>
          <w:b w:val="0"/>
          <w:bCs w:val="0"/>
          <w:i w:val="0"/>
          <w:iCs w:val="0"/>
          <w:caps w:val="0"/>
          <w:color w:val="000000" w:themeColor="text1"/>
          <w:spacing w:val="0"/>
          <w:sz w:val="22"/>
          <w:szCs w:val="22"/>
          <w:shd w:val="clear" w:fill="FFFFFF"/>
          <w:lang w:val="en-GB"/>
          <w14:textFill>
            <w14:solidFill>
              <w14:schemeClr w14:val="tx1"/>
            </w14:solidFill>
          </w14:textFill>
        </w:rPr>
        <w:t xml:space="preserve">]. </w:t>
      </w:r>
      <w:r>
        <w:rPr>
          <w:rFonts w:hint="default" w:eastAsia="SimSun" w:cs="Calibri" w:asciiTheme="minorAscii" w:hAnsiTheme="minorAscii"/>
          <w:b w:val="0"/>
          <w:bCs w:val="0"/>
          <w:i w:val="0"/>
          <w:iCs w:val="0"/>
          <w:caps w:val="0"/>
          <w:color w:val="000000" w:themeColor="text1"/>
          <w:spacing w:val="0"/>
          <w:sz w:val="22"/>
          <w:szCs w:val="22"/>
          <w:shd w:val="clear" w:fill="FFFFFF"/>
          <w:lang w:val="en-US"/>
          <w14:textFill>
            <w14:solidFill>
              <w14:schemeClr w14:val="tx1"/>
            </w14:solidFill>
          </w14:textFill>
        </w:rPr>
        <w:t xml:space="preserve"> NHS Long Term Plan. Available at: </w:t>
      </w:r>
      <w:r>
        <w:rPr>
          <w:rFonts w:hint="default" w:eastAsia="Segoe UI" w:cs="Segoe UI" w:asciiTheme="minorAscii" w:hAnsiTheme="minorAscii"/>
          <w:i w:val="0"/>
          <w:iCs w:val="0"/>
          <w:caps w:val="0"/>
          <w:color w:val="000000" w:themeColor="text1"/>
          <w:spacing w:val="0"/>
          <w:sz w:val="22"/>
          <w:szCs w:val="22"/>
          <w:u w:val="none"/>
          <w:shd w:val="clear" w:fill="FFFFFF"/>
          <w14:textFill>
            <w14:solidFill>
              <w14:schemeClr w14:val="tx1"/>
            </w14:solidFill>
          </w14:textFill>
        </w:rPr>
        <w:fldChar w:fldCharType="begin"/>
      </w:r>
      <w:r>
        <w:rPr>
          <w:rFonts w:hint="default" w:eastAsia="Segoe UI" w:cs="Segoe UI" w:asciiTheme="minorAscii" w:hAnsiTheme="minorAscii"/>
          <w:i w:val="0"/>
          <w:iCs w:val="0"/>
          <w:caps w:val="0"/>
          <w:color w:val="000000" w:themeColor="text1"/>
          <w:spacing w:val="0"/>
          <w:sz w:val="22"/>
          <w:szCs w:val="22"/>
          <w:u w:val="none"/>
          <w:shd w:val="clear" w:fill="FFFFFF"/>
          <w14:textFill>
            <w14:solidFill>
              <w14:schemeClr w14:val="tx1"/>
            </w14:solidFill>
          </w14:textFill>
        </w:rPr>
        <w:instrText xml:space="preserve"> HYPERLINK "https://www.longtermplan.nhs.uk/" \t "https://ukc-word-edit.officeapps.live.com/we/_blank" </w:instrText>
      </w:r>
      <w:r>
        <w:rPr>
          <w:rFonts w:hint="default" w:eastAsia="Segoe UI" w:cs="Segoe UI" w:asciiTheme="minorAscii" w:hAnsiTheme="minorAscii"/>
          <w:i w:val="0"/>
          <w:iCs w:val="0"/>
          <w:caps w:val="0"/>
          <w:color w:val="000000" w:themeColor="text1"/>
          <w:spacing w:val="0"/>
          <w:sz w:val="22"/>
          <w:szCs w:val="22"/>
          <w:u w:val="none"/>
          <w:shd w:val="clear" w:fill="FFFFFF"/>
          <w14:textFill>
            <w14:solidFill>
              <w14:schemeClr w14:val="tx1"/>
            </w14:solidFill>
          </w14:textFill>
        </w:rPr>
        <w:fldChar w:fldCharType="separate"/>
      </w:r>
      <w:r>
        <w:rPr>
          <w:rStyle w:val="7"/>
          <w:rFonts w:hint="default" w:eastAsia="Segoe UI" w:cs="Calibri" w:asciiTheme="minorAscii" w:hAnsiTheme="minorAscii"/>
          <w:b w:val="0"/>
          <w:bCs w:val="0"/>
          <w:i w:val="0"/>
          <w:iCs w:val="0"/>
          <w:caps w:val="0"/>
          <w:color w:val="000000" w:themeColor="text1"/>
          <w:spacing w:val="0"/>
          <w:sz w:val="22"/>
          <w:szCs w:val="22"/>
          <w:u w:val="single"/>
          <w:shd w:val="clear" w:fill="FFFFFF"/>
          <w:lang w:val="en-US"/>
          <w14:textFill>
            <w14:solidFill>
              <w14:schemeClr w14:val="tx1"/>
            </w14:solidFill>
          </w14:textFill>
        </w:rPr>
        <w:t>https://www.longtermplan.nhs.uk/</w:t>
      </w:r>
      <w:r>
        <w:rPr>
          <w:rFonts w:hint="default" w:eastAsia="Segoe UI" w:cs="Segoe UI" w:asciiTheme="minorAscii" w:hAnsiTheme="minorAscii"/>
          <w:i w:val="0"/>
          <w:iCs w:val="0"/>
          <w:caps w:val="0"/>
          <w:color w:val="000000" w:themeColor="text1"/>
          <w:spacing w:val="0"/>
          <w:sz w:val="22"/>
          <w:szCs w:val="22"/>
          <w:u w:val="none"/>
          <w:shd w:val="clear" w:fill="FFFFFF"/>
          <w14:textFill>
            <w14:solidFill>
              <w14:schemeClr w14:val="tx1"/>
            </w14:solidFill>
          </w14:textFill>
        </w:rPr>
        <w:fldChar w:fldCharType="end"/>
      </w:r>
      <w:r>
        <w:rPr>
          <w:rFonts w:hint="default" w:eastAsia="Segoe UI" w:cs="Segoe UI" w:asciiTheme="minorAscii" w:hAnsiTheme="minorAscii"/>
          <w:i w:val="0"/>
          <w:iCs w:val="0"/>
          <w:caps w:val="0"/>
          <w:color w:val="000000" w:themeColor="text1"/>
          <w:spacing w:val="0"/>
          <w:sz w:val="22"/>
          <w:szCs w:val="22"/>
          <w:u w:val="none"/>
          <w:shd w:val="clear" w:fill="FFFFFF"/>
          <w:lang w:val="en-GB"/>
          <w14:textFill>
            <w14:solidFill>
              <w14:schemeClr w14:val="tx1"/>
            </w14:solidFill>
          </w14:textFill>
        </w:rPr>
        <w:t xml:space="preserve"> (Accessed 2 December 2022).</w:t>
      </w:r>
    </w:p>
    <w:p>
      <w:pPr>
        <w:spacing w:line="360" w:lineRule="auto"/>
        <w:rPr>
          <w:rFonts w:hint="default" w:eastAsia="SimSun" w:cs="Calibri" w:asciiTheme="minorAscii" w:hAnsiTheme="minorAscii"/>
          <w:i w:val="0"/>
          <w:iCs w:val="0"/>
          <w:caps w:val="0"/>
          <w:color w:val="000000" w:themeColor="text1"/>
          <w:spacing w:val="0"/>
          <w:sz w:val="22"/>
          <w:szCs w:val="22"/>
          <w:shd w:val="clear" w:fill="FFFFFF"/>
          <w14:textFill>
            <w14:solidFill>
              <w14:schemeClr w14:val="tx1"/>
            </w14:solidFill>
          </w14:textFill>
        </w:rPr>
      </w:pPr>
      <w:r>
        <w:rPr>
          <w:rFonts w:hint="default" w:eastAsia="SimSun" w:cs="Calibri" w:asciiTheme="minorAscii" w:hAnsiTheme="minorAscii"/>
          <w:b w:val="0"/>
          <w:bCs w:val="0"/>
          <w:i w:val="0"/>
          <w:iCs w:val="0"/>
          <w:caps w:val="0"/>
          <w:color w:val="000000" w:themeColor="text1"/>
          <w:spacing w:val="0"/>
          <w:sz w:val="22"/>
          <w:szCs w:val="22"/>
          <w:shd w:val="clear" w:fill="FFFFFF"/>
          <w:lang w:val="en-US"/>
          <w14:textFill>
            <w14:solidFill>
              <w14:schemeClr w14:val="tx1"/>
            </w14:solidFill>
          </w14:textFill>
        </w:rPr>
        <w:t>Change Your Mind</w:t>
      </w:r>
      <w:r>
        <w:rPr>
          <w:rFonts w:hint="default" w:eastAsia="SimSun" w:cs="Calibri" w:asciiTheme="minorAscii" w:hAnsiTheme="minorAscii"/>
          <w:b w:val="0"/>
          <w:bCs w:val="0"/>
          <w:i w:val="0"/>
          <w:iCs w:val="0"/>
          <w:caps w:val="0"/>
          <w:color w:val="000000" w:themeColor="text1"/>
          <w:spacing w:val="0"/>
          <w:sz w:val="22"/>
          <w:szCs w:val="22"/>
          <w:shd w:val="clear" w:fill="FFFFFF"/>
          <w:lang w:val="en-GB"/>
          <w14:textFill>
            <w14:solidFill>
              <w14:schemeClr w14:val="tx1"/>
            </w14:solidFill>
          </w14:textFill>
        </w:rPr>
        <w:t>.</w:t>
      </w:r>
      <w:r>
        <w:rPr>
          <w:rFonts w:hint="default" w:eastAsia="SimSun" w:cs="Calibri" w:asciiTheme="minorAscii" w:hAnsiTheme="minorAscii"/>
          <w:b w:val="0"/>
          <w:bCs w:val="0"/>
          <w:i w:val="0"/>
          <w:iCs w:val="0"/>
          <w:caps w:val="0"/>
          <w:color w:val="000000" w:themeColor="text1"/>
          <w:spacing w:val="0"/>
          <w:sz w:val="22"/>
          <w:szCs w:val="22"/>
          <w:shd w:val="clear" w:fill="FFFFFF"/>
          <w:lang w:val="en-US"/>
          <w14:textFill>
            <w14:solidFill>
              <w14:schemeClr w14:val="tx1"/>
            </w14:solidFill>
          </w14:textFill>
        </w:rPr>
        <w:t xml:space="preserve"> (2022). </w:t>
      </w:r>
      <w:r>
        <w:rPr>
          <w:rFonts w:hint="default" w:eastAsia="SimSun" w:cs="Calibri" w:asciiTheme="minorAscii" w:hAnsiTheme="minorAscii"/>
          <w:b w:val="0"/>
          <w:bCs w:val="0"/>
          <w:i/>
          <w:iCs/>
          <w:caps w:val="0"/>
          <w:color w:val="000000" w:themeColor="text1"/>
          <w:spacing w:val="0"/>
          <w:sz w:val="22"/>
          <w:szCs w:val="22"/>
          <w:shd w:val="clear" w:fill="FFFFFF"/>
          <w:lang w:val="en-US"/>
          <w14:textFill>
            <w14:solidFill>
              <w14:schemeClr w14:val="tx1"/>
            </w14:solidFill>
          </w14:textFill>
        </w:rPr>
        <w:t>Mental Health Awareness Campaigns UK and Ireland</w:t>
      </w:r>
      <w:r>
        <w:rPr>
          <w:rFonts w:hint="default" w:eastAsia="SimSun" w:cs="Calibri" w:asciiTheme="minorAscii" w:hAnsiTheme="minorAscii"/>
          <w:b w:val="0"/>
          <w:bCs w:val="0"/>
          <w:i/>
          <w:iCs/>
          <w:caps w:val="0"/>
          <w:color w:val="000000" w:themeColor="text1"/>
          <w:spacing w:val="0"/>
          <w:sz w:val="22"/>
          <w:szCs w:val="22"/>
          <w:shd w:val="clear" w:fill="FFFFFF"/>
          <w:lang w:val="en-GB"/>
          <w14:textFill>
            <w14:solidFill>
              <w14:schemeClr w14:val="tx1"/>
            </w14:solidFill>
          </w14:textFill>
        </w:rPr>
        <w:t xml:space="preserve">  </w:t>
      </w:r>
      <w:r>
        <w:rPr>
          <w:rFonts w:hint="default" w:eastAsia="SimSun" w:cs="Calibri" w:asciiTheme="minorAscii" w:hAnsiTheme="minorAscii"/>
          <w:b w:val="0"/>
          <w:bCs w:val="0"/>
          <w:i w:val="0"/>
          <w:iCs w:val="0"/>
          <w:caps w:val="0"/>
          <w:color w:val="000000" w:themeColor="text1"/>
          <w:spacing w:val="0"/>
          <w:sz w:val="22"/>
          <w:szCs w:val="22"/>
          <w:shd w:val="clear" w:fill="FFFFFF"/>
          <w:lang w:val="en-GB"/>
          <w14:textFill>
            <w14:solidFill>
              <w14:schemeClr w14:val="tx1"/>
            </w14:solidFill>
          </w14:textFill>
        </w:rPr>
        <w:t>[</w:t>
      </w:r>
      <w:r>
        <w:rPr>
          <w:rFonts w:hint="default" w:eastAsia="SimSun" w:cs="Calibri" w:asciiTheme="minorAscii" w:hAnsiTheme="minorAscii"/>
          <w:b w:val="0"/>
          <w:bCs w:val="0"/>
          <w:i w:val="0"/>
          <w:iCs w:val="0"/>
          <w:caps w:val="0"/>
          <w:color w:val="000000" w:themeColor="text1"/>
          <w:spacing w:val="0"/>
          <w:sz w:val="22"/>
          <w:szCs w:val="22"/>
          <w:shd w:val="clear" w:fill="FFFFFF"/>
          <w:lang w:val="en-US"/>
          <w14:textFill>
            <w14:solidFill>
              <w14:schemeClr w14:val="tx1"/>
            </w14:solidFill>
          </w14:textFill>
        </w:rPr>
        <w:t>online</w:t>
      </w:r>
      <w:r>
        <w:rPr>
          <w:rFonts w:hint="default" w:eastAsia="SimSun" w:cs="Calibri" w:asciiTheme="minorAscii" w:hAnsiTheme="minorAscii"/>
          <w:b w:val="0"/>
          <w:bCs w:val="0"/>
          <w:i w:val="0"/>
          <w:iCs w:val="0"/>
          <w:caps w:val="0"/>
          <w:color w:val="000000" w:themeColor="text1"/>
          <w:spacing w:val="0"/>
          <w:sz w:val="22"/>
          <w:szCs w:val="22"/>
          <w:shd w:val="clear" w:fill="FFFFFF"/>
          <w:lang w:val="en-GB"/>
          <w14:textFill>
            <w14:solidFill>
              <w14:schemeClr w14:val="tx1"/>
            </w14:solidFill>
          </w14:textFill>
        </w:rPr>
        <w:t xml:space="preserve">]. </w:t>
      </w:r>
      <w:r>
        <w:rPr>
          <w:rFonts w:hint="default" w:eastAsia="SimSun" w:cs="Calibri" w:asciiTheme="minorAscii" w:hAnsiTheme="minorAscii"/>
          <w:b w:val="0"/>
          <w:bCs w:val="0"/>
          <w:i w:val="0"/>
          <w:iCs w:val="0"/>
          <w:caps w:val="0"/>
          <w:color w:val="000000" w:themeColor="text1"/>
          <w:spacing w:val="0"/>
          <w:sz w:val="22"/>
          <w:szCs w:val="22"/>
          <w:shd w:val="clear" w:fill="FFFFFF"/>
          <w:lang w:val="en-US"/>
          <w14:textFill>
            <w14:solidFill>
              <w14:schemeClr w14:val="tx1"/>
            </w14:solidFill>
          </w14:textFill>
        </w:rPr>
        <w:t xml:space="preserve"> Available at: </w:t>
      </w:r>
      <w:r>
        <w:rPr>
          <w:rFonts w:hint="default" w:eastAsia="Segoe UI" w:cs="Segoe UI" w:asciiTheme="minorAscii" w:hAnsiTheme="minorAscii"/>
          <w:i w:val="0"/>
          <w:iCs w:val="0"/>
          <w:caps w:val="0"/>
          <w:color w:val="000000" w:themeColor="text1"/>
          <w:spacing w:val="0"/>
          <w:sz w:val="22"/>
          <w:szCs w:val="22"/>
          <w:u w:val="none"/>
          <w:shd w:val="clear" w:fill="FFFFFF"/>
          <w14:textFill>
            <w14:solidFill>
              <w14:schemeClr w14:val="tx1"/>
            </w14:solidFill>
          </w14:textFill>
        </w:rPr>
        <w:fldChar w:fldCharType="begin"/>
      </w:r>
      <w:r>
        <w:rPr>
          <w:rFonts w:hint="default" w:eastAsia="Segoe UI" w:cs="Segoe UI" w:asciiTheme="minorAscii" w:hAnsiTheme="minorAscii"/>
          <w:i w:val="0"/>
          <w:iCs w:val="0"/>
          <w:caps w:val="0"/>
          <w:color w:val="000000" w:themeColor="text1"/>
          <w:spacing w:val="0"/>
          <w:sz w:val="22"/>
          <w:szCs w:val="22"/>
          <w:u w:val="none"/>
          <w:shd w:val="clear" w:fill="FFFFFF"/>
          <w14:textFill>
            <w14:solidFill>
              <w14:schemeClr w14:val="tx1"/>
            </w14:solidFill>
          </w14:textFill>
        </w:rPr>
        <w:instrText xml:space="preserve"> HYPERLINK "https://www.changeyourmindni.org/our-campaigns" \t "https://ukc-word-edit.officeapps.live.com/we/_blank" </w:instrText>
      </w:r>
      <w:r>
        <w:rPr>
          <w:rFonts w:hint="default" w:eastAsia="Segoe UI" w:cs="Segoe UI" w:asciiTheme="minorAscii" w:hAnsiTheme="minorAscii"/>
          <w:i w:val="0"/>
          <w:iCs w:val="0"/>
          <w:caps w:val="0"/>
          <w:color w:val="000000" w:themeColor="text1"/>
          <w:spacing w:val="0"/>
          <w:sz w:val="22"/>
          <w:szCs w:val="22"/>
          <w:u w:val="none"/>
          <w:shd w:val="clear" w:fill="FFFFFF"/>
          <w14:textFill>
            <w14:solidFill>
              <w14:schemeClr w14:val="tx1"/>
            </w14:solidFill>
          </w14:textFill>
        </w:rPr>
        <w:fldChar w:fldCharType="separate"/>
      </w:r>
      <w:r>
        <w:rPr>
          <w:rStyle w:val="7"/>
          <w:rFonts w:hint="default" w:eastAsia="Segoe UI" w:cs="Calibri" w:asciiTheme="minorAscii" w:hAnsiTheme="minorAscii"/>
          <w:b w:val="0"/>
          <w:bCs w:val="0"/>
          <w:i w:val="0"/>
          <w:iCs w:val="0"/>
          <w:caps w:val="0"/>
          <w:color w:val="000000" w:themeColor="text1"/>
          <w:spacing w:val="0"/>
          <w:sz w:val="22"/>
          <w:szCs w:val="22"/>
          <w:u w:val="single"/>
          <w:shd w:val="clear" w:fill="FFFFFF"/>
          <w:lang w:val="en-US"/>
          <w14:textFill>
            <w14:solidFill>
              <w14:schemeClr w14:val="tx1"/>
            </w14:solidFill>
          </w14:textFill>
        </w:rPr>
        <w:t>https://www.changeyourmindni.org/our-campaigns</w:t>
      </w:r>
      <w:r>
        <w:rPr>
          <w:rFonts w:hint="default" w:eastAsia="Segoe UI" w:cs="Segoe UI" w:asciiTheme="minorAscii" w:hAnsiTheme="minorAscii"/>
          <w:i w:val="0"/>
          <w:iCs w:val="0"/>
          <w:caps w:val="0"/>
          <w:color w:val="000000" w:themeColor="text1"/>
          <w:spacing w:val="0"/>
          <w:sz w:val="22"/>
          <w:szCs w:val="22"/>
          <w:u w:val="none"/>
          <w:shd w:val="clear" w:fill="FFFFFF"/>
          <w14:textFill>
            <w14:solidFill>
              <w14:schemeClr w14:val="tx1"/>
            </w14:solidFill>
          </w14:textFill>
        </w:rPr>
        <w:fldChar w:fldCharType="end"/>
      </w:r>
      <w:r>
        <w:rPr>
          <w:rFonts w:hint="default" w:eastAsia="SimSun" w:cs="Calibri" w:asciiTheme="minorAscii" w:hAnsiTheme="minorAscii"/>
          <w:b w:val="0"/>
          <w:bCs w:val="0"/>
          <w:i w:val="0"/>
          <w:iCs w:val="0"/>
          <w:caps w:val="0"/>
          <w:color w:val="000000" w:themeColor="text1"/>
          <w:spacing w:val="0"/>
          <w:sz w:val="22"/>
          <w:szCs w:val="22"/>
          <w:shd w:val="clear" w:fill="FFFFFF"/>
          <w:lang w:val="en-US"/>
          <w14:textFill>
            <w14:solidFill>
              <w14:schemeClr w14:val="tx1"/>
            </w14:solidFill>
          </w14:textFill>
        </w:rPr>
        <w:t xml:space="preserve"> </w:t>
      </w:r>
      <w:r>
        <w:rPr>
          <w:rFonts w:hint="default" w:eastAsia="SimSun" w:cs="Calibri" w:asciiTheme="minorAscii" w:hAnsiTheme="minorAscii"/>
          <w:b w:val="0"/>
          <w:bCs w:val="0"/>
          <w:i w:val="0"/>
          <w:iCs w:val="0"/>
          <w:caps w:val="0"/>
          <w:color w:val="000000" w:themeColor="text1"/>
          <w:spacing w:val="0"/>
          <w:sz w:val="22"/>
          <w:szCs w:val="22"/>
          <w:shd w:val="clear" w:fill="FFFFFF"/>
          <w:lang w:val="en-GB"/>
          <w14:textFill>
            <w14:solidFill>
              <w14:schemeClr w14:val="tx1"/>
            </w14:solidFill>
          </w14:textFill>
        </w:rPr>
        <w:t>(</w:t>
      </w:r>
      <w:r>
        <w:rPr>
          <w:rFonts w:hint="default" w:eastAsia="SimSun" w:cs="Calibri" w:asciiTheme="minorAscii" w:hAnsiTheme="minorAscii"/>
          <w:b w:val="0"/>
          <w:bCs w:val="0"/>
          <w:i w:val="0"/>
          <w:iCs w:val="0"/>
          <w:caps w:val="0"/>
          <w:color w:val="000000" w:themeColor="text1"/>
          <w:spacing w:val="0"/>
          <w:sz w:val="22"/>
          <w:szCs w:val="22"/>
          <w:shd w:val="clear" w:fill="FFFFFF"/>
          <w:lang w:val="en-US"/>
          <w14:textFill>
            <w14:solidFill>
              <w14:schemeClr w14:val="tx1"/>
            </w14:solidFill>
          </w14:textFill>
        </w:rPr>
        <w:t>Accessed 10 December 2022</w:t>
      </w:r>
      <w:r>
        <w:rPr>
          <w:rFonts w:hint="default" w:eastAsia="SimSun" w:cs="Calibri" w:asciiTheme="minorAscii" w:hAnsiTheme="minorAscii"/>
          <w:b w:val="0"/>
          <w:bCs w:val="0"/>
          <w:i w:val="0"/>
          <w:iCs w:val="0"/>
          <w:caps w:val="0"/>
          <w:color w:val="000000" w:themeColor="text1"/>
          <w:spacing w:val="0"/>
          <w:sz w:val="22"/>
          <w:szCs w:val="22"/>
          <w:shd w:val="clear" w:fill="FFFFFF"/>
          <w:lang w:val="en-GB"/>
          <w14:textFill>
            <w14:solidFill>
              <w14:schemeClr w14:val="tx1"/>
            </w14:solidFill>
          </w14:textFill>
        </w:rPr>
        <w:t>)</w:t>
      </w:r>
      <w:r>
        <w:rPr>
          <w:rFonts w:hint="default" w:eastAsia="SimSun" w:cs="Calibri" w:asciiTheme="minorAscii" w:hAnsiTheme="minorAscii"/>
          <w:b w:val="0"/>
          <w:bCs w:val="0"/>
          <w:i w:val="0"/>
          <w:iCs w:val="0"/>
          <w:caps w:val="0"/>
          <w:color w:val="000000" w:themeColor="text1"/>
          <w:spacing w:val="0"/>
          <w:sz w:val="22"/>
          <w:szCs w:val="22"/>
          <w:shd w:val="clear" w:fill="FFFFFF"/>
          <w:lang w:val="en-US"/>
          <w14:textFill>
            <w14:solidFill>
              <w14:schemeClr w14:val="tx1"/>
            </w14:solidFill>
          </w14:textFill>
        </w:rPr>
        <w:t>.</w:t>
      </w:r>
      <w:r>
        <w:rPr>
          <w:rFonts w:hint="default" w:eastAsia="SimSun" w:cs="Calibri" w:asciiTheme="minorAscii" w:hAnsiTheme="minorAscii"/>
          <w:i w:val="0"/>
          <w:iCs w:val="0"/>
          <w:caps w:val="0"/>
          <w:color w:val="000000" w:themeColor="text1"/>
          <w:spacing w:val="0"/>
          <w:sz w:val="22"/>
          <w:szCs w:val="22"/>
          <w:shd w:val="clear" w:fill="FFFFFF"/>
          <w14:textFill>
            <w14:solidFill>
              <w14:schemeClr w14:val="tx1"/>
            </w14:solidFill>
          </w14:textFill>
        </w:rPr>
        <w:t> </w:t>
      </w:r>
    </w:p>
    <w:p>
      <w:pPr>
        <w:spacing w:line="360" w:lineRule="auto"/>
        <w:rPr>
          <w:rFonts w:hint="default" w:eastAsia="SimSun" w:cs="Calibri" w:asciiTheme="minorAscii" w:hAnsiTheme="minorAscii"/>
          <w:i w:val="0"/>
          <w:iCs w:val="0"/>
          <w:caps w:val="0"/>
          <w:color w:val="000000" w:themeColor="text1"/>
          <w:spacing w:val="0"/>
          <w:sz w:val="22"/>
          <w:szCs w:val="22"/>
          <w:shd w:val="clear" w:fill="FFFFFF"/>
          <w14:textFill>
            <w14:solidFill>
              <w14:schemeClr w14:val="tx1"/>
            </w14:solidFill>
          </w14:textFill>
        </w:rPr>
      </w:pPr>
      <w:r>
        <w:rPr>
          <w:rFonts w:hint="default" w:eastAsia="SimSun" w:cs="Calibri" w:asciiTheme="minorAscii" w:hAnsiTheme="minorAscii"/>
          <w:b w:val="0"/>
          <w:bCs w:val="0"/>
          <w:i w:val="0"/>
          <w:iCs w:val="0"/>
          <w:caps w:val="0"/>
          <w:color w:val="000000" w:themeColor="text1"/>
          <w:spacing w:val="0"/>
          <w:sz w:val="22"/>
          <w:szCs w:val="22"/>
          <w:shd w:val="clear" w:fill="FFFFFF"/>
          <w:lang w:val="en-US"/>
          <w14:textFill>
            <w14:solidFill>
              <w14:schemeClr w14:val="tx1"/>
            </w14:solidFill>
          </w14:textFill>
        </w:rPr>
        <w:t>NHS Digital</w:t>
      </w:r>
      <w:r>
        <w:rPr>
          <w:rFonts w:hint="default" w:eastAsia="SimSun" w:cs="Calibri" w:asciiTheme="minorAscii" w:hAnsiTheme="minorAscii"/>
          <w:b w:val="0"/>
          <w:bCs w:val="0"/>
          <w:i w:val="0"/>
          <w:iCs w:val="0"/>
          <w:caps w:val="0"/>
          <w:color w:val="000000" w:themeColor="text1"/>
          <w:spacing w:val="0"/>
          <w:sz w:val="22"/>
          <w:szCs w:val="22"/>
          <w:shd w:val="clear" w:fill="FFFFFF"/>
          <w:lang w:val="en-GB"/>
          <w14:textFill>
            <w14:solidFill>
              <w14:schemeClr w14:val="tx1"/>
            </w14:solidFill>
          </w14:textFill>
        </w:rPr>
        <w:t>.</w:t>
      </w:r>
      <w:r>
        <w:rPr>
          <w:rFonts w:hint="default" w:eastAsia="SimSun" w:cs="Calibri" w:asciiTheme="minorAscii" w:hAnsiTheme="minorAscii"/>
          <w:b w:val="0"/>
          <w:bCs w:val="0"/>
          <w:i w:val="0"/>
          <w:iCs w:val="0"/>
          <w:caps w:val="0"/>
          <w:color w:val="000000" w:themeColor="text1"/>
          <w:spacing w:val="0"/>
          <w:sz w:val="22"/>
          <w:szCs w:val="22"/>
          <w:shd w:val="clear" w:fill="FFFFFF"/>
          <w:lang w:val="en-US"/>
          <w14:textFill>
            <w14:solidFill>
              <w14:schemeClr w14:val="tx1"/>
            </w14:solidFill>
          </w14:textFill>
        </w:rPr>
        <w:t xml:space="preserve"> (2022). </w:t>
      </w:r>
      <w:r>
        <w:rPr>
          <w:rFonts w:hint="default" w:eastAsia="SimSun" w:cs="Calibri" w:asciiTheme="minorAscii" w:hAnsiTheme="minorAscii"/>
          <w:b w:val="0"/>
          <w:bCs w:val="0"/>
          <w:i/>
          <w:iCs/>
          <w:caps w:val="0"/>
          <w:color w:val="000000" w:themeColor="text1"/>
          <w:spacing w:val="0"/>
          <w:sz w:val="22"/>
          <w:szCs w:val="22"/>
          <w:shd w:val="clear" w:fill="FFFFFF"/>
          <w:lang w:val="en-US"/>
          <w14:textFill>
            <w14:solidFill>
              <w14:schemeClr w14:val="tx1"/>
            </w14:solidFill>
          </w14:textFill>
        </w:rPr>
        <w:t>Rate of mental disorders among 17 to 19 year olds increased in 2022, new report shows</w:t>
      </w:r>
      <w:r>
        <w:rPr>
          <w:rFonts w:hint="default" w:eastAsia="SimSun" w:cs="Calibri" w:asciiTheme="minorAscii" w:hAnsiTheme="minorAscii"/>
          <w:b w:val="0"/>
          <w:bCs w:val="0"/>
          <w:i w:val="0"/>
          <w:iCs w:val="0"/>
          <w:caps w:val="0"/>
          <w:color w:val="000000" w:themeColor="text1"/>
          <w:spacing w:val="0"/>
          <w:sz w:val="22"/>
          <w:szCs w:val="22"/>
          <w:shd w:val="clear" w:fill="FFFFFF"/>
          <w:lang w:val="en-US"/>
          <w14:textFill>
            <w14:solidFill>
              <w14:schemeClr w14:val="tx1"/>
            </w14:solidFill>
          </w14:textFill>
        </w:rPr>
        <w:t xml:space="preserve"> </w:t>
      </w:r>
      <w:r>
        <w:rPr>
          <w:rFonts w:hint="default" w:eastAsia="SimSun" w:cs="Calibri" w:asciiTheme="minorAscii" w:hAnsiTheme="minorAscii"/>
          <w:b w:val="0"/>
          <w:bCs w:val="0"/>
          <w:i w:val="0"/>
          <w:iCs w:val="0"/>
          <w:caps w:val="0"/>
          <w:color w:val="000000" w:themeColor="text1"/>
          <w:spacing w:val="0"/>
          <w:sz w:val="22"/>
          <w:szCs w:val="22"/>
          <w:shd w:val="clear" w:fill="FFFFFF"/>
          <w:lang w:val="en-GB"/>
          <w14:textFill>
            <w14:solidFill>
              <w14:schemeClr w14:val="tx1"/>
            </w14:solidFill>
          </w14:textFill>
        </w:rPr>
        <w:t>[</w:t>
      </w:r>
      <w:r>
        <w:rPr>
          <w:rFonts w:hint="default" w:eastAsia="SimSun" w:cs="Calibri" w:asciiTheme="minorAscii" w:hAnsiTheme="minorAscii"/>
          <w:b w:val="0"/>
          <w:bCs w:val="0"/>
          <w:i w:val="0"/>
          <w:iCs w:val="0"/>
          <w:caps w:val="0"/>
          <w:color w:val="000000" w:themeColor="text1"/>
          <w:spacing w:val="0"/>
          <w:sz w:val="22"/>
          <w:szCs w:val="22"/>
          <w:shd w:val="clear" w:fill="FFFFFF"/>
          <w:lang w:val="en-US"/>
          <w14:textFill>
            <w14:solidFill>
              <w14:schemeClr w14:val="tx1"/>
            </w14:solidFill>
          </w14:textFill>
        </w:rPr>
        <w:t>online</w:t>
      </w:r>
      <w:r>
        <w:rPr>
          <w:rFonts w:hint="default" w:eastAsia="SimSun" w:cs="Calibri" w:asciiTheme="minorAscii" w:hAnsiTheme="minorAscii"/>
          <w:b w:val="0"/>
          <w:bCs w:val="0"/>
          <w:i w:val="0"/>
          <w:iCs w:val="0"/>
          <w:caps w:val="0"/>
          <w:color w:val="000000" w:themeColor="text1"/>
          <w:spacing w:val="0"/>
          <w:sz w:val="22"/>
          <w:szCs w:val="22"/>
          <w:shd w:val="clear" w:fill="FFFFFF"/>
          <w:lang w:val="en-GB"/>
          <w14:textFill>
            <w14:solidFill>
              <w14:schemeClr w14:val="tx1"/>
            </w14:solidFill>
          </w14:textFill>
        </w:rPr>
        <w:t>].</w:t>
      </w:r>
      <w:r>
        <w:rPr>
          <w:rFonts w:hint="default" w:eastAsia="SimSun" w:cs="Calibri" w:asciiTheme="minorAscii" w:hAnsiTheme="minorAscii"/>
          <w:b w:val="0"/>
          <w:bCs w:val="0"/>
          <w:i w:val="0"/>
          <w:iCs w:val="0"/>
          <w:caps w:val="0"/>
          <w:color w:val="000000" w:themeColor="text1"/>
          <w:spacing w:val="0"/>
          <w:sz w:val="22"/>
          <w:szCs w:val="22"/>
          <w:shd w:val="clear" w:fill="FFFFFF"/>
          <w:lang w:val="en-US"/>
          <w14:textFill>
            <w14:solidFill>
              <w14:schemeClr w14:val="tx1"/>
            </w14:solidFill>
          </w14:textFill>
        </w:rPr>
        <w:t xml:space="preserve"> Available at: </w:t>
      </w:r>
      <w:r>
        <w:rPr>
          <w:rFonts w:hint="default" w:eastAsia="Segoe UI" w:cs="Segoe UI" w:asciiTheme="minorAscii" w:hAnsiTheme="minorAscii"/>
          <w:i w:val="0"/>
          <w:iCs w:val="0"/>
          <w:caps w:val="0"/>
          <w:color w:val="000000" w:themeColor="text1"/>
          <w:spacing w:val="0"/>
          <w:sz w:val="22"/>
          <w:szCs w:val="22"/>
          <w:u w:val="none"/>
          <w:shd w:val="clear" w:fill="FFFFFF"/>
          <w14:textFill>
            <w14:solidFill>
              <w14:schemeClr w14:val="tx1"/>
            </w14:solidFill>
          </w14:textFill>
        </w:rPr>
        <w:fldChar w:fldCharType="begin"/>
      </w:r>
      <w:r>
        <w:rPr>
          <w:rFonts w:hint="default" w:eastAsia="Segoe UI" w:cs="Segoe UI" w:asciiTheme="minorAscii" w:hAnsiTheme="minorAscii"/>
          <w:i w:val="0"/>
          <w:iCs w:val="0"/>
          <w:caps w:val="0"/>
          <w:color w:val="000000" w:themeColor="text1"/>
          <w:spacing w:val="0"/>
          <w:sz w:val="22"/>
          <w:szCs w:val="22"/>
          <w:u w:val="none"/>
          <w:shd w:val="clear" w:fill="FFFFFF"/>
          <w14:textFill>
            <w14:solidFill>
              <w14:schemeClr w14:val="tx1"/>
            </w14:solidFill>
          </w14:textFill>
        </w:rPr>
        <w:instrText xml:space="preserve"> HYPERLINK "https://digital.nhs.uk/news/2022/rate-of-mental-disorders-among-17-to-19-year-olds-increased-in-2022-new-report-shows" \t "https://ukc-word-edit.officeapps.live.com/we/_blank" </w:instrText>
      </w:r>
      <w:r>
        <w:rPr>
          <w:rFonts w:hint="default" w:eastAsia="Segoe UI" w:cs="Segoe UI" w:asciiTheme="minorAscii" w:hAnsiTheme="minorAscii"/>
          <w:i w:val="0"/>
          <w:iCs w:val="0"/>
          <w:caps w:val="0"/>
          <w:color w:val="000000" w:themeColor="text1"/>
          <w:spacing w:val="0"/>
          <w:sz w:val="22"/>
          <w:szCs w:val="22"/>
          <w:u w:val="none"/>
          <w:shd w:val="clear" w:fill="FFFFFF"/>
          <w14:textFill>
            <w14:solidFill>
              <w14:schemeClr w14:val="tx1"/>
            </w14:solidFill>
          </w14:textFill>
        </w:rPr>
        <w:fldChar w:fldCharType="separate"/>
      </w:r>
      <w:r>
        <w:rPr>
          <w:rStyle w:val="7"/>
          <w:rFonts w:hint="default" w:eastAsia="Segoe UI" w:cs="Calibri" w:asciiTheme="minorAscii" w:hAnsiTheme="minorAscii"/>
          <w:b w:val="0"/>
          <w:bCs w:val="0"/>
          <w:i w:val="0"/>
          <w:iCs w:val="0"/>
          <w:caps w:val="0"/>
          <w:color w:val="000000" w:themeColor="text1"/>
          <w:spacing w:val="0"/>
          <w:sz w:val="22"/>
          <w:szCs w:val="22"/>
          <w:u w:val="single"/>
          <w:shd w:val="clear" w:fill="FFFFFF"/>
          <w:lang w:val="en-US"/>
          <w14:textFill>
            <w14:solidFill>
              <w14:schemeClr w14:val="tx1"/>
            </w14:solidFill>
          </w14:textFill>
        </w:rPr>
        <w:t>https://digital.nhs.uk/news/2022/rate-of-mental-disorders-among-17-to-19-year-olds-increased-in-2022-new-report-shows</w:t>
      </w:r>
      <w:r>
        <w:rPr>
          <w:rFonts w:hint="default" w:eastAsia="Segoe UI" w:cs="Segoe UI" w:asciiTheme="minorAscii" w:hAnsiTheme="minorAscii"/>
          <w:i w:val="0"/>
          <w:iCs w:val="0"/>
          <w:caps w:val="0"/>
          <w:color w:val="000000" w:themeColor="text1"/>
          <w:spacing w:val="0"/>
          <w:sz w:val="22"/>
          <w:szCs w:val="22"/>
          <w:u w:val="none"/>
          <w:shd w:val="clear" w:fill="FFFFFF"/>
          <w14:textFill>
            <w14:solidFill>
              <w14:schemeClr w14:val="tx1"/>
            </w14:solidFill>
          </w14:textFill>
        </w:rPr>
        <w:fldChar w:fldCharType="end"/>
      </w:r>
      <w:r>
        <w:rPr>
          <w:rFonts w:hint="default" w:eastAsia="SimSun" w:cs="Calibri" w:asciiTheme="minorAscii" w:hAnsiTheme="minorAscii"/>
          <w:b w:val="0"/>
          <w:bCs w:val="0"/>
          <w:i w:val="0"/>
          <w:iCs w:val="0"/>
          <w:caps w:val="0"/>
          <w:color w:val="000000" w:themeColor="text1"/>
          <w:spacing w:val="0"/>
          <w:sz w:val="22"/>
          <w:szCs w:val="22"/>
          <w:shd w:val="clear" w:fill="FFFFFF"/>
          <w:lang w:val="en-US"/>
          <w14:textFill>
            <w14:solidFill>
              <w14:schemeClr w14:val="tx1"/>
            </w14:solidFill>
          </w14:textFill>
        </w:rPr>
        <w:t xml:space="preserve"> </w:t>
      </w:r>
      <w:r>
        <w:rPr>
          <w:rFonts w:hint="default" w:eastAsia="SimSun" w:cs="Calibri" w:asciiTheme="minorAscii" w:hAnsiTheme="minorAscii"/>
          <w:b w:val="0"/>
          <w:bCs w:val="0"/>
          <w:i w:val="0"/>
          <w:iCs w:val="0"/>
          <w:caps w:val="0"/>
          <w:color w:val="000000" w:themeColor="text1"/>
          <w:spacing w:val="0"/>
          <w:sz w:val="22"/>
          <w:szCs w:val="22"/>
          <w:shd w:val="clear" w:fill="FFFFFF"/>
          <w:lang w:val="en-GB"/>
          <w14:textFill>
            <w14:solidFill>
              <w14:schemeClr w14:val="tx1"/>
            </w14:solidFill>
          </w14:textFill>
        </w:rPr>
        <w:t>(</w:t>
      </w:r>
      <w:r>
        <w:rPr>
          <w:rFonts w:hint="default" w:eastAsia="SimSun" w:cs="Calibri" w:asciiTheme="minorAscii" w:hAnsiTheme="minorAscii"/>
          <w:b w:val="0"/>
          <w:bCs w:val="0"/>
          <w:i w:val="0"/>
          <w:iCs w:val="0"/>
          <w:caps w:val="0"/>
          <w:color w:val="000000" w:themeColor="text1"/>
          <w:spacing w:val="0"/>
          <w:sz w:val="22"/>
          <w:szCs w:val="22"/>
          <w:shd w:val="clear" w:fill="FFFFFF"/>
          <w:lang w:val="en-US"/>
          <w14:textFill>
            <w14:solidFill>
              <w14:schemeClr w14:val="tx1"/>
            </w14:solidFill>
          </w14:textFill>
        </w:rPr>
        <w:t>Accessed 10 November 2022</w:t>
      </w:r>
      <w:r>
        <w:rPr>
          <w:rFonts w:hint="default" w:eastAsia="SimSun" w:cs="Calibri" w:asciiTheme="minorAscii" w:hAnsiTheme="minorAscii"/>
          <w:b w:val="0"/>
          <w:bCs w:val="0"/>
          <w:i w:val="0"/>
          <w:iCs w:val="0"/>
          <w:caps w:val="0"/>
          <w:color w:val="000000" w:themeColor="text1"/>
          <w:spacing w:val="0"/>
          <w:sz w:val="22"/>
          <w:szCs w:val="22"/>
          <w:shd w:val="clear" w:fill="FFFFFF"/>
          <w:lang w:val="en-GB"/>
          <w14:textFill>
            <w14:solidFill>
              <w14:schemeClr w14:val="tx1"/>
            </w14:solidFill>
          </w14:textFill>
        </w:rPr>
        <w:t>)</w:t>
      </w:r>
      <w:r>
        <w:rPr>
          <w:rFonts w:hint="default" w:eastAsia="SimSun" w:cs="Calibri" w:asciiTheme="minorAscii" w:hAnsiTheme="minorAscii"/>
          <w:b w:val="0"/>
          <w:bCs w:val="0"/>
          <w:i w:val="0"/>
          <w:iCs w:val="0"/>
          <w:caps w:val="0"/>
          <w:color w:val="000000" w:themeColor="text1"/>
          <w:spacing w:val="0"/>
          <w:sz w:val="22"/>
          <w:szCs w:val="22"/>
          <w:shd w:val="clear" w:fill="FFFFFF"/>
          <w:lang w:val="en-US"/>
          <w14:textFill>
            <w14:solidFill>
              <w14:schemeClr w14:val="tx1"/>
            </w14:solidFill>
          </w14:textFill>
        </w:rPr>
        <w:t>.</w:t>
      </w:r>
      <w:r>
        <w:rPr>
          <w:rFonts w:hint="default" w:eastAsia="SimSun" w:cs="Calibri" w:asciiTheme="minorAscii" w:hAnsiTheme="minorAscii"/>
          <w:i w:val="0"/>
          <w:iCs w:val="0"/>
          <w:caps w:val="0"/>
          <w:color w:val="000000" w:themeColor="text1"/>
          <w:spacing w:val="0"/>
          <w:sz w:val="22"/>
          <w:szCs w:val="22"/>
          <w:shd w:val="clear" w:fill="FFFFFF"/>
          <w14:textFill>
            <w14:solidFill>
              <w14:schemeClr w14:val="tx1"/>
            </w14:solidFill>
          </w14:textFill>
        </w:rPr>
        <w:t> </w:t>
      </w:r>
    </w:p>
    <w:p>
      <w:pPr>
        <w:bidi w:val="0"/>
        <w:spacing w:before="0" w:beforeAutospacing="0" w:after="160" w:afterAutospacing="0" w:line="360" w:lineRule="auto"/>
        <w:jc w:val="left"/>
        <w:rPr>
          <w:rFonts w:hint="default" w:ascii="Calibri" w:hAnsi="Calibri" w:cs="Calibri"/>
          <w:color w:val="000000" w:themeColor="text1"/>
          <w:sz w:val="22"/>
          <w:szCs w:val="22"/>
          <w:lang w:val="en-GB"/>
          <w14:textFill>
            <w14:solidFill>
              <w14:schemeClr w14:val="tx1"/>
            </w14:solidFill>
          </w14:textFill>
        </w:rPr>
      </w:pPr>
      <w:r>
        <w:rPr>
          <w:rFonts w:hint="default" w:ascii="Calibri" w:hAnsi="Calibri" w:eastAsia="Calibri" w:cs="Calibri"/>
          <w:b w:val="0"/>
          <w:bCs w:val="0"/>
          <w:i w:val="0"/>
          <w:iCs w:val="0"/>
          <w:caps w:val="0"/>
          <w:smallCaps w:val="0"/>
          <w:color w:val="000000" w:themeColor="text1"/>
          <w:sz w:val="22"/>
          <w:szCs w:val="22"/>
          <w:lang w:val="en-GB"/>
          <w14:textFill>
            <w14:solidFill>
              <w14:schemeClr w14:val="tx1"/>
            </w14:solidFill>
          </w14:textFill>
        </w:rPr>
        <w:t xml:space="preserve">Mind (2017). </w:t>
      </w:r>
      <w:r>
        <w:rPr>
          <w:rFonts w:hint="default" w:ascii="Calibri" w:hAnsi="Calibri" w:eastAsia="Calibri" w:cs="Calibri"/>
          <w:b w:val="0"/>
          <w:bCs w:val="0"/>
          <w:i/>
          <w:iCs/>
          <w:caps w:val="0"/>
          <w:smallCaps w:val="0"/>
          <w:color w:val="000000" w:themeColor="text1"/>
          <w:sz w:val="22"/>
          <w:szCs w:val="22"/>
          <w:lang w:val="en-GB"/>
          <w14:textFill>
            <w14:solidFill>
              <w14:schemeClr w14:val="tx1"/>
            </w14:solidFill>
          </w14:textFill>
        </w:rPr>
        <w:t>About Mental Health Problems</w:t>
      </w:r>
      <w:r>
        <w:rPr>
          <w:rFonts w:hint="default" w:ascii="Calibri" w:hAnsi="Calibri" w:eastAsia="Calibri" w:cs="Calibri"/>
          <w:b w:val="0"/>
          <w:bCs w:val="0"/>
          <w:i w:val="0"/>
          <w:iCs w:val="0"/>
          <w:caps w:val="0"/>
          <w:smallCaps w:val="0"/>
          <w:color w:val="000000" w:themeColor="text1"/>
          <w:sz w:val="22"/>
          <w:szCs w:val="22"/>
          <w:lang w:val="en-GB"/>
          <w14:textFill>
            <w14:solidFill>
              <w14:schemeClr w14:val="tx1"/>
            </w14:solidFill>
          </w14:textFill>
        </w:rPr>
        <w:t xml:space="preserve"> [online]. </w:t>
      </w:r>
      <w:r>
        <w:rPr>
          <w:rFonts w:hint="default" w:ascii="Calibri" w:hAnsi="Calibri" w:cs="Calibri"/>
          <w:color w:val="000000" w:themeColor="text1"/>
          <w:sz w:val="22"/>
          <w:szCs w:val="22"/>
          <w14:textFill>
            <w14:solidFill>
              <w14:schemeClr w14:val="tx1"/>
            </w14:solidFill>
          </w14:textFill>
        </w:rPr>
        <w:fldChar w:fldCharType="begin"/>
      </w:r>
      <w:r>
        <w:rPr>
          <w:rFonts w:hint="default" w:ascii="Calibri" w:hAnsi="Calibri" w:cs="Calibri"/>
          <w:color w:val="000000" w:themeColor="text1"/>
          <w:sz w:val="22"/>
          <w:szCs w:val="22"/>
          <w14:textFill>
            <w14:solidFill>
              <w14:schemeClr w14:val="tx1"/>
            </w14:solidFill>
          </w14:textFill>
        </w:rPr>
        <w:instrText xml:space="preserve"> HYPERLINK \h </w:instrText>
      </w:r>
      <w:r>
        <w:rPr>
          <w:rFonts w:hint="default" w:ascii="Calibri" w:hAnsi="Calibri" w:cs="Calibri"/>
          <w:color w:val="000000" w:themeColor="text1"/>
          <w:sz w:val="22"/>
          <w:szCs w:val="22"/>
          <w14:textFill>
            <w14:solidFill>
              <w14:schemeClr w14:val="tx1"/>
            </w14:solidFill>
          </w14:textFill>
        </w:rPr>
        <w:fldChar w:fldCharType="separate"/>
      </w:r>
      <w:r>
        <w:rPr>
          <w:rStyle w:val="7"/>
          <w:rFonts w:hint="default" w:ascii="Calibri" w:hAnsi="Calibri" w:eastAsia="Calibri" w:cs="Calibri"/>
          <w:b w:val="0"/>
          <w:bCs w:val="0"/>
          <w:i w:val="0"/>
          <w:iCs w:val="0"/>
          <w:caps w:val="0"/>
          <w:smallCaps w:val="0"/>
          <w:color w:val="000000" w:themeColor="text1"/>
          <w:sz w:val="22"/>
          <w:szCs w:val="22"/>
          <w:lang w:val="en-GB"/>
          <w14:textFill>
            <w14:solidFill>
              <w14:schemeClr w14:val="tx1"/>
            </w14:solidFill>
          </w14:textFill>
        </w:rPr>
        <w:t>www.mind.org.uk</w:t>
      </w:r>
      <w:r>
        <w:rPr>
          <w:rStyle w:val="7"/>
          <w:rFonts w:hint="default" w:ascii="Calibri" w:hAnsi="Calibri" w:eastAsia="Calibri" w:cs="Calibri"/>
          <w:b w:val="0"/>
          <w:bCs w:val="0"/>
          <w:i w:val="0"/>
          <w:iCs w:val="0"/>
          <w:caps w:val="0"/>
          <w:smallCaps w:val="0"/>
          <w:color w:val="000000" w:themeColor="text1"/>
          <w:sz w:val="22"/>
          <w:szCs w:val="22"/>
          <w:lang w:val="en-GB"/>
          <w14:textFill>
            <w14:solidFill>
              <w14:schemeClr w14:val="tx1"/>
            </w14:solidFill>
          </w14:textFill>
        </w:rPr>
        <w:fldChar w:fldCharType="end"/>
      </w:r>
      <w:r>
        <w:rPr>
          <w:rFonts w:hint="default" w:ascii="Calibri" w:hAnsi="Calibri" w:eastAsia="Calibri" w:cs="Calibri"/>
          <w:b w:val="0"/>
          <w:bCs w:val="0"/>
          <w:i w:val="0"/>
          <w:iCs w:val="0"/>
          <w:caps w:val="0"/>
          <w:smallCaps w:val="0"/>
          <w:color w:val="000000" w:themeColor="text1"/>
          <w:sz w:val="22"/>
          <w:szCs w:val="22"/>
          <w:lang w:val="en-GB"/>
          <w14:textFill>
            <w14:solidFill>
              <w14:schemeClr w14:val="tx1"/>
            </w14:solidFill>
          </w14:textFill>
        </w:rPr>
        <w:t xml:space="preserve">. Available at: </w:t>
      </w:r>
      <w:r>
        <w:rPr>
          <w:rFonts w:hint="default" w:ascii="Calibri" w:hAnsi="Calibri" w:cs="Calibri"/>
          <w:color w:val="000000" w:themeColor="text1"/>
          <w:sz w:val="22"/>
          <w:szCs w:val="22"/>
          <w14:textFill>
            <w14:solidFill>
              <w14:schemeClr w14:val="tx1"/>
            </w14:solidFill>
          </w14:textFill>
        </w:rPr>
        <w:fldChar w:fldCharType="begin"/>
      </w:r>
      <w:r>
        <w:rPr>
          <w:rFonts w:hint="default" w:ascii="Calibri" w:hAnsi="Calibri" w:cs="Calibri"/>
          <w:color w:val="000000" w:themeColor="text1"/>
          <w:sz w:val="22"/>
          <w:szCs w:val="22"/>
          <w14:textFill>
            <w14:solidFill>
              <w14:schemeClr w14:val="tx1"/>
            </w14:solidFill>
          </w14:textFill>
        </w:rPr>
        <w:instrText xml:space="preserve"> HYPERLINK "https://www.mind.org.uk/information-support/types-of-mental-health-problems/mental-health-problems-introduction/about-mental-health-problems/" \h </w:instrText>
      </w:r>
      <w:r>
        <w:rPr>
          <w:rFonts w:hint="default" w:ascii="Calibri" w:hAnsi="Calibri" w:cs="Calibri"/>
          <w:color w:val="000000" w:themeColor="text1"/>
          <w:sz w:val="22"/>
          <w:szCs w:val="22"/>
          <w14:textFill>
            <w14:solidFill>
              <w14:schemeClr w14:val="tx1"/>
            </w14:solidFill>
          </w14:textFill>
        </w:rPr>
        <w:fldChar w:fldCharType="separate"/>
      </w:r>
      <w:r>
        <w:rPr>
          <w:rStyle w:val="7"/>
          <w:rFonts w:hint="default" w:ascii="Calibri" w:hAnsi="Calibri" w:eastAsia="Calibri" w:cs="Calibri"/>
          <w:b w:val="0"/>
          <w:bCs w:val="0"/>
          <w:i w:val="0"/>
          <w:iCs w:val="0"/>
          <w:caps w:val="0"/>
          <w:smallCaps w:val="0"/>
          <w:color w:val="000000" w:themeColor="text1"/>
          <w:sz w:val="22"/>
          <w:szCs w:val="22"/>
          <w:lang w:val="en-GB"/>
          <w14:textFill>
            <w14:solidFill>
              <w14:schemeClr w14:val="tx1"/>
            </w14:solidFill>
          </w14:textFill>
        </w:rPr>
        <w:t>https://www.mind.org.uk/information-support/types-of-mental-health-problems/mental-health-problems-introduction/about-mental-health-problems/</w:t>
      </w:r>
      <w:r>
        <w:rPr>
          <w:rStyle w:val="7"/>
          <w:rFonts w:hint="default" w:ascii="Calibri" w:hAnsi="Calibri" w:eastAsia="Calibri" w:cs="Calibri"/>
          <w:b w:val="0"/>
          <w:bCs w:val="0"/>
          <w:i w:val="0"/>
          <w:iCs w:val="0"/>
          <w:caps w:val="0"/>
          <w:smallCaps w:val="0"/>
          <w:color w:val="000000" w:themeColor="text1"/>
          <w:sz w:val="22"/>
          <w:szCs w:val="22"/>
          <w:lang w:val="en-GB"/>
          <w14:textFill>
            <w14:solidFill>
              <w14:schemeClr w14:val="tx1"/>
            </w14:solidFill>
          </w14:textFill>
        </w:rPr>
        <w:fldChar w:fldCharType="end"/>
      </w:r>
      <w:r>
        <w:rPr>
          <w:rStyle w:val="7"/>
          <w:rFonts w:hint="default" w:ascii="Calibri" w:hAnsi="Calibri" w:eastAsia="Calibri" w:cs="Calibri"/>
          <w:b w:val="0"/>
          <w:bCs w:val="0"/>
          <w:i w:val="0"/>
          <w:iCs w:val="0"/>
          <w:caps w:val="0"/>
          <w:smallCaps w:val="0"/>
          <w:color w:val="000000" w:themeColor="text1"/>
          <w:sz w:val="22"/>
          <w:szCs w:val="22"/>
          <w:lang w:val="en-GB"/>
          <w14:textFill>
            <w14:solidFill>
              <w14:schemeClr w14:val="tx1"/>
            </w14:solidFill>
          </w14:textFill>
        </w:rPr>
        <w:t xml:space="preserve">  (Accessed  7 November 2022).</w:t>
      </w:r>
    </w:p>
    <w:p>
      <w:pPr>
        <w:spacing w:line="360" w:lineRule="auto"/>
        <w:jc w:val="left"/>
        <w:rPr>
          <w:rFonts w:hint="default" w:ascii="Calibri" w:hAnsi="Calibri" w:eastAsia="Calibri" w:cs="Calibri"/>
          <w:b w:val="0"/>
          <w:bCs w:val="0"/>
          <w:i w:val="0"/>
          <w:iCs w:val="0"/>
          <w:caps w:val="0"/>
          <w:smallCaps w:val="0"/>
          <w:color w:val="000000" w:themeColor="text1"/>
          <w:sz w:val="22"/>
          <w:szCs w:val="22"/>
          <w:lang w:val="en-GB"/>
          <w14:textFill>
            <w14:solidFill>
              <w14:schemeClr w14:val="tx1"/>
            </w14:solidFill>
          </w14:textFill>
        </w:rPr>
      </w:pPr>
      <w:r>
        <w:rPr>
          <w:rFonts w:hint="default" w:ascii="Calibri" w:hAnsi="Calibri" w:eastAsia="Calibri" w:cs="Calibri"/>
          <w:b w:val="0"/>
          <w:bCs w:val="0"/>
          <w:i w:val="0"/>
          <w:iCs w:val="0"/>
          <w:caps w:val="0"/>
          <w:smallCaps w:val="0"/>
          <w:color w:val="000000" w:themeColor="text1"/>
          <w:sz w:val="22"/>
          <w:szCs w:val="22"/>
          <w:lang w:val="en-GB"/>
          <w14:textFill>
            <w14:solidFill>
              <w14:schemeClr w14:val="tx1"/>
            </w14:solidFill>
          </w14:textFill>
        </w:rPr>
        <w:t>Mayo Clinic.</w:t>
      </w:r>
      <w:bookmarkStart w:id="0" w:name="_GoBack"/>
      <w:bookmarkEnd w:id="0"/>
      <w:r>
        <w:rPr>
          <w:rFonts w:hint="default" w:ascii="Calibri" w:hAnsi="Calibri" w:eastAsia="Calibri" w:cs="Calibri"/>
          <w:b w:val="0"/>
          <w:bCs w:val="0"/>
          <w:i w:val="0"/>
          <w:iCs w:val="0"/>
          <w:caps w:val="0"/>
          <w:smallCaps w:val="0"/>
          <w:color w:val="000000" w:themeColor="text1"/>
          <w:sz w:val="22"/>
          <w:szCs w:val="22"/>
          <w:lang w:val="en-GB"/>
          <w14:textFill>
            <w14:solidFill>
              <w14:schemeClr w14:val="tx1"/>
            </w14:solidFill>
          </w14:textFill>
        </w:rPr>
        <w:t xml:space="preserve"> (2022). </w:t>
      </w:r>
      <w:r>
        <w:rPr>
          <w:rFonts w:hint="default" w:ascii="Calibri" w:hAnsi="Calibri" w:eastAsia="Calibri" w:cs="Calibri"/>
          <w:b w:val="0"/>
          <w:bCs w:val="0"/>
          <w:i/>
          <w:iCs/>
          <w:caps w:val="0"/>
          <w:smallCaps w:val="0"/>
          <w:color w:val="000000" w:themeColor="text1"/>
          <w:sz w:val="22"/>
          <w:szCs w:val="22"/>
          <w:lang w:val="en-GB"/>
          <w14:textFill>
            <w14:solidFill>
              <w14:schemeClr w14:val="tx1"/>
            </w14:solidFill>
          </w14:textFill>
        </w:rPr>
        <w:t xml:space="preserve">Mental Illness - Diagnosis and Treatment </w:t>
      </w:r>
      <w:r>
        <w:rPr>
          <w:rFonts w:hint="default" w:ascii="Calibri" w:hAnsi="Calibri" w:eastAsia="Calibri" w:cs="Calibri"/>
          <w:b w:val="0"/>
          <w:bCs w:val="0"/>
          <w:i w:val="0"/>
          <w:iCs w:val="0"/>
          <w:caps w:val="0"/>
          <w:smallCaps w:val="0"/>
          <w:color w:val="000000" w:themeColor="text1"/>
          <w:sz w:val="22"/>
          <w:szCs w:val="22"/>
          <w:lang w:val="en-GB"/>
          <w14:textFill>
            <w14:solidFill>
              <w14:schemeClr w14:val="tx1"/>
            </w14:solidFill>
          </w14:textFill>
        </w:rPr>
        <w:t xml:space="preserve">[online]. Available at: </w:t>
      </w:r>
      <w:r>
        <w:rPr>
          <w:rFonts w:hint="default" w:ascii="Calibri" w:hAnsi="Calibri" w:cs="Calibri"/>
          <w:color w:val="000000" w:themeColor="text1"/>
          <w:sz w:val="22"/>
          <w:szCs w:val="22"/>
          <w14:textFill>
            <w14:solidFill>
              <w14:schemeClr w14:val="tx1"/>
            </w14:solidFill>
          </w14:textFill>
        </w:rPr>
        <w:fldChar w:fldCharType="begin"/>
      </w:r>
      <w:r>
        <w:rPr>
          <w:rFonts w:hint="default" w:ascii="Calibri" w:hAnsi="Calibri" w:cs="Calibri"/>
          <w:color w:val="000000" w:themeColor="text1"/>
          <w:sz w:val="22"/>
          <w:szCs w:val="22"/>
          <w14:textFill>
            <w14:solidFill>
              <w14:schemeClr w14:val="tx1"/>
            </w14:solidFill>
          </w14:textFill>
        </w:rPr>
        <w:instrText xml:space="preserve"> HYPERLINK "https://www.mayoclinic.org/diseases-conditions/mental-illness/diagnosis-treatment/drc-20374974[" \h </w:instrText>
      </w:r>
      <w:r>
        <w:rPr>
          <w:rFonts w:hint="default" w:ascii="Calibri" w:hAnsi="Calibri" w:cs="Calibri"/>
          <w:color w:val="000000" w:themeColor="text1"/>
          <w:sz w:val="22"/>
          <w:szCs w:val="22"/>
          <w14:textFill>
            <w14:solidFill>
              <w14:schemeClr w14:val="tx1"/>
            </w14:solidFill>
          </w14:textFill>
        </w:rPr>
        <w:fldChar w:fldCharType="separate"/>
      </w:r>
      <w:r>
        <w:rPr>
          <w:rStyle w:val="7"/>
          <w:rFonts w:hint="default" w:ascii="Calibri" w:hAnsi="Calibri" w:eastAsia="Calibri" w:cs="Calibri"/>
          <w:b w:val="0"/>
          <w:bCs w:val="0"/>
          <w:i w:val="0"/>
          <w:iCs w:val="0"/>
          <w:caps w:val="0"/>
          <w:smallCaps w:val="0"/>
          <w:color w:val="000000" w:themeColor="text1"/>
          <w:sz w:val="22"/>
          <w:szCs w:val="22"/>
          <w:lang w:val="en-GB"/>
          <w14:textFill>
            <w14:solidFill>
              <w14:schemeClr w14:val="tx1"/>
            </w14:solidFill>
          </w14:textFill>
        </w:rPr>
        <w:t>https://www.mayoclinic.org/diseases-conditions/mental-illness/diagnosis-treatment/drc-20374974[</w:t>
      </w:r>
      <w:r>
        <w:rPr>
          <w:rStyle w:val="7"/>
          <w:rFonts w:hint="default" w:ascii="Calibri" w:hAnsi="Calibri" w:eastAsia="Calibri" w:cs="Calibri"/>
          <w:b w:val="0"/>
          <w:bCs w:val="0"/>
          <w:i w:val="0"/>
          <w:iCs w:val="0"/>
          <w:caps w:val="0"/>
          <w:smallCaps w:val="0"/>
          <w:color w:val="000000" w:themeColor="text1"/>
          <w:sz w:val="22"/>
          <w:szCs w:val="22"/>
          <w:lang w:val="en-GB"/>
          <w14:textFill>
            <w14:solidFill>
              <w14:schemeClr w14:val="tx1"/>
            </w14:solidFill>
          </w14:textFill>
        </w:rPr>
        <w:fldChar w:fldCharType="end"/>
      </w:r>
      <w:r>
        <w:rPr>
          <w:rFonts w:hint="default" w:ascii="Calibri" w:hAnsi="Calibri" w:eastAsia="Calibri" w:cs="Calibri"/>
          <w:b w:val="0"/>
          <w:bCs w:val="0"/>
          <w:i w:val="0"/>
          <w:iCs w:val="0"/>
          <w:caps w:val="0"/>
          <w:smallCaps w:val="0"/>
          <w:color w:val="000000" w:themeColor="text1"/>
          <w:sz w:val="22"/>
          <w:szCs w:val="22"/>
          <w:lang w:val="en-GB"/>
          <w14:textFill>
            <w14:solidFill>
              <w14:schemeClr w14:val="tx1"/>
            </w14:solidFill>
          </w14:textFill>
        </w:rPr>
        <w:t xml:space="preserve"> (Accessed 13 December 2022).</w:t>
      </w:r>
    </w:p>
    <w:p>
      <w:pPr>
        <w:spacing w:line="360" w:lineRule="auto"/>
        <w:jc w:val="left"/>
        <w:rPr>
          <w:rFonts w:hint="default" w:ascii="Calibri" w:hAnsi="Calibri" w:eastAsia="Calibri" w:cs="Calibri"/>
          <w:b w:val="0"/>
          <w:bCs w:val="0"/>
          <w:i w:val="0"/>
          <w:iCs w:val="0"/>
          <w:caps w:val="0"/>
          <w:smallCaps w:val="0"/>
          <w:color w:val="000000" w:themeColor="text1"/>
          <w:sz w:val="22"/>
          <w:szCs w:val="22"/>
          <w:lang w:val="en-GB"/>
          <w14:textFill>
            <w14:solidFill>
              <w14:schemeClr w14:val="tx1"/>
            </w14:solidFill>
          </w14:textFill>
        </w:rPr>
      </w:pPr>
      <w:r>
        <w:rPr>
          <w:rFonts w:hint="default" w:ascii="Calibri" w:hAnsi="Calibri" w:eastAsia="Calibri" w:cs="Calibri"/>
          <w:b w:val="0"/>
          <w:bCs w:val="0"/>
          <w:i w:val="0"/>
          <w:iCs w:val="0"/>
          <w:caps w:val="0"/>
          <w:smallCaps w:val="0"/>
          <w:color w:val="000000" w:themeColor="text1"/>
          <w:sz w:val="22"/>
          <w:szCs w:val="22"/>
          <w:lang w:val="en-GB"/>
          <w14:textFill>
            <w14:solidFill>
              <w14:schemeClr w14:val="tx1"/>
            </w14:solidFill>
          </w14:textFill>
        </w:rPr>
        <w:t xml:space="preserve"> </w:t>
      </w:r>
      <w:r>
        <w:rPr>
          <w:rFonts w:hint="default" w:ascii="Calibri" w:hAnsi="Calibri" w:eastAsia="Tahoma" w:cs="Calibri"/>
          <w:b w:val="0"/>
          <w:bCs w:val="0"/>
          <w:i w:val="0"/>
          <w:iCs w:val="0"/>
          <w:caps w:val="0"/>
          <w:smallCaps w:val="0"/>
          <w:color w:val="000000" w:themeColor="text1"/>
          <w:sz w:val="22"/>
          <w:szCs w:val="22"/>
          <w:lang w:val="en-GB"/>
          <w14:textFill>
            <w14:solidFill>
              <w14:schemeClr w14:val="tx1"/>
            </w14:solidFill>
          </w14:textFill>
        </w:rPr>
        <w:t xml:space="preserve"> Latoo, Mistry  and Dunne</w:t>
      </w:r>
      <w:r>
        <w:rPr>
          <w:rFonts w:hint="default" w:ascii="Calibri" w:hAnsi="Calibri" w:eastAsia="Calibri" w:cs="Calibri"/>
          <w:b w:val="0"/>
          <w:bCs w:val="0"/>
          <w:color w:val="000000" w:themeColor="text1"/>
          <w:sz w:val="22"/>
          <w:szCs w:val="22"/>
          <w:lang w:val="en-GB"/>
          <w14:textFill>
            <w14:solidFill>
              <w14:schemeClr w14:val="tx1"/>
            </w14:solidFill>
          </w14:textFill>
        </w:rPr>
        <w:t xml:space="preserve"> </w:t>
      </w:r>
      <w:r>
        <w:rPr>
          <w:rFonts w:hint="default" w:ascii="Calibri" w:hAnsi="Calibri" w:eastAsia="Calibri" w:cs="Calibri"/>
          <w:b w:val="0"/>
          <w:bCs w:val="0"/>
          <w:i w:val="0"/>
          <w:iCs w:val="0"/>
          <w:caps w:val="0"/>
          <w:smallCaps w:val="0"/>
          <w:color w:val="000000" w:themeColor="text1"/>
          <w:sz w:val="22"/>
          <w:szCs w:val="22"/>
          <w:lang w:val="en-GB"/>
          <w14:textFill>
            <w14:solidFill>
              <w14:schemeClr w14:val="tx1"/>
            </w14:solidFill>
          </w14:textFill>
        </w:rPr>
        <w:t xml:space="preserve">(2013). </w:t>
      </w:r>
      <w:r>
        <w:rPr>
          <w:rFonts w:hint="default" w:ascii="Calibri" w:hAnsi="Calibri" w:eastAsia="Calibri" w:cs="Calibri"/>
          <w:b w:val="0"/>
          <w:bCs w:val="0"/>
          <w:i/>
          <w:iCs/>
          <w:caps w:val="0"/>
          <w:smallCaps w:val="0"/>
          <w:color w:val="000000" w:themeColor="text1"/>
          <w:sz w:val="22"/>
          <w:szCs w:val="22"/>
          <w:lang w:val="en-GB"/>
          <w14:textFill>
            <w14:solidFill>
              <w14:schemeClr w14:val="tx1"/>
            </w14:solidFill>
          </w14:textFill>
        </w:rPr>
        <w:t xml:space="preserve">Physical morbidity and mortality in people with mental illness | </w:t>
      </w:r>
      <w:r>
        <w:rPr>
          <w:rFonts w:hint="default" w:ascii="Calibri" w:hAnsi="Calibri" w:eastAsia="Calibri" w:cs="Calibri"/>
          <w:b w:val="0"/>
          <w:bCs w:val="0"/>
          <w:i w:val="0"/>
          <w:iCs w:val="0"/>
          <w:caps w:val="0"/>
          <w:smallCaps w:val="0"/>
          <w:color w:val="000000" w:themeColor="text1"/>
          <w:sz w:val="22"/>
          <w:szCs w:val="22"/>
          <w:lang w:val="en-GB"/>
          <w14:textFill>
            <w14:solidFill>
              <w14:schemeClr w14:val="tx1"/>
            </w14:solidFill>
          </w14:textFill>
        </w:rPr>
        <w:t>British Journal of Medical Practitioners</w:t>
      </w:r>
      <w:r>
        <w:rPr>
          <w:rFonts w:hint="default" w:ascii="Calibri" w:hAnsi="Calibri" w:eastAsia="Calibri" w:cs="Calibri"/>
          <w:b w:val="0"/>
          <w:bCs w:val="0"/>
          <w:i/>
          <w:iCs/>
          <w:caps w:val="0"/>
          <w:smallCaps w:val="0"/>
          <w:color w:val="000000" w:themeColor="text1"/>
          <w:sz w:val="22"/>
          <w:szCs w:val="22"/>
          <w:lang w:val="en-GB"/>
          <w14:textFill>
            <w14:solidFill>
              <w14:schemeClr w14:val="tx1"/>
            </w14:solidFill>
          </w14:textFill>
        </w:rPr>
        <w:t xml:space="preserve"> </w:t>
      </w:r>
      <w:r>
        <w:rPr>
          <w:rFonts w:hint="default" w:ascii="Calibri" w:hAnsi="Calibri" w:eastAsia="Calibri" w:cs="Calibri"/>
          <w:b w:val="0"/>
          <w:bCs w:val="0"/>
          <w:i w:val="0"/>
          <w:iCs w:val="0"/>
          <w:caps w:val="0"/>
          <w:smallCaps w:val="0"/>
          <w:color w:val="000000" w:themeColor="text1"/>
          <w:sz w:val="22"/>
          <w:szCs w:val="22"/>
          <w:lang w:val="en-GB"/>
          <w14:textFill>
            <w14:solidFill>
              <w14:schemeClr w14:val="tx1"/>
            </w14:solidFill>
          </w14:textFill>
        </w:rPr>
        <w:t xml:space="preserve">[online]. Available at: </w:t>
      </w:r>
      <w:r>
        <w:rPr>
          <w:rFonts w:hint="default" w:ascii="Calibri" w:hAnsi="Calibri" w:cs="Calibri"/>
          <w:color w:val="000000" w:themeColor="text1"/>
          <w:sz w:val="22"/>
          <w:szCs w:val="22"/>
          <w14:textFill>
            <w14:solidFill>
              <w14:schemeClr w14:val="tx1"/>
            </w14:solidFill>
          </w14:textFill>
        </w:rPr>
        <w:fldChar w:fldCharType="begin"/>
      </w:r>
      <w:r>
        <w:rPr>
          <w:rFonts w:hint="default" w:ascii="Calibri" w:hAnsi="Calibri" w:cs="Calibri"/>
          <w:color w:val="000000" w:themeColor="text1"/>
          <w:sz w:val="22"/>
          <w:szCs w:val="22"/>
          <w14:textFill>
            <w14:solidFill>
              <w14:schemeClr w14:val="tx1"/>
            </w14:solidFill>
          </w14:textFill>
        </w:rPr>
        <w:instrText xml:space="preserve"> HYPERLINK "https://www.bjmp.org/content/physical-morbidity-and-mortality-people-mental-illness" \h </w:instrText>
      </w:r>
      <w:r>
        <w:rPr>
          <w:rFonts w:hint="default" w:ascii="Calibri" w:hAnsi="Calibri" w:cs="Calibri"/>
          <w:color w:val="000000" w:themeColor="text1"/>
          <w:sz w:val="22"/>
          <w:szCs w:val="22"/>
          <w14:textFill>
            <w14:solidFill>
              <w14:schemeClr w14:val="tx1"/>
            </w14:solidFill>
          </w14:textFill>
        </w:rPr>
        <w:fldChar w:fldCharType="separate"/>
      </w:r>
      <w:r>
        <w:rPr>
          <w:rStyle w:val="7"/>
          <w:rFonts w:hint="default" w:ascii="Calibri" w:hAnsi="Calibri" w:eastAsia="Calibri" w:cs="Calibri"/>
          <w:b w:val="0"/>
          <w:bCs w:val="0"/>
          <w:i w:val="0"/>
          <w:iCs w:val="0"/>
          <w:caps w:val="0"/>
          <w:smallCaps w:val="0"/>
          <w:color w:val="000000" w:themeColor="text1"/>
          <w:sz w:val="22"/>
          <w:szCs w:val="22"/>
          <w:lang w:val="en-GB"/>
          <w14:textFill>
            <w14:solidFill>
              <w14:schemeClr w14:val="tx1"/>
            </w14:solidFill>
          </w14:textFill>
        </w:rPr>
        <w:t>https://www.bjmp.org/content/physical-morbidity-and-mortality-people-mental-illness</w:t>
      </w:r>
      <w:r>
        <w:rPr>
          <w:rStyle w:val="7"/>
          <w:rFonts w:hint="default" w:ascii="Calibri" w:hAnsi="Calibri" w:eastAsia="Calibri" w:cs="Calibri"/>
          <w:b w:val="0"/>
          <w:bCs w:val="0"/>
          <w:i w:val="0"/>
          <w:iCs w:val="0"/>
          <w:caps w:val="0"/>
          <w:smallCaps w:val="0"/>
          <w:color w:val="000000" w:themeColor="text1"/>
          <w:sz w:val="22"/>
          <w:szCs w:val="22"/>
          <w:lang w:val="en-GB"/>
          <w14:textFill>
            <w14:solidFill>
              <w14:schemeClr w14:val="tx1"/>
            </w14:solidFill>
          </w14:textFill>
        </w:rPr>
        <w:fldChar w:fldCharType="end"/>
      </w:r>
      <w:r>
        <w:rPr>
          <w:rFonts w:hint="default" w:ascii="Calibri" w:hAnsi="Calibri" w:eastAsia="Calibri" w:cs="Calibri"/>
          <w:b w:val="0"/>
          <w:bCs w:val="0"/>
          <w:i w:val="0"/>
          <w:iCs w:val="0"/>
          <w:caps w:val="0"/>
          <w:smallCaps w:val="0"/>
          <w:color w:val="000000" w:themeColor="text1"/>
          <w:sz w:val="22"/>
          <w:szCs w:val="22"/>
          <w:lang w:val="en-GB"/>
          <w14:textFill>
            <w14:solidFill>
              <w14:schemeClr w14:val="tx1"/>
            </w14:solidFill>
          </w14:textFill>
        </w:rPr>
        <w:t xml:space="preserve">  (Accessed 5 November 2022).</w:t>
      </w:r>
    </w:p>
    <w:p>
      <w:pPr>
        <w:spacing w:line="360" w:lineRule="auto"/>
        <w:jc w:val="left"/>
        <w:rPr>
          <w:rFonts w:hint="default" w:ascii="Calibri" w:hAnsi="Calibri" w:eastAsia="Calibri" w:cs="Calibri"/>
          <w:b w:val="0"/>
          <w:bCs w:val="0"/>
          <w:i w:val="0"/>
          <w:iCs w:val="0"/>
          <w:caps w:val="0"/>
          <w:smallCaps w:val="0"/>
          <w:color w:val="000000" w:themeColor="text1"/>
          <w:sz w:val="22"/>
          <w:szCs w:val="22"/>
          <w:lang w:val="en-GB"/>
          <w14:textFill>
            <w14:solidFill>
              <w14:schemeClr w14:val="tx1"/>
            </w14:solidFill>
          </w14:textFill>
        </w:rPr>
      </w:pPr>
      <w:r>
        <w:rPr>
          <w:rFonts w:hint="default" w:ascii="Calibri" w:hAnsi="Calibri" w:eastAsia="Calibri" w:cs="Calibri"/>
          <w:b w:val="0"/>
          <w:bCs w:val="0"/>
          <w:i w:val="0"/>
          <w:iCs w:val="0"/>
          <w:caps w:val="0"/>
          <w:smallCaps w:val="0"/>
          <w:color w:val="000000" w:themeColor="text1"/>
          <w:sz w:val="22"/>
          <w:szCs w:val="22"/>
          <w:lang w:val="en-GB"/>
          <w14:textFill>
            <w14:solidFill>
              <w14:schemeClr w14:val="tx1"/>
            </w14:solidFill>
          </w14:textFill>
        </w:rPr>
        <w:t xml:space="preserve">Care Quality Commission. (2022). </w:t>
      </w:r>
      <w:r>
        <w:rPr>
          <w:rFonts w:hint="default" w:ascii="Calibri" w:hAnsi="Calibri" w:eastAsia="Calibri" w:cs="Calibri"/>
          <w:b w:val="0"/>
          <w:bCs w:val="0"/>
          <w:i/>
          <w:iCs/>
          <w:caps w:val="0"/>
          <w:smallCaps w:val="0"/>
          <w:color w:val="000000" w:themeColor="text1"/>
          <w:sz w:val="22"/>
          <w:szCs w:val="22"/>
          <w:lang w:val="en-GB"/>
          <w14:textFill>
            <w14:solidFill>
              <w14:schemeClr w14:val="tx1"/>
            </w14:solidFill>
          </w14:textFill>
        </w:rPr>
        <w:t>Monitoring the Mental Health Act - Care Quality Commission</w:t>
      </w:r>
      <w:r>
        <w:rPr>
          <w:rFonts w:hint="default" w:ascii="Calibri" w:hAnsi="Calibri" w:eastAsia="Calibri" w:cs="Calibri"/>
          <w:b w:val="0"/>
          <w:bCs w:val="0"/>
          <w:i w:val="0"/>
          <w:iCs w:val="0"/>
          <w:caps w:val="0"/>
          <w:smallCaps w:val="0"/>
          <w:color w:val="000000" w:themeColor="text1"/>
          <w:sz w:val="22"/>
          <w:szCs w:val="22"/>
          <w:lang w:val="en-GB"/>
          <w14:textFill>
            <w14:solidFill>
              <w14:schemeClr w14:val="tx1"/>
            </w14:solidFill>
          </w14:textFill>
        </w:rPr>
        <w:t xml:space="preserve"> [online]. Available at: </w:t>
      </w:r>
      <w:r>
        <w:rPr>
          <w:rFonts w:hint="default" w:ascii="Calibri" w:hAnsi="Calibri" w:cs="Calibri"/>
          <w:color w:val="000000" w:themeColor="text1"/>
          <w:sz w:val="22"/>
          <w:szCs w:val="22"/>
          <w14:textFill>
            <w14:solidFill>
              <w14:schemeClr w14:val="tx1"/>
            </w14:solidFill>
          </w14:textFill>
        </w:rPr>
        <w:fldChar w:fldCharType="begin"/>
      </w:r>
      <w:r>
        <w:rPr>
          <w:rFonts w:hint="default" w:ascii="Calibri" w:hAnsi="Calibri" w:cs="Calibri"/>
          <w:color w:val="000000" w:themeColor="text1"/>
          <w:sz w:val="22"/>
          <w:szCs w:val="22"/>
          <w14:textFill>
            <w14:solidFill>
              <w14:schemeClr w14:val="tx1"/>
            </w14:solidFill>
          </w14:textFill>
        </w:rPr>
        <w:instrText xml:space="preserve"> HYPERLINK "https://www.cqc.org.uk/publications/monitoring-mental-health-act" \h </w:instrText>
      </w:r>
      <w:r>
        <w:rPr>
          <w:rFonts w:hint="default" w:ascii="Calibri" w:hAnsi="Calibri" w:cs="Calibri"/>
          <w:color w:val="000000" w:themeColor="text1"/>
          <w:sz w:val="22"/>
          <w:szCs w:val="22"/>
          <w14:textFill>
            <w14:solidFill>
              <w14:schemeClr w14:val="tx1"/>
            </w14:solidFill>
          </w14:textFill>
        </w:rPr>
        <w:fldChar w:fldCharType="separate"/>
      </w:r>
      <w:r>
        <w:rPr>
          <w:rStyle w:val="7"/>
          <w:rFonts w:hint="default" w:ascii="Calibri" w:hAnsi="Calibri" w:eastAsia="Calibri" w:cs="Calibri"/>
          <w:b w:val="0"/>
          <w:bCs w:val="0"/>
          <w:i w:val="0"/>
          <w:iCs w:val="0"/>
          <w:caps w:val="0"/>
          <w:smallCaps w:val="0"/>
          <w:color w:val="000000" w:themeColor="text1"/>
          <w:sz w:val="22"/>
          <w:szCs w:val="22"/>
          <w:lang w:val="en-GB"/>
          <w14:textFill>
            <w14:solidFill>
              <w14:schemeClr w14:val="tx1"/>
            </w14:solidFill>
          </w14:textFill>
        </w:rPr>
        <w:t>https://www.cqc.org.uk/publications/monitoring-mental-health-act</w:t>
      </w:r>
      <w:r>
        <w:rPr>
          <w:rStyle w:val="7"/>
          <w:rFonts w:hint="default" w:ascii="Calibri" w:hAnsi="Calibri" w:eastAsia="Calibri" w:cs="Calibri"/>
          <w:b w:val="0"/>
          <w:bCs w:val="0"/>
          <w:i w:val="0"/>
          <w:iCs w:val="0"/>
          <w:caps w:val="0"/>
          <w:smallCaps w:val="0"/>
          <w:color w:val="000000" w:themeColor="text1"/>
          <w:sz w:val="22"/>
          <w:szCs w:val="22"/>
          <w:lang w:val="en-GB"/>
          <w14:textFill>
            <w14:solidFill>
              <w14:schemeClr w14:val="tx1"/>
            </w14:solidFill>
          </w14:textFill>
        </w:rPr>
        <w:fldChar w:fldCharType="end"/>
      </w:r>
      <w:r>
        <w:rPr>
          <w:rFonts w:hint="default" w:ascii="Calibri" w:hAnsi="Calibri" w:eastAsia="Calibri" w:cs="Calibri"/>
          <w:b w:val="0"/>
          <w:bCs w:val="0"/>
          <w:i w:val="0"/>
          <w:iCs w:val="0"/>
          <w:caps w:val="0"/>
          <w:smallCaps w:val="0"/>
          <w:color w:val="000000" w:themeColor="text1"/>
          <w:sz w:val="22"/>
          <w:szCs w:val="22"/>
          <w:lang w:val="en-GB"/>
          <w14:textFill>
            <w14:solidFill>
              <w14:schemeClr w14:val="tx1"/>
            </w14:solidFill>
          </w14:textFill>
        </w:rPr>
        <w:t xml:space="preserve"> </w:t>
      </w:r>
    </w:p>
    <w:p>
      <w:pPr>
        <w:spacing w:line="360" w:lineRule="auto"/>
        <w:jc w:val="left"/>
        <w:rPr>
          <w:rFonts w:hint="default" w:ascii="Calibri" w:hAnsi="Calibri" w:cs="Calibri"/>
          <w:color w:val="000000" w:themeColor="text1"/>
          <w:sz w:val="22"/>
          <w:szCs w:val="22"/>
          <w14:textFill>
            <w14:solidFill>
              <w14:schemeClr w14:val="tx1"/>
            </w14:solidFill>
          </w14:textFill>
        </w:rPr>
      </w:pPr>
      <w:r>
        <w:rPr>
          <w:rFonts w:hint="default" w:ascii="Calibri" w:hAnsi="Calibri" w:eastAsia="Calibri" w:cs="Calibri"/>
          <w:b w:val="0"/>
          <w:bCs w:val="0"/>
          <w:i w:val="0"/>
          <w:iCs w:val="0"/>
          <w:caps w:val="0"/>
          <w:smallCaps w:val="0"/>
          <w:color w:val="000000" w:themeColor="text1"/>
          <w:sz w:val="22"/>
          <w:szCs w:val="22"/>
          <w:lang w:val="en-GB"/>
          <w14:textFill>
            <w14:solidFill>
              <w14:schemeClr w14:val="tx1"/>
            </w14:solidFill>
          </w14:textFill>
        </w:rPr>
        <w:t>(Accessed 7 Dec. 2022).</w:t>
      </w:r>
    </w:p>
    <w:p>
      <w:pPr>
        <w:pStyle w:val="8"/>
        <w:keepNext w:val="0"/>
        <w:keepLines w:val="0"/>
        <w:widowControl/>
        <w:suppressLineNumbers w:val="0"/>
        <w:spacing w:before="0" w:beforeAutospacing="0" w:after="0" w:afterAutospacing="0" w:line="360" w:lineRule="auto"/>
        <w:ind w:left="0" w:right="0" w:firstLine="0"/>
        <w:rPr>
          <w:rFonts w:hint="default" w:ascii="Calibri" w:hAnsi="Calibri" w:cs="Calibri"/>
          <w:i w:val="0"/>
          <w:iCs w:val="0"/>
          <w:caps w:val="0"/>
          <w:color w:val="000000" w:themeColor="text1"/>
          <w:spacing w:val="0"/>
          <w:sz w:val="22"/>
          <w:szCs w:val="22"/>
          <w:lang w:val="en-GB"/>
          <w14:textFill>
            <w14:solidFill>
              <w14:schemeClr w14:val="tx1"/>
            </w14:solidFill>
          </w14:textFill>
        </w:rPr>
      </w:pPr>
      <w:r>
        <w:rPr>
          <w:rFonts w:hint="default" w:ascii="Calibri" w:hAnsi="Calibri" w:cs="Calibri"/>
          <w:i w:val="0"/>
          <w:iCs w:val="0"/>
          <w:caps w:val="0"/>
          <w:color w:val="000000" w:themeColor="text1"/>
          <w:spacing w:val="0"/>
          <w:sz w:val="22"/>
          <w:szCs w:val="22"/>
          <w14:textFill>
            <w14:solidFill>
              <w14:schemeClr w14:val="tx1"/>
            </w14:solidFill>
          </w14:textFill>
        </w:rPr>
        <w:t>BinDhim,</w:t>
      </w:r>
      <w:r>
        <w:rPr>
          <w:rFonts w:hint="default" w:ascii="Calibri" w:hAnsi="Calibri" w:cs="Calibri"/>
          <w:i w:val="0"/>
          <w:iCs w:val="0"/>
          <w:caps w:val="0"/>
          <w:color w:val="000000" w:themeColor="text1"/>
          <w:spacing w:val="0"/>
          <w:sz w:val="22"/>
          <w:szCs w:val="22"/>
          <w:lang w:val="en-GB"/>
          <w14:textFill>
            <w14:solidFill>
              <w14:schemeClr w14:val="tx1"/>
            </w14:solidFill>
          </w14:textFill>
        </w:rPr>
        <w:t>N.F.,</w:t>
      </w:r>
      <w:r>
        <w:rPr>
          <w:rFonts w:hint="default" w:ascii="Calibri" w:hAnsi="Calibri" w:cs="Calibri"/>
          <w:i w:val="0"/>
          <w:iCs w:val="0"/>
          <w:caps w:val="0"/>
          <w:color w:val="000000" w:themeColor="text1"/>
          <w:spacing w:val="0"/>
          <w:sz w:val="22"/>
          <w:szCs w:val="22"/>
          <w14:textFill>
            <w14:solidFill>
              <w14:schemeClr w14:val="tx1"/>
            </w14:solidFill>
          </w14:textFill>
        </w:rPr>
        <w:t xml:space="preserve"> </w:t>
      </w:r>
      <w:r>
        <w:rPr>
          <w:rFonts w:hint="default" w:ascii="Calibri" w:hAnsi="Calibri" w:cs="Calibri"/>
          <w:i w:val="0"/>
          <w:iCs w:val="0"/>
          <w:caps w:val="0"/>
          <w:color w:val="000000" w:themeColor="text1"/>
          <w:spacing w:val="0"/>
          <w:sz w:val="22"/>
          <w:szCs w:val="22"/>
          <w:lang w:val="en-GB"/>
          <w14:textFill>
            <w14:solidFill>
              <w14:schemeClr w14:val="tx1"/>
            </w14:solidFill>
          </w14:textFill>
        </w:rPr>
        <w:t>et al.</w:t>
      </w:r>
      <w:r>
        <w:rPr>
          <w:rFonts w:hint="default" w:ascii="Calibri" w:hAnsi="Calibri" w:cs="Calibri"/>
          <w:i w:val="0"/>
          <w:iCs w:val="0"/>
          <w:caps w:val="0"/>
          <w:color w:val="000000" w:themeColor="text1"/>
          <w:spacing w:val="0"/>
          <w:sz w:val="22"/>
          <w:szCs w:val="22"/>
          <w14:textFill>
            <w14:solidFill>
              <w14:schemeClr w14:val="tx1"/>
            </w14:solidFill>
          </w14:textFill>
        </w:rPr>
        <w:t xml:space="preserve"> (2020). General Population Mental Health Surveillance System during the COVID-19 Epidemic</w:t>
      </w:r>
      <w:r>
        <w:rPr>
          <w:rFonts w:hint="default" w:ascii="Calibri" w:hAnsi="Calibri" w:cs="Calibri"/>
          <w:i w:val="0"/>
          <w:iCs w:val="0"/>
          <w:caps w:val="0"/>
          <w:color w:val="000000" w:themeColor="text1"/>
          <w:spacing w:val="0"/>
          <w:sz w:val="22"/>
          <w:szCs w:val="22"/>
          <w:lang w:val="en-GB"/>
          <w14:textFill>
            <w14:solidFill>
              <w14:schemeClr w14:val="tx1"/>
            </w14:solidFill>
          </w14:textFill>
        </w:rPr>
        <w:t xml:space="preserve">. Available at: </w:t>
      </w:r>
      <w:r>
        <w:rPr>
          <w:rFonts w:hint="default" w:ascii="Calibri" w:hAnsi="Calibri" w:cs="Calibri"/>
          <w:i w:val="0"/>
          <w:iCs w:val="0"/>
          <w:caps w:val="0"/>
          <w:color w:val="000000" w:themeColor="text1"/>
          <w:spacing w:val="0"/>
          <w:sz w:val="22"/>
          <w:szCs w:val="22"/>
          <w:lang w:val="en-GB"/>
          <w14:textFill>
            <w14:solidFill>
              <w14:schemeClr w14:val="tx1"/>
            </w14:solidFill>
          </w14:textFill>
        </w:rPr>
        <w:fldChar w:fldCharType="begin"/>
      </w:r>
      <w:r>
        <w:rPr>
          <w:rFonts w:hint="default" w:ascii="Calibri" w:hAnsi="Calibri" w:cs="Calibri"/>
          <w:i w:val="0"/>
          <w:iCs w:val="0"/>
          <w:caps w:val="0"/>
          <w:color w:val="000000" w:themeColor="text1"/>
          <w:spacing w:val="0"/>
          <w:sz w:val="22"/>
          <w:szCs w:val="22"/>
          <w:lang w:val="en-GB"/>
          <w14:textFill>
            <w14:solidFill>
              <w14:schemeClr w14:val="tx1"/>
            </w14:solidFill>
          </w14:textFill>
        </w:rPr>
        <w:instrText xml:space="preserve"> HYPERLINK "https://www.researchprotocols.org/2020/11/e23748/" </w:instrText>
      </w:r>
      <w:r>
        <w:rPr>
          <w:rFonts w:hint="default" w:ascii="Calibri" w:hAnsi="Calibri" w:cs="Calibri"/>
          <w:i w:val="0"/>
          <w:iCs w:val="0"/>
          <w:caps w:val="0"/>
          <w:color w:val="000000" w:themeColor="text1"/>
          <w:spacing w:val="0"/>
          <w:sz w:val="22"/>
          <w:szCs w:val="22"/>
          <w:lang w:val="en-GB"/>
          <w14:textFill>
            <w14:solidFill>
              <w14:schemeClr w14:val="tx1"/>
            </w14:solidFill>
          </w14:textFill>
        </w:rPr>
        <w:fldChar w:fldCharType="separate"/>
      </w:r>
      <w:r>
        <w:rPr>
          <w:rStyle w:val="7"/>
          <w:rFonts w:hint="default" w:ascii="Calibri" w:hAnsi="Calibri" w:cs="Calibri"/>
          <w:i w:val="0"/>
          <w:iCs w:val="0"/>
          <w:caps w:val="0"/>
          <w:color w:val="000000" w:themeColor="text1"/>
          <w:spacing w:val="0"/>
          <w:sz w:val="22"/>
          <w:szCs w:val="22"/>
          <w:lang w:val="en-GB"/>
          <w14:textFill>
            <w14:solidFill>
              <w14:schemeClr w14:val="tx1"/>
            </w14:solidFill>
          </w14:textFill>
        </w:rPr>
        <w:t>https://www.researchprotocols.org/2020/11/e23748/</w:t>
      </w:r>
      <w:r>
        <w:rPr>
          <w:rFonts w:hint="default" w:ascii="Calibri" w:hAnsi="Calibri" w:cs="Calibri"/>
          <w:i w:val="0"/>
          <w:iCs w:val="0"/>
          <w:caps w:val="0"/>
          <w:color w:val="000000" w:themeColor="text1"/>
          <w:spacing w:val="0"/>
          <w:sz w:val="22"/>
          <w:szCs w:val="22"/>
          <w:lang w:val="en-GB"/>
          <w14:textFill>
            <w14:solidFill>
              <w14:schemeClr w14:val="tx1"/>
            </w14:solidFill>
          </w14:textFill>
        </w:rPr>
        <w:fldChar w:fldCharType="end"/>
      </w:r>
      <w:r>
        <w:rPr>
          <w:rFonts w:hint="default" w:ascii="Calibri" w:hAnsi="Calibri" w:cs="Calibri"/>
          <w:i w:val="0"/>
          <w:iCs w:val="0"/>
          <w:caps w:val="0"/>
          <w:color w:val="000000" w:themeColor="text1"/>
          <w:spacing w:val="0"/>
          <w:sz w:val="22"/>
          <w:szCs w:val="22"/>
          <w:lang w:val="en-GB"/>
          <w14:textFill>
            <w14:solidFill>
              <w14:schemeClr w14:val="tx1"/>
            </w14:solidFill>
          </w14:textFill>
        </w:rPr>
        <w:t xml:space="preserve"> (Acceassed 10 November 2022). </w:t>
      </w:r>
    </w:p>
    <w:p>
      <w:pPr>
        <w:pStyle w:val="8"/>
        <w:keepNext w:val="0"/>
        <w:keepLines w:val="0"/>
        <w:widowControl/>
        <w:suppressLineNumbers w:val="0"/>
        <w:spacing w:before="0" w:beforeAutospacing="0" w:after="0" w:afterAutospacing="0" w:line="360" w:lineRule="auto"/>
        <w:ind w:left="0" w:right="0" w:firstLine="0"/>
        <w:rPr>
          <w:rFonts w:hint="default" w:ascii="Calibri" w:hAnsi="Calibri" w:cs="Calibri"/>
          <w:i w:val="0"/>
          <w:iCs w:val="0"/>
          <w:caps w:val="0"/>
          <w:color w:val="000000" w:themeColor="text1"/>
          <w:spacing w:val="0"/>
          <w:sz w:val="21"/>
          <w:szCs w:val="21"/>
          <w:lang w:val="en-GB"/>
          <w14:textFill>
            <w14:solidFill>
              <w14:schemeClr w14:val="tx1"/>
            </w14:solidFill>
          </w14:textFill>
        </w:rPr>
      </w:pPr>
      <w:r>
        <w:rPr>
          <w:rFonts w:hint="default" w:ascii="Calibri" w:hAnsi="Calibri" w:cs="Calibri"/>
          <w:i w:val="0"/>
          <w:iCs w:val="0"/>
          <w:caps w:val="0"/>
          <w:color w:val="000000" w:themeColor="text1"/>
          <w:spacing w:val="0"/>
          <w:sz w:val="21"/>
          <w:szCs w:val="21"/>
          <w14:textFill>
            <w14:solidFill>
              <w14:schemeClr w14:val="tx1"/>
            </w14:solidFill>
          </w14:textFill>
        </w:rPr>
        <w:t>Youth</w:t>
      </w:r>
      <w:r>
        <w:rPr>
          <w:rFonts w:hint="default" w:ascii="Calibri" w:hAnsi="Calibri" w:cs="Calibri"/>
          <w:i w:val="0"/>
          <w:iCs w:val="0"/>
          <w:caps w:val="0"/>
          <w:color w:val="000000" w:themeColor="text1"/>
          <w:spacing w:val="0"/>
          <w:sz w:val="21"/>
          <w:szCs w:val="21"/>
          <w:lang w:val="en-GB"/>
          <w14:textFill>
            <w14:solidFill>
              <w14:schemeClr w14:val="tx1"/>
            </w14:solidFill>
          </w14:textFill>
        </w:rPr>
        <w:t xml:space="preserve">. </w:t>
      </w:r>
      <w:r>
        <w:rPr>
          <w:rFonts w:hint="default" w:ascii="Calibri" w:hAnsi="Calibri" w:cs="Calibri"/>
          <w:i w:val="0"/>
          <w:iCs w:val="0"/>
          <w:caps w:val="0"/>
          <w:color w:val="000000" w:themeColor="text1"/>
          <w:spacing w:val="0"/>
          <w:sz w:val="21"/>
          <w:szCs w:val="21"/>
          <w14:textFill>
            <w14:solidFill>
              <w14:schemeClr w14:val="tx1"/>
            </w14:solidFill>
          </w14:textFill>
        </w:rPr>
        <w:t>(2000). </w:t>
      </w:r>
      <w:r>
        <w:rPr>
          <w:rFonts w:hint="default" w:ascii="Calibri" w:hAnsi="Calibri" w:cs="Calibri"/>
          <w:i/>
          <w:iCs/>
          <w:caps w:val="0"/>
          <w:color w:val="000000" w:themeColor="text1"/>
          <w:spacing w:val="0"/>
          <w:sz w:val="21"/>
          <w:szCs w:val="21"/>
          <w14:textFill>
            <w14:solidFill>
              <w14:schemeClr w14:val="tx1"/>
            </w14:solidFill>
          </w14:textFill>
        </w:rPr>
        <w:t xml:space="preserve">Risk &amp; Protective Factors </w:t>
      </w:r>
      <w:r>
        <w:rPr>
          <w:rFonts w:hint="default" w:ascii="Calibri" w:hAnsi="Calibri" w:cs="Calibri"/>
          <w:i w:val="0"/>
          <w:iCs w:val="0"/>
          <w:caps w:val="0"/>
          <w:color w:val="000000" w:themeColor="text1"/>
          <w:spacing w:val="0"/>
          <w:sz w:val="21"/>
          <w:szCs w:val="21"/>
          <w14:textFill>
            <w14:solidFill>
              <w14:schemeClr w14:val="tx1"/>
            </w14:solidFill>
          </w14:textFill>
        </w:rPr>
        <w:t xml:space="preserve"> </w:t>
      </w:r>
      <w:r>
        <w:rPr>
          <w:rFonts w:hint="default" w:ascii="Calibri" w:hAnsi="Calibri" w:cs="Calibri"/>
          <w:i w:val="0"/>
          <w:iCs w:val="0"/>
          <w:caps w:val="0"/>
          <w:color w:val="000000" w:themeColor="text1"/>
          <w:spacing w:val="0"/>
          <w:sz w:val="21"/>
          <w:szCs w:val="21"/>
          <w:lang w:val="en-GB"/>
          <w14:textFill>
            <w14:solidFill>
              <w14:schemeClr w14:val="tx1"/>
            </w14:solidFill>
          </w14:textFill>
        </w:rPr>
        <w:t>[</w:t>
      </w:r>
      <w:r>
        <w:rPr>
          <w:rFonts w:hint="default" w:ascii="Calibri" w:hAnsi="Calibri" w:cs="Calibri"/>
          <w:i w:val="0"/>
          <w:iCs w:val="0"/>
          <w:caps w:val="0"/>
          <w:color w:val="000000" w:themeColor="text1"/>
          <w:spacing w:val="0"/>
          <w:sz w:val="21"/>
          <w:szCs w:val="21"/>
          <w14:textFill>
            <w14:solidFill>
              <w14:schemeClr w14:val="tx1"/>
            </w14:solidFill>
          </w14:textFill>
        </w:rPr>
        <w:t>onlin</w:t>
      </w:r>
      <w:r>
        <w:rPr>
          <w:rFonts w:hint="default" w:ascii="Calibri" w:hAnsi="Calibri" w:cs="Calibri"/>
          <w:i w:val="0"/>
          <w:iCs w:val="0"/>
          <w:caps w:val="0"/>
          <w:color w:val="000000" w:themeColor="text1"/>
          <w:spacing w:val="0"/>
          <w:sz w:val="21"/>
          <w:szCs w:val="21"/>
          <w:lang w:val="en-GB"/>
          <w14:textFill>
            <w14:solidFill>
              <w14:schemeClr w14:val="tx1"/>
            </w14:solidFill>
          </w14:textFill>
        </w:rPr>
        <w:t>e].</w:t>
      </w:r>
      <w:r>
        <w:rPr>
          <w:rFonts w:hint="default" w:ascii="Calibri" w:hAnsi="Calibri" w:cs="Calibri"/>
          <w:i w:val="0"/>
          <w:iCs w:val="0"/>
          <w:caps w:val="0"/>
          <w:color w:val="000000" w:themeColor="text1"/>
          <w:spacing w:val="0"/>
          <w:sz w:val="21"/>
          <w:szCs w:val="21"/>
          <w14:textFill>
            <w14:solidFill>
              <w14:schemeClr w14:val="tx1"/>
            </w14:solidFill>
          </w14:textFill>
        </w:rPr>
        <w:t xml:space="preserve"> Available at: </w:t>
      </w:r>
      <w:r>
        <w:rPr>
          <w:rFonts w:hint="default" w:ascii="Calibri" w:hAnsi="Calibri" w:cs="Calibri"/>
          <w:i w:val="0"/>
          <w:iCs w:val="0"/>
          <w:caps w:val="0"/>
          <w:color w:val="000000" w:themeColor="text1"/>
          <w:spacing w:val="0"/>
          <w:sz w:val="21"/>
          <w:szCs w:val="21"/>
          <w14:textFill>
            <w14:solidFill>
              <w14:schemeClr w14:val="tx1"/>
            </w14:solidFill>
          </w14:textFill>
        </w:rPr>
        <w:fldChar w:fldCharType="begin"/>
      </w:r>
      <w:r>
        <w:rPr>
          <w:rFonts w:hint="default" w:ascii="Calibri" w:hAnsi="Calibri" w:cs="Calibri"/>
          <w:i w:val="0"/>
          <w:iCs w:val="0"/>
          <w:caps w:val="0"/>
          <w:color w:val="000000" w:themeColor="text1"/>
          <w:spacing w:val="0"/>
          <w:sz w:val="21"/>
          <w:szCs w:val="21"/>
          <w14:textFill>
            <w14:solidFill>
              <w14:schemeClr w14:val="tx1"/>
            </w14:solidFill>
          </w14:textFill>
        </w:rPr>
        <w:instrText xml:space="preserve"> HYPERLINK "https://youth.gov/youth-topics/youth-mental-health/risk-and-protective-factors-youth." </w:instrText>
      </w:r>
      <w:r>
        <w:rPr>
          <w:rFonts w:hint="default" w:ascii="Calibri" w:hAnsi="Calibri" w:cs="Calibri"/>
          <w:i w:val="0"/>
          <w:iCs w:val="0"/>
          <w:caps w:val="0"/>
          <w:color w:val="000000" w:themeColor="text1"/>
          <w:spacing w:val="0"/>
          <w:sz w:val="21"/>
          <w:szCs w:val="21"/>
          <w14:textFill>
            <w14:solidFill>
              <w14:schemeClr w14:val="tx1"/>
            </w14:solidFill>
          </w14:textFill>
        </w:rPr>
        <w:fldChar w:fldCharType="separate"/>
      </w:r>
      <w:r>
        <w:rPr>
          <w:rStyle w:val="7"/>
          <w:rFonts w:hint="default" w:ascii="Calibri" w:hAnsi="Calibri" w:cs="Calibri"/>
          <w:i w:val="0"/>
          <w:iCs w:val="0"/>
          <w:caps w:val="0"/>
          <w:color w:val="000000" w:themeColor="text1"/>
          <w:spacing w:val="0"/>
          <w:sz w:val="21"/>
          <w:szCs w:val="21"/>
          <w14:textFill>
            <w14:solidFill>
              <w14:schemeClr w14:val="tx1"/>
            </w14:solidFill>
          </w14:textFill>
        </w:rPr>
        <w:t>https://youth.gov/youth-topics/youth-mental-health/risk-and-protective-factors-youth.</w:t>
      </w:r>
      <w:r>
        <w:rPr>
          <w:rFonts w:hint="default" w:ascii="Calibri" w:hAnsi="Calibri" w:cs="Calibri"/>
          <w:i w:val="0"/>
          <w:iCs w:val="0"/>
          <w:caps w:val="0"/>
          <w:color w:val="000000" w:themeColor="text1"/>
          <w:spacing w:val="0"/>
          <w:sz w:val="21"/>
          <w:szCs w:val="21"/>
          <w14:textFill>
            <w14:solidFill>
              <w14:schemeClr w14:val="tx1"/>
            </w14:solidFill>
          </w14:textFill>
        </w:rPr>
        <w:fldChar w:fldCharType="end"/>
      </w:r>
      <w:r>
        <w:rPr>
          <w:rFonts w:hint="default" w:ascii="Calibri" w:hAnsi="Calibri" w:cs="Calibri"/>
          <w:i w:val="0"/>
          <w:iCs w:val="0"/>
          <w:caps w:val="0"/>
          <w:color w:val="000000" w:themeColor="text1"/>
          <w:spacing w:val="0"/>
          <w:sz w:val="21"/>
          <w:szCs w:val="21"/>
          <w:lang w:val="en-GB"/>
          <w14:textFill>
            <w14:solidFill>
              <w14:schemeClr w14:val="tx1"/>
            </w14:solidFill>
          </w14:textFill>
        </w:rPr>
        <w:t xml:space="preserve"> ( Accessed 8 December 2022).</w:t>
      </w:r>
    </w:p>
    <w:p>
      <w:pPr>
        <w:pStyle w:val="8"/>
        <w:keepNext w:val="0"/>
        <w:keepLines w:val="0"/>
        <w:widowControl/>
        <w:suppressLineNumbers w:val="0"/>
        <w:spacing w:before="0" w:beforeAutospacing="0" w:after="0" w:afterAutospacing="0" w:line="360" w:lineRule="auto"/>
        <w:ind w:left="0" w:right="0" w:firstLine="0"/>
        <w:rPr>
          <w:rFonts w:hint="default" w:ascii="Calibri" w:hAnsi="Calibri" w:cs="Calibri"/>
          <w:i w:val="0"/>
          <w:iCs w:val="0"/>
          <w:caps w:val="0"/>
          <w:color w:val="000000" w:themeColor="text1"/>
          <w:spacing w:val="0"/>
          <w:sz w:val="21"/>
          <w:szCs w:val="21"/>
          <w14:textFill>
            <w14:solidFill>
              <w14:schemeClr w14:val="tx1"/>
            </w14:solidFill>
          </w14:textFill>
        </w:rPr>
      </w:pPr>
    </w:p>
    <w:p>
      <w:pPr>
        <w:pStyle w:val="8"/>
        <w:keepNext w:val="0"/>
        <w:keepLines w:val="0"/>
        <w:widowControl/>
        <w:suppressLineNumbers w:val="0"/>
        <w:spacing w:before="0" w:beforeAutospacing="0" w:after="0" w:afterAutospacing="0" w:line="360" w:lineRule="auto"/>
        <w:ind w:left="0" w:right="0" w:firstLine="0"/>
        <w:rPr>
          <w:rFonts w:hint="default" w:ascii="Calibri" w:hAnsi="Calibri" w:cs="Calibri"/>
          <w:i w:val="0"/>
          <w:iCs w:val="0"/>
          <w:caps w:val="0"/>
          <w:color w:val="000000" w:themeColor="text1"/>
          <w:spacing w:val="0"/>
          <w:sz w:val="21"/>
          <w:szCs w:val="21"/>
          <w:lang w:val="en-GB"/>
          <w14:textFill>
            <w14:solidFill>
              <w14:schemeClr w14:val="tx1"/>
            </w14:solidFill>
          </w14:textFill>
        </w:rPr>
      </w:pPr>
      <w:r>
        <w:rPr>
          <w:rFonts w:hint="default" w:ascii="Calibri" w:hAnsi="Calibri" w:cs="Calibri"/>
          <w:i w:val="0"/>
          <w:iCs w:val="0"/>
          <w:caps w:val="0"/>
          <w:color w:val="000000" w:themeColor="text1"/>
          <w:spacing w:val="0"/>
          <w:sz w:val="21"/>
          <w:szCs w:val="21"/>
          <w14:textFill>
            <w14:solidFill>
              <w14:schemeClr w14:val="tx1"/>
            </w14:solidFill>
          </w14:textFill>
        </w:rPr>
        <w:t>Mrazek, P.J. and Haggerty, R.J. (2016). </w:t>
      </w:r>
      <w:r>
        <w:rPr>
          <w:rFonts w:hint="default" w:ascii="Calibri" w:hAnsi="Calibri" w:cs="Calibri"/>
          <w:i/>
          <w:iCs/>
          <w:caps w:val="0"/>
          <w:color w:val="000000" w:themeColor="text1"/>
          <w:spacing w:val="0"/>
          <w:sz w:val="21"/>
          <w:szCs w:val="21"/>
          <w14:textFill>
            <w14:solidFill>
              <w14:schemeClr w14:val="tx1"/>
            </w14:solidFill>
          </w14:textFill>
        </w:rPr>
        <w:t>Risk and Protective Factors for the Onset of Mental Disorders</w:t>
      </w:r>
      <w:r>
        <w:rPr>
          <w:rFonts w:hint="default" w:ascii="Calibri" w:hAnsi="Calibri" w:cs="Calibri"/>
          <w:i/>
          <w:iCs/>
          <w:caps w:val="0"/>
          <w:color w:val="000000" w:themeColor="text1"/>
          <w:spacing w:val="0"/>
          <w:sz w:val="21"/>
          <w:szCs w:val="21"/>
          <w:lang w:val="en-GB"/>
          <w14:textFill>
            <w14:solidFill>
              <w14:schemeClr w14:val="tx1"/>
            </w14:solidFill>
          </w14:textFill>
        </w:rPr>
        <w:t xml:space="preserve"> </w:t>
      </w:r>
      <w:r>
        <w:rPr>
          <w:rFonts w:hint="default" w:ascii="Calibri" w:hAnsi="Calibri" w:cs="Calibri"/>
          <w:i w:val="0"/>
          <w:iCs w:val="0"/>
          <w:caps w:val="0"/>
          <w:color w:val="000000" w:themeColor="text1"/>
          <w:spacing w:val="0"/>
          <w:sz w:val="21"/>
          <w:szCs w:val="21"/>
          <w:lang w:val="en-GB"/>
          <w14:textFill>
            <w14:solidFill>
              <w14:schemeClr w14:val="tx1"/>
            </w14:solidFill>
          </w14:textFill>
        </w:rPr>
        <w:t>[</w:t>
      </w:r>
      <w:r>
        <w:rPr>
          <w:rFonts w:hint="default" w:ascii="Calibri" w:hAnsi="Calibri" w:cs="Calibri"/>
          <w:i w:val="0"/>
          <w:iCs w:val="0"/>
          <w:caps w:val="0"/>
          <w:color w:val="000000" w:themeColor="text1"/>
          <w:spacing w:val="0"/>
          <w:sz w:val="21"/>
          <w:szCs w:val="21"/>
          <w14:textFill>
            <w14:solidFill>
              <w14:schemeClr w14:val="tx1"/>
            </w14:solidFill>
          </w14:textFill>
        </w:rPr>
        <w:t>online</w:t>
      </w:r>
      <w:r>
        <w:rPr>
          <w:rFonts w:hint="default" w:ascii="Calibri" w:hAnsi="Calibri" w:cs="Calibri"/>
          <w:i w:val="0"/>
          <w:iCs w:val="0"/>
          <w:caps w:val="0"/>
          <w:color w:val="000000" w:themeColor="text1"/>
          <w:spacing w:val="0"/>
          <w:sz w:val="21"/>
          <w:szCs w:val="21"/>
          <w:lang w:val="en-GB"/>
          <w14:textFill>
            <w14:solidFill>
              <w14:schemeClr w14:val="tx1"/>
            </w14:solidFill>
          </w14:textFill>
        </w:rPr>
        <w:t>].</w:t>
      </w:r>
      <w:r>
        <w:rPr>
          <w:rFonts w:hint="default" w:ascii="Calibri" w:hAnsi="Calibri" w:cs="Calibri"/>
          <w:i w:val="0"/>
          <w:iCs w:val="0"/>
          <w:caps w:val="0"/>
          <w:color w:val="000000" w:themeColor="text1"/>
          <w:spacing w:val="0"/>
          <w:sz w:val="21"/>
          <w:szCs w:val="21"/>
          <w14:textFill>
            <w14:solidFill>
              <w14:schemeClr w14:val="tx1"/>
            </w14:solidFill>
          </w14:textFill>
        </w:rPr>
        <w:t xml:space="preserve"> Available at: </w:t>
      </w:r>
      <w:r>
        <w:rPr>
          <w:rFonts w:hint="default" w:ascii="Calibri" w:hAnsi="Calibri" w:cs="Calibri"/>
          <w:i w:val="0"/>
          <w:iCs w:val="0"/>
          <w:caps w:val="0"/>
          <w:color w:val="000000" w:themeColor="text1"/>
          <w:spacing w:val="0"/>
          <w:sz w:val="21"/>
          <w:szCs w:val="21"/>
          <w14:textFill>
            <w14:solidFill>
              <w14:schemeClr w14:val="tx1"/>
            </w14:solidFill>
          </w14:textFill>
        </w:rPr>
        <w:fldChar w:fldCharType="begin"/>
      </w:r>
      <w:r>
        <w:rPr>
          <w:rFonts w:hint="default" w:ascii="Calibri" w:hAnsi="Calibri" w:cs="Calibri"/>
          <w:i w:val="0"/>
          <w:iCs w:val="0"/>
          <w:caps w:val="0"/>
          <w:color w:val="000000" w:themeColor="text1"/>
          <w:spacing w:val="0"/>
          <w:sz w:val="21"/>
          <w:szCs w:val="21"/>
          <w14:textFill>
            <w14:solidFill>
              <w14:schemeClr w14:val="tx1"/>
            </w14:solidFill>
          </w14:textFill>
        </w:rPr>
        <w:instrText xml:space="preserve"> HYPERLINK "https://www.ncbi.nlm.nih.gov/books/NBK236306/." </w:instrText>
      </w:r>
      <w:r>
        <w:rPr>
          <w:rFonts w:hint="default" w:ascii="Calibri" w:hAnsi="Calibri" w:cs="Calibri"/>
          <w:i w:val="0"/>
          <w:iCs w:val="0"/>
          <w:caps w:val="0"/>
          <w:color w:val="000000" w:themeColor="text1"/>
          <w:spacing w:val="0"/>
          <w:sz w:val="21"/>
          <w:szCs w:val="21"/>
          <w14:textFill>
            <w14:solidFill>
              <w14:schemeClr w14:val="tx1"/>
            </w14:solidFill>
          </w14:textFill>
        </w:rPr>
        <w:fldChar w:fldCharType="separate"/>
      </w:r>
      <w:r>
        <w:rPr>
          <w:rStyle w:val="7"/>
          <w:rFonts w:hint="default" w:ascii="Calibri" w:hAnsi="Calibri" w:cs="Calibri"/>
          <w:i w:val="0"/>
          <w:iCs w:val="0"/>
          <w:caps w:val="0"/>
          <w:color w:val="000000" w:themeColor="text1"/>
          <w:spacing w:val="0"/>
          <w:sz w:val="21"/>
          <w:szCs w:val="21"/>
          <w14:textFill>
            <w14:solidFill>
              <w14:schemeClr w14:val="tx1"/>
            </w14:solidFill>
          </w14:textFill>
        </w:rPr>
        <w:t>https://www.ncbi.nlm.nih.gov/books/NBK236306/.</w:t>
      </w:r>
      <w:r>
        <w:rPr>
          <w:rFonts w:hint="default" w:ascii="Calibri" w:hAnsi="Calibri" w:cs="Calibri"/>
          <w:i w:val="0"/>
          <w:iCs w:val="0"/>
          <w:caps w:val="0"/>
          <w:color w:val="000000" w:themeColor="text1"/>
          <w:spacing w:val="0"/>
          <w:sz w:val="21"/>
          <w:szCs w:val="21"/>
          <w14:textFill>
            <w14:solidFill>
              <w14:schemeClr w14:val="tx1"/>
            </w14:solidFill>
          </w14:textFill>
        </w:rPr>
        <w:fldChar w:fldCharType="end"/>
      </w:r>
      <w:r>
        <w:rPr>
          <w:rFonts w:hint="default" w:ascii="Calibri" w:hAnsi="Calibri" w:cs="Calibri"/>
          <w:i w:val="0"/>
          <w:iCs w:val="0"/>
          <w:caps w:val="0"/>
          <w:color w:val="000000" w:themeColor="text1"/>
          <w:spacing w:val="0"/>
          <w:sz w:val="21"/>
          <w:szCs w:val="21"/>
          <w:lang w:val="en-GB"/>
          <w14:textFill>
            <w14:solidFill>
              <w14:schemeClr w14:val="tx1"/>
            </w14:solidFill>
          </w14:textFill>
        </w:rPr>
        <w:t xml:space="preserve"> (Accessed 19 December 2022).</w:t>
      </w:r>
    </w:p>
    <w:p>
      <w:pPr>
        <w:pStyle w:val="8"/>
        <w:keepNext w:val="0"/>
        <w:keepLines w:val="0"/>
        <w:widowControl/>
        <w:suppressLineNumbers w:val="0"/>
        <w:spacing w:before="0" w:beforeAutospacing="0" w:after="0" w:afterAutospacing="0" w:line="315" w:lineRule="atLeast"/>
        <w:ind w:left="0" w:right="0" w:firstLine="0"/>
        <w:rPr>
          <w:rFonts w:hint="default" w:ascii="Calibri" w:hAnsi="Calibri" w:cs="Calibri"/>
          <w:i w:val="0"/>
          <w:iCs w:val="0"/>
          <w:caps w:val="0"/>
          <w:color w:val="000000"/>
          <w:spacing w:val="0"/>
          <w:sz w:val="21"/>
          <w:szCs w:val="21"/>
        </w:rPr>
      </w:pPr>
    </w:p>
    <w:p>
      <w:pPr>
        <w:pStyle w:val="8"/>
        <w:keepNext w:val="0"/>
        <w:keepLines w:val="0"/>
        <w:widowControl/>
        <w:suppressLineNumbers w:val="0"/>
        <w:spacing w:before="0" w:beforeAutospacing="0" w:after="0" w:afterAutospacing="0" w:line="315" w:lineRule="atLeast"/>
        <w:ind w:left="0" w:right="0" w:firstLine="0"/>
        <w:rPr>
          <w:rFonts w:hint="default" w:ascii="Calibri" w:hAnsi="Calibri" w:cs="Calibri"/>
          <w:i w:val="0"/>
          <w:iCs w:val="0"/>
          <w:caps w:val="0"/>
          <w:color w:val="000000"/>
          <w:spacing w:val="0"/>
          <w:sz w:val="21"/>
          <w:szCs w:val="21"/>
        </w:rPr>
      </w:pPr>
    </w:p>
    <w:p>
      <w:pPr>
        <w:pStyle w:val="8"/>
        <w:keepNext w:val="0"/>
        <w:keepLines w:val="0"/>
        <w:widowControl/>
        <w:suppressLineNumbers w:val="0"/>
        <w:spacing w:before="0" w:beforeAutospacing="0" w:after="0" w:afterAutospacing="0" w:line="315" w:lineRule="atLeast"/>
        <w:ind w:left="0" w:right="0" w:firstLine="0"/>
        <w:rPr>
          <w:rFonts w:hint="default" w:ascii="Calibri" w:hAnsi="Calibri" w:cs="Calibri"/>
          <w:i w:val="0"/>
          <w:iCs w:val="0"/>
          <w:caps w:val="0"/>
          <w:color w:val="000000"/>
          <w:spacing w:val="0"/>
          <w:sz w:val="21"/>
          <w:szCs w:val="21"/>
        </w:rPr>
      </w:pPr>
    </w:p>
    <w:p>
      <w:pPr>
        <w:pStyle w:val="8"/>
        <w:keepNext w:val="0"/>
        <w:keepLines w:val="0"/>
        <w:widowControl/>
        <w:suppressLineNumbers w:val="0"/>
        <w:spacing w:before="0" w:beforeAutospacing="0" w:after="0" w:afterAutospacing="0" w:line="315" w:lineRule="atLeast"/>
        <w:ind w:left="0" w:right="0" w:firstLine="0"/>
        <w:rPr>
          <w:rFonts w:hint="default" w:ascii="Calibri" w:hAnsi="Calibri" w:cs="Calibri"/>
          <w:i w:val="0"/>
          <w:iCs w:val="0"/>
          <w:caps w:val="0"/>
          <w:color w:val="000000"/>
          <w:spacing w:val="0"/>
          <w:sz w:val="21"/>
          <w:szCs w:val="21"/>
        </w:rPr>
      </w:pPr>
    </w:p>
    <w:p>
      <w:pPr>
        <w:pStyle w:val="8"/>
        <w:keepNext w:val="0"/>
        <w:keepLines w:val="0"/>
        <w:widowControl/>
        <w:suppressLineNumbers w:val="0"/>
        <w:ind w:left="0" w:firstLine="0"/>
        <w:rPr>
          <w:rFonts w:hint="default" w:ascii="Calibri" w:hAnsi="Calibri" w:cs="Calibri"/>
          <w:i w:val="0"/>
          <w:iCs w:val="0"/>
          <w:caps w:val="0"/>
          <w:color w:val="000000"/>
          <w:spacing w:val="0"/>
          <w:sz w:val="27"/>
          <w:szCs w:val="27"/>
        </w:rPr>
      </w:pPr>
      <w:r>
        <w:rPr>
          <w:rFonts w:hint="default" w:ascii="Calibri" w:hAnsi="Calibri" w:cs="Calibri"/>
          <w:i w:val="0"/>
          <w:iCs w:val="0"/>
          <w:caps w:val="0"/>
          <w:color w:val="000000"/>
          <w:spacing w:val="0"/>
          <w:sz w:val="27"/>
          <w:szCs w:val="27"/>
        </w:rPr>
        <w:t>‌</w:t>
      </w:r>
    </w:p>
    <w:p>
      <w:pPr>
        <w:pStyle w:val="8"/>
        <w:keepNext w:val="0"/>
        <w:keepLines w:val="0"/>
        <w:widowControl/>
        <w:suppressLineNumbers w:val="0"/>
        <w:ind w:left="0" w:firstLine="0"/>
        <w:rPr>
          <w:rFonts w:hint="default" w:ascii="Calibri" w:hAnsi="Calibri" w:cs="Calibri"/>
          <w:i w:val="0"/>
          <w:iCs w:val="0"/>
          <w:caps w:val="0"/>
          <w:color w:val="000000"/>
          <w:spacing w:val="0"/>
          <w:sz w:val="27"/>
          <w:szCs w:val="27"/>
        </w:rPr>
      </w:pPr>
      <w:r>
        <w:rPr>
          <w:rFonts w:hint="default" w:ascii="Calibri" w:hAnsi="Calibri" w:cs="Calibri"/>
          <w:i w:val="0"/>
          <w:iCs w:val="0"/>
          <w:caps w:val="0"/>
          <w:color w:val="000000"/>
          <w:spacing w:val="0"/>
          <w:sz w:val="27"/>
          <w:szCs w:val="27"/>
        </w:rPr>
        <w:t>‌</w:t>
      </w:r>
    </w:p>
    <w:p>
      <w:pPr>
        <w:pStyle w:val="8"/>
        <w:keepNext w:val="0"/>
        <w:keepLines w:val="0"/>
        <w:widowControl/>
        <w:suppressLineNumbers w:val="0"/>
        <w:spacing w:before="0" w:beforeAutospacing="0" w:after="0" w:afterAutospacing="0" w:line="360" w:lineRule="auto"/>
        <w:ind w:left="0" w:right="0" w:firstLine="0"/>
        <w:rPr>
          <w:rFonts w:hint="default" w:ascii="Calibri" w:hAnsi="Calibri" w:cs="Calibri"/>
          <w:i w:val="0"/>
          <w:iCs w:val="0"/>
          <w:caps w:val="0"/>
          <w:color w:val="000000"/>
          <w:spacing w:val="0"/>
          <w:sz w:val="22"/>
          <w:szCs w:val="22"/>
          <w:lang w:val="en-GB"/>
        </w:rPr>
      </w:pPr>
    </w:p>
    <w:p>
      <w:pPr>
        <w:pStyle w:val="8"/>
        <w:keepNext w:val="0"/>
        <w:keepLines w:val="0"/>
        <w:widowControl/>
        <w:suppressLineNumbers w:val="0"/>
        <w:spacing w:before="0" w:beforeAutospacing="0" w:after="0" w:afterAutospacing="0" w:line="360" w:lineRule="auto"/>
        <w:ind w:left="0" w:right="0" w:firstLine="0"/>
        <w:rPr>
          <w:rFonts w:hint="default" w:ascii="Calibri" w:hAnsi="Calibri" w:cs="Calibri"/>
          <w:i w:val="0"/>
          <w:iCs w:val="0"/>
          <w:caps w:val="0"/>
          <w:color w:val="000000"/>
          <w:spacing w:val="0"/>
          <w:sz w:val="22"/>
          <w:szCs w:val="22"/>
          <w:lang w:val="en-GB"/>
        </w:rPr>
      </w:pPr>
    </w:p>
    <w:p>
      <w:pPr>
        <w:pStyle w:val="8"/>
        <w:keepNext w:val="0"/>
        <w:keepLines w:val="0"/>
        <w:widowControl/>
        <w:suppressLineNumbers w:val="0"/>
        <w:spacing w:before="0" w:beforeAutospacing="0" w:after="210" w:afterAutospacing="0" w:line="360" w:lineRule="auto"/>
        <w:rPr>
          <w:rFonts w:hint="default" w:ascii="Calibri" w:hAnsi="Calibri" w:cs="Calibri"/>
          <w:sz w:val="22"/>
          <w:szCs w:val="22"/>
        </w:rPr>
      </w:pPr>
    </w:p>
    <w:p>
      <w:pPr>
        <w:pStyle w:val="8"/>
        <w:keepNext w:val="0"/>
        <w:keepLines w:val="0"/>
        <w:widowControl/>
        <w:suppressLineNumbers w:val="0"/>
        <w:spacing w:before="0" w:beforeAutospacing="0" w:after="0" w:afterAutospacing="0" w:line="315" w:lineRule="atLeast"/>
        <w:ind w:left="0" w:right="0" w:firstLine="0"/>
        <w:rPr>
          <w:rFonts w:ascii="Calibri" w:hAnsi="Calibri" w:cs="Calibri"/>
          <w:i w:val="0"/>
          <w:iCs w:val="0"/>
          <w:caps w:val="0"/>
          <w:color w:val="000000"/>
          <w:spacing w:val="0"/>
          <w:sz w:val="21"/>
          <w:szCs w:val="21"/>
        </w:rPr>
      </w:pPr>
    </w:p>
    <w:p>
      <w:pPr>
        <w:pStyle w:val="8"/>
        <w:keepNext w:val="0"/>
        <w:keepLines w:val="0"/>
        <w:widowControl/>
        <w:suppressLineNumbers w:val="0"/>
        <w:ind w:left="0" w:firstLine="0"/>
        <w:rPr>
          <w:rFonts w:hint="default" w:ascii="Calibri" w:hAnsi="Calibri" w:cs="Calibri"/>
          <w:i w:val="0"/>
          <w:iCs w:val="0"/>
          <w:caps w:val="0"/>
          <w:color w:val="000000"/>
          <w:spacing w:val="0"/>
          <w:sz w:val="27"/>
          <w:szCs w:val="27"/>
        </w:rPr>
      </w:pPr>
      <w:r>
        <w:rPr>
          <w:rFonts w:hint="default" w:ascii="Calibri" w:hAnsi="Calibri" w:cs="Calibri"/>
          <w:i w:val="0"/>
          <w:iCs w:val="0"/>
          <w:caps w:val="0"/>
          <w:color w:val="000000"/>
          <w:spacing w:val="0"/>
          <w:sz w:val="27"/>
          <w:szCs w:val="27"/>
        </w:rPr>
        <w:t>‌</w:t>
      </w:r>
    </w:p>
    <w:p>
      <w:pPr>
        <w:rPr>
          <w:rFonts w:ascii="Calibri" w:hAnsi="Calibri" w:eastAsia="Calibri" w:cs="Calibri"/>
          <w:b/>
        </w:rPr>
      </w:pPr>
    </w:p>
    <w:sectPr>
      <w:footerReference r:id="rId5" w:type="default"/>
      <w:pgSz w:w="11906" w:h="16838"/>
      <w:pgMar w:top="1440" w:right="1440" w:bottom="1440" w:left="1440" w:header="720" w:footer="720" w:gutter="0"/>
      <w:pgNumType w:start="0"/>
      <w:cols w:space="720"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Roboto">
    <w:altName w:val="Times New Roman"/>
    <w:panose1 w:val="00000000000000000000"/>
    <w:charset w:val="00"/>
    <w:family w:val="auto"/>
    <w:pitch w:val="default"/>
    <w:sig w:usb0="00000000" w:usb1="00000000" w:usb2="00000000" w:usb3="00000000" w:csb0="00000000" w:csb1="00000000"/>
  </w:font>
  <w:font w:name="Helvetica">
    <w:altName w:val="Arial"/>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default"/>
    <w:sig w:usb0="E1002EFF" w:usb1="C000605B" w:usb2="00000029" w:usb3="00000000" w:csb0="200101FF" w:csb1="2028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75014593"/>
      <w:docPartObj>
        <w:docPartGallery w:val="autotext"/>
      </w:docPartObj>
    </w:sdtPr>
    <w:sdtContent>
      <w:p>
        <w:pPr>
          <w:pStyle w:val="5"/>
          <w:jc w:val="center"/>
        </w:pPr>
        <w:r>
          <w:fldChar w:fldCharType="begin"/>
        </w:r>
        <w:r>
          <w:instrText xml:space="preserve"> PAGE   \* MERGEFORMAT </w:instrText>
        </w:r>
        <w:r>
          <w:fldChar w:fldCharType="separate"/>
        </w:r>
        <w:r>
          <w:t>9</w:t>
        </w:r>
        <w:r>
          <w:fldChar w:fldCharType="end"/>
        </w:r>
      </w:p>
    </w:sdtContent>
  </w:sdt>
  <w:p>
    <w:pPr>
      <w:pStyle w:val="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6"/>
  <w:doNotDisplayPageBoundaries w:val="1"/>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1E65899"/>
    <w:rsid w:val="00024929"/>
    <w:rsid w:val="00025A79"/>
    <w:rsid w:val="000317D9"/>
    <w:rsid w:val="00034CFA"/>
    <w:rsid w:val="0017152A"/>
    <w:rsid w:val="001B53BE"/>
    <w:rsid w:val="001D250C"/>
    <w:rsid w:val="001E0F37"/>
    <w:rsid w:val="001F046F"/>
    <w:rsid w:val="00204D8A"/>
    <w:rsid w:val="00255EDA"/>
    <w:rsid w:val="00265915"/>
    <w:rsid w:val="002E1FB3"/>
    <w:rsid w:val="003C669C"/>
    <w:rsid w:val="0041560F"/>
    <w:rsid w:val="00417E9B"/>
    <w:rsid w:val="0057EE88"/>
    <w:rsid w:val="00671D1F"/>
    <w:rsid w:val="006A1875"/>
    <w:rsid w:val="007E074D"/>
    <w:rsid w:val="007F6095"/>
    <w:rsid w:val="00804DE1"/>
    <w:rsid w:val="008A16B0"/>
    <w:rsid w:val="008C193F"/>
    <w:rsid w:val="009773BB"/>
    <w:rsid w:val="009B6B13"/>
    <w:rsid w:val="00A256FA"/>
    <w:rsid w:val="00A367E4"/>
    <w:rsid w:val="00AB2E0D"/>
    <w:rsid w:val="00AF10C7"/>
    <w:rsid w:val="00B04FB9"/>
    <w:rsid w:val="00B37205"/>
    <w:rsid w:val="00B50776"/>
    <w:rsid w:val="00B877F7"/>
    <w:rsid w:val="00C82C0C"/>
    <w:rsid w:val="00C91572"/>
    <w:rsid w:val="00D319BD"/>
    <w:rsid w:val="00D35F72"/>
    <w:rsid w:val="00DA9400"/>
    <w:rsid w:val="00E41276"/>
    <w:rsid w:val="00EA6DDA"/>
    <w:rsid w:val="00EC7FCB"/>
    <w:rsid w:val="00F51139"/>
    <w:rsid w:val="00F80124"/>
    <w:rsid w:val="00F81D17"/>
    <w:rsid w:val="00FA24B0"/>
    <w:rsid w:val="00FA5E66"/>
    <w:rsid w:val="00FF1321"/>
    <w:rsid w:val="01655E65"/>
    <w:rsid w:val="0168C069"/>
    <w:rsid w:val="01CB586B"/>
    <w:rsid w:val="026F6622"/>
    <w:rsid w:val="0270060C"/>
    <w:rsid w:val="02C0506D"/>
    <w:rsid w:val="03261ED5"/>
    <w:rsid w:val="036728CC"/>
    <w:rsid w:val="040F6C1F"/>
    <w:rsid w:val="04585E7E"/>
    <w:rsid w:val="04B3AB2A"/>
    <w:rsid w:val="05F967E8"/>
    <w:rsid w:val="06056510"/>
    <w:rsid w:val="06B5D105"/>
    <w:rsid w:val="06D07FA4"/>
    <w:rsid w:val="07306FF0"/>
    <w:rsid w:val="0772DD9E"/>
    <w:rsid w:val="07C47218"/>
    <w:rsid w:val="07C4B452"/>
    <w:rsid w:val="07EDD25C"/>
    <w:rsid w:val="08089515"/>
    <w:rsid w:val="0840D4DB"/>
    <w:rsid w:val="09E5E173"/>
    <w:rsid w:val="0A2D6832"/>
    <w:rsid w:val="0AAD79C2"/>
    <w:rsid w:val="0AD8D633"/>
    <w:rsid w:val="0B0642A0"/>
    <w:rsid w:val="0B0E1AAB"/>
    <w:rsid w:val="0B5D7568"/>
    <w:rsid w:val="0B6151C0"/>
    <w:rsid w:val="0B816E20"/>
    <w:rsid w:val="0BD94A8A"/>
    <w:rsid w:val="0CC3338A"/>
    <w:rsid w:val="0D17366A"/>
    <w:rsid w:val="0DD88C59"/>
    <w:rsid w:val="0DF647E1"/>
    <w:rsid w:val="0E64EF67"/>
    <w:rsid w:val="0E6CFE5B"/>
    <w:rsid w:val="0E736867"/>
    <w:rsid w:val="0E870DB9"/>
    <w:rsid w:val="0EF93EF3"/>
    <w:rsid w:val="0F121A37"/>
    <w:rsid w:val="0F13B249"/>
    <w:rsid w:val="0F34C0CD"/>
    <w:rsid w:val="0F3E7637"/>
    <w:rsid w:val="0F91DA3A"/>
    <w:rsid w:val="1001EDBD"/>
    <w:rsid w:val="10AE2642"/>
    <w:rsid w:val="11A51A8A"/>
    <w:rsid w:val="11DD29F6"/>
    <w:rsid w:val="1221060E"/>
    <w:rsid w:val="129F0DCF"/>
    <w:rsid w:val="12FE7271"/>
    <w:rsid w:val="1324204B"/>
    <w:rsid w:val="135BC66D"/>
    <w:rsid w:val="136722C1"/>
    <w:rsid w:val="1394A123"/>
    <w:rsid w:val="13A4A253"/>
    <w:rsid w:val="13D72DF1"/>
    <w:rsid w:val="1424684D"/>
    <w:rsid w:val="142FBE5B"/>
    <w:rsid w:val="143E0756"/>
    <w:rsid w:val="14507177"/>
    <w:rsid w:val="14B47CC9"/>
    <w:rsid w:val="14F6E5AF"/>
    <w:rsid w:val="156723CE"/>
    <w:rsid w:val="15B00814"/>
    <w:rsid w:val="1635E125"/>
    <w:rsid w:val="1697BA37"/>
    <w:rsid w:val="17284690"/>
    <w:rsid w:val="17652DD6"/>
    <w:rsid w:val="17C2AD33"/>
    <w:rsid w:val="17C3CCB0"/>
    <w:rsid w:val="17F00F48"/>
    <w:rsid w:val="17FE27A5"/>
    <w:rsid w:val="18206C66"/>
    <w:rsid w:val="184D251B"/>
    <w:rsid w:val="188E6279"/>
    <w:rsid w:val="18E90CD1"/>
    <w:rsid w:val="192B584F"/>
    <w:rsid w:val="19DA29EA"/>
    <w:rsid w:val="19FEADAF"/>
    <w:rsid w:val="1A1F65B7"/>
    <w:rsid w:val="1A7DD10B"/>
    <w:rsid w:val="1AA91CD4"/>
    <w:rsid w:val="1AAE4C33"/>
    <w:rsid w:val="1ABCD17C"/>
    <w:rsid w:val="1ACC1725"/>
    <w:rsid w:val="1C0F6F8A"/>
    <w:rsid w:val="1C184567"/>
    <w:rsid w:val="1C1A6C74"/>
    <w:rsid w:val="1C1D4622"/>
    <w:rsid w:val="1CF0E673"/>
    <w:rsid w:val="1D26FE59"/>
    <w:rsid w:val="1DC3A56B"/>
    <w:rsid w:val="1E105E58"/>
    <w:rsid w:val="1E4E6EFA"/>
    <w:rsid w:val="1F1B2C15"/>
    <w:rsid w:val="1F24B436"/>
    <w:rsid w:val="1F6D8EFF"/>
    <w:rsid w:val="1F779BDB"/>
    <w:rsid w:val="203F2AC0"/>
    <w:rsid w:val="20675DD6"/>
    <w:rsid w:val="20884BB6"/>
    <w:rsid w:val="20896F30"/>
    <w:rsid w:val="2089BD93"/>
    <w:rsid w:val="209BC0F7"/>
    <w:rsid w:val="20A40DB2"/>
    <w:rsid w:val="20C83295"/>
    <w:rsid w:val="20D00E69"/>
    <w:rsid w:val="20EBFE70"/>
    <w:rsid w:val="211A98ED"/>
    <w:rsid w:val="21267201"/>
    <w:rsid w:val="21C81096"/>
    <w:rsid w:val="21C81DAD"/>
    <w:rsid w:val="228CC780"/>
    <w:rsid w:val="22F220A4"/>
    <w:rsid w:val="232DB94C"/>
    <w:rsid w:val="23B59B9C"/>
    <w:rsid w:val="23F59F8A"/>
    <w:rsid w:val="241C8DAA"/>
    <w:rsid w:val="24668DF5"/>
    <w:rsid w:val="24A8FDFF"/>
    <w:rsid w:val="24D42CCC"/>
    <w:rsid w:val="24FFB158"/>
    <w:rsid w:val="250BA53F"/>
    <w:rsid w:val="2585166D"/>
    <w:rsid w:val="25893FA4"/>
    <w:rsid w:val="258974B5"/>
    <w:rsid w:val="261F0E20"/>
    <w:rsid w:val="26BB2CD1"/>
    <w:rsid w:val="26C1F46D"/>
    <w:rsid w:val="26EE28E0"/>
    <w:rsid w:val="26F1EB89"/>
    <w:rsid w:val="27352E38"/>
    <w:rsid w:val="27487861"/>
    <w:rsid w:val="2786CCB5"/>
    <w:rsid w:val="2793EA1D"/>
    <w:rsid w:val="27BA3326"/>
    <w:rsid w:val="27E5292C"/>
    <w:rsid w:val="27F0927B"/>
    <w:rsid w:val="2889F941"/>
    <w:rsid w:val="28AAF63F"/>
    <w:rsid w:val="28CAA9EF"/>
    <w:rsid w:val="28DD07FF"/>
    <w:rsid w:val="28F7560E"/>
    <w:rsid w:val="29317032"/>
    <w:rsid w:val="294AD138"/>
    <w:rsid w:val="2972DB6B"/>
    <w:rsid w:val="299AB867"/>
    <w:rsid w:val="29CB76ED"/>
    <w:rsid w:val="2A6225C5"/>
    <w:rsid w:val="2A7A8AF2"/>
    <w:rsid w:val="2AA189DB"/>
    <w:rsid w:val="2ACD4093"/>
    <w:rsid w:val="2AD06590"/>
    <w:rsid w:val="2AD9B3DC"/>
    <w:rsid w:val="2AF4A107"/>
    <w:rsid w:val="2B16169F"/>
    <w:rsid w:val="2B31DD57"/>
    <w:rsid w:val="2B6716F1"/>
    <w:rsid w:val="2B6D56D3"/>
    <w:rsid w:val="2C211CE7"/>
    <w:rsid w:val="2C787E75"/>
    <w:rsid w:val="2C9C00DD"/>
    <w:rsid w:val="2CBC1FD2"/>
    <w:rsid w:val="2D4E567F"/>
    <w:rsid w:val="2DD06BCF"/>
    <w:rsid w:val="2DE38C4A"/>
    <w:rsid w:val="2E1B81ED"/>
    <w:rsid w:val="2E29EBDC"/>
    <w:rsid w:val="2EDC4593"/>
    <w:rsid w:val="2F3DDCB2"/>
    <w:rsid w:val="2FB1CD9C"/>
    <w:rsid w:val="2FE79EB2"/>
    <w:rsid w:val="30A1A7DE"/>
    <w:rsid w:val="30BBB299"/>
    <w:rsid w:val="30E496DF"/>
    <w:rsid w:val="31156C19"/>
    <w:rsid w:val="31531E37"/>
    <w:rsid w:val="3157051E"/>
    <w:rsid w:val="31B391AB"/>
    <w:rsid w:val="31F29404"/>
    <w:rsid w:val="321E1C70"/>
    <w:rsid w:val="321F24A5"/>
    <w:rsid w:val="3243BB4C"/>
    <w:rsid w:val="32806740"/>
    <w:rsid w:val="32EB18D2"/>
    <w:rsid w:val="338E6465"/>
    <w:rsid w:val="341B69AF"/>
    <w:rsid w:val="341C37A1"/>
    <w:rsid w:val="344C65CC"/>
    <w:rsid w:val="34538147"/>
    <w:rsid w:val="347544B2"/>
    <w:rsid w:val="34822140"/>
    <w:rsid w:val="349AF30F"/>
    <w:rsid w:val="34CBF097"/>
    <w:rsid w:val="352A34C6"/>
    <w:rsid w:val="35BB39CF"/>
    <w:rsid w:val="35D79FAB"/>
    <w:rsid w:val="3613275E"/>
    <w:rsid w:val="36D5ACBD"/>
    <w:rsid w:val="376852F1"/>
    <w:rsid w:val="37AEF7BF"/>
    <w:rsid w:val="37E833CD"/>
    <w:rsid w:val="380C4E43"/>
    <w:rsid w:val="3823C75C"/>
    <w:rsid w:val="3844BC29"/>
    <w:rsid w:val="386BF2FA"/>
    <w:rsid w:val="386CDD11"/>
    <w:rsid w:val="38E0414B"/>
    <w:rsid w:val="39A17C93"/>
    <w:rsid w:val="39D35172"/>
    <w:rsid w:val="39EA72C3"/>
    <w:rsid w:val="3A35558F"/>
    <w:rsid w:val="3AB72C92"/>
    <w:rsid w:val="3B6C1E33"/>
    <w:rsid w:val="3BAAF39D"/>
    <w:rsid w:val="3BC68DD9"/>
    <w:rsid w:val="3BE222AD"/>
    <w:rsid w:val="3BE56CFA"/>
    <w:rsid w:val="3C72B009"/>
    <w:rsid w:val="3DA07F59"/>
    <w:rsid w:val="3DB4AD14"/>
    <w:rsid w:val="3E024776"/>
    <w:rsid w:val="3E52B5D3"/>
    <w:rsid w:val="3E82CD3F"/>
    <w:rsid w:val="3EF31F53"/>
    <w:rsid w:val="4058CF22"/>
    <w:rsid w:val="40CF6702"/>
    <w:rsid w:val="4119BB22"/>
    <w:rsid w:val="41EE4FE3"/>
    <w:rsid w:val="41EF9ABA"/>
    <w:rsid w:val="41F5F60B"/>
    <w:rsid w:val="42035FEE"/>
    <w:rsid w:val="4253E2D4"/>
    <w:rsid w:val="42BECDC7"/>
    <w:rsid w:val="42DB13BE"/>
    <w:rsid w:val="42FC47E3"/>
    <w:rsid w:val="4327C3A9"/>
    <w:rsid w:val="43843A68"/>
    <w:rsid w:val="43A38302"/>
    <w:rsid w:val="43C170F4"/>
    <w:rsid w:val="43CB20DA"/>
    <w:rsid w:val="445062F1"/>
    <w:rsid w:val="460EC5F8"/>
    <w:rsid w:val="468A5BE4"/>
    <w:rsid w:val="46AA22B1"/>
    <w:rsid w:val="47578B0E"/>
    <w:rsid w:val="47960D40"/>
    <w:rsid w:val="47B152E8"/>
    <w:rsid w:val="47DAADFF"/>
    <w:rsid w:val="47DE68C6"/>
    <w:rsid w:val="480DA309"/>
    <w:rsid w:val="484B73B8"/>
    <w:rsid w:val="4903E620"/>
    <w:rsid w:val="491B4E5C"/>
    <w:rsid w:val="492E1D26"/>
    <w:rsid w:val="4971DA8D"/>
    <w:rsid w:val="49A76F99"/>
    <w:rsid w:val="4A02045D"/>
    <w:rsid w:val="4AE3FB7C"/>
    <w:rsid w:val="4B01B479"/>
    <w:rsid w:val="4B433FFA"/>
    <w:rsid w:val="4B4342BD"/>
    <w:rsid w:val="4B4543CB"/>
    <w:rsid w:val="4B9A153A"/>
    <w:rsid w:val="4BE6BA55"/>
    <w:rsid w:val="4BF71659"/>
    <w:rsid w:val="4C61F1ED"/>
    <w:rsid w:val="4C709A1C"/>
    <w:rsid w:val="4CB593FD"/>
    <w:rsid w:val="4CE7D206"/>
    <w:rsid w:val="4D02967E"/>
    <w:rsid w:val="4D42C9E5"/>
    <w:rsid w:val="4DB1DDB0"/>
    <w:rsid w:val="4DF69A3A"/>
    <w:rsid w:val="4F176006"/>
    <w:rsid w:val="5015D105"/>
    <w:rsid w:val="503BD019"/>
    <w:rsid w:val="5058348E"/>
    <w:rsid w:val="505ACE95"/>
    <w:rsid w:val="5090C546"/>
    <w:rsid w:val="50C26A49"/>
    <w:rsid w:val="5103CC30"/>
    <w:rsid w:val="511933E0"/>
    <w:rsid w:val="511A07C9"/>
    <w:rsid w:val="51323DF9"/>
    <w:rsid w:val="5142ED03"/>
    <w:rsid w:val="51573196"/>
    <w:rsid w:val="5163B008"/>
    <w:rsid w:val="516E40E7"/>
    <w:rsid w:val="516EDC44"/>
    <w:rsid w:val="51825244"/>
    <w:rsid w:val="5185956B"/>
    <w:rsid w:val="51C6B183"/>
    <w:rsid w:val="51DAF70C"/>
    <w:rsid w:val="51EC906B"/>
    <w:rsid w:val="535DB92B"/>
    <w:rsid w:val="53B24AD4"/>
    <w:rsid w:val="53E268C6"/>
    <w:rsid w:val="54039CA2"/>
    <w:rsid w:val="54BE57D2"/>
    <w:rsid w:val="54DA3262"/>
    <w:rsid w:val="54E07624"/>
    <w:rsid w:val="55092B63"/>
    <w:rsid w:val="55861786"/>
    <w:rsid w:val="55A67AAD"/>
    <w:rsid w:val="561215F8"/>
    <w:rsid w:val="561AE6A5"/>
    <w:rsid w:val="5645BE9B"/>
    <w:rsid w:val="565779B5"/>
    <w:rsid w:val="57251925"/>
    <w:rsid w:val="57748D6F"/>
    <w:rsid w:val="578ED96C"/>
    <w:rsid w:val="579AA91A"/>
    <w:rsid w:val="57A74CD6"/>
    <w:rsid w:val="57AB97BD"/>
    <w:rsid w:val="5808B436"/>
    <w:rsid w:val="58131C5A"/>
    <w:rsid w:val="58338BBA"/>
    <w:rsid w:val="587F71FB"/>
    <w:rsid w:val="588E69EE"/>
    <w:rsid w:val="58B99541"/>
    <w:rsid w:val="58D82921"/>
    <w:rsid w:val="593012CC"/>
    <w:rsid w:val="5966CBBC"/>
    <w:rsid w:val="59B3E2B8"/>
    <w:rsid w:val="59E2B740"/>
    <w:rsid w:val="5A5ACEFA"/>
    <w:rsid w:val="5A9E089D"/>
    <w:rsid w:val="5B39DCAB"/>
    <w:rsid w:val="5B789A17"/>
    <w:rsid w:val="5B892615"/>
    <w:rsid w:val="5BC0B47F"/>
    <w:rsid w:val="5BFE694E"/>
    <w:rsid w:val="5C2238AB"/>
    <w:rsid w:val="5CAABE57"/>
    <w:rsid w:val="5CF5CA7D"/>
    <w:rsid w:val="5D0D7F51"/>
    <w:rsid w:val="5D146A78"/>
    <w:rsid w:val="5D361936"/>
    <w:rsid w:val="5D5D3454"/>
    <w:rsid w:val="5D7CBC2F"/>
    <w:rsid w:val="5D91296B"/>
    <w:rsid w:val="5DE8C549"/>
    <w:rsid w:val="5E1478CC"/>
    <w:rsid w:val="5E3EE196"/>
    <w:rsid w:val="5E655FD6"/>
    <w:rsid w:val="5E8760EF"/>
    <w:rsid w:val="5EBD58E3"/>
    <w:rsid w:val="5EC0AEC0"/>
    <w:rsid w:val="5ECB61EF"/>
    <w:rsid w:val="5F360A10"/>
    <w:rsid w:val="60732450"/>
    <w:rsid w:val="608F5731"/>
    <w:rsid w:val="60B9D424"/>
    <w:rsid w:val="615C9EEC"/>
    <w:rsid w:val="616442AF"/>
    <w:rsid w:val="61DE690D"/>
    <w:rsid w:val="628AE226"/>
    <w:rsid w:val="62930C88"/>
    <w:rsid w:val="632C7A2A"/>
    <w:rsid w:val="635E4B22"/>
    <w:rsid w:val="63A55ABA"/>
    <w:rsid w:val="63E56EEA"/>
    <w:rsid w:val="64A4C680"/>
    <w:rsid w:val="64CCE4E3"/>
    <w:rsid w:val="64E7EC6F"/>
    <w:rsid w:val="64EAF9F2"/>
    <w:rsid w:val="656EA5B7"/>
    <w:rsid w:val="659FC80D"/>
    <w:rsid w:val="65C28F3D"/>
    <w:rsid w:val="65C30760"/>
    <w:rsid w:val="66148C52"/>
    <w:rsid w:val="6642F359"/>
    <w:rsid w:val="66CE8F06"/>
    <w:rsid w:val="6706EFFB"/>
    <w:rsid w:val="67B2C6A3"/>
    <w:rsid w:val="67B3364C"/>
    <w:rsid w:val="67DF6AF4"/>
    <w:rsid w:val="680664D4"/>
    <w:rsid w:val="681C24A3"/>
    <w:rsid w:val="686F96A3"/>
    <w:rsid w:val="68C40201"/>
    <w:rsid w:val="690DAE13"/>
    <w:rsid w:val="69543FE1"/>
    <w:rsid w:val="6970F1CE"/>
    <w:rsid w:val="69922E93"/>
    <w:rsid w:val="69BB3AA5"/>
    <w:rsid w:val="6B01D789"/>
    <w:rsid w:val="6B299DCA"/>
    <w:rsid w:val="6B5A2C7B"/>
    <w:rsid w:val="6BDA764A"/>
    <w:rsid w:val="6C07B14A"/>
    <w:rsid w:val="6C333B5D"/>
    <w:rsid w:val="6CD3A26C"/>
    <w:rsid w:val="6CE567DB"/>
    <w:rsid w:val="6CE9BCFE"/>
    <w:rsid w:val="6D0FEE69"/>
    <w:rsid w:val="6D1E2802"/>
    <w:rsid w:val="6D23D4F1"/>
    <w:rsid w:val="6D2BE69A"/>
    <w:rsid w:val="6D448EC9"/>
    <w:rsid w:val="6D4CA4E7"/>
    <w:rsid w:val="6D52AC4C"/>
    <w:rsid w:val="6D9DDB3F"/>
    <w:rsid w:val="6DD12BD9"/>
    <w:rsid w:val="6DD45BCA"/>
    <w:rsid w:val="6E4B7B70"/>
    <w:rsid w:val="6E69EB36"/>
    <w:rsid w:val="6EDED827"/>
    <w:rsid w:val="6EE38472"/>
    <w:rsid w:val="6F2EA929"/>
    <w:rsid w:val="6F6CFC3A"/>
    <w:rsid w:val="6FA2266D"/>
    <w:rsid w:val="6FD9DA5E"/>
    <w:rsid w:val="70919B7A"/>
    <w:rsid w:val="70D57C01"/>
    <w:rsid w:val="7129BC96"/>
    <w:rsid w:val="713438AF"/>
    <w:rsid w:val="71C66D6B"/>
    <w:rsid w:val="71CB1CD4"/>
    <w:rsid w:val="71E65899"/>
    <w:rsid w:val="720DFED4"/>
    <w:rsid w:val="721F19A8"/>
    <w:rsid w:val="72261FA0"/>
    <w:rsid w:val="72714C62"/>
    <w:rsid w:val="72BFBCF8"/>
    <w:rsid w:val="72C3E8B6"/>
    <w:rsid w:val="731A4F74"/>
    <w:rsid w:val="7320B8A6"/>
    <w:rsid w:val="73A1BD4C"/>
    <w:rsid w:val="740D1CC3"/>
    <w:rsid w:val="742E8061"/>
    <w:rsid w:val="744D2EDC"/>
    <w:rsid w:val="7467F0C5"/>
    <w:rsid w:val="746C2E0E"/>
    <w:rsid w:val="74E661F8"/>
    <w:rsid w:val="74F26FA0"/>
    <w:rsid w:val="74FE1D2F"/>
    <w:rsid w:val="7524F8CB"/>
    <w:rsid w:val="756C9BF6"/>
    <w:rsid w:val="757587BB"/>
    <w:rsid w:val="75C55FBA"/>
    <w:rsid w:val="760C3FA9"/>
    <w:rsid w:val="761147B2"/>
    <w:rsid w:val="76441033"/>
    <w:rsid w:val="7651F036"/>
    <w:rsid w:val="78090456"/>
    <w:rsid w:val="780F0D30"/>
    <w:rsid w:val="781F419E"/>
    <w:rsid w:val="78CF821A"/>
    <w:rsid w:val="78DB2E77"/>
    <w:rsid w:val="790EF8B7"/>
    <w:rsid w:val="79CB6C5F"/>
    <w:rsid w:val="7A6EEA50"/>
    <w:rsid w:val="7B1DB654"/>
    <w:rsid w:val="7B302BF7"/>
    <w:rsid w:val="7C0722DC"/>
    <w:rsid w:val="7C95CAB6"/>
    <w:rsid w:val="7D45530F"/>
    <w:rsid w:val="7D5ABD09"/>
    <w:rsid w:val="7D6AB637"/>
    <w:rsid w:val="7DA2D1B1"/>
    <w:rsid w:val="7DE4E87A"/>
    <w:rsid w:val="7DFEC9C5"/>
    <w:rsid w:val="7E816195"/>
    <w:rsid w:val="7E883184"/>
    <w:rsid w:val="7E93B7A8"/>
    <w:rsid w:val="7ECD0475"/>
    <w:rsid w:val="7F12C687"/>
    <w:rsid w:val="7F1C14D3"/>
    <w:rsid w:val="7F37C55F"/>
    <w:rsid w:val="7F4A88B1"/>
    <w:rsid w:val="7F5CE9DB"/>
    <w:rsid w:val="7FDAE5F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GB" w:eastAsia="en-US" w:bidi="ar-SA"/>
    </w:rPr>
  </w:style>
  <w:style w:type="paragraph" w:styleId="2">
    <w:name w:val="heading 2"/>
    <w:basedOn w:val="1"/>
    <w:next w:val="1"/>
    <w:link w:val="10"/>
    <w:unhideWhenUsed/>
    <w:qFormat/>
    <w:uiPriority w:val="9"/>
    <w:pPr>
      <w:keepNext/>
      <w:keepLines/>
      <w:spacing w:before="40" w:after="0"/>
      <w:outlineLvl w:val="1"/>
    </w:pPr>
    <w:rPr>
      <w:rFonts w:asciiTheme="majorHAnsi" w:hAnsiTheme="majorHAnsi" w:eastAsiaTheme="majorEastAsia" w:cstheme="majorBidi"/>
      <w:color w:val="2F5597" w:themeColor="accent1" w:themeShade="BF"/>
      <w:sz w:val="26"/>
      <w:szCs w:val="26"/>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5">
    <w:name w:val="footer"/>
    <w:basedOn w:val="1"/>
    <w:link w:val="14"/>
    <w:unhideWhenUsed/>
    <w:qFormat/>
    <w:uiPriority w:val="99"/>
    <w:pPr>
      <w:tabs>
        <w:tab w:val="center" w:pos="4513"/>
        <w:tab w:val="right" w:pos="9026"/>
      </w:tabs>
      <w:spacing w:after="0" w:line="240" w:lineRule="auto"/>
    </w:pPr>
  </w:style>
  <w:style w:type="paragraph" w:styleId="6">
    <w:name w:val="header"/>
    <w:basedOn w:val="1"/>
    <w:link w:val="13"/>
    <w:unhideWhenUsed/>
    <w:qFormat/>
    <w:uiPriority w:val="99"/>
    <w:pPr>
      <w:tabs>
        <w:tab w:val="center" w:pos="4513"/>
        <w:tab w:val="right" w:pos="9026"/>
      </w:tabs>
      <w:spacing w:after="0" w:line="240" w:lineRule="auto"/>
    </w:pPr>
  </w:style>
  <w:style w:type="character" w:styleId="7">
    <w:name w:val="Hyperlink"/>
    <w:basedOn w:val="3"/>
    <w:unhideWhenUsed/>
    <w:qFormat/>
    <w:uiPriority w:val="99"/>
    <w:rPr>
      <w:color w:val="0563C1" w:themeColor="hyperlink"/>
      <w:u w:val="single"/>
      <w14:textFill>
        <w14:solidFill>
          <w14:schemeClr w14:val="hlink"/>
        </w14:solidFill>
      </w14:textFill>
    </w:rPr>
  </w:style>
  <w:style w:type="paragraph" w:styleId="8">
    <w:name w:val="Normal (Web)"/>
    <w:semiHidden/>
    <w:unhideWhenUsed/>
    <w:qFormat/>
    <w:uiPriority w:val="99"/>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paragraph" w:styleId="9">
    <w:name w:val="List Paragraph"/>
    <w:basedOn w:val="1"/>
    <w:qFormat/>
    <w:uiPriority w:val="34"/>
    <w:pPr>
      <w:ind w:left="720"/>
      <w:contextualSpacing/>
    </w:pPr>
  </w:style>
  <w:style w:type="character" w:customStyle="1" w:styleId="10">
    <w:name w:val="Heading 2 Char"/>
    <w:basedOn w:val="3"/>
    <w:link w:val="2"/>
    <w:qFormat/>
    <w:uiPriority w:val="9"/>
    <w:rPr>
      <w:rFonts w:asciiTheme="majorHAnsi" w:hAnsiTheme="majorHAnsi" w:eastAsiaTheme="majorEastAsia" w:cstheme="majorBidi"/>
      <w:color w:val="2F5597" w:themeColor="accent1" w:themeShade="BF"/>
      <w:sz w:val="26"/>
      <w:szCs w:val="26"/>
    </w:rPr>
  </w:style>
  <w:style w:type="paragraph" w:styleId="11">
    <w:name w:val="No Spacing"/>
    <w:link w:val="12"/>
    <w:qFormat/>
    <w:uiPriority w:val="1"/>
    <w:rPr>
      <w:rFonts w:asciiTheme="minorHAnsi" w:hAnsiTheme="minorHAnsi" w:eastAsiaTheme="minorEastAsia" w:cstheme="minorBidi"/>
      <w:sz w:val="22"/>
      <w:szCs w:val="22"/>
      <w:lang w:val="en-US" w:eastAsia="en-US" w:bidi="ar-SA"/>
    </w:rPr>
  </w:style>
  <w:style w:type="character" w:customStyle="1" w:styleId="12">
    <w:name w:val="No Spacing Char"/>
    <w:basedOn w:val="3"/>
    <w:link w:val="11"/>
    <w:qFormat/>
    <w:uiPriority w:val="1"/>
    <w:rPr>
      <w:rFonts w:eastAsiaTheme="minorEastAsia"/>
      <w:sz w:val="22"/>
      <w:szCs w:val="22"/>
      <w:lang w:val="en-US" w:eastAsia="en-US"/>
    </w:rPr>
  </w:style>
  <w:style w:type="character" w:customStyle="1" w:styleId="13">
    <w:name w:val="Header Char"/>
    <w:basedOn w:val="3"/>
    <w:link w:val="6"/>
    <w:qFormat/>
    <w:uiPriority w:val="99"/>
    <w:rPr>
      <w:sz w:val="22"/>
      <w:szCs w:val="22"/>
      <w:lang w:eastAsia="en-US"/>
    </w:rPr>
  </w:style>
  <w:style w:type="character" w:customStyle="1" w:styleId="14">
    <w:name w:val="Footer Char"/>
    <w:basedOn w:val="3"/>
    <w:link w:val="5"/>
    <w:qFormat/>
    <w:uiPriority w:val="99"/>
    <w:rPr>
      <w:sz w:val="22"/>
      <w:szCs w:val="22"/>
      <w:lang w:eastAsia="en-US"/>
    </w:rPr>
  </w:style>
</w:styles>
</file>

<file path=word/_rels/document.xml.rels><?xml version="1.0" encoding="UTF-8" standalone="yes"?>
<Relationships xmlns="http://schemas.openxmlformats.org/package/2006/relationships"><Relationship Id="rId9" Type="http://schemas.openxmlformats.org/officeDocument/2006/relationships/diagramQuickStyle" Target="diagrams/quickStyle1.xml"/><Relationship Id="rId8" Type="http://schemas.openxmlformats.org/officeDocument/2006/relationships/diagramLayout" Target="diagrams/layout1.xml"/><Relationship Id="rId7" Type="http://schemas.openxmlformats.org/officeDocument/2006/relationships/diagramData" Target="diagrams/data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1" Type="http://schemas.openxmlformats.org/officeDocument/2006/relationships/glossaryDocument" Target="glossary/document.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2.png"/><Relationship Id="rId17" Type="http://schemas.openxmlformats.org/officeDocument/2006/relationships/image" Target="media/image1.jpeg"/><Relationship Id="rId16" Type="http://schemas.microsoft.com/office/2007/relationships/diagramDrawing" Target="diagrams/drawing2.xml"/><Relationship Id="rId15" Type="http://schemas.openxmlformats.org/officeDocument/2006/relationships/diagramColors" Target="diagrams/colors2.xml"/><Relationship Id="rId14" Type="http://schemas.openxmlformats.org/officeDocument/2006/relationships/diagramQuickStyle" Target="diagrams/quickStyle2.xml"/><Relationship Id="rId13" Type="http://schemas.openxmlformats.org/officeDocument/2006/relationships/diagramLayout" Target="diagrams/layout2.xml"/><Relationship Id="rId12" Type="http://schemas.openxmlformats.org/officeDocument/2006/relationships/diagramData" Target="diagrams/data2.xml"/><Relationship Id="rId11" Type="http://schemas.microsoft.com/office/2007/relationships/diagramDrawing" Target="diagrams/drawing1.xml"/><Relationship Id="rId10" Type="http://schemas.openxmlformats.org/officeDocument/2006/relationships/diagramColors" Target="diagrams/colors1.xml"/><Relationship Id="rId1"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A7213A2D-1EBF-4DD0-A7EF-440ADD1C2DA1}" type="doc">
      <dgm:prSet loTypeId="urn:microsoft.com/office/officeart/2005/8/layout/hList6" loCatId="list" qsTypeId="urn:microsoft.com/office/officeart/2005/8/quickstyle/simple1" qsCatId="simple" csTypeId="urn:microsoft.com/office/officeart/2005/8/colors/accent0_1" csCatId="mainScheme" phldr="1"/>
      <dgm:spPr/>
      <dgm:t>
        <a:bodyPr/>
        <a:p>
          <a:endParaRPr lang="en-GB"/>
        </a:p>
      </dgm:t>
    </dgm:pt>
    <dgm:pt modelId="{614A3643-021A-4F0B-9CE9-6ADF0ACC0BBE}">
      <dgm:prSet phldrT="[Text]" custT="1"/>
      <dgm:spPr/>
      <dgm:t>
        <a:bodyPr/>
        <a:p>
          <a:pPr algn="ctr"/>
          <a:r>
            <a:rPr lang="en-GB" sz="1100" b="1"/>
            <a:t>Anxiety</a:t>
          </a:r>
        </a:p>
      </dgm:t>
    </dgm:pt>
    <dgm:pt modelId="{79F32232-B677-490C-B31E-15AB4484E6A4}" cxnId="{8E8C51D2-1AC5-4D3A-9913-B8F62752A5AD}" type="parTrans">
      <dgm:prSet/>
      <dgm:spPr/>
      <dgm:t>
        <a:bodyPr/>
        <a:p>
          <a:pPr algn="ctr"/>
          <a:endParaRPr lang="en-GB"/>
        </a:p>
      </dgm:t>
    </dgm:pt>
    <dgm:pt modelId="{4CAA3034-E3BE-41B2-B61F-01089C92EDFA}" cxnId="{8E8C51D2-1AC5-4D3A-9913-B8F62752A5AD}" type="sibTrans">
      <dgm:prSet/>
      <dgm:spPr/>
      <dgm:t>
        <a:bodyPr/>
        <a:p>
          <a:pPr algn="ctr"/>
          <a:endParaRPr lang="en-GB"/>
        </a:p>
      </dgm:t>
    </dgm:pt>
    <dgm:pt modelId="{CE8E7B89-6107-4C21-B9E3-8D459C98EE09}">
      <dgm:prSet phldrT="[Text]" custT="1"/>
      <dgm:spPr/>
      <dgm:t>
        <a:bodyPr/>
        <a:p>
          <a:pPr algn="ctr"/>
          <a:r>
            <a:rPr lang="en-GB" sz="1100"/>
            <a:t>excessive worying, feeling restless or on edge</a:t>
          </a:r>
        </a:p>
      </dgm:t>
    </dgm:pt>
    <dgm:pt modelId="{0BF32FDF-8440-42D7-A761-D4E3BC59350B}" cxnId="{C676AF26-AB9E-4B85-BE93-37470F37FD15}" type="parTrans">
      <dgm:prSet/>
      <dgm:spPr/>
      <dgm:t>
        <a:bodyPr/>
        <a:p>
          <a:pPr algn="ctr"/>
          <a:endParaRPr lang="en-GB"/>
        </a:p>
      </dgm:t>
    </dgm:pt>
    <dgm:pt modelId="{36AD8B40-30D8-4398-890A-7194BA545D6C}" cxnId="{C676AF26-AB9E-4B85-BE93-37470F37FD15}" type="sibTrans">
      <dgm:prSet/>
      <dgm:spPr/>
      <dgm:t>
        <a:bodyPr/>
        <a:p>
          <a:pPr algn="ctr"/>
          <a:endParaRPr lang="en-GB"/>
        </a:p>
      </dgm:t>
    </dgm:pt>
    <dgm:pt modelId="{C425A1EC-418B-4E5E-A20A-7CBC249A73E0}">
      <dgm:prSet phldrT="[Text]" custT="1"/>
      <dgm:spPr/>
      <dgm:t>
        <a:bodyPr/>
        <a:p>
          <a:pPr algn="ctr"/>
          <a:r>
            <a:rPr lang="en-GB" sz="1100"/>
            <a:t>changes in appetite</a:t>
          </a:r>
        </a:p>
      </dgm:t>
    </dgm:pt>
    <dgm:pt modelId="{01AEF26E-87F3-4902-AB3B-D6E2E383EA0B}" cxnId="{F442FEB7-E2A9-49D7-8903-02DFB92BEF98}" type="parTrans">
      <dgm:prSet/>
      <dgm:spPr/>
      <dgm:t>
        <a:bodyPr/>
        <a:p>
          <a:pPr algn="ctr"/>
          <a:endParaRPr lang="en-GB"/>
        </a:p>
      </dgm:t>
    </dgm:pt>
    <dgm:pt modelId="{7027619E-32B3-4DC2-B038-0A67B40C65C2}" cxnId="{F442FEB7-E2A9-49D7-8903-02DFB92BEF98}" type="sibTrans">
      <dgm:prSet/>
      <dgm:spPr/>
      <dgm:t>
        <a:bodyPr/>
        <a:p>
          <a:pPr algn="ctr"/>
          <a:endParaRPr lang="en-GB"/>
        </a:p>
      </dgm:t>
    </dgm:pt>
    <dgm:pt modelId="{8293C5D3-F943-498F-92E5-91988083725A}">
      <dgm:prSet phldrT="[Text]" custT="1"/>
      <dgm:spPr/>
      <dgm:t>
        <a:bodyPr/>
        <a:p>
          <a:pPr algn="ctr"/>
          <a:r>
            <a:rPr lang="en-GB" sz="1100"/>
            <a:t>Depression</a:t>
          </a:r>
        </a:p>
      </dgm:t>
    </dgm:pt>
    <dgm:pt modelId="{CDFA1660-1D83-4B4E-92C7-F8CD4FD2FF54}" cxnId="{64D0F87B-7A3D-466A-8F58-81DA34AD7A5E}" type="parTrans">
      <dgm:prSet/>
      <dgm:spPr/>
      <dgm:t>
        <a:bodyPr/>
        <a:p>
          <a:pPr algn="ctr"/>
          <a:endParaRPr lang="en-GB"/>
        </a:p>
      </dgm:t>
    </dgm:pt>
    <dgm:pt modelId="{B137665B-C1B6-4D35-BB82-07C011ED5C33}" cxnId="{64D0F87B-7A3D-466A-8F58-81DA34AD7A5E}" type="sibTrans">
      <dgm:prSet/>
      <dgm:spPr/>
      <dgm:t>
        <a:bodyPr/>
        <a:p>
          <a:pPr algn="ctr"/>
          <a:endParaRPr lang="en-GB"/>
        </a:p>
      </dgm:t>
    </dgm:pt>
    <dgm:pt modelId="{901C05E9-A2CC-431A-91DE-3BE719DDC2C5}">
      <dgm:prSet phldrT="[Text]" custT="1"/>
      <dgm:spPr/>
      <dgm:t>
        <a:bodyPr/>
        <a:p>
          <a:pPr algn="ctr"/>
          <a:r>
            <a:rPr lang="en-GB" sz="1100"/>
            <a:t>excessive worying, feeling restless or on edge</a:t>
          </a:r>
        </a:p>
      </dgm:t>
    </dgm:pt>
    <dgm:pt modelId="{6EFDA1F0-3047-453D-B609-EF4B32E48507}" cxnId="{A693C6C6-C489-454A-9067-0EFADA924C91}" type="parTrans">
      <dgm:prSet/>
      <dgm:spPr/>
      <dgm:t>
        <a:bodyPr/>
        <a:p>
          <a:pPr algn="ctr"/>
          <a:endParaRPr lang="en-GB"/>
        </a:p>
      </dgm:t>
    </dgm:pt>
    <dgm:pt modelId="{F9BECE9C-9687-4C34-BC2C-54B8B8109A47}" cxnId="{A693C6C6-C489-454A-9067-0EFADA924C91}" type="sibTrans">
      <dgm:prSet/>
      <dgm:spPr/>
      <dgm:t>
        <a:bodyPr/>
        <a:p>
          <a:pPr algn="ctr"/>
          <a:endParaRPr lang="en-GB"/>
        </a:p>
      </dgm:t>
    </dgm:pt>
    <dgm:pt modelId="{F99ABA11-4C76-4F15-8F1B-E7A761D236BB}">
      <dgm:prSet phldrT="[Text]" custT="1"/>
      <dgm:spPr/>
      <dgm:t>
        <a:bodyPr/>
        <a:p>
          <a:pPr algn="ctr"/>
          <a:r>
            <a:rPr lang="en-GB" sz="1100"/>
            <a:t>changes in appetite</a:t>
          </a:r>
        </a:p>
      </dgm:t>
    </dgm:pt>
    <dgm:pt modelId="{0014FD8B-F38D-4A1A-9780-C0571572995C}" cxnId="{245B8CE7-5032-45CF-997B-80AE31BAA9D0}" type="parTrans">
      <dgm:prSet/>
      <dgm:spPr/>
      <dgm:t>
        <a:bodyPr/>
        <a:p>
          <a:pPr algn="ctr"/>
          <a:endParaRPr lang="en-GB"/>
        </a:p>
      </dgm:t>
    </dgm:pt>
    <dgm:pt modelId="{A862A13C-E2D1-49DA-8001-F0F602324815}" cxnId="{245B8CE7-5032-45CF-997B-80AE31BAA9D0}" type="sibTrans">
      <dgm:prSet/>
      <dgm:spPr/>
      <dgm:t>
        <a:bodyPr/>
        <a:p>
          <a:pPr algn="ctr"/>
          <a:endParaRPr lang="en-GB"/>
        </a:p>
      </dgm:t>
    </dgm:pt>
    <dgm:pt modelId="{0C42071B-F901-4BC3-9071-1E9DE5799AD3}">
      <dgm:prSet phldrT="[Text]" custT="1"/>
      <dgm:spPr/>
      <dgm:t>
        <a:bodyPr/>
        <a:p>
          <a:pPr algn="ctr"/>
          <a:r>
            <a:rPr lang="en-GB" sz="1100"/>
            <a:t>changes in sleep patterns</a:t>
          </a:r>
        </a:p>
      </dgm:t>
    </dgm:pt>
    <dgm:pt modelId="{1F41B14F-83A6-4E70-9D4E-AF842BA08BB2}" cxnId="{635E9283-CFB9-4BE2-9896-DD3C3EE504EF}" type="parTrans">
      <dgm:prSet/>
      <dgm:spPr/>
      <dgm:t>
        <a:bodyPr/>
        <a:p>
          <a:pPr algn="ctr"/>
          <a:endParaRPr lang="en-GB"/>
        </a:p>
      </dgm:t>
    </dgm:pt>
    <dgm:pt modelId="{D8649FAA-37F1-4CAB-AE85-D4EC2CB945A2}" cxnId="{635E9283-CFB9-4BE2-9896-DD3C3EE504EF}" type="sibTrans">
      <dgm:prSet/>
      <dgm:spPr/>
      <dgm:t>
        <a:bodyPr/>
        <a:p>
          <a:pPr algn="ctr"/>
          <a:endParaRPr lang="en-GB"/>
        </a:p>
      </dgm:t>
    </dgm:pt>
    <dgm:pt modelId="{6DEF1C62-8DA3-4C38-99B7-367766DE8A55}">
      <dgm:prSet phldrT="[Text]" custT="1"/>
      <dgm:spPr/>
      <dgm:t>
        <a:bodyPr/>
        <a:p>
          <a:pPr algn="ctr"/>
          <a:r>
            <a:rPr lang="en-GB" sz="1100"/>
            <a:t>muscle tension and physical pain</a:t>
          </a:r>
        </a:p>
      </dgm:t>
    </dgm:pt>
    <dgm:pt modelId="{5A7325A6-47EC-48A8-A988-0B19126248BA}" cxnId="{2C89CEE8-7413-4E90-86CE-4E73DF671F4F}" type="parTrans">
      <dgm:prSet/>
      <dgm:spPr/>
      <dgm:t>
        <a:bodyPr/>
        <a:p>
          <a:pPr algn="ctr"/>
          <a:endParaRPr lang="en-GB"/>
        </a:p>
      </dgm:t>
    </dgm:pt>
    <dgm:pt modelId="{CC7072BA-689E-414E-9D5B-2E8F816B63D7}" cxnId="{2C89CEE8-7413-4E90-86CE-4E73DF671F4F}" type="sibTrans">
      <dgm:prSet/>
      <dgm:spPr/>
      <dgm:t>
        <a:bodyPr/>
        <a:p>
          <a:pPr algn="ctr"/>
          <a:endParaRPr lang="en-GB"/>
        </a:p>
      </dgm:t>
    </dgm:pt>
    <dgm:pt modelId="{2FD15872-3495-4974-AF36-8CE0374559FE}">
      <dgm:prSet phldrT="[Text]" custT="1"/>
      <dgm:spPr/>
      <dgm:t>
        <a:bodyPr/>
        <a:p>
          <a:pPr algn="ctr"/>
          <a:r>
            <a:rPr lang="en-GB" sz="1100"/>
            <a:t>feelings of worthlessness</a:t>
          </a:r>
        </a:p>
      </dgm:t>
    </dgm:pt>
    <dgm:pt modelId="{7F9FB762-24FF-4323-81B3-4B123F223608}" cxnId="{8A2AB8B5-4835-45FB-BB98-5DD7AE2F600A}" type="parTrans">
      <dgm:prSet/>
      <dgm:spPr/>
      <dgm:t>
        <a:bodyPr/>
        <a:p>
          <a:pPr algn="ctr"/>
          <a:endParaRPr lang="en-GB"/>
        </a:p>
      </dgm:t>
    </dgm:pt>
    <dgm:pt modelId="{8EE4C408-8969-4BF6-AFDB-1546CDE8D860}" cxnId="{8A2AB8B5-4835-45FB-BB98-5DD7AE2F600A}" type="sibTrans">
      <dgm:prSet/>
      <dgm:spPr/>
      <dgm:t>
        <a:bodyPr/>
        <a:p>
          <a:pPr algn="ctr"/>
          <a:endParaRPr lang="en-GB"/>
        </a:p>
      </dgm:t>
    </dgm:pt>
    <dgm:pt modelId="{B9931803-B29C-4A9C-9B31-9E5192BB810F}">
      <dgm:prSet phldrT="[Text]" custT="1"/>
      <dgm:spPr/>
      <dgm:t>
        <a:bodyPr/>
        <a:p>
          <a:pPr algn="ctr"/>
          <a:r>
            <a:rPr lang="en-GB" sz="1100"/>
            <a:t>excessive guilt</a:t>
          </a:r>
        </a:p>
      </dgm:t>
    </dgm:pt>
    <dgm:pt modelId="{464FDCAD-5449-4E50-A8AD-DFF61A9A1394}" cxnId="{9A99FC5C-5643-4884-B1C9-D422798D22E9}" type="parTrans">
      <dgm:prSet/>
      <dgm:spPr/>
      <dgm:t>
        <a:bodyPr/>
        <a:p>
          <a:pPr algn="ctr"/>
          <a:endParaRPr lang="en-GB"/>
        </a:p>
      </dgm:t>
    </dgm:pt>
    <dgm:pt modelId="{7832D6AF-C37C-4C1E-A666-E733A572E103}" cxnId="{9A99FC5C-5643-4884-B1C9-D422798D22E9}" type="sibTrans">
      <dgm:prSet/>
      <dgm:spPr/>
      <dgm:t>
        <a:bodyPr/>
        <a:p>
          <a:pPr algn="ctr"/>
          <a:endParaRPr lang="en-GB"/>
        </a:p>
      </dgm:t>
    </dgm:pt>
    <dgm:pt modelId="{AE83285D-A5C6-46B5-B1C3-88FD66013DD0}">
      <dgm:prSet phldrT="[Text]" custT="1"/>
      <dgm:spPr/>
      <dgm:t>
        <a:bodyPr/>
        <a:p>
          <a:pPr algn="ctr"/>
          <a:r>
            <a:rPr lang="en-GB" sz="1100"/>
            <a:t>withdrawing from family and friends</a:t>
          </a:r>
        </a:p>
      </dgm:t>
    </dgm:pt>
    <dgm:pt modelId="{B24A2107-6CFB-4DAB-939D-4223B971513F}" cxnId="{9F9AC568-D01B-4D7D-AB08-CB86A71831CA}" type="parTrans">
      <dgm:prSet/>
      <dgm:spPr/>
      <dgm:t>
        <a:bodyPr/>
        <a:p>
          <a:pPr algn="ctr"/>
          <a:endParaRPr lang="en-GB"/>
        </a:p>
      </dgm:t>
    </dgm:pt>
    <dgm:pt modelId="{313A0511-CC30-43B6-AD38-47C3CF3CD0AE}" cxnId="{9F9AC568-D01B-4D7D-AB08-CB86A71831CA}" type="sibTrans">
      <dgm:prSet/>
      <dgm:spPr/>
      <dgm:t>
        <a:bodyPr/>
        <a:p>
          <a:pPr algn="ctr"/>
          <a:endParaRPr lang="en-GB"/>
        </a:p>
      </dgm:t>
    </dgm:pt>
    <dgm:pt modelId="{B01A272A-201D-44D9-8E5A-509633D78FB5}">
      <dgm:prSet phldrT="[Text]" custT="1"/>
      <dgm:spPr/>
      <dgm:t>
        <a:bodyPr/>
        <a:p>
          <a:pPr algn="ctr"/>
          <a:r>
            <a:rPr lang="en-GB" sz="1100"/>
            <a:t>fatigue</a:t>
          </a:r>
        </a:p>
      </dgm:t>
    </dgm:pt>
    <dgm:pt modelId="{E5C656CF-3745-4E5B-9511-46F1BBE8DF31}" cxnId="{EC412FEC-A323-47AC-93E6-B2A07BD3E174}" type="parTrans">
      <dgm:prSet/>
      <dgm:spPr/>
      <dgm:t>
        <a:bodyPr/>
        <a:p>
          <a:pPr algn="ctr"/>
          <a:endParaRPr lang="en-GB"/>
        </a:p>
      </dgm:t>
    </dgm:pt>
    <dgm:pt modelId="{21A0F7FD-C3F0-4314-9228-46435C3A97C5}" cxnId="{EC412FEC-A323-47AC-93E6-B2A07BD3E174}" type="sibTrans">
      <dgm:prSet/>
      <dgm:spPr/>
      <dgm:t>
        <a:bodyPr/>
        <a:p>
          <a:pPr algn="ctr"/>
          <a:endParaRPr lang="en-GB"/>
        </a:p>
      </dgm:t>
    </dgm:pt>
    <dgm:pt modelId="{31343656-90E6-4470-85DF-E00B2E6256D6}">
      <dgm:prSet phldrT="[Text]" custT="1"/>
      <dgm:spPr/>
      <dgm:t>
        <a:bodyPr/>
        <a:p>
          <a:pPr algn="ctr"/>
          <a:r>
            <a:rPr lang="en-GB" sz="1100"/>
            <a:t>changes in sleep patterns</a:t>
          </a:r>
        </a:p>
      </dgm:t>
    </dgm:pt>
    <dgm:pt modelId="{C739D703-8D82-4F36-8027-2144BA709A0F}" cxnId="{BB42DDD8-EB96-4565-AA9B-FD3CA1D0B1D2}" type="parTrans">
      <dgm:prSet/>
      <dgm:spPr/>
      <dgm:t>
        <a:bodyPr/>
        <a:p>
          <a:pPr algn="ctr"/>
          <a:endParaRPr lang="en-GB"/>
        </a:p>
      </dgm:t>
    </dgm:pt>
    <dgm:pt modelId="{AAC055C3-6516-4581-99B9-1F5EC7E2BEE6}" cxnId="{BB42DDD8-EB96-4565-AA9B-FD3CA1D0B1D2}" type="sibTrans">
      <dgm:prSet/>
      <dgm:spPr/>
      <dgm:t>
        <a:bodyPr/>
        <a:p>
          <a:pPr algn="ctr"/>
          <a:endParaRPr lang="en-GB"/>
        </a:p>
      </dgm:t>
    </dgm:pt>
    <dgm:pt modelId="{D6037A4F-916F-4034-9CA5-F2EDA38EBC7A}">
      <dgm:prSet phldrT="[Text]" custT="1"/>
      <dgm:spPr/>
      <dgm:t>
        <a:bodyPr/>
        <a:p>
          <a:pPr algn="ctr"/>
          <a:r>
            <a:rPr lang="en-GB" sz="1100"/>
            <a:t>muscle tension and physical pain</a:t>
          </a:r>
        </a:p>
      </dgm:t>
    </dgm:pt>
    <dgm:pt modelId="{0AB206D7-CEA5-4A43-A5B0-639B02B49A22}" cxnId="{9674CFFF-A22B-4834-8EC3-36A0D9F55A4E}" type="parTrans">
      <dgm:prSet/>
      <dgm:spPr/>
      <dgm:t>
        <a:bodyPr/>
        <a:p>
          <a:pPr algn="ctr"/>
          <a:endParaRPr lang="en-GB"/>
        </a:p>
      </dgm:t>
    </dgm:pt>
    <dgm:pt modelId="{5526224F-F8DD-49FF-91FC-4E3B19803727}" cxnId="{9674CFFF-A22B-4834-8EC3-36A0D9F55A4E}" type="sibTrans">
      <dgm:prSet/>
      <dgm:spPr/>
      <dgm:t>
        <a:bodyPr/>
        <a:p>
          <a:pPr algn="ctr"/>
          <a:endParaRPr lang="en-GB"/>
        </a:p>
      </dgm:t>
    </dgm:pt>
    <dgm:pt modelId="{435196F3-0235-4203-AF8F-2A706E073422}">
      <dgm:prSet phldrT="[Text]" custT="1"/>
      <dgm:spPr/>
      <dgm:t>
        <a:bodyPr/>
        <a:p>
          <a:pPr algn="ctr"/>
          <a:r>
            <a:rPr lang="en-GB" sz="1100"/>
            <a:t>feelings of worthlessness</a:t>
          </a:r>
        </a:p>
      </dgm:t>
    </dgm:pt>
    <dgm:pt modelId="{7B037456-CA8F-48C7-BCA9-2C7678ACD804}" cxnId="{F96841D0-C88A-4E9C-AD31-F0C26B0256AB}" type="parTrans">
      <dgm:prSet/>
      <dgm:spPr/>
      <dgm:t>
        <a:bodyPr/>
        <a:p>
          <a:pPr algn="ctr"/>
          <a:endParaRPr lang="en-GB"/>
        </a:p>
      </dgm:t>
    </dgm:pt>
    <dgm:pt modelId="{9490D0E8-DA59-4A66-91AF-AFBC9231A18E}" cxnId="{F96841D0-C88A-4E9C-AD31-F0C26B0256AB}" type="sibTrans">
      <dgm:prSet/>
      <dgm:spPr/>
      <dgm:t>
        <a:bodyPr/>
        <a:p>
          <a:pPr algn="ctr"/>
          <a:endParaRPr lang="en-GB"/>
        </a:p>
      </dgm:t>
    </dgm:pt>
    <dgm:pt modelId="{7D0A04DE-6C50-4540-9CEA-4D65D5C4FE2A}">
      <dgm:prSet phldrT="[Text]" custT="1"/>
      <dgm:spPr/>
      <dgm:t>
        <a:bodyPr/>
        <a:p>
          <a:pPr algn="ctr"/>
          <a:r>
            <a:rPr lang="en-GB" sz="1100"/>
            <a:t>excessive guilt</a:t>
          </a:r>
        </a:p>
      </dgm:t>
    </dgm:pt>
    <dgm:pt modelId="{2CC69C95-C498-45C7-946B-230D657E5827}" cxnId="{3558AAED-FE8B-4292-8F41-6DAAFF93A8AA}" type="parTrans">
      <dgm:prSet/>
      <dgm:spPr/>
      <dgm:t>
        <a:bodyPr/>
        <a:p>
          <a:pPr algn="ctr"/>
          <a:endParaRPr lang="en-GB"/>
        </a:p>
      </dgm:t>
    </dgm:pt>
    <dgm:pt modelId="{28DAFBD8-EA53-4B0B-A91D-132682BCDA82}" cxnId="{3558AAED-FE8B-4292-8F41-6DAAFF93A8AA}" type="sibTrans">
      <dgm:prSet/>
      <dgm:spPr/>
      <dgm:t>
        <a:bodyPr/>
        <a:p>
          <a:pPr algn="ctr"/>
          <a:endParaRPr lang="en-GB"/>
        </a:p>
      </dgm:t>
    </dgm:pt>
    <dgm:pt modelId="{48A4FEAE-7186-4B85-83C9-D13E90CC9402}">
      <dgm:prSet phldrT="[Text]" custT="1"/>
      <dgm:spPr/>
      <dgm:t>
        <a:bodyPr/>
        <a:p>
          <a:pPr algn="ctr"/>
          <a:r>
            <a:rPr lang="en-GB" sz="1100"/>
            <a:t>withdrawing from family and friends</a:t>
          </a:r>
        </a:p>
      </dgm:t>
    </dgm:pt>
    <dgm:pt modelId="{502C5E04-DDBD-487D-A1D6-817039308678}" cxnId="{E1F41026-0811-4EA0-9BBD-816B9C193064}" type="parTrans">
      <dgm:prSet/>
      <dgm:spPr/>
      <dgm:t>
        <a:bodyPr/>
        <a:p>
          <a:pPr algn="ctr"/>
          <a:endParaRPr lang="en-GB"/>
        </a:p>
      </dgm:t>
    </dgm:pt>
    <dgm:pt modelId="{E14A4A77-8C79-4AED-B9AF-B32EF3198B01}" cxnId="{E1F41026-0811-4EA0-9BBD-816B9C193064}" type="sibTrans">
      <dgm:prSet/>
      <dgm:spPr/>
      <dgm:t>
        <a:bodyPr/>
        <a:p>
          <a:pPr algn="ctr"/>
          <a:endParaRPr lang="en-GB"/>
        </a:p>
      </dgm:t>
    </dgm:pt>
    <dgm:pt modelId="{6F240AF8-0910-4EDA-B605-4A05C0D0661B}">
      <dgm:prSet phldrT="[Text]" custT="1"/>
      <dgm:spPr/>
      <dgm:t>
        <a:bodyPr/>
        <a:p>
          <a:pPr algn="ctr"/>
          <a:r>
            <a:rPr lang="en-GB" sz="1100"/>
            <a:t>fatigue</a:t>
          </a:r>
        </a:p>
      </dgm:t>
    </dgm:pt>
    <dgm:pt modelId="{BCBE3380-223B-4495-98A2-ABD3E9BDB410}" cxnId="{707DCA0E-5688-401C-91B5-9B99C6E0F191}" type="parTrans">
      <dgm:prSet/>
      <dgm:spPr/>
      <dgm:t>
        <a:bodyPr/>
        <a:p>
          <a:pPr algn="ctr"/>
          <a:endParaRPr lang="en-GB"/>
        </a:p>
      </dgm:t>
    </dgm:pt>
    <dgm:pt modelId="{84611E16-2B22-4B97-ACDF-7CF67435FC66}" cxnId="{707DCA0E-5688-401C-91B5-9B99C6E0F191}" type="sibTrans">
      <dgm:prSet/>
      <dgm:spPr/>
      <dgm:t>
        <a:bodyPr/>
        <a:p>
          <a:pPr algn="ctr"/>
          <a:endParaRPr lang="en-GB"/>
        </a:p>
      </dgm:t>
    </dgm:pt>
    <dgm:pt modelId="{22035C77-2C31-4B5C-8E1C-FF48FC607308}">
      <dgm:prSet phldrT="[Text]" custT="1"/>
      <dgm:spPr/>
      <dgm:t>
        <a:bodyPr/>
        <a:p>
          <a:pPr algn="ctr"/>
          <a:r>
            <a:rPr lang="en-GB" sz="1100"/>
            <a:t>anger, irritability, hostility or violence</a:t>
          </a:r>
        </a:p>
      </dgm:t>
    </dgm:pt>
    <dgm:pt modelId="{69D89F15-5EFF-4FC0-B7A4-BDD105A15B10}" cxnId="{F415458A-7967-4C1C-B6E2-FEB96EFDF34D}" type="parTrans">
      <dgm:prSet/>
      <dgm:spPr/>
      <dgm:t>
        <a:bodyPr/>
        <a:p>
          <a:pPr algn="ctr"/>
          <a:endParaRPr lang="en-GB"/>
        </a:p>
      </dgm:t>
    </dgm:pt>
    <dgm:pt modelId="{10294F54-5479-4935-95F3-C25EE9C81BCB}" cxnId="{F415458A-7967-4C1C-B6E2-FEB96EFDF34D}" type="sibTrans">
      <dgm:prSet/>
      <dgm:spPr/>
      <dgm:t>
        <a:bodyPr/>
        <a:p>
          <a:pPr algn="ctr"/>
          <a:endParaRPr lang="en-GB"/>
        </a:p>
      </dgm:t>
    </dgm:pt>
    <dgm:pt modelId="{EBBC70F3-7036-483B-8BFE-8B43A7EB214D}">
      <dgm:prSet phldrT="[Text]" custT="1"/>
      <dgm:spPr/>
      <dgm:t>
        <a:bodyPr/>
        <a:p>
          <a:pPr algn="ctr"/>
          <a:r>
            <a:rPr lang="en-GB" sz="1100"/>
            <a:t>anger,  irritability, hostility or violence</a:t>
          </a:r>
        </a:p>
      </dgm:t>
    </dgm:pt>
    <dgm:pt modelId="{1C4DD70D-A3DF-4978-B7B8-83493D4B16C2}" cxnId="{E5CF4AEF-ACD8-407B-BE0B-FA91B4D9F45B}" type="parTrans">
      <dgm:prSet/>
      <dgm:spPr/>
      <dgm:t>
        <a:bodyPr/>
        <a:p>
          <a:pPr algn="ctr"/>
          <a:endParaRPr lang="en-GB"/>
        </a:p>
      </dgm:t>
    </dgm:pt>
    <dgm:pt modelId="{5AF09432-E33A-41B1-BFE2-A5C738C53E27}" cxnId="{E5CF4AEF-ACD8-407B-BE0B-FA91B4D9F45B}" type="sibTrans">
      <dgm:prSet/>
      <dgm:spPr/>
      <dgm:t>
        <a:bodyPr/>
        <a:p>
          <a:pPr algn="ctr"/>
          <a:endParaRPr lang="en-GB"/>
        </a:p>
      </dgm:t>
    </dgm:pt>
    <dgm:pt modelId="{58C5E217-3C0A-42C1-9235-D52533CAEB59}">
      <dgm:prSet phldrT="[Text]" custT="1"/>
      <dgm:spPr/>
      <dgm:t>
        <a:bodyPr/>
        <a:p>
          <a:pPr algn="ctr"/>
          <a:r>
            <a:rPr lang="en-GB" sz="1100"/>
            <a:t>persistent sadness</a:t>
          </a:r>
        </a:p>
      </dgm:t>
    </dgm:pt>
    <dgm:pt modelId="{A060251F-60F6-4975-932A-8C6A1F07B182}" cxnId="{0BA345CF-2401-4BBC-B983-4BFE22C0141F}" type="parTrans">
      <dgm:prSet/>
      <dgm:spPr/>
      <dgm:t>
        <a:bodyPr/>
        <a:p>
          <a:pPr algn="ctr"/>
          <a:endParaRPr lang="en-GB"/>
        </a:p>
      </dgm:t>
    </dgm:pt>
    <dgm:pt modelId="{D3ADCDFB-F954-46B4-A198-AE6B4AB13069}" cxnId="{0BA345CF-2401-4BBC-B983-4BFE22C0141F}" type="sibTrans">
      <dgm:prSet/>
      <dgm:spPr/>
      <dgm:t>
        <a:bodyPr/>
        <a:p>
          <a:pPr algn="ctr"/>
          <a:endParaRPr lang="en-GB"/>
        </a:p>
      </dgm:t>
    </dgm:pt>
    <dgm:pt modelId="{DFF8649E-8773-4E9E-A991-4C76D1EC5EF7}">
      <dgm:prSet phldrT="[Text]" custT="1"/>
      <dgm:spPr/>
      <dgm:t>
        <a:bodyPr/>
        <a:p>
          <a:pPr algn="ctr"/>
          <a:r>
            <a:rPr lang="en-GB" sz="1100"/>
            <a:t>trouble concentrating</a:t>
          </a:r>
        </a:p>
      </dgm:t>
    </dgm:pt>
    <dgm:pt modelId="{3D8C3D14-3E5A-49C6-99B5-AC9B230CAAF5}" cxnId="{85444C82-3EC8-423F-9B62-3D4222E6AA49}" type="parTrans">
      <dgm:prSet/>
      <dgm:spPr/>
      <dgm:t>
        <a:bodyPr/>
        <a:p>
          <a:pPr algn="ctr"/>
          <a:endParaRPr lang="en-GB"/>
        </a:p>
      </dgm:t>
    </dgm:pt>
    <dgm:pt modelId="{84E9EF74-FF12-47AF-91BE-C4C0B2F76D8D}" cxnId="{85444C82-3EC8-423F-9B62-3D4222E6AA49}" type="sibTrans">
      <dgm:prSet/>
      <dgm:spPr/>
      <dgm:t>
        <a:bodyPr/>
        <a:p>
          <a:pPr algn="ctr"/>
          <a:endParaRPr lang="en-GB"/>
        </a:p>
      </dgm:t>
    </dgm:pt>
    <dgm:pt modelId="{1F7C8649-56E6-4311-853C-2791C349EFBB}">
      <dgm:prSet phldrT="[Text]" custT="1"/>
      <dgm:spPr/>
      <dgm:t>
        <a:bodyPr/>
        <a:p>
          <a:pPr algn="ctr"/>
          <a:r>
            <a:rPr lang="en-GB" sz="1100"/>
            <a:t>trouble concentrating</a:t>
          </a:r>
        </a:p>
      </dgm:t>
    </dgm:pt>
    <dgm:pt modelId="{BB3A3486-AC8B-4072-A30E-3D9207AFAE75}" cxnId="{44CFA931-7A6E-4D5B-BF65-1CB956B38BB4}" type="parTrans">
      <dgm:prSet/>
      <dgm:spPr/>
      <dgm:t>
        <a:bodyPr/>
        <a:p>
          <a:pPr algn="ctr"/>
          <a:endParaRPr lang="en-GB"/>
        </a:p>
      </dgm:t>
    </dgm:pt>
    <dgm:pt modelId="{87214D6D-4EF5-4585-978C-C7FB602529E2}" cxnId="{44CFA931-7A6E-4D5B-BF65-1CB956B38BB4}" type="sibTrans">
      <dgm:prSet/>
      <dgm:spPr/>
      <dgm:t>
        <a:bodyPr/>
        <a:p>
          <a:pPr algn="ctr"/>
          <a:endParaRPr lang="en-GB"/>
        </a:p>
      </dgm:t>
    </dgm:pt>
    <dgm:pt modelId="{2888734A-574C-424E-9C1B-30E189B46129}">
      <dgm:prSet phldrT="[Text]" custT="1"/>
      <dgm:spPr/>
      <dgm:t>
        <a:bodyPr/>
        <a:p>
          <a:pPr algn="ctr"/>
          <a:r>
            <a:rPr lang="en-GB" sz="1100"/>
            <a:t>self-injury and suicidal ideation</a:t>
          </a:r>
        </a:p>
      </dgm:t>
    </dgm:pt>
    <dgm:pt modelId="{D3284265-E341-4A64-A505-A487261F917A}" cxnId="{9C10A549-5A6C-4406-AC0F-45AEC418B898}" type="parTrans">
      <dgm:prSet/>
      <dgm:spPr/>
      <dgm:t>
        <a:bodyPr/>
        <a:p>
          <a:pPr algn="ctr"/>
          <a:endParaRPr lang="en-GB"/>
        </a:p>
      </dgm:t>
    </dgm:pt>
    <dgm:pt modelId="{6FCD3A9B-B8B8-4EFA-89D3-BA51CA997F53}" cxnId="{9C10A549-5A6C-4406-AC0F-45AEC418B898}" type="sibTrans">
      <dgm:prSet/>
      <dgm:spPr/>
      <dgm:t>
        <a:bodyPr/>
        <a:p>
          <a:pPr algn="ctr"/>
          <a:endParaRPr lang="en-GB"/>
        </a:p>
      </dgm:t>
    </dgm:pt>
    <dgm:pt modelId="{AF82132E-4CFA-443B-BE27-976C2A69AF91}">
      <dgm:prSet phldrT="[Text]" custT="1"/>
      <dgm:spPr/>
      <dgm:t>
        <a:bodyPr/>
        <a:p>
          <a:pPr algn="ctr"/>
          <a:r>
            <a:rPr lang="en-GB" sz="1100"/>
            <a:t>self-injury</a:t>
          </a:r>
        </a:p>
      </dgm:t>
    </dgm:pt>
    <dgm:pt modelId="{D9535409-CBA2-4604-8781-85984AAA7C3B}" cxnId="{31869120-7F5D-486C-8587-E116CB3AEEF1}" type="parTrans">
      <dgm:prSet/>
      <dgm:spPr/>
      <dgm:t>
        <a:bodyPr/>
        <a:p>
          <a:pPr algn="ctr"/>
          <a:endParaRPr lang="en-GB"/>
        </a:p>
      </dgm:t>
    </dgm:pt>
    <dgm:pt modelId="{9605E23B-E9F1-4005-84EF-0B00772B8CD9}" cxnId="{31869120-7F5D-486C-8587-E116CB3AEEF1}" type="sibTrans">
      <dgm:prSet/>
      <dgm:spPr/>
      <dgm:t>
        <a:bodyPr/>
        <a:p>
          <a:pPr algn="ctr"/>
          <a:endParaRPr lang="en-GB"/>
        </a:p>
      </dgm:t>
    </dgm:pt>
    <dgm:pt modelId="{ACA6886B-5291-49E1-980C-8CB53C95CC98}">
      <dgm:prSet phldrT="[Text]" custT="1"/>
      <dgm:spPr/>
      <dgm:t>
        <a:bodyPr/>
        <a:p>
          <a:pPr algn="ctr"/>
          <a:r>
            <a:rPr lang="en-GB" sz="1100"/>
            <a:t>inability to cope with daily problems or stress</a:t>
          </a:r>
        </a:p>
      </dgm:t>
    </dgm:pt>
    <dgm:pt modelId="{05741109-9233-433A-B6C9-5104ED80F6CC}" cxnId="{DC7D4F05-477E-4EFD-A2ED-CC086CB1CC66}" type="parTrans">
      <dgm:prSet/>
      <dgm:spPr/>
      <dgm:t>
        <a:bodyPr/>
        <a:p>
          <a:pPr algn="ctr"/>
          <a:endParaRPr lang="en-GB"/>
        </a:p>
      </dgm:t>
    </dgm:pt>
    <dgm:pt modelId="{657F1BF2-0D3E-420E-9811-5B2C23D6FC8B}" cxnId="{DC7D4F05-477E-4EFD-A2ED-CC086CB1CC66}" type="sibTrans">
      <dgm:prSet/>
      <dgm:spPr/>
      <dgm:t>
        <a:bodyPr/>
        <a:p>
          <a:pPr algn="ctr"/>
          <a:endParaRPr lang="en-GB"/>
        </a:p>
      </dgm:t>
    </dgm:pt>
    <dgm:pt modelId="{3411AD32-DA5E-46F8-944B-7EAA230B4D87}">
      <dgm:prSet phldrT="[Text]" custT="1"/>
      <dgm:spPr/>
      <dgm:t>
        <a:bodyPr/>
        <a:p>
          <a:pPr algn="ctr"/>
          <a:r>
            <a:rPr lang="en-GB" sz="1100"/>
            <a:t>problems with alcohol or drug use</a:t>
          </a:r>
        </a:p>
      </dgm:t>
    </dgm:pt>
    <dgm:pt modelId="{BE9ACB5E-0B5D-4A92-AB07-383ABE3F1C6B}" cxnId="{55344393-D9B8-4145-848B-9A53A1FE4081}" type="parTrans">
      <dgm:prSet/>
      <dgm:spPr/>
      <dgm:t>
        <a:bodyPr/>
        <a:p>
          <a:pPr algn="ctr"/>
          <a:endParaRPr lang="en-GB"/>
        </a:p>
      </dgm:t>
    </dgm:pt>
    <dgm:pt modelId="{EBFB9F79-D9A8-4B4A-B6A7-861350CDE445}" cxnId="{55344393-D9B8-4145-848B-9A53A1FE4081}" type="sibTrans">
      <dgm:prSet/>
      <dgm:spPr/>
      <dgm:t>
        <a:bodyPr/>
        <a:p>
          <a:pPr algn="ctr"/>
          <a:endParaRPr lang="en-GB"/>
        </a:p>
      </dgm:t>
    </dgm:pt>
    <dgm:pt modelId="{7E031727-CD79-4879-B05D-C27DDCC011F0}">
      <dgm:prSet phldrT="[Text]" custT="1"/>
      <dgm:spPr/>
      <dgm:t>
        <a:bodyPr/>
        <a:p>
          <a:pPr algn="ctr"/>
          <a:r>
            <a:rPr lang="en-GB" sz="1100"/>
            <a:t>problems with alcohol or drug use</a:t>
          </a:r>
        </a:p>
      </dgm:t>
    </dgm:pt>
    <dgm:pt modelId="{2B3CC669-AD4D-4E23-8EB0-C9BF48148400}" cxnId="{48E1C31C-A36A-4A9C-8B95-27A3209EFA8F}" type="parTrans">
      <dgm:prSet/>
      <dgm:spPr/>
      <dgm:t>
        <a:bodyPr/>
        <a:p>
          <a:pPr algn="ctr"/>
          <a:endParaRPr lang="en-GB"/>
        </a:p>
      </dgm:t>
    </dgm:pt>
    <dgm:pt modelId="{41C6C84E-AE91-4041-B860-38DB4C1CA2BD}" cxnId="{48E1C31C-A36A-4A9C-8B95-27A3209EFA8F}" type="sibTrans">
      <dgm:prSet/>
      <dgm:spPr/>
      <dgm:t>
        <a:bodyPr/>
        <a:p>
          <a:pPr algn="ctr"/>
          <a:endParaRPr lang="en-GB"/>
        </a:p>
      </dgm:t>
    </dgm:pt>
    <dgm:pt modelId="{07345952-1DA5-45B3-A737-7E3315DBF2C4}">
      <dgm:prSet phldrT="[Text]" custT="1"/>
      <dgm:spPr/>
      <dgm:t>
        <a:bodyPr/>
        <a:p>
          <a:pPr algn="ctr"/>
          <a:r>
            <a:rPr lang="en-GB" sz="1100"/>
            <a:t>extreme mood changes of highs and lows</a:t>
          </a:r>
        </a:p>
      </dgm:t>
    </dgm:pt>
    <dgm:pt modelId="{15A8E1C8-4553-4F7A-9FE9-651610E6A7E8}" cxnId="{D98A0F68-9696-4CDA-8FC8-4DD92CE0AAF9}" type="parTrans">
      <dgm:prSet/>
      <dgm:spPr/>
      <dgm:t>
        <a:bodyPr/>
        <a:p>
          <a:pPr algn="ctr"/>
          <a:endParaRPr lang="en-GB"/>
        </a:p>
      </dgm:t>
    </dgm:pt>
    <dgm:pt modelId="{D3F9F08C-EB5A-4EFC-B11E-93419DD78D3C}" cxnId="{D98A0F68-9696-4CDA-8FC8-4DD92CE0AAF9}" type="sibTrans">
      <dgm:prSet/>
      <dgm:spPr/>
      <dgm:t>
        <a:bodyPr/>
        <a:p>
          <a:pPr algn="ctr"/>
          <a:endParaRPr lang="en-GB"/>
        </a:p>
      </dgm:t>
    </dgm:pt>
    <dgm:pt modelId="{DC074F64-F7AA-4CD8-9451-A94104ED4994}">
      <dgm:prSet phldrT="[Text]" custT="1"/>
      <dgm:spPr/>
      <dgm:t>
        <a:bodyPr/>
        <a:p>
          <a:pPr algn="ctr"/>
          <a:r>
            <a:rPr lang="en-GB" sz="1100"/>
            <a:t>extreme mood changes of highs and lows</a:t>
          </a:r>
        </a:p>
      </dgm:t>
    </dgm:pt>
    <dgm:pt modelId="{59CC08A6-9E14-46B3-B650-4691BD6532C3}" cxnId="{1A760F0E-D7B3-4EDE-8282-4187647D3C7A}" type="parTrans">
      <dgm:prSet/>
      <dgm:spPr/>
      <dgm:t>
        <a:bodyPr/>
        <a:p>
          <a:pPr algn="ctr"/>
          <a:endParaRPr lang="en-GB"/>
        </a:p>
      </dgm:t>
    </dgm:pt>
    <dgm:pt modelId="{CEE51756-CA9A-40E2-BA62-D272A2848483}" cxnId="{1A760F0E-D7B3-4EDE-8282-4187647D3C7A}" type="sibTrans">
      <dgm:prSet/>
      <dgm:spPr/>
      <dgm:t>
        <a:bodyPr/>
        <a:p>
          <a:pPr algn="ctr"/>
          <a:endParaRPr lang="en-GB"/>
        </a:p>
      </dgm:t>
    </dgm:pt>
    <dgm:pt modelId="{088673A6-C14F-4E2F-9A89-E8F111BA1391}">
      <dgm:prSet phldrT="[Text]" custT="1"/>
      <dgm:spPr/>
      <dgm:t>
        <a:bodyPr/>
        <a:p>
          <a:pPr algn="ctr"/>
          <a:r>
            <a:rPr lang="en-GB" sz="1100"/>
            <a:t>headaches, backaches, stomachaches, or other pains</a:t>
          </a:r>
        </a:p>
      </dgm:t>
    </dgm:pt>
    <dgm:pt modelId="{2F0E4303-1103-474B-8658-1AAF87C64041}" cxnId="{C8B2A87C-53C2-4D67-A9D3-8D94866091A8}" type="parTrans">
      <dgm:prSet/>
      <dgm:spPr/>
      <dgm:t>
        <a:bodyPr/>
        <a:p>
          <a:pPr algn="ctr"/>
          <a:endParaRPr lang="en-GB"/>
        </a:p>
      </dgm:t>
    </dgm:pt>
    <dgm:pt modelId="{5B44DA05-D9DA-426A-9550-62E793325E32}" cxnId="{C8B2A87C-53C2-4D67-A9D3-8D94866091A8}" type="sibTrans">
      <dgm:prSet/>
      <dgm:spPr/>
      <dgm:t>
        <a:bodyPr/>
        <a:p>
          <a:pPr algn="ctr"/>
          <a:endParaRPr lang="en-GB"/>
        </a:p>
      </dgm:t>
    </dgm:pt>
    <dgm:pt modelId="{24C18187-9196-44BE-8CBB-3D2DA8553AE2}">
      <dgm:prSet phldrT="[Text]" custT="1"/>
      <dgm:spPr/>
      <dgm:t>
        <a:bodyPr/>
        <a:p>
          <a:pPr algn="ctr"/>
          <a:r>
            <a:rPr lang="en-GB" sz="1100"/>
            <a:t>headaches, backaches, stomachaches, or other pains</a:t>
          </a:r>
        </a:p>
      </dgm:t>
    </dgm:pt>
    <dgm:pt modelId="{70551B63-D12A-42FA-ABFC-ACCAF568C103}" cxnId="{5FF9D7B5-0EB2-4613-A87A-6CF43747F694}" type="parTrans">
      <dgm:prSet/>
      <dgm:spPr/>
      <dgm:t>
        <a:bodyPr/>
        <a:p>
          <a:pPr algn="ctr"/>
          <a:endParaRPr lang="en-GB"/>
        </a:p>
      </dgm:t>
    </dgm:pt>
    <dgm:pt modelId="{16BB24BF-1D96-48C1-B328-2EA6F0506A7A}" cxnId="{5FF9D7B5-0EB2-4613-A87A-6CF43747F694}" type="sibTrans">
      <dgm:prSet/>
      <dgm:spPr/>
      <dgm:t>
        <a:bodyPr/>
        <a:p>
          <a:pPr algn="ctr"/>
          <a:endParaRPr lang="en-GB"/>
        </a:p>
      </dgm:t>
    </dgm:pt>
    <dgm:pt modelId="{27A219D7-53ED-467F-AC79-9D565D04801F}" type="pres">
      <dgm:prSet presAssocID="{A7213A2D-1EBF-4DD0-A7EF-440ADD1C2DA1}" presName="Name0" presStyleCnt="0">
        <dgm:presLayoutVars>
          <dgm:dir/>
          <dgm:resizeHandles val="exact"/>
        </dgm:presLayoutVars>
      </dgm:prSet>
      <dgm:spPr/>
    </dgm:pt>
    <dgm:pt modelId="{6635DFE0-A599-42F4-B8BB-B7EFEB37933E}" type="pres">
      <dgm:prSet presAssocID="{614A3643-021A-4F0B-9CE9-6ADF0ACC0BBE}" presName="node" presStyleLbl="node1" presStyleIdx="0" presStyleCnt="2">
        <dgm:presLayoutVars>
          <dgm:bulletEnabled val="1"/>
        </dgm:presLayoutVars>
      </dgm:prSet>
      <dgm:spPr/>
      <dgm:t>
        <a:bodyPr/>
        <a:p>
          <a:endParaRPr lang="en-GB"/>
        </a:p>
      </dgm:t>
    </dgm:pt>
    <dgm:pt modelId="{326ABC60-0C27-4AEB-97A6-C3B9AEA4F668}" type="pres">
      <dgm:prSet presAssocID="{4CAA3034-E3BE-41B2-B61F-01089C92EDFA}" presName="sibTrans" presStyleCnt="0"/>
      <dgm:spPr/>
    </dgm:pt>
    <dgm:pt modelId="{3745134F-B83F-4EC3-A913-08B37A523988}" type="pres">
      <dgm:prSet presAssocID="{8293C5D3-F943-498F-92E5-91988083725A}" presName="node" presStyleLbl="node1" presStyleIdx="1" presStyleCnt="2">
        <dgm:presLayoutVars>
          <dgm:bulletEnabled val="1"/>
        </dgm:presLayoutVars>
      </dgm:prSet>
      <dgm:spPr/>
      <dgm:t>
        <a:bodyPr/>
        <a:p>
          <a:endParaRPr lang="en-GB"/>
        </a:p>
      </dgm:t>
    </dgm:pt>
  </dgm:ptLst>
  <dgm:cxnLst>
    <dgm:cxn modelId="{31869120-7F5D-486C-8587-E116CB3AEEF1}" srcId="{614A3643-021A-4F0B-9CE9-6ADF0ACC0BBE}" destId="{AF82132E-4CFA-443B-BE27-976C2A69AF91}" srcOrd="14" destOrd="0" parTransId="{D9535409-CBA2-4604-8781-85984AAA7C3B}" sibTransId="{9605E23B-E9F1-4005-84EF-0B00772B8CD9}"/>
    <dgm:cxn modelId="{E1F41026-0811-4EA0-9BBD-816B9C193064}" srcId="{8293C5D3-F943-498F-92E5-91988083725A}" destId="{48A4FEAE-7186-4B85-83C9-D13E90CC9402}" srcOrd="6" destOrd="0" parTransId="{502C5E04-DDBD-487D-A1D6-817039308678}" sibTransId="{E14A4A77-8C79-4AED-B9AF-B32EF3198B01}"/>
    <dgm:cxn modelId="{C8B2A87C-53C2-4D67-A9D3-8D94866091A8}" srcId="{614A3643-021A-4F0B-9CE9-6ADF0ACC0BBE}" destId="{088673A6-C14F-4E2F-9A89-E8F111BA1391}" srcOrd="12" destOrd="0" parTransId="{2F0E4303-1103-474B-8658-1AAF87C64041}" sibTransId="{5B44DA05-D9DA-426A-9550-62E793325E32}"/>
    <dgm:cxn modelId="{CCA216AF-67D3-4270-A30E-80EADB98A66A}" type="presOf" srcId="{CE8E7B89-6107-4C21-B9E3-8D459C98EE09}" destId="{6635DFE0-A599-42F4-B8BB-B7EFEB37933E}" srcOrd="0" destOrd="1" presId="urn:microsoft.com/office/officeart/2005/8/layout/hList6"/>
    <dgm:cxn modelId="{9760EB2F-2967-41BC-91A8-32466EFBCEB6}" type="presOf" srcId="{D6037A4F-916F-4034-9CA5-F2EDA38EBC7A}" destId="{3745134F-B83F-4EC3-A913-08B37A523988}" srcOrd="0" destOrd="4" presId="urn:microsoft.com/office/officeart/2005/8/layout/hList6"/>
    <dgm:cxn modelId="{B60D1B46-9FF8-4EBB-93EC-8E6A9E7936D5}" type="presOf" srcId="{3411AD32-DA5E-46F8-944B-7EAA230B4D87}" destId="{6635DFE0-A599-42F4-B8BB-B7EFEB37933E}" srcOrd="0" destOrd="14" presId="urn:microsoft.com/office/officeart/2005/8/layout/hList6"/>
    <dgm:cxn modelId="{7C578B69-06F1-4BD6-8C5F-CA8B80258E95}" type="presOf" srcId="{DFF8649E-8773-4E9E-A991-4C76D1EC5EF7}" destId="{6635DFE0-A599-42F4-B8BB-B7EFEB37933E}" srcOrd="0" destOrd="11" presId="urn:microsoft.com/office/officeart/2005/8/layout/hList6"/>
    <dgm:cxn modelId="{3D268CE5-CAB1-46F5-A5F6-E027C83F6873}" type="presOf" srcId="{7D0A04DE-6C50-4540-9CEA-4D65D5C4FE2A}" destId="{3745134F-B83F-4EC3-A913-08B37A523988}" srcOrd="0" destOrd="6" presId="urn:microsoft.com/office/officeart/2005/8/layout/hList6"/>
    <dgm:cxn modelId="{4B98DA92-2E06-4AA1-B617-965BF5237053}" type="presOf" srcId="{6DEF1C62-8DA3-4C38-99B7-367766DE8A55}" destId="{6635DFE0-A599-42F4-B8BB-B7EFEB37933E}" srcOrd="0" destOrd="4" presId="urn:microsoft.com/office/officeart/2005/8/layout/hList6"/>
    <dgm:cxn modelId="{ABDAF999-B3CD-4637-8616-09259FA7E9A8}" type="presOf" srcId="{0C42071B-F901-4BC3-9071-1E9DE5799AD3}" destId="{6635DFE0-A599-42F4-B8BB-B7EFEB37933E}" srcOrd="0" destOrd="3" presId="urn:microsoft.com/office/officeart/2005/8/layout/hList6"/>
    <dgm:cxn modelId="{2C89CEE8-7413-4E90-86CE-4E73DF671F4F}" srcId="{614A3643-021A-4F0B-9CE9-6ADF0ACC0BBE}" destId="{6DEF1C62-8DA3-4C38-99B7-367766DE8A55}" srcOrd="3" destOrd="0" parTransId="{5A7325A6-47EC-48A8-A988-0B19126248BA}" sibTransId="{CC7072BA-689E-414E-9D5B-2E8F816B63D7}"/>
    <dgm:cxn modelId="{C0B32697-F054-4E01-A970-665FEF22CFA7}" type="presOf" srcId="{B01A272A-201D-44D9-8E5A-509633D78FB5}" destId="{6635DFE0-A599-42F4-B8BB-B7EFEB37933E}" srcOrd="0" destOrd="8" presId="urn:microsoft.com/office/officeart/2005/8/layout/hList6"/>
    <dgm:cxn modelId="{26D3C471-AC18-4063-BCD6-698ADE9CE1AB}" type="presOf" srcId="{31343656-90E6-4470-85DF-E00B2E6256D6}" destId="{3745134F-B83F-4EC3-A913-08B37A523988}" srcOrd="0" destOrd="3" presId="urn:microsoft.com/office/officeart/2005/8/layout/hList6"/>
    <dgm:cxn modelId="{9C10A549-5A6C-4406-AC0F-45AEC418B898}" srcId="{8293C5D3-F943-498F-92E5-91988083725A}" destId="{2888734A-574C-424E-9C1B-30E189B46129}" srcOrd="14" destOrd="0" parTransId="{D3284265-E341-4A64-A505-A487261F917A}" sibTransId="{6FCD3A9B-B8B8-4EFA-89D3-BA51CA997F53}"/>
    <dgm:cxn modelId="{E5CF4AEF-ACD8-407B-BE0B-FA91B4D9F45B}" srcId="{614A3643-021A-4F0B-9CE9-6ADF0ACC0BBE}" destId="{EBBC70F3-7036-483B-8BFE-8B43A7EB214D}" srcOrd="9" destOrd="0" parTransId="{1C4DD70D-A3DF-4978-B7B8-83493D4B16C2}" sibTransId="{5AF09432-E33A-41B1-BFE2-A5C738C53E27}"/>
    <dgm:cxn modelId="{B06F79E0-87C6-4C28-A408-D2D2DEABDA54}" type="presOf" srcId="{58C5E217-3C0A-42C1-9235-D52533CAEB59}" destId="{3745134F-B83F-4EC3-A913-08B37A523988}" srcOrd="0" destOrd="9" presId="urn:microsoft.com/office/officeart/2005/8/layout/hList6"/>
    <dgm:cxn modelId="{3B115A4B-3BF5-4C63-A971-2C5C532B1A3F}" type="presOf" srcId="{C425A1EC-418B-4E5E-A20A-7CBC249A73E0}" destId="{6635DFE0-A599-42F4-B8BB-B7EFEB37933E}" srcOrd="0" destOrd="9" presId="urn:microsoft.com/office/officeart/2005/8/layout/hList6"/>
    <dgm:cxn modelId="{3AE1DC33-ED45-4493-886F-BBEBE617313A}" type="presOf" srcId="{2888734A-574C-424E-9C1B-30E189B46129}" destId="{3745134F-B83F-4EC3-A913-08B37A523988}" srcOrd="0" destOrd="15" presId="urn:microsoft.com/office/officeart/2005/8/layout/hList6"/>
    <dgm:cxn modelId="{1A760F0E-D7B3-4EDE-8282-4187647D3C7A}" srcId="{8293C5D3-F943-498F-92E5-91988083725A}" destId="{DC074F64-F7AA-4CD8-9451-A94104ED4994}" srcOrd="1" destOrd="0" parTransId="{59CC08A6-9E14-46B3-B650-4691BD6532C3}" sibTransId="{CEE51756-CA9A-40E2-BA62-D272A2848483}"/>
    <dgm:cxn modelId="{C676AF26-AB9E-4B85-BE93-37470F37FD15}" srcId="{614A3643-021A-4F0B-9CE9-6ADF0ACC0BBE}" destId="{CE8E7B89-6107-4C21-B9E3-8D459C98EE09}" srcOrd="0" destOrd="0" parTransId="{0BF32FDF-8440-42D7-A761-D4E3BC59350B}" sibTransId="{36AD8B40-30D8-4398-890A-7194BA545D6C}"/>
    <dgm:cxn modelId="{D696AE53-6AA2-46E9-BB2A-262AF1B2F739}" type="presOf" srcId="{EBBC70F3-7036-483B-8BFE-8B43A7EB214D}" destId="{6635DFE0-A599-42F4-B8BB-B7EFEB37933E}" srcOrd="0" destOrd="10" presId="urn:microsoft.com/office/officeart/2005/8/layout/hList6"/>
    <dgm:cxn modelId="{64D0F87B-7A3D-466A-8F58-81DA34AD7A5E}" srcId="{A7213A2D-1EBF-4DD0-A7EF-440ADD1C2DA1}" destId="{8293C5D3-F943-498F-92E5-91988083725A}" srcOrd="1" destOrd="0" parTransId="{CDFA1660-1D83-4B4E-92C7-F8CD4FD2FF54}" sibTransId="{B137665B-C1B6-4D35-BB82-07C011ED5C33}"/>
    <dgm:cxn modelId="{707DCA0E-5688-401C-91B5-9B99C6E0F191}" srcId="{8293C5D3-F943-498F-92E5-91988083725A}" destId="{6F240AF8-0910-4EDA-B605-4A05C0D0661B}" srcOrd="7" destOrd="0" parTransId="{BCBE3380-223B-4495-98A2-ABD3E9BDB410}" sibTransId="{84611E16-2B22-4B97-ACDF-7CF67435FC66}"/>
    <dgm:cxn modelId="{8FE02D1A-6EA8-46EA-9F40-4FB8798AAE11}" type="presOf" srcId="{F99ABA11-4C76-4F15-8F1B-E7A761D236BB}" destId="{3745134F-B83F-4EC3-A913-08B37A523988}" srcOrd="0" destOrd="10" presId="urn:microsoft.com/office/officeart/2005/8/layout/hList6"/>
    <dgm:cxn modelId="{8A2AB8B5-4835-45FB-BB98-5DD7AE2F600A}" srcId="{614A3643-021A-4F0B-9CE9-6ADF0ACC0BBE}" destId="{2FD15872-3495-4974-AF36-8CE0374559FE}" srcOrd="4" destOrd="0" parTransId="{7F9FB762-24FF-4323-81B3-4B123F223608}" sibTransId="{8EE4C408-8969-4BF6-AFDB-1546CDE8D860}"/>
    <dgm:cxn modelId="{4DFFBAD1-0AAE-471E-A5B5-1CDEF4741FF7}" type="presOf" srcId="{07345952-1DA5-45B3-A737-7E3315DBF2C4}" destId="{6635DFE0-A599-42F4-B8BB-B7EFEB37933E}" srcOrd="0" destOrd="2" presId="urn:microsoft.com/office/officeart/2005/8/layout/hList6"/>
    <dgm:cxn modelId="{D13A434B-FE82-4A86-95EE-4435FAF9E9B1}" type="presOf" srcId="{1F7C8649-56E6-4311-853C-2791C349EFBB}" destId="{3745134F-B83F-4EC3-A913-08B37A523988}" srcOrd="0" destOrd="11" presId="urn:microsoft.com/office/officeart/2005/8/layout/hList6"/>
    <dgm:cxn modelId="{635E9283-CFB9-4BE2-9896-DD3C3EE504EF}" srcId="{614A3643-021A-4F0B-9CE9-6ADF0ACC0BBE}" destId="{0C42071B-F901-4BC3-9071-1E9DE5799AD3}" srcOrd="2" destOrd="0" parTransId="{1F41B14F-83A6-4E70-9D4E-AF842BA08BB2}" sibTransId="{D8649FAA-37F1-4CAB-AE85-D4EC2CB945A2}"/>
    <dgm:cxn modelId="{5E6EB897-0CFE-4D79-B804-B34E3297A331}" type="presOf" srcId="{DC074F64-F7AA-4CD8-9451-A94104ED4994}" destId="{3745134F-B83F-4EC3-A913-08B37A523988}" srcOrd="0" destOrd="2" presId="urn:microsoft.com/office/officeart/2005/8/layout/hList6"/>
    <dgm:cxn modelId="{27263435-3721-4F47-84CE-CA851E133B05}" type="presOf" srcId="{6F240AF8-0910-4EDA-B605-4A05C0D0661B}" destId="{3745134F-B83F-4EC3-A913-08B37A523988}" srcOrd="0" destOrd="8" presId="urn:microsoft.com/office/officeart/2005/8/layout/hList6"/>
    <dgm:cxn modelId="{24833E6D-BB97-4C0C-AE0C-1EDBA9A16322}" type="presOf" srcId="{22035C77-2C31-4B5C-8E1C-FF48FC607308}" destId="{3745134F-B83F-4EC3-A913-08B37A523988}" srcOrd="0" destOrd="12" presId="urn:microsoft.com/office/officeart/2005/8/layout/hList6"/>
    <dgm:cxn modelId="{D98A0F68-9696-4CDA-8FC8-4DD92CE0AAF9}" srcId="{614A3643-021A-4F0B-9CE9-6ADF0ACC0BBE}" destId="{07345952-1DA5-45B3-A737-7E3315DBF2C4}" srcOrd="1" destOrd="0" parTransId="{15A8E1C8-4553-4F7A-9FE9-651610E6A7E8}" sibTransId="{D3F9F08C-EB5A-4EFC-B11E-93419DD78D3C}"/>
    <dgm:cxn modelId="{73DB2CCA-8634-4A07-B361-A392058A4419}" type="presOf" srcId="{8293C5D3-F943-498F-92E5-91988083725A}" destId="{3745134F-B83F-4EC3-A913-08B37A523988}" srcOrd="0" destOrd="0" presId="urn:microsoft.com/office/officeart/2005/8/layout/hList6"/>
    <dgm:cxn modelId="{48E1C31C-A36A-4A9C-8B95-27A3209EFA8F}" srcId="{8293C5D3-F943-498F-92E5-91988083725A}" destId="{7E031727-CD79-4879-B05D-C27DDCC011F0}" srcOrd="13" destOrd="0" parTransId="{2B3CC669-AD4D-4E23-8EB0-C9BF48148400}" sibTransId="{41C6C84E-AE91-4041-B860-38DB4C1CA2BD}"/>
    <dgm:cxn modelId="{F442FEB7-E2A9-49D7-8903-02DFB92BEF98}" srcId="{614A3643-021A-4F0B-9CE9-6ADF0ACC0BBE}" destId="{C425A1EC-418B-4E5E-A20A-7CBC249A73E0}" srcOrd="8" destOrd="0" parTransId="{01AEF26E-87F3-4902-AB3B-D6E2E383EA0B}" sibTransId="{7027619E-32B3-4DC2-B038-0A67B40C65C2}"/>
    <dgm:cxn modelId="{F48C2878-0344-45A9-8F97-7ED409660C9F}" type="presOf" srcId="{088673A6-C14F-4E2F-9A89-E8F111BA1391}" destId="{6635DFE0-A599-42F4-B8BB-B7EFEB37933E}" srcOrd="0" destOrd="13" presId="urn:microsoft.com/office/officeart/2005/8/layout/hList6"/>
    <dgm:cxn modelId="{8E8C51D2-1AC5-4D3A-9913-B8F62752A5AD}" srcId="{A7213A2D-1EBF-4DD0-A7EF-440ADD1C2DA1}" destId="{614A3643-021A-4F0B-9CE9-6ADF0ACC0BBE}" srcOrd="0" destOrd="0" parTransId="{79F32232-B677-490C-B31E-15AB4484E6A4}" sibTransId="{4CAA3034-E3BE-41B2-B61F-01089C92EDFA}"/>
    <dgm:cxn modelId="{EC412FEC-A323-47AC-93E6-B2A07BD3E174}" srcId="{614A3643-021A-4F0B-9CE9-6ADF0ACC0BBE}" destId="{B01A272A-201D-44D9-8E5A-509633D78FB5}" srcOrd="7" destOrd="0" parTransId="{E5C656CF-3745-4E5B-9511-46F1BBE8DF31}" sibTransId="{21A0F7FD-C3F0-4314-9228-46435C3A97C5}"/>
    <dgm:cxn modelId="{A737A908-D718-46F4-9A04-73E6B085E67E}" type="presOf" srcId="{A7213A2D-1EBF-4DD0-A7EF-440ADD1C2DA1}" destId="{27A219D7-53ED-467F-AC79-9D565D04801F}" srcOrd="0" destOrd="0" presId="urn:microsoft.com/office/officeart/2005/8/layout/hList6"/>
    <dgm:cxn modelId="{BB42DDD8-EB96-4565-AA9B-FD3CA1D0B1D2}" srcId="{8293C5D3-F943-498F-92E5-91988083725A}" destId="{31343656-90E6-4470-85DF-E00B2E6256D6}" srcOrd="2" destOrd="0" parTransId="{C739D703-8D82-4F36-8027-2144BA709A0F}" sibTransId="{AAC055C3-6516-4581-99B9-1F5EC7E2BEE6}"/>
    <dgm:cxn modelId="{035A4158-BB68-4BA9-A778-79015EFC1889}" type="presOf" srcId="{B9931803-B29C-4A9C-9B31-9E5192BB810F}" destId="{6635DFE0-A599-42F4-B8BB-B7EFEB37933E}" srcOrd="0" destOrd="6" presId="urn:microsoft.com/office/officeart/2005/8/layout/hList6"/>
    <dgm:cxn modelId="{D47CE997-FCD0-42E4-AB32-2A0E7C78D5AA}" type="presOf" srcId="{2FD15872-3495-4974-AF36-8CE0374559FE}" destId="{6635DFE0-A599-42F4-B8BB-B7EFEB37933E}" srcOrd="0" destOrd="5" presId="urn:microsoft.com/office/officeart/2005/8/layout/hList6"/>
    <dgm:cxn modelId="{AC1FE230-4789-418C-970D-A011BFF7A057}" type="presOf" srcId="{901C05E9-A2CC-431A-91DE-3BE719DDC2C5}" destId="{3745134F-B83F-4EC3-A913-08B37A523988}" srcOrd="0" destOrd="1" presId="urn:microsoft.com/office/officeart/2005/8/layout/hList6"/>
    <dgm:cxn modelId="{F415458A-7967-4C1C-B6E2-FEB96EFDF34D}" srcId="{8293C5D3-F943-498F-92E5-91988083725A}" destId="{22035C77-2C31-4B5C-8E1C-FF48FC607308}" srcOrd="11" destOrd="0" parTransId="{69D89F15-5EFF-4FC0-B7A4-BDD105A15B10}" sibTransId="{10294F54-5479-4935-95F3-C25EE9C81BCB}"/>
    <dgm:cxn modelId="{85444C82-3EC8-423F-9B62-3D4222E6AA49}" srcId="{614A3643-021A-4F0B-9CE9-6ADF0ACC0BBE}" destId="{DFF8649E-8773-4E9E-A991-4C76D1EC5EF7}" srcOrd="10" destOrd="0" parTransId="{3D8C3D14-3E5A-49C6-99B5-AC9B230CAAF5}" sibTransId="{84E9EF74-FF12-47AF-91BE-C4C0B2F76D8D}"/>
    <dgm:cxn modelId="{912876C8-B4C2-406A-A312-9E7B2FC7DF92}" type="presOf" srcId="{435196F3-0235-4203-AF8F-2A706E073422}" destId="{3745134F-B83F-4EC3-A913-08B37A523988}" srcOrd="0" destOrd="5" presId="urn:microsoft.com/office/officeart/2005/8/layout/hList6"/>
    <dgm:cxn modelId="{0BA345CF-2401-4BBC-B983-4BFE22C0141F}" srcId="{8293C5D3-F943-498F-92E5-91988083725A}" destId="{58C5E217-3C0A-42C1-9235-D52533CAEB59}" srcOrd="8" destOrd="0" parTransId="{A060251F-60F6-4975-932A-8C6A1F07B182}" sibTransId="{D3ADCDFB-F954-46B4-A198-AE6B4AB13069}"/>
    <dgm:cxn modelId="{F166E92F-AEFC-48DA-85DF-A0D9561C76EC}" type="presOf" srcId="{24C18187-9196-44BE-8CBB-3D2DA8553AE2}" destId="{3745134F-B83F-4EC3-A913-08B37A523988}" srcOrd="0" destOrd="13" presId="urn:microsoft.com/office/officeart/2005/8/layout/hList6"/>
    <dgm:cxn modelId="{B129B2D8-78BF-443B-B382-8E8FAABD09A8}" type="presOf" srcId="{AE83285D-A5C6-46B5-B1C3-88FD66013DD0}" destId="{6635DFE0-A599-42F4-B8BB-B7EFEB37933E}" srcOrd="0" destOrd="7" presId="urn:microsoft.com/office/officeart/2005/8/layout/hList6"/>
    <dgm:cxn modelId="{245B8CE7-5032-45CF-997B-80AE31BAA9D0}" srcId="{8293C5D3-F943-498F-92E5-91988083725A}" destId="{F99ABA11-4C76-4F15-8F1B-E7A761D236BB}" srcOrd="9" destOrd="0" parTransId="{0014FD8B-F38D-4A1A-9780-C0571572995C}" sibTransId="{A862A13C-E2D1-49DA-8001-F0F602324815}"/>
    <dgm:cxn modelId="{9A99FC5C-5643-4884-B1C9-D422798D22E9}" srcId="{614A3643-021A-4F0B-9CE9-6ADF0ACC0BBE}" destId="{B9931803-B29C-4A9C-9B31-9E5192BB810F}" srcOrd="5" destOrd="0" parTransId="{464FDCAD-5449-4E50-A8AD-DFF61A9A1394}" sibTransId="{7832D6AF-C37C-4C1E-A666-E733A572E103}"/>
    <dgm:cxn modelId="{44CFA931-7A6E-4D5B-BF65-1CB956B38BB4}" srcId="{8293C5D3-F943-498F-92E5-91988083725A}" destId="{1F7C8649-56E6-4311-853C-2791C349EFBB}" srcOrd="10" destOrd="0" parTransId="{BB3A3486-AC8B-4072-A30E-3D9207AFAE75}" sibTransId="{87214D6D-4EF5-4585-978C-C7FB602529E2}"/>
    <dgm:cxn modelId="{9674CFFF-A22B-4834-8EC3-36A0D9F55A4E}" srcId="{8293C5D3-F943-498F-92E5-91988083725A}" destId="{D6037A4F-916F-4034-9CA5-F2EDA38EBC7A}" srcOrd="3" destOrd="0" parTransId="{0AB206D7-CEA5-4A43-A5B0-639B02B49A22}" sibTransId="{5526224F-F8DD-49FF-91FC-4E3B19803727}"/>
    <dgm:cxn modelId="{A693C6C6-C489-454A-9067-0EFADA924C91}" srcId="{8293C5D3-F943-498F-92E5-91988083725A}" destId="{901C05E9-A2CC-431A-91DE-3BE719DDC2C5}" srcOrd="0" destOrd="0" parTransId="{6EFDA1F0-3047-453D-B609-EF4B32E48507}" sibTransId="{F9BECE9C-9687-4C34-BC2C-54B8B8109A47}"/>
    <dgm:cxn modelId="{3558AAED-FE8B-4292-8F41-6DAAFF93A8AA}" srcId="{8293C5D3-F943-498F-92E5-91988083725A}" destId="{7D0A04DE-6C50-4540-9CEA-4D65D5C4FE2A}" srcOrd="5" destOrd="0" parTransId="{2CC69C95-C498-45C7-946B-230D657E5827}" sibTransId="{28DAFBD8-EA53-4B0B-A91D-132682BCDA82}"/>
    <dgm:cxn modelId="{B18FC1BA-EFD8-4AA7-AFED-97A02CE01315}" type="presOf" srcId="{AF82132E-4CFA-443B-BE27-976C2A69AF91}" destId="{6635DFE0-A599-42F4-B8BB-B7EFEB37933E}" srcOrd="0" destOrd="15" presId="urn:microsoft.com/office/officeart/2005/8/layout/hList6"/>
    <dgm:cxn modelId="{9F9AC568-D01B-4D7D-AB08-CB86A71831CA}" srcId="{614A3643-021A-4F0B-9CE9-6ADF0ACC0BBE}" destId="{AE83285D-A5C6-46B5-B1C3-88FD66013DD0}" srcOrd="6" destOrd="0" parTransId="{B24A2107-6CFB-4DAB-939D-4223B971513F}" sibTransId="{313A0511-CC30-43B6-AD38-47C3CF3CD0AE}"/>
    <dgm:cxn modelId="{D2506A46-F647-48B0-BA9C-F668E69B18E6}" type="presOf" srcId="{48A4FEAE-7186-4B85-83C9-D13E90CC9402}" destId="{3745134F-B83F-4EC3-A913-08B37A523988}" srcOrd="0" destOrd="7" presId="urn:microsoft.com/office/officeart/2005/8/layout/hList6"/>
    <dgm:cxn modelId="{242E248B-A7B6-458E-8EFF-E5D408D7FBE1}" type="presOf" srcId="{614A3643-021A-4F0B-9CE9-6ADF0ACC0BBE}" destId="{6635DFE0-A599-42F4-B8BB-B7EFEB37933E}" srcOrd="0" destOrd="0" presId="urn:microsoft.com/office/officeart/2005/8/layout/hList6"/>
    <dgm:cxn modelId="{DC7D4F05-477E-4EFD-A2ED-CC086CB1CC66}" srcId="{614A3643-021A-4F0B-9CE9-6ADF0ACC0BBE}" destId="{ACA6886B-5291-49E1-980C-8CB53C95CC98}" srcOrd="11" destOrd="0" parTransId="{05741109-9233-433A-B6C9-5104ED80F6CC}" sibTransId="{657F1BF2-0D3E-420E-9811-5B2C23D6FC8B}"/>
    <dgm:cxn modelId="{5FF9D7B5-0EB2-4613-A87A-6CF43747F694}" srcId="{8293C5D3-F943-498F-92E5-91988083725A}" destId="{24C18187-9196-44BE-8CBB-3D2DA8553AE2}" srcOrd="12" destOrd="0" parTransId="{70551B63-D12A-42FA-ABFC-ACCAF568C103}" sibTransId="{16BB24BF-1D96-48C1-B328-2EA6F0506A7A}"/>
    <dgm:cxn modelId="{55344393-D9B8-4145-848B-9A53A1FE4081}" srcId="{614A3643-021A-4F0B-9CE9-6ADF0ACC0BBE}" destId="{3411AD32-DA5E-46F8-944B-7EAA230B4D87}" srcOrd="13" destOrd="0" parTransId="{BE9ACB5E-0B5D-4A92-AB07-383ABE3F1C6B}" sibTransId="{EBFB9F79-D9A8-4B4A-B6A7-861350CDE445}"/>
    <dgm:cxn modelId="{F96841D0-C88A-4E9C-AD31-F0C26B0256AB}" srcId="{8293C5D3-F943-498F-92E5-91988083725A}" destId="{435196F3-0235-4203-AF8F-2A706E073422}" srcOrd="4" destOrd="0" parTransId="{7B037456-CA8F-48C7-BCA9-2C7678ACD804}" sibTransId="{9490D0E8-DA59-4A66-91AF-AFBC9231A18E}"/>
    <dgm:cxn modelId="{565559C0-AC91-4109-8A88-49A800C64F47}" type="presOf" srcId="{7E031727-CD79-4879-B05D-C27DDCC011F0}" destId="{3745134F-B83F-4EC3-A913-08B37A523988}" srcOrd="0" destOrd="14" presId="urn:microsoft.com/office/officeart/2005/8/layout/hList6"/>
    <dgm:cxn modelId="{1386D3D6-6B7F-4420-B842-C203B0546D83}" type="presOf" srcId="{ACA6886B-5291-49E1-980C-8CB53C95CC98}" destId="{6635DFE0-A599-42F4-B8BB-B7EFEB37933E}" srcOrd="0" destOrd="12" presId="urn:microsoft.com/office/officeart/2005/8/layout/hList6"/>
    <dgm:cxn modelId="{40E3CB7A-863D-40E3-A448-474B0C0C2AA4}" type="presParOf" srcId="{27A219D7-53ED-467F-AC79-9D565D04801F}" destId="{6635DFE0-A599-42F4-B8BB-B7EFEB37933E}" srcOrd="0" destOrd="0" presId="urn:microsoft.com/office/officeart/2005/8/layout/hList6"/>
    <dgm:cxn modelId="{96B5D9B7-8C9A-4015-B486-DB4FE3FB0FCE}" type="presParOf" srcId="{27A219D7-53ED-467F-AC79-9D565D04801F}" destId="{326ABC60-0C27-4AEB-97A6-C3B9AEA4F668}" srcOrd="1" destOrd="0" presId="urn:microsoft.com/office/officeart/2005/8/layout/hList6"/>
    <dgm:cxn modelId="{505E8EA6-4CB0-40B0-A889-C119B32A105C}" type="presParOf" srcId="{27A219D7-53ED-467F-AC79-9D565D04801F}" destId="{3745134F-B83F-4EC3-A913-08B37A523988}" srcOrd="2" destOrd="0" presId="urn:microsoft.com/office/officeart/2005/8/layout/hList6"/>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0C56325-DAA1-4F7C-A10E-B18D6B839B9E}" type="doc">
      <dgm:prSet loTypeId="urn:microsoft.com/office/officeart/2008/layout/VerticalCurvedList" loCatId="list" qsTypeId="urn:microsoft.com/office/officeart/2005/8/quickstyle/simple1" qsCatId="simple" csTypeId="urn:microsoft.com/office/officeart/2005/8/colors/accent0_1" csCatId="mainScheme" phldr="1"/>
      <dgm:spPr/>
      <dgm:t>
        <a:bodyPr/>
        <a:p>
          <a:endParaRPr lang="en-GB"/>
        </a:p>
      </dgm:t>
    </dgm:pt>
    <dgm:pt modelId="{15AC539E-ABDE-4131-A0CB-F36912035516}">
      <dgm:prSet phldrT="[Text]" custT="1"/>
      <dgm:spPr/>
      <dgm:t>
        <a:bodyPr/>
        <a:p>
          <a:r>
            <a:rPr lang="en-GB" sz="1050"/>
            <a:t>a blood family, such as a parent or brother, having a history of mental illness</a:t>
          </a:r>
        </a:p>
      </dgm:t>
    </dgm:pt>
    <dgm:pt modelId="{64379353-B81C-4F72-8133-3B1B2FAABCA3}" cxnId="{1792F814-F143-4CA9-A987-E9594EDC140C}" type="parTrans">
      <dgm:prSet/>
      <dgm:spPr/>
      <dgm:t>
        <a:bodyPr/>
        <a:p>
          <a:endParaRPr lang="en-GB"/>
        </a:p>
      </dgm:t>
    </dgm:pt>
    <dgm:pt modelId="{B6396A1E-CC19-4C07-85BF-E5E95AD9BA23}" cxnId="{1792F814-F143-4CA9-A987-E9594EDC140C}" type="sibTrans">
      <dgm:prSet/>
      <dgm:spPr/>
      <dgm:t>
        <a:bodyPr/>
        <a:p>
          <a:endParaRPr lang="en-GB"/>
        </a:p>
      </dgm:t>
    </dgm:pt>
    <dgm:pt modelId="{E35C3348-3787-4FD0-80E7-5F39E824FEDE}">
      <dgm:prSet phldrT="[Text]" custT="1"/>
      <dgm:spPr/>
      <dgm:t>
        <a:bodyPr/>
        <a:p>
          <a:r>
            <a:rPr lang="en-GB" sz="1050"/>
            <a:t>conditions in life that are stressful, such as having money issues, losing a loved one, or getting divorced</a:t>
          </a:r>
        </a:p>
      </dgm:t>
    </dgm:pt>
    <dgm:pt modelId="{DCD06B13-C9FC-42AD-9666-39803F406455}" cxnId="{3021750D-773B-4F74-9E73-BBABBAB53986}" type="parTrans">
      <dgm:prSet/>
      <dgm:spPr/>
      <dgm:t>
        <a:bodyPr/>
        <a:p>
          <a:endParaRPr lang="en-GB"/>
        </a:p>
      </dgm:t>
    </dgm:pt>
    <dgm:pt modelId="{2FF45288-8C0A-4B4E-B214-224D188FC8D0}" cxnId="{3021750D-773B-4F74-9E73-BBABBAB53986}" type="sibTrans">
      <dgm:prSet/>
      <dgm:spPr/>
      <dgm:t>
        <a:bodyPr/>
        <a:p>
          <a:endParaRPr lang="en-GB"/>
        </a:p>
      </dgm:t>
    </dgm:pt>
    <dgm:pt modelId="{D4E68BE6-9228-4493-80B6-64F00B25423D}">
      <dgm:prSet phldrT="[Text]" custT="1"/>
      <dgm:spPr/>
      <dgm:t>
        <a:bodyPr/>
        <a:p>
          <a:r>
            <a:rPr lang="en-GB" sz="1050"/>
            <a:t>a persistent (chronic) illness, such as diabetes</a:t>
          </a:r>
        </a:p>
      </dgm:t>
    </dgm:pt>
    <dgm:pt modelId="{CE018D37-9D57-4354-90FD-43E0A0D11A9B}" cxnId="{516835D3-8E20-4B72-87C4-E998977F5E87}" type="parTrans">
      <dgm:prSet/>
      <dgm:spPr/>
      <dgm:t>
        <a:bodyPr/>
        <a:p>
          <a:endParaRPr lang="en-GB"/>
        </a:p>
      </dgm:t>
    </dgm:pt>
    <dgm:pt modelId="{2BE899A2-7727-4AE3-AA29-2ADBC50CE282}" cxnId="{516835D3-8E20-4B72-87C4-E998977F5E87}" type="sibTrans">
      <dgm:prSet/>
      <dgm:spPr/>
      <dgm:t>
        <a:bodyPr/>
        <a:p>
          <a:endParaRPr lang="en-GB"/>
        </a:p>
      </dgm:t>
    </dgm:pt>
    <dgm:pt modelId="{0C5FAC92-A2B5-4465-8DC2-67A34405E416}">
      <dgm:prSet phldrT="[Text]" custT="1"/>
      <dgm:spPr/>
      <dgm:t>
        <a:bodyPr/>
        <a:p>
          <a:r>
            <a:rPr lang="en-GB" sz="1050"/>
            <a:t>traumatic situations  causing brain damage due to major injuries, such as a hit to the head</a:t>
          </a:r>
        </a:p>
      </dgm:t>
    </dgm:pt>
    <dgm:pt modelId="{A8BA09F5-4659-45A7-B278-396B8C9CF9FC}" cxnId="{59FDCA0D-986B-4F58-9742-AC38F03B353C}" type="parTrans">
      <dgm:prSet/>
      <dgm:spPr/>
      <dgm:t>
        <a:bodyPr/>
        <a:p>
          <a:endParaRPr lang="en-GB"/>
        </a:p>
      </dgm:t>
    </dgm:pt>
    <dgm:pt modelId="{315E92F9-7941-4E66-B3A8-1DBF1D226408}" cxnId="{59FDCA0D-986B-4F58-9742-AC38F03B353C}" type="sibTrans">
      <dgm:prSet/>
      <dgm:spPr/>
      <dgm:t>
        <a:bodyPr/>
        <a:p>
          <a:endParaRPr lang="en-GB"/>
        </a:p>
      </dgm:t>
    </dgm:pt>
    <dgm:pt modelId="{5A37BFC7-81B7-40AE-9E9F-29C125A59666}">
      <dgm:prSet phldrT="[Text]" custT="1"/>
      <dgm:spPr/>
      <dgm:t>
        <a:bodyPr/>
        <a:p>
          <a:r>
            <a:rPr lang="en-GB" sz="1050"/>
            <a:t>drinking or doing drugs for fun</a:t>
          </a:r>
        </a:p>
      </dgm:t>
    </dgm:pt>
    <dgm:pt modelId="{7BC30B5B-171B-4F10-93A0-475042223806}" cxnId="{1FB04B6E-1306-4526-814D-C592E8CDE793}" type="parTrans">
      <dgm:prSet/>
      <dgm:spPr/>
      <dgm:t>
        <a:bodyPr/>
        <a:p>
          <a:endParaRPr lang="en-GB"/>
        </a:p>
      </dgm:t>
    </dgm:pt>
    <dgm:pt modelId="{A0440C80-F97C-4FB1-BC23-16D12BF65F60}" cxnId="{1FB04B6E-1306-4526-814D-C592E8CDE793}" type="sibTrans">
      <dgm:prSet/>
      <dgm:spPr/>
      <dgm:t>
        <a:bodyPr/>
        <a:p>
          <a:endParaRPr lang="en-GB"/>
        </a:p>
      </dgm:t>
    </dgm:pt>
    <dgm:pt modelId="{083553A9-59B7-41C2-8518-E3979E5A2789}">
      <dgm:prSet phldrT="[Text]" custT="1"/>
      <dgm:spPr/>
      <dgm:t>
        <a:bodyPr/>
        <a:p>
          <a:r>
            <a:rPr lang="en-GB" sz="1050"/>
            <a:t>a history of neglect and abuse in one's childhood</a:t>
          </a:r>
        </a:p>
      </dgm:t>
    </dgm:pt>
    <dgm:pt modelId="{296B1DD8-BA7A-41BC-9659-21116F1A1547}" cxnId="{B35E77A5-58A7-4E14-A15F-BCCA7C37E255}" type="parTrans">
      <dgm:prSet/>
      <dgm:spPr/>
      <dgm:t>
        <a:bodyPr/>
        <a:p>
          <a:endParaRPr lang="en-GB"/>
        </a:p>
      </dgm:t>
    </dgm:pt>
    <dgm:pt modelId="{6840CB3F-8E40-4FBF-93CD-C2463A1EA9DB}" cxnId="{B35E77A5-58A7-4E14-A15F-BCCA7C37E255}" type="sibTrans">
      <dgm:prSet/>
      <dgm:spPr/>
      <dgm:t>
        <a:bodyPr/>
        <a:p>
          <a:endParaRPr lang="en-GB"/>
        </a:p>
      </dgm:t>
    </dgm:pt>
    <dgm:pt modelId="{1BCF1879-51ED-4ECC-9655-3F1A237C77F0}">
      <dgm:prSet phldrT="[Text]" custT="1"/>
      <dgm:spPr/>
      <dgm:t>
        <a:bodyPr/>
        <a:p>
          <a:r>
            <a:rPr lang="en-GB" sz="1050"/>
            <a:t>several unhealthy partnerships or few friends</a:t>
          </a:r>
        </a:p>
      </dgm:t>
    </dgm:pt>
    <dgm:pt modelId="{49D9E7F5-D4EF-4BE2-B9CD-8DDA8EDC39D0}" cxnId="{3C842B0B-1B70-4EE9-BC9B-19DCD7A6C81F}" type="parTrans">
      <dgm:prSet/>
      <dgm:spPr/>
    </dgm:pt>
    <dgm:pt modelId="{88486C6B-369B-4F4D-B1DB-80E05E274BC2}" cxnId="{3C842B0B-1B70-4EE9-BC9B-19DCD7A6C81F}" type="sibTrans">
      <dgm:prSet/>
      <dgm:spPr/>
    </dgm:pt>
    <dgm:pt modelId="{9D78CDD7-7434-4194-820F-A414C6D81F9C}" type="pres">
      <dgm:prSet presAssocID="{40C56325-DAA1-4F7C-A10E-B18D6B839B9E}" presName="Name0" presStyleCnt="0">
        <dgm:presLayoutVars>
          <dgm:chMax val="7"/>
          <dgm:chPref val="7"/>
          <dgm:dir/>
        </dgm:presLayoutVars>
      </dgm:prSet>
      <dgm:spPr/>
    </dgm:pt>
    <dgm:pt modelId="{D1F1E7E6-50A3-405F-9EEA-FEE1F09EF368}" type="pres">
      <dgm:prSet presAssocID="{40C56325-DAA1-4F7C-A10E-B18D6B839B9E}" presName="Name1" presStyleCnt="0"/>
      <dgm:spPr/>
    </dgm:pt>
    <dgm:pt modelId="{19668CEB-898A-4ABD-9DEA-8F9CEC189B0F}" type="pres">
      <dgm:prSet presAssocID="{40C56325-DAA1-4F7C-A10E-B18D6B839B9E}" presName="cycle" presStyleCnt="0"/>
      <dgm:spPr/>
    </dgm:pt>
    <dgm:pt modelId="{F37C89B0-E354-4F35-AC9C-2A3E5D86B592}" type="pres">
      <dgm:prSet presAssocID="{40C56325-DAA1-4F7C-A10E-B18D6B839B9E}" presName="srcNode" presStyleLbl="node1" presStyleIdx="0" presStyleCnt="7"/>
      <dgm:spPr/>
    </dgm:pt>
    <dgm:pt modelId="{803EFBC2-E091-4300-B286-6FCDCE323D5A}" type="pres">
      <dgm:prSet presAssocID="{40C56325-DAA1-4F7C-A10E-B18D6B839B9E}" presName="conn" presStyleLbl="parChTrans1D2" presStyleIdx="0" presStyleCnt="1"/>
      <dgm:spPr/>
    </dgm:pt>
    <dgm:pt modelId="{39A449C4-D8A8-4056-8211-D902A94D5D2A}" type="pres">
      <dgm:prSet presAssocID="{40C56325-DAA1-4F7C-A10E-B18D6B839B9E}" presName="extraNode" presStyleLbl="node1" presStyleIdx="0" presStyleCnt="7"/>
      <dgm:spPr/>
    </dgm:pt>
    <dgm:pt modelId="{31772B02-921E-42EF-9097-1CC07E6CF8C8}" type="pres">
      <dgm:prSet presAssocID="{40C56325-DAA1-4F7C-A10E-B18D6B839B9E}" presName="dstNode" presStyleLbl="node1" presStyleIdx="0" presStyleCnt="7"/>
      <dgm:spPr/>
    </dgm:pt>
    <dgm:pt modelId="{C0B17C9D-A737-41D3-8AAF-14A368AA7C70}" type="pres">
      <dgm:prSet presAssocID="{15AC539E-ABDE-4131-A0CB-F36912035516}" presName="text_1" presStyleLbl="node1" presStyleIdx="0" presStyleCnt="7">
        <dgm:presLayoutVars>
          <dgm:bulletEnabled val="1"/>
        </dgm:presLayoutVars>
      </dgm:prSet>
      <dgm:spPr/>
      <dgm:t>
        <a:bodyPr/>
        <a:p>
          <a:endParaRPr lang="en-GB"/>
        </a:p>
      </dgm:t>
    </dgm:pt>
    <dgm:pt modelId="{AB01E8E2-AA2A-45B9-B1BB-734CF5465632}" type="pres">
      <dgm:prSet presAssocID="{15AC539E-ABDE-4131-A0CB-F36912035516}" presName="accent_1" presStyleCnt="0"/>
      <dgm:spPr/>
    </dgm:pt>
    <dgm:pt modelId="{77B58880-9ACC-410C-8B95-C6B70039AB53}" type="pres">
      <dgm:prSet presAssocID="{15AC539E-ABDE-4131-A0CB-F36912035516}" presName="accentRepeatNode" presStyleLbl="solidFgAcc1" presStyleIdx="0" presStyleCnt="7"/>
      <dgm:spPr/>
    </dgm:pt>
    <dgm:pt modelId="{5A875E9C-CD4F-4BB6-AC9E-56B0A5FBEA1B}" type="pres">
      <dgm:prSet presAssocID="{E35C3348-3787-4FD0-80E7-5F39E824FEDE}" presName="text_2" presStyleLbl="node1" presStyleIdx="1" presStyleCnt="7">
        <dgm:presLayoutVars>
          <dgm:bulletEnabled val="1"/>
        </dgm:presLayoutVars>
      </dgm:prSet>
      <dgm:spPr/>
      <dgm:t>
        <a:bodyPr/>
        <a:p>
          <a:endParaRPr lang="en-GB"/>
        </a:p>
      </dgm:t>
    </dgm:pt>
    <dgm:pt modelId="{ACA5384D-528C-4E7D-839A-8E6EE43F1A68}" type="pres">
      <dgm:prSet presAssocID="{E35C3348-3787-4FD0-80E7-5F39E824FEDE}" presName="accent_2" presStyleCnt="0"/>
      <dgm:spPr/>
    </dgm:pt>
    <dgm:pt modelId="{2DA1DAC3-07AC-4885-970C-FDE45562E1E9}" type="pres">
      <dgm:prSet presAssocID="{E35C3348-3787-4FD0-80E7-5F39E824FEDE}" presName="accentRepeatNode" presStyleLbl="solidFgAcc1" presStyleIdx="1" presStyleCnt="7"/>
      <dgm:spPr/>
    </dgm:pt>
    <dgm:pt modelId="{15F56A62-162A-4CEB-BA6E-9A26739C2658}" type="pres">
      <dgm:prSet presAssocID="{D4E68BE6-9228-4493-80B6-64F00B25423D}" presName="text_3" presStyleLbl="node1" presStyleIdx="2" presStyleCnt="7">
        <dgm:presLayoutVars>
          <dgm:bulletEnabled val="1"/>
        </dgm:presLayoutVars>
      </dgm:prSet>
      <dgm:spPr/>
      <dgm:t>
        <a:bodyPr/>
        <a:p>
          <a:endParaRPr lang="en-GB"/>
        </a:p>
      </dgm:t>
    </dgm:pt>
    <dgm:pt modelId="{D208802A-E3C8-4114-B4C3-FFFC9EE6959B}" type="pres">
      <dgm:prSet presAssocID="{D4E68BE6-9228-4493-80B6-64F00B25423D}" presName="accent_3" presStyleCnt="0"/>
      <dgm:spPr/>
    </dgm:pt>
    <dgm:pt modelId="{9A3D1627-803A-431A-AB9A-C0FC9E7A2CBD}" type="pres">
      <dgm:prSet presAssocID="{D4E68BE6-9228-4493-80B6-64F00B25423D}" presName="accentRepeatNode" presStyleLbl="solidFgAcc1" presStyleIdx="2" presStyleCnt="7"/>
      <dgm:spPr/>
    </dgm:pt>
    <dgm:pt modelId="{4884C5E2-6292-4780-85AE-5193BAF9D27B}" type="pres">
      <dgm:prSet presAssocID="{0C5FAC92-A2B5-4465-8DC2-67A34405E416}" presName="text_4" presStyleLbl="node1" presStyleIdx="3" presStyleCnt="7">
        <dgm:presLayoutVars>
          <dgm:bulletEnabled val="1"/>
        </dgm:presLayoutVars>
      </dgm:prSet>
      <dgm:spPr/>
      <dgm:t>
        <a:bodyPr/>
        <a:p>
          <a:endParaRPr lang="en-GB"/>
        </a:p>
      </dgm:t>
    </dgm:pt>
    <dgm:pt modelId="{D82A083C-2134-4C1A-AB1C-FD9628C75450}" type="pres">
      <dgm:prSet presAssocID="{0C5FAC92-A2B5-4465-8DC2-67A34405E416}" presName="accent_4" presStyleCnt="0"/>
      <dgm:spPr/>
    </dgm:pt>
    <dgm:pt modelId="{F303DE2E-F56B-42E7-B014-8D041BB6D2AA}" type="pres">
      <dgm:prSet presAssocID="{0C5FAC92-A2B5-4465-8DC2-67A34405E416}" presName="accentRepeatNode" presStyleLbl="solidFgAcc1" presStyleIdx="3" presStyleCnt="7"/>
      <dgm:spPr/>
    </dgm:pt>
    <dgm:pt modelId="{BB16293B-3694-4524-8187-49AAE1982D46}" type="pres">
      <dgm:prSet presAssocID="{5A37BFC7-81B7-40AE-9E9F-29C125A59666}" presName="text_5" presStyleLbl="node1" presStyleIdx="4" presStyleCnt="7">
        <dgm:presLayoutVars>
          <dgm:bulletEnabled val="1"/>
        </dgm:presLayoutVars>
      </dgm:prSet>
      <dgm:spPr/>
      <dgm:t>
        <a:bodyPr/>
        <a:p>
          <a:endParaRPr lang="en-GB"/>
        </a:p>
      </dgm:t>
    </dgm:pt>
    <dgm:pt modelId="{CA233838-F01F-4F2D-BDAF-C5515F0CFDF0}" type="pres">
      <dgm:prSet presAssocID="{5A37BFC7-81B7-40AE-9E9F-29C125A59666}" presName="accent_5" presStyleCnt="0"/>
      <dgm:spPr/>
    </dgm:pt>
    <dgm:pt modelId="{A135B0F0-3FD5-4EA9-9AEC-F77B0B2B93EE}" type="pres">
      <dgm:prSet presAssocID="{5A37BFC7-81B7-40AE-9E9F-29C125A59666}" presName="accentRepeatNode" presStyleLbl="solidFgAcc1" presStyleIdx="4" presStyleCnt="7"/>
      <dgm:spPr/>
    </dgm:pt>
    <dgm:pt modelId="{4AE8D87E-098A-4154-8C45-6412FF0F241F}" type="pres">
      <dgm:prSet presAssocID="{083553A9-59B7-41C2-8518-E3979E5A2789}" presName="text_6" presStyleLbl="node1" presStyleIdx="5" presStyleCnt="7">
        <dgm:presLayoutVars>
          <dgm:bulletEnabled val="1"/>
        </dgm:presLayoutVars>
      </dgm:prSet>
      <dgm:spPr/>
      <dgm:t>
        <a:bodyPr/>
        <a:p>
          <a:endParaRPr lang="en-GB"/>
        </a:p>
      </dgm:t>
    </dgm:pt>
    <dgm:pt modelId="{9B986D13-2EFC-4AE9-B2CC-EC1FFA4469AA}" type="pres">
      <dgm:prSet presAssocID="{083553A9-59B7-41C2-8518-E3979E5A2789}" presName="accent_6" presStyleCnt="0"/>
      <dgm:spPr/>
    </dgm:pt>
    <dgm:pt modelId="{D318E09F-1F6B-41A7-9CE5-BDFC602A32A9}" type="pres">
      <dgm:prSet presAssocID="{083553A9-59B7-41C2-8518-E3979E5A2789}" presName="accentRepeatNode" presStyleLbl="solidFgAcc1" presStyleIdx="5" presStyleCnt="7"/>
      <dgm:spPr/>
    </dgm:pt>
    <dgm:pt modelId="{9F8B4A52-8C83-49A7-9E0B-A2C3CE995679}" type="pres">
      <dgm:prSet presAssocID="{1BCF1879-51ED-4ECC-9655-3F1A237C77F0}" presName="text_7" presStyleLbl="node1" presStyleIdx="6" presStyleCnt="7">
        <dgm:presLayoutVars>
          <dgm:bulletEnabled val="1"/>
        </dgm:presLayoutVars>
      </dgm:prSet>
      <dgm:spPr/>
      <dgm:t>
        <a:bodyPr/>
        <a:p>
          <a:endParaRPr lang="en-GB"/>
        </a:p>
      </dgm:t>
    </dgm:pt>
    <dgm:pt modelId="{C9132ABD-B0F1-4FA5-81AD-0573C8432909}" type="pres">
      <dgm:prSet presAssocID="{1BCF1879-51ED-4ECC-9655-3F1A237C77F0}" presName="accent_7" presStyleCnt="0"/>
      <dgm:spPr/>
    </dgm:pt>
    <dgm:pt modelId="{6FFFCDC9-B567-4D5A-86A9-C180AD60E5BC}" type="pres">
      <dgm:prSet presAssocID="{1BCF1879-51ED-4ECC-9655-3F1A237C77F0}" presName="accentRepeatNode" presStyleLbl="solidFgAcc1" presStyleIdx="6" presStyleCnt="7"/>
      <dgm:spPr/>
    </dgm:pt>
  </dgm:ptLst>
  <dgm:cxnLst>
    <dgm:cxn modelId="{3021750D-773B-4F74-9E73-BBABBAB53986}" srcId="{40C56325-DAA1-4F7C-A10E-B18D6B839B9E}" destId="{E35C3348-3787-4FD0-80E7-5F39E824FEDE}" srcOrd="1" destOrd="0" parTransId="{DCD06B13-C9FC-42AD-9666-39803F406455}" sibTransId="{2FF45288-8C0A-4B4E-B214-224D188FC8D0}"/>
    <dgm:cxn modelId="{B7CA4412-3A99-4613-945D-A1ED149FF3B3}" type="presOf" srcId="{083553A9-59B7-41C2-8518-E3979E5A2789}" destId="{4AE8D87E-098A-4154-8C45-6412FF0F241F}" srcOrd="0" destOrd="0" presId="urn:microsoft.com/office/officeart/2008/layout/VerticalCurvedList"/>
    <dgm:cxn modelId="{516835D3-8E20-4B72-87C4-E998977F5E87}" srcId="{40C56325-DAA1-4F7C-A10E-B18D6B839B9E}" destId="{D4E68BE6-9228-4493-80B6-64F00B25423D}" srcOrd="2" destOrd="0" parTransId="{CE018D37-9D57-4354-90FD-43E0A0D11A9B}" sibTransId="{2BE899A2-7727-4AE3-AA29-2ADBC50CE282}"/>
    <dgm:cxn modelId="{2D20D53B-F171-4ED6-9F93-8D1B802EE087}" type="presOf" srcId="{E35C3348-3787-4FD0-80E7-5F39E824FEDE}" destId="{5A875E9C-CD4F-4BB6-AC9E-56B0A5FBEA1B}" srcOrd="0" destOrd="0" presId="urn:microsoft.com/office/officeart/2008/layout/VerticalCurvedList"/>
    <dgm:cxn modelId="{1792F814-F143-4CA9-A987-E9594EDC140C}" srcId="{40C56325-DAA1-4F7C-A10E-B18D6B839B9E}" destId="{15AC539E-ABDE-4131-A0CB-F36912035516}" srcOrd="0" destOrd="0" parTransId="{64379353-B81C-4F72-8133-3B1B2FAABCA3}" sibTransId="{B6396A1E-CC19-4C07-85BF-E5E95AD9BA23}"/>
    <dgm:cxn modelId="{DAFB1C4C-E686-4BA1-8461-D507462FB2C2}" type="presOf" srcId="{0C5FAC92-A2B5-4465-8DC2-67A34405E416}" destId="{4884C5E2-6292-4780-85AE-5193BAF9D27B}" srcOrd="0" destOrd="0" presId="urn:microsoft.com/office/officeart/2008/layout/VerticalCurvedList"/>
    <dgm:cxn modelId="{3C842B0B-1B70-4EE9-BC9B-19DCD7A6C81F}" srcId="{40C56325-DAA1-4F7C-A10E-B18D6B839B9E}" destId="{1BCF1879-51ED-4ECC-9655-3F1A237C77F0}" srcOrd="6" destOrd="0" parTransId="{49D9E7F5-D4EF-4BE2-B9CD-8DDA8EDC39D0}" sibTransId="{88486C6B-369B-4F4D-B1DB-80E05E274BC2}"/>
    <dgm:cxn modelId="{A0352D6D-9DFE-4516-B3D4-8017C757D74E}" type="presOf" srcId="{B6396A1E-CC19-4C07-85BF-E5E95AD9BA23}" destId="{803EFBC2-E091-4300-B286-6FCDCE323D5A}" srcOrd="0" destOrd="0" presId="urn:microsoft.com/office/officeart/2008/layout/VerticalCurvedList"/>
    <dgm:cxn modelId="{0A3D7536-869A-49D6-B8E9-41BDD7342CBB}" type="presOf" srcId="{15AC539E-ABDE-4131-A0CB-F36912035516}" destId="{C0B17C9D-A737-41D3-8AAF-14A368AA7C70}" srcOrd="0" destOrd="0" presId="urn:microsoft.com/office/officeart/2008/layout/VerticalCurvedList"/>
    <dgm:cxn modelId="{FF811DE9-9E6B-49BE-AD9C-162476629584}" type="presOf" srcId="{5A37BFC7-81B7-40AE-9E9F-29C125A59666}" destId="{BB16293B-3694-4524-8187-49AAE1982D46}" srcOrd="0" destOrd="0" presId="urn:microsoft.com/office/officeart/2008/layout/VerticalCurvedList"/>
    <dgm:cxn modelId="{1FB04B6E-1306-4526-814D-C592E8CDE793}" srcId="{40C56325-DAA1-4F7C-A10E-B18D6B839B9E}" destId="{5A37BFC7-81B7-40AE-9E9F-29C125A59666}" srcOrd="4" destOrd="0" parTransId="{7BC30B5B-171B-4F10-93A0-475042223806}" sibTransId="{A0440C80-F97C-4FB1-BC23-16D12BF65F60}"/>
    <dgm:cxn modelId="{B35E77A5-58A7-4E14-A15F-BCCA7C37E255}" srcId="{40C56325-DAA1-4F7C-A10E-B18D6B839B9E}" destId="{083553A9-59B7-41C2-8518-E3979E5A2789}" srcOrd="5" destOrd="0" parTransId="{296B1DD8-BA7A-41BC-9659-21116F1A1547}" sibTransId="{6840CB3F-8E40-4FBF-93CD-C2463A1EA9DB}"/>
    <dgm:cxn modelId="{DC70D083-308B-4786-A00B-7E4CB9A00C51}" type="presOf" srcId="{D4E68BE6-9228-4493-80B6-64F00B25423D}" destId="{15F56A62-162A-4CEB-BA6E-9A26739C2658}" srcOrd="0" destOrd="0" presId="urn:microsoft.com/office/officeart/2008/layout/VerticalCurvedList"/>
    <dgm:cxn modelId="{59FDCA0D-986B-4F58-9742-AC38F03B353C}" srcId="{40C56325-DAA1-4F7C-A10E-B18D6B839B9E}" destId="{0C5FAC92-A2B5-4465-8DC2-67A34405E416}" srcOrd="3" destOrd="0" parTransId="{A8BA09F5-4659-45A7-B278-396B8C9CF9FC}" sibTransId="{315E92F9-7941-4E66-B3A8-1DBF1D226408}"/>
    <dgm:cxn modelId="{9A2CEE19-6FD4-4159-A2A6-C5DCEC623693}" type="presOf" srcId="{40C56325-DAA1-4F7C-A10E-B18D6B839B9E}" destId="{9D78CDD7-7434-4194-820F-A414C6D81F9C}" srcOrd="0" destOrd="0" presId="urn:microsoft.com/office/officeart/2008/layout/VerticalCurvedList"/>
    <dgm:cxn modelId="{4CC14F7A-5C74-4D14-A976-39F7BA074690}" type="presOf" srcId="{1BCF1879-51ED-4ECC-9655-3F1A237C77F0}" destId="{9F8B4A52-8C83-49A7-9E0B-A2C3CE995679}" srcOrd="0" destOrd="0" presId="urn:microsoft.com/office/officeart/2008/layout/VerticalCurvedList"/>
    <dgm:cxn modelId="{35E76402-3BB4-40AD-8832-4436997B29BF}" type="presParOf" srcId="{9D78CDD7-7434-4194-820F-A414C6D81F9C}" destId="{D1F1E7E6-50A3-405F-9EEA-FEE1F09EF368}" srcOrd="0" destOrd="0" presId="urn:microsoft.com/office/officeart/2008/layout/VerticalCurvedList"/>
    <dgm:cxn modelId="{6A8657EC-6DA0-4314-8677-B8396342BBB5}" type="presParOf" srcId="{D1F1E7E6-50A3-405F-9EEA-FEE1F09EF368}" destId="{19668CEB-898A-4ABD-9DEA-8F9CEC189B0F}" srcOrd="0" destOrd="0" presId="urn:microsoft.com/office/officeart/2008/layout/VerticalCurvedList"/>
    <dgm:cxn modelId="{C3D9669F-0950-4EBE-B4AD-13AE3B1C4FE2}" type="presParOf" srcId="{19668CEB-898A-4ABD-9DEA-8F9CEC189B0F}" destId="{F37C89B0-E354-4F35-AC9C-2A3E5D86B592}" srcOrd="0" destOrd="0" presId="urn:microsoft.com/office/officeart/2008/layout/VerticalCurvedList"/>
    <dgm:cxn modelId="{FF5E4B27-4443-4B26-B620-E315AE968076}" type="presParOf" srcId="{19668CEB-898A-4ABD-9DEA-8F9CEC189B0F}" destId="{803EFBC2-E091-4300-B286-6FCDCE323D5A}" srcOrd="1" destOrd="0" presId="urn:microsoft.com/office/officeart/2008/layout/VerticalCurvedList"/>
    <dgm:cxn modelId="{0B1BB0D4-D10F-451B-AA47-7E3EC158B951}" type="presParOf" srcId="{19668CEB-898A-4ABD-9DEA-8F9CEC189B0F}" destId="{39A449C4-D8A8-4056-8211-D902A94D5D2A}" srcOrd="2" destOrd="0" presId="urn:microsoft.com/office/officeart/2008/layout/VerticalCurvedList"/>
    <dgm:cxn modelId="{F41A302F-CD34-402C-A4D8-AE1C9BD16220}" type="presParOf" srcId="{19668CEB-898A-4ABD-9DEA-8F9CEC189B0F}" destId="{31772B02-921E-42EF-9097-1CC07E6CF8C8}" srcOrd="3" destOrd="0" presId="urn:microsoft.com/office/officeart/2008/layout/VerticalCurvedList"/>
    <dgm:cxn modelId="{1D91BBF0-1236-4209-9CE2-E0CC556A11F5}" type="presParOf" srcId="{D1F1E7E6-50A3-405F-9EEA-FEE1F09EF368}" destId="{C0B17C9D-A737-41D3-8AAF-14A368AA7C70}" srcOrd="1" destOrd="0" presId="urn:microsoft.com/office/officeart/2008/layout/VerticalCurvedList"/>
    <dgm:cxn modelId="{6F119063-55F8-49CE-A50B-B1CEF368D5F0}" type="presParOf" srcId="{D1F1E7E6-50A3-405F-9EEA-FEE1F09EF368}" destId="{AB01E8E2-AA2A-45B9-B1BB-734CF5465632}" srcOrd="2" destOrd="0" presId="urn:microsoft.com/office/officeart/2008/layout/VerticalCurvedList"/>
    <dgm:cxn modelId="{58C836CC-A6ED-487F-B8EC-79B4384A02B3}" type="presParOf" srcId="{AB01E8E2-AA2A-45B9-B1BB-734CF5465632}" destId="{77B58880-9ACC-410C-8B95-C6B70039AB53}" srcOrd="0" destOrd="0" presId="urn:microsoft.com/office/officeart/2008/layout/VerticalCurvedList"/>
    <dgm:cxn modelId="{CD91E4E6-FA15-474A-98CC-F744762FC16C}" type="presParOf" srcId="{D1F1E7E6-50A3-405F-9EEA-FEE1F09EF368}" destId="{5A875E9C-CD4F-4BB6-AC9E-56B0A5FBEA1B}" srcOrd="3" destOrd="0" presId="urn:microsoft.com/office/officeart/2008/layout/VerticalCurvedList"/>
    <dgm:cxn modelId="{B7E6F856-E60A-4DF9-AF2A-C79FC19509EC}" type="presParOf" srcId="{D1F1E7E6-50A3-405F-9EEA-FEE1F09EF368}" destId="{ACA5384D-528C-4E7D-839A-8E6EE43F1A68}" srcOrd="4" destOrd="0" presId="urn:microsoft.com/office/officeart/2008/layout/VerticalCurvedList"/>
    <dgm:cxn modelId="{E48B24B5-5349-41B0-9248-55C844D66BDF}" type="presParOf" srcId="{ACA5384D-528C-4E7D-839A-8E6EE43F1A68}" destId="{2DA1DAC3-07AC-4885-970C-FDE45562E1E9}" srcOrd="0" destOrd="0" presId="urn:microsoft.com/office/officeart/2008/layout/VerticalCurvedList"/>
    <dgm:cxn modelId="{774D58EF-95D2-404B-BD42-3A242451E7A2}" type="presParOf" srcId="{D1F1E7E6-50A3-405F-9EEA-FEE1F09EF368}" destId="{15F56A62-162A-4CEB-BA6E-9A26739C2658}" srcOrd="5" destOrd="0" presId="urn:microsoft.com/office/officeart/2008/layout/VerticalCurvedList"/>
    <dgm:cxn modelId="{D45AB625-3A04-45FC-8C50-499A40462832}" type="presParOf" srcId="{D1F1E7E6-50A3-405F-9EEA-FEE1F09EF368}" destId="{D208802A-E3C8-4114-B4C3-FFFC9EE6959B}" srcOrd="6" destOrd="0" presId="urn:microsoft.com/office/officeart/2008/layout/VerticalCurvedList"/>
    <dgm:cxn modelId="{C9CAEE22-3FE8-4DD3-AF71-7C641D22B045}" type="presParOf" srcId="{D208802A-E3C8-4114-B4C3-FFFC9EE6959B}" destId="{9A3D1627-803A-431A-AB9A-C0FC9E7A2CBD}" srcOrd="0" destOrd="0" presId="urn:microsoft.com/office/officeart/2008/layout/VerticalCurvedList"/>
    <dgm:cxn modelId="{7FCFFF13-07B5-4F05-90E8-42AB531F2412}" type="presParOf" srcId="{D1F1E7E6-50A3-405F-9EEA-FEE1F09EF368}" destId="{4884C5E2-6292-4780-85AE-5193BAF9D27B}" srcOrd="7" destOrd="0" presId="urn:microsoft.com/office/officeart/2008/layout/VerticalCurvedList"/>
    <dgm:cxn modelId="{0879B603-E190-4BD2-BDDB-12FAADC3D145}" type="presParOf" srcId="{D1F1E7E6-50A3-405F-9EEA-FEE1F09EF368}" destId="{D82A083C-2134-4C1A-AB1C-FD9628C75450}" srcOrd="8" destOrd="0" presId="urn:microsoft.com/office/officeart/2008/layout/VerticalCurvedList"/>
    <dgm:cxn modelId="{F34A5237-1CE7-416E-A30D-49D7FC50B623}" type="presParOf" srcId="{D82A083C-2134-4C1A-AB1C-FD9628C75450}" destId="{F303DE2E-F56B-42E7-B014-8D041BB6D2AA}" srcOrd="0" destOrd="0" presId="urn:microsoft.com/office/officeart/2008/layout/VerticalCurvedList"/>
    <dgm:cxn modelId="{5E23B8B3-A60B-4453-A391-83B5621D5A4F}" type="presParOf" srcId="{D1F1E7E6-50A3-405F-9EEA-FEE1F09EF368}" destId="{BB16293B-3694-4524-8187-49AAE1982D46}" srcOrd="9" destOrd="0" presId="urn:microsoft.com/office/officeart/2008/layout/VerticalCurvedList"/>
    <dgm:cxn modelId="{B1FC371E-F691-4047-9449-BE3344BEF48F}" type="presParOf" srcId="{D1F1E7E6-50A3-405F-9EEA-FEE1F09EF368}" destId="{CA233838-F01F-4F2D-BDAF-C5515F0CFDF0}" srcOrd="10" destOrd="0" presId="urn:microsoft.com/office/officeart/2008/layout/VerticalCurvedList"/>
    <dgm:cxn modelId="{35D089B9-ECFE-416C-8987-FC6F208F2772}" type="presParOf" srcId="{CA233838-F01F-4F2D-BDAF-C5515F0CFDF0}" destId="{A135B0F0-3FD5-4EA9-9AEC-F77B0B2B93EE}" srcOrd="0" destOrd="0" presId="urn:microsoft.com/office/officeart/2008/layout/VerticalCurvedList"/>
    <dgm:cxn modelId="{30C4DCA2-56E5-4EDE-8BDC-9C2782D96A5C}" type="presParOf" srcId="{D1F1E7E6-50A3-405F-9EEA-FEE1F09EF368}" destId="{4AE8D87E-098A-4154-8C45-6412FF0F241F}" srcOrd="11" destOrd="0" presId="urn:microsoft.com/office/officeart/2008/layout/VerticalCurvedList"/>
    <dgm:cxn modelId="{903E185D-CDE1-4481-9F7D-3D0D2F65B16C}" type="presParOf" srcId="{D1F1E7E6-50A3-405F-9EEA-FEE1F09EF368}" destId="{9B986D13-2EFC-4AE9-B2CC-EC1FFA4469AA}" srcOrd="12" destOrd="0" presId="urn:microsoft.com/office/officeart/2008/layout/VerticalCurvedList"/>
    <dgm:cxn modelId="{1DEDCDFB-FC43-46B8-9618-CCE15F89A2CC}" type="presParOf" srcId="{9B986D13-2EFC-4AE9-B2CC-EC1FFA4469AA}" destId="{D318E09F-1F6B-41A7-9CE5-BDFC602A32A9}" srcOrd="0" destOrd="0" presId="urn:microsoft.com/office/officeart/2008/layout/VerticalCurvedList"/>
    <dgm:cxn modelId="{1169715D-EDD3-4DA3-BCC9-806618DAAB9F}" type="presParOf" srcId="{D1F1E7E6-50A3-405F-9EEA-FEE1F09EF368}" destId="{9F8B4A52-8C83-49A7-9E0B-A2C3CE995679}" srcOrd="13" destOrd="0" presId="urn:microsoft.com/office/officeart/2008/layout/VerticalCurvedList"/>
    <dgm:cxn modelId="{ED343835-33DA-4B18-BDC8-EA6D79FC4FB9}" type="presParOf" srcId="{D1F1E7E6-50A3-405F-9EEA-FEE1F09EF368}" destId="{C9132ABD-B0F1-4FA5-81AD-0573C8432909}" srcOrd="14" destOrd="0" presId="urn:microsoft.com/office/officeart/2008/layout/VerticalCurvedList"/>
    <dgm:cxn modelId="{94734236-EFAC-41C6-93F0-D420F7F14C01}" type="presParOf" srcId="{C9132ABD-B0F1-4FA5-81AD-0573C8432909}" destId="{6FFFCDC9-B567-4D5A-86A9-C180AD60E5BC}" srcOrd="0" destOrd="0" presId="urn:microsoft.com/office/officeart/2008/layout/VerticalCurvedList"/>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xmlns:r="http://schemas.openxmlformats.org/officeDocument/2006/relationships">
  <dsp:spTree>
    <dsp:nvGrpSpPr>
      <dsp:cNvPr id="2" name="Group 1"/>
      <dsp:cNvGrpSpPr/>
    </dsp:nvGrpSpPr>
    <dsp:grpSpPr>
      <a:xfrm>
        <a:off x="0" y="0"/>
        <a:ext cx="5486400" cy="5022215"/>
        <a:chOff x="0" y="0"/>
        <a:chExt cx="5486400" cy="5022215"/>
      </a:xfrm>
    </dsp:grpSpPr>
    <dsp:sp modelId="{6635DFE0-A599-42F4-B8BB-B7EFEB37933E}">
      <dsp:nvSpPr>
        <dsp:cNvPr id="3" name="Flowchart: Manual Operation 2"/>
        <dsp:cNvSpPr/>
      </dsp:nvSpPr>
      <dsp:spPr bwMode="white">
        <a:xfrm rot="-5400000">
          <a:off x="-1189083" y="1189083"/>
          <a:ext cx="5022215" cy="2644048"/>
        </a:xfrm>
        <a:prstGeom prst="flowChartManualOperation">
          <a:avLst/>
        </a:prstGeom>
      </dsp:spPr>
      <dsp:style>
        <a:lnRef idx="2">
          <a:schemeClr val="dk1">
            <a:shade val="80000"/>
          </a:schemeClr>
        </a:lnRef>
        <a:fillRef idx="1">
          <a:schemeClr val="lt1"/>
        </a:fillRef>
        <a:effectRef idx="0">
          <a:scrgbClr r="0" g="0" b="0"/>
        </a:effectRef>
        <a:fontRef idx="minor">
          <a:schemeClr val="lt1"/>
        </a:fontRef>
      </dsp:style>
      <dsp:txBody>
        <a:bodyPr rot="5400000" lIns="69850" tIns="0" rIns="139700" bIns="0" anchor="t"/>
        <a:lstStyle>
          <a:lvl1pPr algn="l">
            <a:defRPr sz="6500"/>
          </a:lvl1pPr>
          <a:lvl2pPr marL="285750" indent="-285750" algn="l">
            <a:defRPr sz="5000"/>
          </a:lvl2pPr>
          <a:lvl3pPr marL="571500" indent="-285750" algn="l">
            <a:defRPr sz="5000"/>
          </a:lvl3pPr>
          <a:lvl4pPr marL="857250" indent="-285750" algn="l">
            <a:defRPr sz="5000"/>
          </a:lvl4pPr>
          <a:lvl5pPr marL="1143000" indent="-285750" algn="l">
            <a:defRPr sz="5000"/>
          </a:lvl5pPr>
          <a:lvl6pPr marL="1428750" indent="-285750" algn="l">
            <a:defRPr sz="5000"/>
          </a:lvl6pPr>
          <a:lvl7pPr marL="1714500" indent="-285750" algn="l">
            <a:defRPr sz="5000"/>
          </a:lvl7pPr>
          <a:lvl8pPr marL="2000250" indent="-285750" algn="l">
            <a:defRPr sz="5000"/>
          </a:lvl8pPr>
          <a:lvl9pPr marL="2286000" indent="-285750" algn="l">
            <a:defRPr sz="5000"/>
          </a:lvl9pPr>
        </a:lstStyle>
        <a:p>
          <a:pPr lvl="0" algn="ctr">
            <a:lnSpc>
              <a:spcPct val="100000"/>
            </a:lnSpc>
            <a:spcBef>
              <a:spcPct val="0"/>
            </a:spcBef>
            <a:spcAft>
              <a:spcPct val="35000"/>
            </a:spcAft>
          </a:pPr>
          <a:r>
            <a:rPr lang="en-GB" sz="1100" b="1">
              <a:solidFill>
                <a:schemeClr val="dk1"/>
              </a:solidFill>
            </a:rPr>
            <a:t>Anxiety</a:t>
          </a:r>
          <a:endParaRPr lang="en-GB" sz="1100" b="1">
            <a:solidFill>
              <a:schemeClr val="dk1"/>
            </a:solidFill>
          </a:endParaRPr>
        </a:p>
        <a:p>
          <a:pPr marL="57150" lvl="1" indent="-57150" algn="ctr">
            <a:lnSpc>
              <a:spcPct val="100000"/>
            </a:lnSpc>
            <a:spcBef>
              <a:spcPct val="0"/>
            </a:spcBef>
            <a:spcAft>
              <a:spcPct val="15000"/>
            </a:spcAft>
            <a:buChar char="•"/>
          </a:pPr>
          <a:r>
            <a:rPr lang="en-GB" sz="1100">
              <a:solidFill>
                <a:schemeClr val="dk1"/>
              </a:solidFill>
            </a:rPr>
            <a:t>excessive worying, feeling restless or on edge</a:t>
          </a:r>
          <a:endParaRPr lang="en-GB" sz="1100">
            <a:solidFill>
              <a:schemeClr val="dk1"/>
            </a:solidFill>
          </a:endParaRPr>
        </a:p>
        <a:p>
          <a:pPr marL="57150" lvl="1" indent="-57150" algn="ctr">
            <a:lnSpc>
              <a:spcPct val="100000"/>
            </a:lnSpc>
            <a:spcBef>
              <a:spcPct val="0"/>
            </a:spcBef>
            <a:spcAft>
              <a:spcPct val="15000"/>
            </a:spcAft>
            <a:buChar char="•"/>
          </a:pPr>
          <a:r>
            <a:rPr lang="en-GB" sz="1100">
              <a:solidFill>
                <a:schemeClr val="dk1"/>
              </a:solidFill>
            </a:rPr>
            <a:t>extreme mood changes of highs and lows</a:t>
          </a:r>
          <a:endParaRPr lang="en-GB" sz="1100">
            <a:solidFill>
              <a:schemeClr val="dk1"/>
            </a:solidFill>
          </a:endParaRPr>
        </a:p>
        <a:p>
          <a:pPr marL="57150" lvl="1" indent="-57150" algn="ctr">
            <a:lnSpc>
              <a:spcPct val="100000"/>
            </a:lnSpc>
            <a:spcBef>
              <a:spcPct val="0"/>
            </a:spcBef>
            <a:spcAft>
              <a:spcPct val="15000"/>
            </a:spcAft>
            <a:buChar char="•"/>
          </a:pPr>
          <a:r>
            <a:rPr lang="en-GB" sz="1100">
              <a:solidFill>
                <a:schemeClr val="dk1"/>
              </a:solidFill>
            </a:rPr>
            <a:t>changes in sleep patterns</a:t>
          </a:r>
          <a:endParaRPr lang="en-GB" sz="1100">
            <a:solidFill>
              <a:schemeClr val="dk1"/>
            </a:solidFill>
          </a:endParaRPr>
        </a:p>
        <a:p>
          <a:pPr marL="57150" lvl="1" indent="-57150" algn="ctr">
            <a:lnSpc>
              <a:spcPct val="100000"/>
            </a:lnSpc>
            <a:spcBef>
              <a:spcPct val="0"/>
            </a:spcBef>
            <a:spcAft>
              <a:spcPct val="15000"/>
            </a:spcAft>
            <a:buChar char="•"/>
          </a:pPr>
          <a:r>
            <a:rPr lang="en-GB" sz="1100">
              <a:solidFill>
                <a:schemeClr val="dk1"/>
              </a:solidFill>
            </a:rPr>
            <a:t>muscle tension and physical pain</a:t>
          </a:r>
          <a:endParaRPr lang="en-GB" sz="1100">
            <a:solidFill>
              <a:schemeClr val="dk1"/>
            </a:solidFill>
          </a:endParaRPr>
        </a:p>
        <a:p>
          <a:pPr marL="57150" lvl="1" indent="-57150" algn="ctr">
            <a:lnSpc>
              <a:spcPct val="100000"/>
            </a:lnSpc>
            <a:spcBef>
              <a:spcPct val="0"/>
            </a:spcBef>
            <a:spcAft>
              <a:spcPct val="15000"/>
            </a:spcAft>
            <a:buChar char="•"/>
          </a:pPr>
          <a:r>
            <a:rPr lang="en-GB" sz="1100">
              <a:solidFill>
                <a:schemeClr val="dk1"/>
              </a:solidFill>
            </a:rPr>
            <a:t>feelings of worthlessness</a:t>
          </a:r>
          <a:endParaRPr lang="en-GB" sz="1100">
            <a:solidFill>
              <a:schemeClr val="dk1"/>
            </a:solidFill>
          </a:endParaRPr>
        </a:p>
        <a:p>
          <a:pPr marL="57150" lvl="1" indent="-57150" algn="ctr">
            <a:lnSpc>
              <a:spcPct val="100000"/>
            </a:lnSpc>
            <a:spcBef>
              <a:spcPct val="0"/>
            </a:spcBef>
            <a:spcAft>
              <a:spcPct val="15000"/>
            </a:spcAft>
            <a:buChar char="•"/>
          </a:pPr>
          <a:r>
            <a:rPr lang="en-GB" sz="1100">
              <a:solidFill>
                <a:schemeClr val="dk1"/>
              </a:solidFill>
            </a:rPr>
            <a:t>excessive guilt</a:t>
          </a:r>
          <a:endParaRPr lang="en-GB" sz="1100">
            <a:solidFill>
              <a:schemeClr val="dk1"/>
            </a:solidFill>
          </a:endParaRPr>
        </a:p>
        <a:p>
          <a:pPr marL="57150" lvl="1" indent="-57150" algn="ctr">
            <a:lnSpc>
              <a:spcPct val="100000"/>
            </a:lnSpc>
            <a:spcBef>
              <a:spcPct val="0"/>
            </a:spcBef>
            <a:spcAft>
              <a:spcPct val="15000"/>
            </a:spcAft>
            <a:buChar char="•"/>
          </a:pPr>
          <a:r>
            <a:rPr lang="en-GB" sz="1100">
              <a:solidFill>
                <a:schemeClr val="dk1"/>
              </a:solidFill>
            </a:rPr>
            <a:t>withdrawing from family and friends</a:t>
          </a:r>
          <a:endParaRPr lang="en-GB" sz="1100">
            <a:solidFill>
              <a:schemeClr val="dk1"/>
            </a:solidFill>
          </a:endParaRPr>
        </a:p>
        <a:p>
          <a:pPr marL="57150" lvl="1" indent="-57150" algn="ctr">
            <a:lnSpc>
              <a:spcPct val="100000"/>
            </a:lnSpc>
            <a:spcBef>
              <a:spcPct val="0"/>
            </a:spcBef>
            <a:spcAft>
              <a:spcPct val="15000"/>
            </a:spcAft>
            <a:buChar char="•"/>
          </a:pPr>
          <a:r>
            <a:rPr lang="en-GB" sz="1100">
              <a:solidFill>
                <a:schemeClr val="dk1"/>
              </a:solidFill>
            </a:rPr>
            <a:t>fatigue</a:t>
          </a:r>
          <a:endParaRPr lang="en-GB" sz="1100">
            <a:solidFill>
              <a:schemeClr val="dk1"/>
            </a:solidFill>
          </a:endParaRPr>
        </a:p>
        <a:p>
          <a:pPr marL="57150" lvl="1" indent="-57150" algn="ctr">
            <a:lnSpc>
              <a:spcPct val="100000"/>
            </a:lnSpc>
            <a:spcBef>
              <a:spcPct val="0"/>
            </a:spcBef>
            <a:spcAft>
              <a:spcPct val="15000"/>
            </a:spcAft>
            <a:buChar char="•"/>
          </a:pPr>
          <a:r>
            <a:rPr lang="en-GB" sz="1100">
              <a:solidFill>
                <a:schemeClr val="dk1"/>
              </a:solidFill>
            </a:rPr>
            <a:t>changes in appetite</a:t>
          </a:r>
          <a:endParaRPr lang="en-GB" sz="1100">
            <a:solidFill>
              <a:schemeClr val="dk1"/>
            </a:solidFill>
          </a:endParaRPr>
        </a:p>
        <a:p>
          <a:pPr marL="57150" lvl="1" indent="-57150" algn="ctr">
            <a:lnSpc>
              <a:spcPct val="100000"/>
            </a:lnSpc>
            <a:spcBef>
              <a:spcPct val="0"/>
            </a:spcBef>
            <a:spcAft>
              <a:spcPct val="15000"/>
            </a:spcAft>
            <a:buChar char="•"/>
          </a:pPr>
          <a:r>
            <a:rPr lang="en-GB" sz="1100">
              <a:solidFill>
                <a:schemeClr val="dk1"/>
              </a:solidFill>
            </a:rPr>
            <a:t>anger,  irritability, hostility or violence</a:t>
          </a:r>
          <a:endParaRPr lang="en-GB" sz="1100">
            <a:solidFill>
              <a:schemeClr val="dk1"/>
            </a:solidFill>
          </a:endParaRPr>
        </a:p>
        <a:p>
          <a:pPr marL="57150" lvl="1" indent="-57150" algn="ctr">
            <a:lnSpc>
              <a:spcPct val="100000"/>
            </a:lnSpc>
            <a:spcBef>
              <a:spcPct val="0"/>
            </a:spcBef>
            <a:spcAft>
              <a:spcPct val="15000"/>
            </a:spcAft>
            <a:buChar char="•"/>
          </a:pPr>
          <a:r>
            <a:rPr lang="en-GB" sz="1100">
              <a:solidFill>
                <a:schemeClr val="dk1"/>
              </a:solidFill>
            </a:rPr>
            <a:t>trouble concentrating</a:t>
          </a:r>
          <a:endParaRPr lang="en-GB" sz="1100">
            <a:solidFill>
              <a:schemeClr val="dk1"/>
            </a:solidFill>
          </a:endParaRPr>
        </a:p>
        <a:p>
          <a:pPr marL="57150" lvl="1" indent="-57150" algn="ctr">
            <a:lnSpc>
              <a:spcPct val="100000"/>
            </a:lnSpc>
            <a:spcBef>
              <a:spcPct val="0"/>
            </a:spcBef>
            <a:spcAft>
              <a:spcPct val="15000"/>
            </a:spcAft>
            <a:buChar char="•"/>
          </a:pPr>
          <a:r>
            <a:rPr lang="en-GB" sz="1100">
              <a:solidFill>
                <a:schemeClr val="dk1"/>
              </a:solidFill>
            </a:rPr>
            <a:t>inability to cope with daily problems or stress</a:t>
          </a:r>
          <a:endParaRPr lang="en-GB" sz="1100">
            <a:solidFill>
              <a:schemeClr val="dk1"/>
            </a:solidFill>
          </a:endParaRPr>
        </a:p>
        <a:p>
          <a:pPr marL="57150" lvl="1" indent="-57150" algn="ctr">
            <a:lnSpc>
              <a:spcPct val="100000"/>
            </a:lnSpc>
            <a:spcBef>
              <a:spcPct val="0"/>
            </a:spcBef>
            <a:spcAft>
              <a:spcPct val="15000"/>
            </a:spcAft>
            <a:buChar char="•"/>
          </a:pPr>
          <a:r>
            <a:rPr lang="en-GB" sz="1100">
              <a:solidFill>
                <a:schemeClr val="dk1"/>
              </a:solidFill>
            </a:rPr>
            <a:t>headaches, backaches, stomachaches, or other pains</a:t>
          </a:r>
          <a:endParaRPr lang="en-GB" sz="1100">
            <a:solidFill>
              <a:schemeClr val="dk1"/>
            </a:solidFill>
          </a:endParaRPr>
        </a:p>
        <a:p>
          <a:pPr marL="57150" lvl="1" indent="-57150" algn="ctr">
            <a:lnSpc>
              <a:spcPct val="100000"/>
            </a:lnSpc>
            <a:spcBef>
              <a:spcPct val="0"/>
            </a:spcBef>
            <a:spcAft>
              <a:spcPct val="15000"/>
            </a:spcAft>
            <a:buChar char="•"/>
          </a:pPr>
          <a:r>
            <a:rPr lang="en-GB" sz="1100">
              <a:solidFill>
                <a:schemeClr val="dk1"/>
              </a:solidFill>
            </a:rPr>
            <a:t>problems with alcohol or drug use</a:t>
          </a:r>
          <a:endParaRPr lang="en-GB" sz="1100">
            <a:solidFill>
              <a:schemeClr val="dk1"/>
            </a:solidFill>
          </a:endParaRPr>
        </a:p>
        <a:p>
          <a:pPr marL="57150" lvl="1" indent="-57150" algn="ctr">
            <a:lnSpc>
              <a:spcPct val="100000"/>
            </a:lnSpc>
            <a:spcBef>
              <a:spcPct val="0"/>
            </a:spcBef>
            <a:spcAft>
              <a:spcPct val="15000"/>
            </a:spcAft>
            <a:buChar char="•"/>
          </a:pPr>
          <a:r>
            <a:rPr lang="en-GB" sz="1100">
              <a:solidFill>
                <a:schemeClr val="dk1"/>
              </a:solidFill>
            </a:rPr>
            <a:t>self-injury</a:t>
          </a:r>
          <a:endParaRPr>
            <a:solidFill>
              <a:schemeClr val="dk1"/>
            </a:solidFill>
          </a:endParaRPr>
        </a:p>
      </dsp:txBody>
      <dsp:txXfrm rot="-5400000">
        <a:off x="-1189083" y="1189083"/>
        <a:ext cx="5022215" cy="2644048"/>
      </dsp:txXfrm>
    </dsp:sp>
    <dsp:sp modelId="{3745134F-B83F-4EC3-A913-08B37A523988}">
      <dsp:nvSpPr>
        <dsp:cNvPr id="4" name="Flowchart: Manual Operation 3"/>
        <dsp:cNvSpPr/>
      </dsp:nvSpPr>
      <dsp:spPr bwMode="white">
        <a:xfrm rot="-5400000">
          <a:off x="1653268" y="1189083"/>
          <a:ext cx="5022215" cy="2644048"/>
        </a:xfrm>
        <a:prstGeom prst="flowChartManualOperation">
          <a:avLst/>
        </a:prstGeom>
      </dsp:spPr>
      <dsp:style>
        <a:lnRef idx="2">
          <a:schemeClr val="dk1">
            <a:shade val="80000"/>
          </a:schemeClr>
        </a:lnRef>
        <a:fillRef idx="1">
          <a:schemeClr val="lt1"/>
        </a:fillRef>
        <a:effectRef idx="0">
          <a:scrgbClr r="0" g="0" b="0"/>
        </a:effectRef>
        <a:fontRef idx="minor">
          <a:schemeClr val="lt1"/>
        </a:fontRef>
      </dsp:style>
      <dsp:txBody>
        <a:bodyPr rot="5400000" lIns="69850" tIns="0" rIns="139700" bIns="0" anchor="t"/>
        <a:lstStyle>
          <a:lvl1pPr algn="l">
            <a:defRPr sz="6500"/>
          </a:lvl1pPr>
          <a:lvl2pPr marL="285750" indent="-285750" algn="l">
            <a:defRPr sz="5000"/>
          </a:lvl2pPr>
          <a:lvl3pPr marL="571500" indent="-285750" algn="l">
            <a:defRPr sz="5000"/>
          </a:lvl3pPr>
          <a:lvl4pPr marL="857250" indent="-285750" algn="l">
            <a:defRPr sz="5000"/>
          </a:lvl4pPr>
          <a:lvl5pPr marL="1143000" indent="-285750" algn="l">
            <a:defRPr sz="5000"/>
          </a:lvl5pPr>
          <a:lvl6pPr marL="1428750" indent="-285750" algn="l">
            <a:defRPr sz="5000"/>
          </a:lvl6pPr>
          <a:lvl7pPr marL="1714500" indent="-285750" algn="l">
            <a:defRPr sz="5000"/>
          </a:lvl7pPr>
          <a:lvl8pPr marL="2000250" indent="-285750" algn="l">
            <a:defRPr sz="5000"/>
          </a:lvl8pPr>
          <a:lvl9pPr marL="2286000" indent="-285750" algn="l">
            <a:defRPr sz="5000"/>
          </a:lvl9pPr>
        </a:lstStyle>
        <a:p>
          <a:pPr lvl="0" algn="ctr">
            <a:lnSpc>
              <a:spcPct val="100000"/>
            </a:lnSpc>
            <a:spcBef>
              <a:spcPct val="0"/>
            </a:spcBef>
            <a:spcAft>
              <a:spcPct val="35000"/>
            </a:spcAft>
          </a:pPr>
          <a:r>
            <a:rPr lang="en-GB" sz="1100">
              <a:solidFill>
                <a:schemeClr val="dk1"/>
              </a:solidFill>
            </a:rPr>
            <a:t>Depression</a:t>
          </a:r>
          <a:endParaRPr lang="en-GB" sz="1100">
            <a:solidFill>
              <a:schemeClr val="dk1"/>
            </a:solidFill>
          </a:endParaRPr>
        </a:p>
        <a:p>
          <a:pPr marL="57150" lvl="1" indent="-57150" algn="ctr">
            <a:lnSpc>
              <a:spcPct val="100000"/>
            </a:lnSpc>
            <a:spcBef>
              <a:spcPct val="0"/>
            </a:spcBef>
            <a:spcAft>
              <a:spcPct val="15000"/>
            </a:spcAft>
            <a:buChar char="•"/>
          </a:pPr>
          <a:r>
            <a:rPr lang="en-GB" sz="1100">
              <a:solidFill>
                <a:schemeClr val="dk1"/>
              </a:solidFill>
            </a:rPr>
            <a:t>excessive worying, feeling restless or on edge</a:t>
          </a:r>
          <a:endParaRPr lang="en-GB" sz="1100">
            <a:solidFill>
              <a:schemeClr val="dk1"/>
            </a:solidFill>
          </a:endParaRPr>
        </a:p>
        <a:p>
          <a:pPr marL="57150" lvl="1" indent="-57150" algn="ctr">
            <a:lnSpc>
              <a:spcPct val="100000"/>
            </a:lnSpc>
            <a:spcBef>
              <a:spcPct val="0"/>
            </a:spcBef>
            <a:spcAft>
              <a:spcPct val="15000"/>
            </a:spcAft>
            <a:buChar char="•"/>
          </a:pPr>
          <a:r>
            <a:rPr lang="en-GB" sz="1100">
              <a:solidFill>
                <a:schemeClr val="dk1"/>
              </a:solidFill>
            </a:rPr>
            <a:t>extreme mood changes of highs and lows</a:t>
          </a:r>
          <a:endParaRPr lang="en-GB" sz="1100">
            <a:solidFill>
              <a:schemeClr val="dk1"/>
            </a:solidFill>
          </a:endParaRPr>
        </a:p>
        <a:p>
          <a:pPr marL="57150" lvl="1" indent="-57150" algn="ctr">
            <a:lnSpc>
              <a:spcPct val="100000"/>
            </a:lnSpc>
            <a:spcBef>
              <a:spcPct val="0"/>
            </a:spcBef>
            <a:spcAft>
              <a:spcPct val="15000"/>
            </a:spcAft>
            <a:buChar char="•"/>
          </a:pPr>
          <a:r>
            <a:rPr lang="en-GB" sz="1100">
              <a:solidFill>
                <a:schemeClr val="dk1"/>
              </a:solidFill>
            </a:rPr>
            <a:t>changes in sleep patterns</a:t>
          </a:r>
          <a:endParaRPr lang="en-GB" sz="1100">
            <a:solidFill>
              <a:schemeClr val="dk1"/>
            </a:solidFill>
          </a:endParaRPr>
        </a:p>
        <a:p>
          <a:pPr marL="57150" lvl="1" indent="-57150" algn="ctr">
            <a:lnSpc>
              <a:spcPct val="100000"/>
            </a:lnSpc>
            <a:spcBef>
              <a:spcPct val="0"/>
            </a:spcBef>
            <a:spcAft>
              <a:spcPct val="15000"/>
            </a:spcAft>
            <a:buChar char="•"/>
          </a:pPr>
          <a:r>
            <a:rPr lang="en-GB" sz="1100">
              <a:solidFill>
                <a:schemeClr val="dk1"/>
              </a:solidFill>
            </a:rPr>
            <a:t>muscle tension and physical pain</a:t>
          </a:r>
          <a:endParaRPr lang="en-GB" sz="1100">
            <a:solidFill>
              <a:schemeClr val="dk1"/>
            </a:solidFill>
          </a:endParaRPr>
        </a:p>
        <a:p>
          <a:pPr marL="57150" lvl="1" indent="-57150" algn="ctr">
            <a:lnSpc>
              <a:spcPct val="100000"/>
            </a:lnSpc>
            <a:spcBef>
              <a:spcPct val="0"/>
            </a:spcBef>
            <a:spcAft>
              <a:spcPct val="15000"/>
            </a:spcAft>
            <a:buChar char="•"/>
          </a:pPr>
          <a:r>
            <a:rPr lang="en-GB" sz="1100">
              <a:solidFill>
                <a:schemeClr val="dk1"/>
              </a:solidFill>
            </a:rPr>
            <a:t>feelings of worthlessness</a:t>
          </a:r>
          <a:endParaRPr lang="en-GB" sz="1100">
            <a:solidFill>
              <a:schemeClr val="dk1"/>
            </a:solidFill>
          </a:endParaRPr>
        </a:p>
        <a:p>
          <a:pPr marL="57150" lvl="1" indent="-57150" algn="ctr">
            <a:lnSpc>
              <a:spcPct val="100000"/>
            </a:lnSpc>
            <a:spcBef>
              <a:spcPct val="0"/>
            </a:spcBef>
            <a:spcAft>
              <a:spcPct val="15000"/>
            </a:spcAft>
            <a:buChar char="•"/>
          </a:pPr>
          <a:r>
            <a:rPr lang="en-GB" sz="1100">
              <a:solidFill>
                <a:schemeClr val="dk1"/>
              </a:solidFill>
            </a:rPr>
            <a:t>excessive guilt</a:t>
          </a:r>
          <a:endParaRPr lang="en-GB" sz="1100">
            <a:solidFill>
              <a:schemeClr val="dk1"/>
            </a:solidFill>
          </a:endParaRPr>
        </a:p>
        <a:p>
          <a:pPr marL="57150" lvl="1" indent="-57150" algn="ctr">
            <a:lnSpc>
              <a:spcPct val="100000"/>
            </a:lnSpc>
            <a:spcBef>
              <a:spcPct val="0"/>
            </a:spcBef>
            <a:spcAft>
              <a:spcPct val="15000"/>
            </a:spcAft>
            <a:buChar char="•"/>
          </a:pPr>
          <a:r>
            <a:rPr lang="en-GB" sz="1100">
              <a:solidFill>
                <a:schemeClr val="dk1"/>
              </a:solidFill>
            </a:rPr>
            <a:t>withdrawing from family and friends</a:t>
          </a:r>
          <a:endParaRPr lang="en-GB" sz="1100">
            <a:solidFill>
              <a:schemeClr val="dk1"/>
            </a:solidFill>
          </a:endParaRPr>
        </a:p>
        <a:p>
          <a:pPr marL="57150" lvl="1" indent="-57150" algn="ctr">
            <a:lnSpc>
              <a:spcPct val="100000"/>
            </a:lnSpc>
            <a:spcBef>
              <a:spcPct val="0"/>
            </a:spcBef>
            <a:spcAft>
              <a:spcPct val="15000"/>
            </a:spcAft>
            <a:buChar char="•"/>
          </a:pPr>
          <a:r>
            <a:rPr lang="en-GB" sz="1100">
              <a:solidFill>
                <a:schemeClr val="dk1"/>
              </a:solidFill>
            </a:rPr>
            <a:t>fatigue</a:t>
          </a:r>
          <a:endParaRPr lang="en-GB" sz="1100">
            <a:solidFill>
              <a:schemeClr val="dk1"/>
            </a:solidFill>
          </a:endParaRPr>
        </a:p>
        <a:p>
          <a:pPr marL="57150" lvl="1" indent="-57150" algn="ctr">
            <a:lnSpc>
              <a:spcPct val="100000"/>
            </a:lnSpc>
            <a:spcBef>
              <a:spcPct val="0"/>
            </a:spcBef>
            <a:spcAft>
              <a:spcPct val="15000"/>
            </a:spcAft>
            <a:buChar char="•"/>
          </a:pPr>
          <a:r>
            <a:rPr lang="en-GB" sz="1100">
              <a:solidFill>
                <a:schemeClr val="dk1"/>
              </a:solidFill>
            </a:rPr>
            <a:t>persistent sadness</a:t>
          </a:r>
          <a:endParaRPr lang="en-GB" sz="1100">
            <a:solidFill>
              <a:schemeClr val="dk1"/>
            </a:solidFill>
          </a:endParaRPr>
        </a:p>
        <a:p>
          <a:pPr marL="57150" lvl="1" indent="-57150" algn="ctr">
            <a:lnSpc>
              <a:spcPct val="100000"/>
            </a:lnSpc>
            <a:spcBef>
              <a:spcPct val="0"/>
            </a:spcBef>
            <a:spcAft>
              <a:spcPct val="15000"/>
            </a:spcAft>
            <a:buChar char="•"/>
          </a:pPr>
          <a:r>
            <a:rPr lang="en-GB" sz="1100">
              <a:solidFill>
                <a:schemeClr val="dk1"/>
              </a:solidFill>
            </a:rPr>
            <a:t>changes in appetite</a:t>
          </a:r>
          <a:endParaRPr lang="en-GB" sz="1100">
            <a:solidFill>
              <a:schemeClr val="dk1"/>
            </a:solidFill>
          </a:endParaRPr>
        </a:p>
        <a:p>
          <a:pPr marL="57150" lvl="1" indent="-57150" algn="ctr">
            <a:lnSpc>
              <a:spcPct val="100000"/>
            </a:lnSpc>
            <a:spcBef>
              <a:spcPct val="0"/>
            </a:spcBef>
            <a:spcAft>
              <a:spcPct val="15000"/>
            </a:spcAft>
            <a:buChar char="•"/>
          </a:pPr>
          <a:r>
            <a:rPr lang="en-GB" sz="1100">
              <a:solidFill>
                <a:schemeClr val="dk1"/>
              </a:solidFill>
            </a:rPr>
            <a:t>trouble concentrating</a:t>
          </a:r>
          <a:endParaRPr lang="en-GB" sz="1100">
            <a:solidFill>
              <a:schemeClr val="dk1"/>
            </a:solidFill>
          </a:endParaRPr>
        </a:p>
        <a:p>
          <a:pPr marL="57150" lvl="1" indent="-57150" algn="ctr">
            <a:lnSpc>
              <a:spcPct val="100000"/>
            </a:lnSpc>
            <a:spcBef>
              <a:spcPct val="0"/>
            </a:spcBef>
            <a:spcAft>
              <a:spcPct val="15000"/>
            </a:spcAft>
            <a:buChar char="•"/>
          </a:pPr>
          <a:r>
            <a:rPr lang="en-GB" sz="1100">
              <a:solidFill>
                <a:schemeClr val="dk1"/>
              </a:solidFill>
            </a:rPr>
            <a:t>anger, irritability, hostility or violence</a:t>
          </a:r>
          <a:endParaRPr lang="en-GB" sz="1100">
            <a:solidFill>
              <a:schemeClr val="dk1"/>
            </a:solidFill>
          </a:endParaRPr>
        </a:p>
        <a:p>
          <a:pPr marL="57150" lvl="1" indent="-57150" algn="ctr">
            <a:lnSpc>
              <a:spcPct val="100000"/>
            </a:lnSpc>
            <a:spcBef>
              <a:spcPct val="0"/>
            </a:spcBef>
            <a:spcAft>
              <a:spcPct val="15000"/>
            </a:spcAft>
            <a:buChar char="•"/>
          </a:pPr>
          <a:r>
            <a:rPr lang="en-GB" sz="1100">
              <a:solidFill>
                <a:schemeClr val="dk1"/>
              </a:solidFill>
            </a:rPr>
            <a:t>headaches, backaches, stomachaches, or other pains</a:t>
          </a:r>
          <a:endParaRPr lang="en-GB" sz="1100">
            <a:solidFill>
              <a:schemeClr val="dk1"/>
            </a:solidFill>
          </a:endParaRPr>
        </a:p>
        <a:p>
          <a:pPr marL="57150" lvl="1" indent="-57150" algn="ctr">
            <a:lnSpc>
              <a:spcPct val="100000"/>
            </a:lnSpc>
            <a:spcBef>
              <a:spcPct val="0"/>
            </a:spcBef>
            <a:spcAft>
              <a:spcPct val="15000"/>
            </a:spcAft>
            <a:buChar char="•"/>
          </a:pPr>
          <a:r>
            <a:rPr lang="en-GB" sz="1100">
              <a:solidFill>
                <a:schemeClr val="dk1"/>
              </a:solidFill>
            </a:rPr>
            <a:t>problems with alcohol or drug use</a:t>
          </a:r>
          <a:endParaRPr lang="en-GB" sz="1100">
            <a:solidFill>
              <a:schemeClr val="dk1"/>
            </a:solidFill>
          </a:endParaRPr>
        </a:p>
        <a:p>
          <a:pPr marL="57150" lvl="1" indent="-57150" algn="ctr">
            <a:lnSpc>
              <a:spcPct val="100000"/>
            </a:lnSpc>
            <a:spcBef>
              <a:spcPct val="0"/>
            </a:spcBef>
            <a:spcAft>
              <a:spcPct val="15000"/>
            </a:spcAft>
            <a:buChar char="•"/>
          </a:pPr>
          <a:r>
            <a:rPr lang="en-GB" sz="1100">
              <a:solidFill>
                <a:schemeClr val="dk1"/>
              </a:solidFill>
            </a:rPr>
            <a:t>self-injury and suicidal ideation</a:t>
          </a:r>
          <a:endParaRPr>
            <a:solidFill>
              <a:schemeClr val="dk1"/>
            </a:solidFill>
          </a:endParaRPr>
        </a:p>
      </dsp:txBody>
      <dsp:txXfrm rot="-5400000">
        <a:off x="1653268" y="1189083"/>
        <a:ext cx="5022215" cy="2644048"/>
      </dsp:txXfrm>
    </dsp:sp>
  </dsp:spTree>
</dsp:drawing>
</file>

<file path=word/diagrams/drawing2.xml><?xml version="1.0" encoding="utf-8"?>
<dsp:drawing xmlns:dgm="http://schemas.openxmlformats.org/drawingml/2006/diagram" xmlns:dsp="http://schemas.microsoft.com/office/drawing/2008/diagram" xmlns:a="http://schemas.openxmlformats.org/drawingml/2006/main" xmlns:r="http://schemas.openxmlformats.org/officeDocument/2006/relationships">
  <dsp:spTree>
    <dsp:nvGrpSpPr>
      <dsp:cNvPr id="2" name="Group 1"/>
      <dsp:cNvGrpSpPr/>
    </dsp:nvGrpSpPr>
    <dsp:grpSpPr>
      <a:xfrm>
        <a:off x="0" y="0"/>
        <a:ext cx="5486400" cy="3200400"/>
        <a:chOff x="0" y="0"/>
        <a:chExt cx="5486400" cy="3200400"/>
      </a:xfrm>
    </dsp:grpSpPr>
    <dsp:sp modelId="{803EFBC2-E091-4300-B286-6FCDCE323D5A}">
      <dsp:nvSpPr>
        <dsp:cNvPr id="4" name="Block Arc 3"/>
        <dsp:cNvSpPr/>
      </dsp:nvSpPr>
      <dsp:spPr bwMode="white">
        <a:xfrm>
          <a:off x="-3588327" y="-568469"/>
          <a:ext cx="4337338" cy="4337338"/>
        </a:xfrm>
        <a:prstGeom prst="blockArc">
          <a:avLst>
            <a:gd name="adj1" fmla="val 18900000"/>
            <a:gd name="adj2" fmla="val 2700000"/>
            <a:gd name="adj3" fmla="val 418"/>
          </a:avLst>
        </a:prstGeom>
      </dsp:spPr>
      <dsp:style>
        <a:lnRef idx="2">
          <a:schemeClr val="dk1">
            <a:shade val="60000"/>
          </a:schemeClr>
        </a:lnRef>
        <a:fillRef idx="0">
          <a:schemeClr val="dk1"/>
        </a:fillRef>
        <a:effectRef idx="0">
          <a:scrgbClr r="0" g="0" b="0"/>
        </a:effectRef>
        <a:fontRef idx="minor"/>
      </dsp:style>
      <dsp:txXfrm>
        <a:off x="-3588327" y="-568469"/>
        <a:ext cx="4337338" cy="4337338"/>
      </dsp:txXfrm>
    </dsp:sp>
    <dsp:sp modelId="{C0B17C9D-A737-41D3-8AAF-14A368AA7C70}">
      <dsp:nvSpPr>
        <dsp:cNvPr id="7" name="Rectangles 6"/>
        <dsp:cNvSpPr/>
      </dsp:nvSpPr>
      <dsp:spPr bwMode="white">
        <a:xfrm>
          <a:off x="267233" y="145490"/>
          <a:ext cx="5219167" cy="290852"/>
        </a:xfrm>
        <a:prstGeom prst="rect">
          <a:avLst/>
        </a:prstGeom>
      </dsp:spPr>
      <dsp:style>
        <a:lnRef idx="2">
          <a:schemeClr val="dk1">
            <a:shade val="80000"/>
          </a:schemeClr>
        </a:lnRef>
        <a:fillRef idx="1">
          <a:schemeClr val="lt1"/>
        </a:fillRef>
        <a:effectRef idx="0">
          <a:scrgbClr r="0" g="0" b="0"/>
        </a:effectRef>
        <a:fontRef idx="minor">
          <a:schemeClr val="lt1"/>
        </a:fontRef>
      </dsp:style>
      <dsp:txBody>
        <a:bodyPr lIns="230864" tIns="25400" rIns="25400" bIns="25400" anchor="ctr"/>
        <a:lstStyle>
          <a:lvl1pPr algn="l">
            <a:defRPr sz="6500"/>
          </a:lvl1pPr>
          <a:lvl2pPr marL="285750" indent="-285750" algn="l">
            <a:defRPr sz="5000"/>
          </a:lvl2pPr>
          <a:lvl3pPr marL="571500" indent="-285750" algn="l">
            <a:defRPr sz="5000"/>
          </a:lvl3pPr>
          <a:lvl4pPr marL="857250" indent="-285750" algn="l">
            <a:defRPr sz="5000"/>
          </a:lvl4pPr>
          <a:lvl5pPr marL="1143000" indent="-285750" algn="l">
            <a:defRPr sz="5000"/>
          </a:lvl5pPr>
          <a:lvl6pPr marL="1428750" indent="-285750" algn="l">
            <a:defRPr sz="5000"/>
          </a:lvl6pPr>
          <a:lvl7pPr marL="1714500" indent="-285750" algn="l">
            <a:defRPr sz="5000"/>
          </a:lvl7pPr>
          <a:lvl8pPr marL="2000250" indent="-285750" algn="l">
            <a:defRPr sz="5000"/>
          </a:lvl8pPr>
          <a:lvl9pPr marL="2286000" indent="-285750" algn="l">
            <a:defRPr sz="5000"/>
          </a:lvl9pPr>
        </a:lstStyle>
        <a:p>
          <a:pPr lvl="0">
            <a:lnSpc>
              <a:spcPct val="100000"/>
            </a:lnSpc>
            <a:spcBef>
              <a:spcPct val="0"/>
            </a:spcBef>
            <a:spcAft>
              <a:spcPct val="35000"/>
            </a:spcAft>
          </a:pPr>
          <a:r>
            <a:rPr lang="en-GB" sz="1050">
              <a:solidFill>
                <a:schemeClr val="dk1"/>
              </a:solidFill>
            </a:rPr>
            <a:t>a blood family, such as a parent or brother, having a history of mental illness</a:t>
          </a:r>
          <a:endParaRPr>
            <a:solidFill>
              <a:schemeClr val="dk1"/>
            </a:solidFill>
          </a:endParaRPr>
        </a:p>
      </dsp:txBody>
      <dsp:txXfrm>
        <a:off x="267233" y="145490"/>
        <a:ext cx="5219167" cy="290852"/>
      </dsp:txXfrm>
    </dsp:sp>
    <dsp:sp modelId="{77B58880-9ACC-410C-8B95-C6B70039AB53}">
      <dsp:nvSpPr>
        <dsp:cNvPr id="8" name="Oval 7"/>
        <dsp:cNvSpPr/>
      </dsp:nvSpPr>
      <dsp:spPr bwMode="white">
        <a:xfrm>
          <a:off x="85451" y="109134"/>
          <a:ext cx="363565" cy="363565"/>
        </a:xfrm>
        <a:prstGeom prst="ellipse">
          <a:avLst/>
        </a:prstGeom>
      </dsp:spPr>
      <dsp:style>
        <a:lnRef idx="2">
          <a:schemeClr val="dk1"/>
        </a:lnRef>
        <a:fillRef idx="1">
          <a:schemeClr val="lt1"/>
        </a:fillRef>
        <a:effectRef idx="0">
          <a:scrgbClr r="0" g="0" b="0"/>
        </a:effectRef>
        <a:fontRef idx="minor"/>
      </dsp:style>
      <dsp:txXfrm>
        <a:off x="85451" y="109134"/>
        <a:ext cx="363565" cy="363565"/>
      </dsp:txXfrm>
    </dsp:sp>
    <dsp:sp modelId="{5A875E9C-CD4F-4BB6-AC9E-56B0A5FBEA1B}">
      <dsp:nvSpPr>
        <dsp:cNvPr id="9" name="Rectangles 8"/>
        <dsp:cNvSpPr/>
      </dsp:nvSpPr>
      <dsp:spPr bwMode="white">
        <a:xfrm>
          <a:off x="530626" y="582025"/>
          <a:ext cx="4955774" cy="290852"/>
        </a:xfrm>
        <a:prstGeom prst="rect">
          <a:avLst/>
        </a:prstGeom>
      </dsp:spPr>
      <dsp:style>
        <a:lnRef idx="2">
          <a:schemeClr val="dk1">
            <a:shade val="80000"/>
          </a:schemeClr>
        </a:lnRef>
        <a:fillRef idx="1">
          <a:schemeClr val="lt1"/>
        </a:fillRef>
        <a:effectRef idx="0">
          <a:scrgbClr r="0" g="0" b="0"/>
        </a:effectRef>
        <a:fontRef idx="minor">
          <a:schemeClr val="lt1"/>
        </a:fontRef>
      </dsp:style>
      <dsp:txBody>
        <a:bodyPr lIns="230864" tIns="25400" rIns="25400" bIns="25400" anchor="ctr"/>
        <a:lstStyle>
          <a:lvl1pPr algn="l">
            <a:defRPr sz="6500"/>
          </a:lvl1pPr>
          <a:lvl2pPr marL="285750" indent="-285750" algn="l">
            <a:defRPr sz="5000"/>
          </a:lvl2pPr>
          <a:lvl3pPr marL="571500" indent="-285750" algn="l">
            <a:defRPr sz="5000"/>
          </a:lvl3pPr>
          <a:lvl4pPr marL="857250" indent="-285750" algn="l">
            <a:defRPr sz="5000"/>
          </a:lvl4pPr>
          <a:lvl5pPr marL="1143000" indent="-285750" algn="l">
            <a:defRPr sz="5000"/>
          </a:lvl5pPr>
          <a:lvl6pPr marL="1428750" indent="-285750" algn="l">
            <a:defRPr sz="5000"/>
          </a:lvl6pPr>
          <a:lvl7pPr marL="1714500" indent="-285750" algn="l">
            <a:defRPr sz="5000"/>
          </a:lvl7pPr>
          <a:lvl8pPr marL="2000250" indent="-285750" algn="l">
            <a:defRPr sz="5000"/>
          </a:lvl8pPr>
          <a:lvl9pPr marL="2286000" indent="-285750" algn="l">
            <a:defRPr sz="5000"/>
          </a:lvl9pPr>
        </a:lstStyle>
        <a:p>
          <a:pPr lvl="0">
            <a:lnSpc>
              <a:spcPct val="100000"/>
            </a:lnSpc>
            <a:spcBef>
              <a:spcPct val="0"/>
            </a:spcBef>
            <a:spcAft>
              <a:spcPct val="35000"/>
            </a:spcAft>
          </a:pPr>
          <a:r>
            <a:rPr lang="en-GB" sz="1050">
              <a:solidFill>
                <a:schemeClr val="dk1"/>
              </a:solidFill>
            </a:rPr>
            <a:t>conditions in life that are stressful, such as having money issues, losing a loved one, or getting divorced</a:t>
          </a:r>
          <a:endParaRPr>
            <a:solidFill>
              <a:schemeClr val="dk1"/>
            </a:solidFill>
          </a:endParaRPr>
        </a:p>
      </dsp:txBody>
      <dsp:txXfrm>
        <a:off x="530626" y="582025"/>
        <a:ext cx="4955774" cy="290852"/>
      </dsp:txXfrm>
    </dsp:sp>
    <dsp:sp modelId="{2DA1DAC3-07AC-4885-970C-FDE45562E1E9}">
      <dsp:nvSpPr>
        <dsp:cNvPr id="10" name="Oval 9"/>
        <dsp:cNvSpPr/>
      </dsp:nvSpPr>
      <dsp:spPr bwMode="white">
        <a:xfrm>
          <a:off x="348844" y="545668"/>
          <a:ext cx="363565" cy="363565"/>
        </a:xfrm>
        <a:prstGeom prst="ellipse">
          <a:avLst/>
        </a:prstGeom>
      </dsp:spPr>
      <dsp:style>
        <a:lnRef idx="2">
          <a:schemeClr val="dk1"/>
        </a:lnRef>
        <a:fillRef idx="1">
          <a:schemeClr val="lt1"/>
        </a:fillRef>
        <a:effectRef idx="0">
          <a:scrgbClr r="0" g="0" b="0"/>
        </a:effectRef>
        <a:fontRef idx="minor"/>
      </dsp:style>
      <dsp:txXfrm>
        <a:off x="348844" y="545668"/>
        <a:ext cx="363565" cy="363565"/>
      </dsp:txXfrm>
    </dsp:sp>
    <dsp:sp modelId="{15F56A62-162A-4CEB-BA6E-9A26739C2658}">
      <dsp:nvSpPr>
        <dsp:cNvPr id="11" name="Rectangles 10"/>
        <dsp:cNvSpPr/>
      </dsp:nvSpPr>
      <dsp:spPr bwMode="white">
        <a:xfrm>
          <a:off x="674964" y="1018239"/>
          <a:ext cx="4811436" cy="290852"/>
        </a:xfrm>
        <a:prstGeom prst="rect">
          <a:avLst/>
        </a:prstGeom>
      </dsp:spPr>
      <dsp:style>
        <a:lnRef idx="2">
          <a:schemeClr val="dk1">
            <a:shade val="80000"/>
          </a:schemeClr>
        </a:lnRef>
        <a:fillRef idx="1">
          <a:schemeClr val="lt1"/>
        </a:fillRef>
        <a:effectRef idx="0">
          <a:scrgbClr r="0" g="0" b="0"/>
        </a:effectRef>
        <a:fontRef idx="minor">
          <a:schemeClr val="lt1"/>
        </a:fontRef>
      </dsp:style>
      <dsp:txBody>
        <a:bodyPr lIns="230864" tIns="25400" rIns="25400" bIns="25400" anchor="ctr"/>
        <a:lstStyle>
          <a:lvl1pPr algn="l">
            <a:defRPr sz="6500"/>
          </a:lvl1pPr>
          <a:lvl2pPr marL="285750" indent="-285750" algn="l">
            <a:defRPr sz="5000"/>
          </a:lvl2pPr>
          <a:lvl3pPr marL="571500" indent="-285750" algn="l">
            <a:defRPr sz="5000"/>
          </a:lvl3pPr>
          <a:lvl4pPr marL="857250" indent="-285750" algn="l">
            <a:defRPr sz="5000"/>
          </a:lvl4pPr>
          <a:lvl5pPr marL="1143000" indent="-285750" algn="l">
            <a:defRPr sz="5000"/>
          </a:lvl5pPr>
          <a:lvl6pPr marL="1428750" indent="-285750" algn="l">
            <a:defRPr sz="5000"/>
          </a:lvl6pPr>
          <a:lvl7pPr marL="1714500" indent="-285750" algn="l">
            <a:defRPr sz="5000"/>
          </a:lvl7pPr>
          <a:lvl8pPr marL="2000250" indent="-285750" algn="l">
            <a:defRPr sz="5000"/>
          </a:lvl8pPr>
          <a:lvl9pPr marL="2286000" indent="-285750" algn="l">
            <a:defRPr sz="5000"/>
          </a:lvl9pPr>
        </a:lstStyle>
        <a:p>
          <a:pPr lvl="0">
            <a:lnSpc>
              <a:spcPct val="100000"/>
            </a:lnSpc>
            <a:spcBef>
              <a:spcPct val="0"/>
            </a:spcBef>
            <a:spcAft>
              <a:spcPct val="35000"/>
            </a:spcAft>
          </a:pPr>
          <a:r>
            <a:rPr lang="en-GB" sz="1050">
              <a:solidFill>
                <a:schemeClr val="dk1"/>
              </a:solidFill>
            </a:rPr>
            <a:t>a persistent (chronic) illness, such as diabetes</a:t>
          </a:r>
          <a:endParaRPr>
            <a:solidFill>
              <a:schemeClr val="dk1"/>
            </a:solidFill>
          </a:endParaRPr>
        </a:p>
      </dsp:txBody>
      <dsp:txXfrm>
        <a:off x="674964" y="1018239"/>
        <a:ext cx="4811436" cy="290852"/>
      </dsp:txXfrm>
    </dsp:sp>
    <dsp:sp modelId="{9A3D1627-803A-431A-AB9A-C0FC9E7A2CBD}">
      <dsp:nvSpPr>
        <dsp:cNvPr id="12" name="Oval 11"/>
        <dsp:cNvSpPr/>
      </dsp:nvSpPr>
      <dsp:spPr bwMode="white">
        <a:xfrm>
          <a:off x="493182" y="981883"/>
          <a:ext cx="363565" cy="363565"/>
        </a:xfrm>
        <a:prstGeom prst="ellipse">
          <a:avLst/>
        </a:prstGeom>
      </dsp:spPr>
      <dsp:style>
        <a:lnRef idx="2">
          <a:schemeClr val="dk1"/>
        </a:lnRef>
        <a:fillRef idx="1">
          <a:schemeClr val="lt1"/>
        </a:fillRef>
        <a:effectRef idx="0">
          <a:scrgbClr r="0" g="0" b="0"/>
        </a:effectRef>
        <a:fontRef idx="minor"/>
      </dsp:style>
      <dsp:txXfrm>
        <a:off x="493182" y="981883"/>
        <a:ext cx="363565" cy="363565"/>
      </dsp:txXfrm>
    </dsp:sp>
    <dsp:sp modelId="{4884C5E2-6292-4780-85AE-5193BAF9D27B}">
      <dsp:nvSpPr>
        <dsp:cNvPr id="13" name="Rectangles 12"/>
        <dsp:cNvSpPr/>
      </dsp:nvSpPr>
      <dsp:spPr bwMode="white">
        <a:xfrm>
          <a:off x="721050" y="1454774"/>
          <a:ext cx="4765350" cy="290852"/>
        </a:xfrm>
        <a:prstGeom prst="rect">
          <a:avLst/>
        </a:prstGeom>
      </dsp:spPr>
      <dsp:style>
        <a:lnRef idx="2">
          <a:schemeClr val="dk1">
            <a:shade val="80000"/>
          </a:schemeClr>
        </a:lnRef>
        <a:fillRef idx="1">
          <a:schemeClr val="lt1"/>
        </a:fillRef>
        <a:effectRef idx="0">
          <a:scrgbClr r="0" g="0" b="0"/>
        </a:effectRef>
        <a:fontRef idx="minor">
          <a:schemeClr val="lt1"/>
        </a:fontRef>
      </dsp:style>
      <dsp:txBody>
        <a:bodyPr lIns="230864" tIns="25400" rIns="25400" bIns="25400" anchor="ctr"/>
        <a:lstStyle>
          <a:lvl1pPr algn="l">
            <a:defRPr sz="6500"/>
          </a:lvl1pPr>
          <a:lvl2pPr marL="285750" indent="-285750" algn="l">
            <a:defRPr sz="5000"/>
          </a:lvl2pPr>
          <a:lvl3pPr marL="571500" indent="-285750" algn="l">
            <a:defRPr sz="5000"/>
          </a:lvl3pPr>
          <a:lvl4pPr marL="857250" indent="-285750" algn="l">
            <a:defRPr sz="5000"/>
          </a:lvl4pPr>
          <a:lvl5pPr marL="1143000" indent="-285750" algn="l">
            <a:defRPr sz="5000"/>
          </a:lvl5pPr>
          <a:lvl6pPr marL="1428750" indent="-285750" algn="l">
            <a:defRPr sz="5000"/>
          </a:lvl6pPr>
          <a:lvl7pPr marL="1714500" indent="-285750" algn="l">
            <a:defRPr sz="5000"/>
          </a:lvl7pPr>
          <a:lvl8pPr marL="2000250" indent="-285750" algn="l">
            <a:defRPr sz="5000"/>
          </a:lvl8pPr>
          <a:lvl9pPr marL="2286000" indent="-285750" algn="l">
            <a:defRPr sz="5000"/>
          </a:lvl9pPr>
        </a:lstStyle>
        <a:p>
          <a:pPr lvl="0">
            <a:lnSpc>
              <a:spcPct val="100000"/>
            </a:lnSpc>
            <a:spcBef>
              <a:spcPct val="0"/>
            </a:spcBef>
            <a:spcAft>
              <a:spcPct val="35000"/>
            </a:spcAft>
          </a:pPr>
          <a:r>
            <a:rPr lang="en-GB" sz="1050">
              <a:solidFill>
                <a:schemeClr val="dk1"/>
              </a:solidFill>
            </a:rPr>
            <a:t>traumatic situations  causing brain damage due to major injuries, such as a hit to the head</a:t>
          </a:r>
          <a:endParaRPr>
            <a:solidFill>
              <a:schemeClr val="dk1"/>
            </a:solidFill>
          </a:endParaRPr>
        </a:p>
      </dsp:txBody>
      <dsp:txXfrm>
        <a:off x="721050" y="1454774"/>
        <a:ext cx="4765350" cy="290852"/>
      </dsp:txXfrm>
    </dsp:sp>
    <dsp:sp modelId="{F303DE2E-F56B-42E7-B014-8D041BB6D2AA}">
      <dsp:nvSpPr>
        <dsp:cNvPr id="14" name="Oval 13"/>
        <dsp:cNvSpPr/>
      </dsp:nvSpPr>
      <dsp:spPr bwMode="white">
        <a:xfrm>
          <a:off x="539267" y="1418417"/>
          <a:ext cx="363565" cy="363565"/>
        </a:xfrm>
        <a:prstGeom prst="ellipse">
          <a:avLst/>
        </a:prstGeom>
      </dsp:spPr>
      <dsp:style>
        <a:lnRef idx="2">
          <a:schemeClr val="dk1"/>
        </a:lnRef>
        <a:fillRef idx="1">
          <a:schemeClr val="lt1"/>
        </a:fillRef>
        <a:effectRef idx="0">
          <a:scrgbClr r="0" g="0" b="0"/>
        </a:effectRef>
        <a:fontRef idx="minor"/>
      </dsp:style>
      <dsp:txXfrm>
        <a:off x="539267" y="1418417"/>
        <a:ext cx="363565" cy="363565"/>
      </dsp:txXfrm>
    </dsp:sp>
    <dsp:sp modelId="{BB16293B-3694-4524-8187-49AAE1982D46}">
      <dsp:nvSpPr>
        <dsp:cNvPr id="15" name="Rectangles 14"/>
        <dsp:cNvSpPr/>
      </dsp:nvSpPr>
      <dsp:spPr bwMode="white">
        <a:xfrm>
          <a:off x="674964" y="1891308"/>
          <a:ext cx="4811436" cy="290852"/>
        </a:xfrm>
        <a:prstGeom prst="rect">
          <a:avLst/>
        </a:prstGeom>
      </dsp:spPr>
      <dsp:style>
        <a:lnRef idx="2">
          <a:schemeClr val="dk1">
            <a:shade val="80000"/>
          </a:schemeClr>
        </a:lnRef>
        <a:fillRef idx="1">
          <a:schemeClr val="lt1"/>
        </a:fillRef>
        <a:effectRef idx="0">
          <a:scrgbClr r="0" g="0" b="0"/>
        </a:effectRef>
        <a:fontRef idx="minor">
          <a:schemeClr val="lt1"/>
        </a:fontRef>
      </dsp:style>
      <dsp:txBody>
        <a:bodyPr lIns="230864" tIns="25400" rIns="25400" bIns="25400" anchor="ctr"/>
        <a:lstStyle>
          <a:lvl1pPr algn="l">
            <a:defRPr sz="6500"/>
          </a:lvl1pPr>
          <a:lvl2pPr marL="285750" indent="-285750" algn="l">
            <a:defRPr sz="5000"/>
          </a:lvl2pPr>
          <a:lvl3pPr marL="571500" indent="-285750" algn="l">
            <a:defRPr sz="5000"/>
          </a:lvl3pPr>
          <a:lvl4pPr marL="857250" indent="-285750" algn="l">
            <a:defRPr sz="5000"/>
          </a:lvl4pPr>
          <a:lvl5pPr marL="1143000" indent="-285750" algn="l">
            <a:defRPr sz="5000"/>
          </a:lvl5pPr>
          <a:lvl6pPr marL="1428750" indent="-285750" algn="l">
            <a:defRPr sz="5000"/>
          </a:lvl6pPr>
          <a:lvl7pPr marL="1714500" indent="-285750" algn="l">
            <a:defRPr sz="5000"/>
          </a:lvl7pPr>
          <a:lvl8pPr marL="2000250" indent="-285750" algn="l">
            <a:defRPr sz="5000"/>
          </a:lvl8pPr>
          <a:lvl9pPr marL="2286000" indent="-285750" algn="l">
            <a:defRPr sz="5000"/>
          </a:lvl9pPr>
        </a:lstStyle>
        <a:p>
          <a:pPr lvl="0">
            <a:lnSpc>
              <a:spcPct val="100000"/>
            </a:lnSpc>
            <a:spcBef>
              <a:spcPct val="0"/>
            </a:spcBef>
            <a:spcAft>
              <a:spcPct val="35000"/>
            </a:spcAft>
          </a:pPr>
          <a:r>
            <a:rPr lang="en-GB" sz="1050">
              <a:solidFill>
                <a:schemeClr val="dk1"/>
              </a:solidFill>
            </a:rPr>
            <a:t>drinking or doing drugs for fun</a:t>
          </a:r>
          <a:endParaRPr>
            <a:solidFill>
              <a:schemeClr val="dk1"/>
            </a:solidFill>
          </a:endParaRPr>
        </a:p>
      </dsp:txBody>
      <dsp:txXfrm>
        <a:off x="674964" y="1891308"/>
        <a:ext cx="4811436" cy="290852"/>
      </dsp:txXfrm>
    </dsp:sp>
    <dsp:sp modelId="{A135B0F0-3FD5-4EA9-9AEC-F77B0B2B93EE}">
      <dsp:nvSpPr>
        <dsp:cNvPr id="16" name="Oval 15"/>
        <dsp:cNvSpPr/>
      </dsp:nvSpPr>
      <dsp:spPr bwMode="white">
        <a:xfrm>
          <a:off x="493182" y="1854952"/>
          <a:ext cx="363565" cy="363565"/>
        </a:xfrm>
        <a:prstGeom prst="ellipse">
          <a:avLst/>
        </a:prstGeom>
      </dsp:spPr>
      <dsp:style>
        <a:lnRef idx="2">
          <a:schemeClr val="dk1"/>
        </a:lnRef>
        <a:fillRef idx="1">
          <a:schemeClr val="lt1"/>
        </a:fillRef>
        <a:effectRef idx="0">
          <a:scrgbClr r="0" g="0" b="0"/>
        </a:effectRef>
        <a:fontRef idx="minor"/>
      </dsp:style>
      <dsp:txXfrm>
        <a:off x="493182" y="1854952"/>
        <a:ext cx="363565" cy="363565"/>
      </dsp:txXfrm>
    </dsp:sp>
    <dsp:sp modelId="{4AE8D87E-098A-4154-8C45-6412FF0F241F}">
      <dsp:nvSpPr>
        <dsp:cNvPr id="17" name="Rectangles 16"/>
        <dsp:cNvSpPr/>
      </dsp:nvSpPr>
      <dsp:spPr bwMode="white">
        <a:xfrm>
          <a:off x="530626" y="2327523"/>
          <a:ext cx="4955774" cy="290852"/>
        </a:xfrm>
        <a:prstGeom prst="rect">
          <a:avLst/>
        </a:prstGeom>
      </dsp:spPr>
      <dsp:style>
        <a:lnRef idx="2">
          <a:schemeClr val="dk1">
            <a:shade val="80000"/>
          </a:schemeClr>
        </a:lnRef>
        <a:fillRef idx="1">
          <a:schemeClr val="lt1"/>
        </a:fillRef>
        <a:effectRef idx="0">
          <a:scrgbClr r="0" g="0" b="0"/>
        </a:effectRef>
        <a:fontRef idx="minor">
          <a:schemeClr val="lt1"/>
        </a:fontRef>
      </dsp:style>
      <dsp:txBody>
        <a:bodyPr lIns="230864" tIns="25400" rIns="25400" bIns="25400" anchor="ctr"/>
        <a:lstStyle>
          <a:lvl1pPr algn="l">
            <a:defRPr sz="6500"/>
          </a:lvl1pPr>
          <a:lvl2pPr marL="285750" indent="-285750" algn="l">
            <a:defRPr sz="5000"/>
          </a:lvl2pPr>
          <a:lvl3pPr marL="571500" indent="-285750" algn="l">
            <a:defRPr sz="5000"/>
          </a:lvl3pPr>
          <a:lvl4pPr marL="857250" indent="-285750" algn="l">
            <a:defRPr sz="5000"/>
          </a:lvl4pPr>
          <a:lvl5pPr marL="1143000" indent="-285750" algn="l">
            <a:defRPr sz="5000"/>
          </a:lvl5pPr>
          <a:lvl6pPr marL="1428750" indent="-285750" algn="l">
            <a:defRPr sz="5000"/>
          </a:lvl6pPr>
          <a:lvl7pPr marL="1714500" indent="-285750" algn="l">
            <a:defRPr sz="5000"/>
          </a:lvl7pPr>
          <a:lvl8pPr marL="2000250" indent="-285750" algn="l">
            <a:defRPr sz="5000"/>
          </a:lvl8pPr>
          <a:lvl9pPr marL="2286000" indent="-285750" algn="l">
            <a:defRPr sz="5000"/>
          </a:lvl9pPr>
        </a:lstStyle>
        <a:p>
          <a:pPr lvl="0">
            <a:lnSpc>
              <a:spcPct val="100000"/>
            </a:lnSpc>
            <a:spcBef>
              <a:spcPct val="0"/>
            </a:spcBef>
            <a:spcAft>
              <a:spcPct val="35000"/>
            </a:spcAft>
          </a:pPr>
          <a:r>
            <a:rPr lang="en-GB" sz="1050">
              <a:solidFill>
                <a:schemeClr val="dk1"/>
              </a:solidFill>
            </a:rPr>
            <a:t>a history of neglect and abuse in one's childhood</a:t>
          </a:r>
          <a:endParaRPr>
            <a:solidFill>
              <a:schemeClr val="dk1"/>
            </a:solidFill>
          </a:endParaRPr>
        </a:p>
      </dsp:txBody>
      <dsp:txXfrm>
        <a:off x="530626" y="2327523"/>
        <a:ext cx="4955774" cy="290852"/>
      </dsp:txXfrm>
    </dsp:sp>
    <dsp:sp modelId="{D318E09F-1F6B-41A7-9CE5-BDFC602A32A9}">
      <dsp:nvSpPr>
        <dsp:cNvPr id="18" name="Oval 17"/>
        <dsp:cNvSpPr/>
      </dsp:nvSpPr>
      <dsp:spPr bwMode="white">
        <a:xfrm>
          <a:off x="348844" y="2291166"/>
          <a:ext cx="363565" cy="363565"/>
        </a:xfrm>
        <a:prstGeom prst="ellipse">
          <a:avLst/>
        </a:prstGeom>
      </dsp:spPr>
      <dsp:style>
        <a:lnRef idx="2">
          <a:schemeClr val="dk1"/>
        </a:lnRef>
        <a:fillRef idx="1">
          <a:schemeClr val="lt1"/>
        </a:fillRef>
        <a:effectRef idx="0">
          <a:scrgbClr r="0" g="0" b="0"/>
        </a:effectRef>
        <a:fontRef idx="minor"/>
      </dsp:style>
      <dsp:txXfrm>
        <a:off x="348844" y="2291166"/>
        <a:ext cx="363565" cy="363565"/>
      </dsp:txXfrm>
    </dsp:sp>
    <dsp:sp modelId="{9F8B4A52-8C83-49A7-9E0B-A2C3CE995679}">
      <dsp:nvSpPr>
        <dsp:cNvPr id="19" name="Rectangles 18"/>
        <dsp:cNvSpPr/>
      </dsp:nvSpPr>
      <dsp:spPr bwMode="white">
        <a:xfrm>
          <a:off x="267233" y="2764057"/>
          <a:ext cx="5219167" cy="290852"/>
        </a:xfrm>
        <a:prstGeom prst="rect">
          <a:avLst/>
        </a:prstGeom>
      </dsp:spPr>
      <dsp:style>
        <a:lnRef idx="2">
          <a:schemeClr val="dk1">
            <a:shade val="80000"/>
          </a:schemeClr>
        </a:lnRef>
        <a:fillRef idx="1">
          <a:schemeClr val="lt1"/>
        </a:fillRef>
        <a:effectRef idx="0">
          <a:scrgbClr r="0" g="0" b="0"/>
        </a:effectRef>
        <a:fontRef idx="minor">
          <a:schemeClr val="lt1"/>
        </a:fontRef>
      </dsp:style>
      <dsp:txBody>
        <a:bodyPr lIns="230864" tIns="25400" rIns="25400" bIns="25400" anchor="ctr"/>
        <a:lstStyle>
          <a:lvl1pPr algn="l">
            <a:defRPr sz="6500"/>
          </a:lvl1pPr>
          <a:lvl2pPr marL="285750" indent="-285750" algn="l">
            <a:defRPr sz="5000"/>
          </a:lvl2pPr>
          <a:lvl3pPr marL="571500" indent="-285750" algn="l">
            <a:defRPr sz="5000"/>
          </a:lvl3pPr>
          <a:lvl4pPr marL="857250" indent="-285750" algn="l">
            <a:defRPr sz="5000"/>
          </a:lvl4pPr>
          <a:lvl5pPr marL="1143000" indent="-285750" algn="l">
            <a:defRPr sz="5000"/>
          </a:lvl5pPr>
          <a:lvl6pPr marL="1428750" indent="-285750" algn="l">
            <a:defRPr sz="5000"/>
          </a:lvl6pPr>
          <a:lvl7pPr marL="1714500" indent="-285750" algn="l">
            <a:defRPr sz="5000"/>
          </a:lvl7pPr>
          <a:lvl8pPr marL="2000250" indent="-285750" algn="l">
            <a:defRPr sz="5000"/>
          </a:lvl8pPr>
          <a:lvl9pPr marL="2286000" indent="-285750" algn="l">
            <a:defRPr sz="5000"/>
          </a:lvl9pPr>
        </a:lstStyle>
        <a:p>
          <a:pPr lvl="0">
            <a:lnSpc>
              <a:spcPct val="100000"/>
            </a:lnSpc>
            <a:spcBef>
              <a:spcPct val="0"/>
            </a:spcBef>
            <a:spcAft>
              <a:spcPct val="35000"/>
            </a:spcAft>
          </a:pPr>
          <a:r>
            <a:rPr lang="en-GB" sz="1050">
              <a:solidFill>
                <a:schemeClr val="dk1"/>
              </a:solidFill>
            </a:rPr>
            <a:t>several unhealthy partnerships or few friends</a:t>
          </a:r>
          <a:endParaRPr>
            <a:solidFill>
              <a:schemeClr val="dk1"/>
            </a:solidFill>
          </a:endParaRPr>
        </a:p>
      </dsp:txBody>
      <dsp:txXfrm>
        <a:off x="267233" y="2764057"/>
        <a:ext cx="5219167" cy="290852"/>
      </dsp:txXfrm>
    </dsp:sp>
    <dsp:sp modelId="{6FFFCDC9-B567-4D5A-86A9-C180AD60E5BC}">
      <dsp:nvSpPr>
        <dsp:cNvPr id="20" name="Oval 19"/>
        <dsp:cNvSpPr/>
      </dsp:nvSpPr>
      <dsp:spPr bwMode="white">
        <a:xfrm>
          <a:off x="85451" y="2727701"/>
          <a:ext cx="363565" cy="363565"/>
        </a:xfrm>
        <a:prstGeom prst="ellipse">
          <a:avLst/>
        </a:prstGeom>
      </dsp:spPr>
      <dsp:style>
        <a:lnRef idx="2">
          <a:schemeClr val="dk1"/>
        </a:lnRef>
        <a:fillRef idx="1">
          <a:schemeClr val="lt1"/>
        </a:fillRef>
        <a:effectRef idx="0">
          <a:scrgbClr r="0" g="0" b="0"/>
        </a:effectRef>
        <a:fontRef idx="minor"/>
      </dsp:style>
      <dsp:txXfrm>
        <a:off x="85451" y="2727701"/>
        <a:ext cx="363565" cy="363565"/>
      </dsp:txXfrm>
    </dsp:sp>
    <dsp:sp modelId="{F37C89B0-E354-4F35-AC9C-2A3E5D86B592}">
      <dsp:nvSpPr>
        <dsp:cNvPr id="3" name="Rectangles 2" hidden="1"/>
        <dsp:cNvSpPr/>
      </dsp:nvSpPr>
      <dsp:spPr bwMode="white">
        <a:xfrm>
          <a:off x="83094" y="61448"/>
          <a:ext cx="36000" cy="36000"/>
        </a:xfrm>
        <a:prstGeom prst="rect">
          <a:avLst/>
        </a:prstGeom>
      </dsp:spPr>
      <dsp:style>
        <a:lnRef idx="2">
          <a:schemeClr val="dk1">
            <a:shade val="80000"/>
          </a:schemeClr>
        </a:lnRef>
        <a:fillRef idx="1">
          <a:schemeClr val="lt1"/>
        </a:fillRef>
        <a:effectRef idx="0">
          <a:scrgbClr r="0" g="0" b="0"/>
        </a:effectRef>
        <a:fontRef idx="minor">
          <a:schemeClr val="lt1"/>
        </a:fontRef>
      </dsp:style>
      <dsp:txXfrm>
        <a:off x="83094" y="61448"/>
        <a:ext cx="36000" cy="36000"/>
      </dsp:txXfrm>
    </dsp:sp>
    <dsp:sp modelId="{39A449C4-D8A8-4056-8211-D902A94D5D2A}">
      <dsp:nvSpPr>
        <dsp:cNvPr id="5" name="Rectangles 4" hidden="1"/>
        <dsp:cNvSpPr/>
      </dsp:nvSpPr>
      <dsp:spPr bwMode="white">
        <a:xfrm>
          <a:off x="713010" y="1582200"/>
          <a:ext cx="36000" cy="36000"/>
        </a:xfrm>
        <a:prstGeom prst="rect">
          <a:avLst/>
        </a:prstGeom>
      </dsp:spPr>
      <dsp:style>
        <a:lnRef idx="2">
          <a:schemeClr val="dk1">
            <a:shade val="80000"/>
          </a:schemeClr>
        </a:lnRef>
        <a:fillRef idx="1">
          <a:schemeClr val="lt1"/>
        </a:fillRef>
        <a:effectRef idx="0">
          <a:scrgbClr r="0" g="0" b="0"/>
        </a:effectRef>
        <a:fontRef idx="minor">
          <a:schemeClr val="lt1"/>
        </a:fontRef>
      </dsp:style>
      <dsp:txXfrm>
        <a:off x="713010" y="1582200"/>
        <a:ext cx="36000" cy="36000"/>
      </dsp:txXfrm>
    </dsp:sp>
    <dsp:sp modelId="{31772B02-921E-42EF-9097-1CC07E6CF8C8}">
      <dsp:nvSpPr>
        <dsp:cNvPr id="6" name="Rectangles 5" hidden="1"/>
        <dsp:cNvSpPr/>
      </dsp:nvSpPr>
      <dsp:spPr bwMode="white">
        <a:xfrm>
          <a:off x="83094" y="3102952"/>
          <a:ext cx="36000" cy="36000"/>
        </a:xfrm>
        <a:prstGeom prst="rect">
          <a:avLst/>
        </a:prstGeom>
      </dsp:spPr>
      <dsp:style>
        <a:lnRef idx="2">
          <a:schemeClr val="dk1">
            <a:shade val="80000"/>
          </a:schemeClr>
        </a:lnRef>
        <a:fillRef idx="1">
          <a:schemeClr val="lt1"/>
        </a:fillRef>
        <a:effectRef idx="0">
          <a:scrgbClr r="0" g="0" b="0"/>
        </a:effectRef>
        <a:fontRef idx="minor">
          <a:schemeClr val="lt1"/>
        </a:fontRef>
      </dsp:style>
      <dsp:txXfrm>
        <a:off x="83094" y="3102952"/>
        <a:ext cx="36000" cy="36000"/>
      </dsp:txXfrm>
    </dsp:sp>
  </dsp:spTree>
</dsp:drawing>
</file>

<file path=word/diagrams/layout1.xml><?xml version="1.0" encoding="utf-8"?>
<dgm:layoutDef xmlns:dgm="http://schemas.openxmlformats.org/drawingml/2006/diagram" xmlns:a="http://schemas.openxmlformats.org/drawingml/2006/main" uniqueId="urn:microsoft.com/office/officeart/2005/8/layout/hList6">
  <dgm:title val=""/>
  <dgm:desc val=""/>
  <dgm:catLst>
    <dgm:cat type="list" pri="18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ptType="node" refType="h"/>
      <dgm:constr type="w" for="ch" ptType="node" refType="w"/>
      <dgm:constr type="primFontSz" for="ch" ptType="node" op="equ"/>
      <dgm:constr type="w" for="ch" forName="sibTrans" refType="w" fact="0.075"/>
    </dgm:constrLst>
    <dgm:ruleLst/>
    <dgm:forEach name="nodesForEach" axis="ch" ptType="node">
      <dgm:layoutNode name="node">
        <dgm:varLst>
          <dgm:bulletEnabled val="1"/>
        </dgm:varLst>
        <dgm:alg type="tx"/>
        <dgm:choose name="Name4">
          <dgm:if name="Name5" func="var" arg="dir" op="equ" val="norm">
            <dgm:shape xmlns:r="http://schemas.openxmlformats.org/officeDocument/2006/relationships" type="flowChartManualOperation" r:blip="" rot="-90">
              <dgm:adjLst/>
            </dgm:shape>
          </dgm:if>
          <dgm:else name="Name6">
            <dgm:shape xmlns:r="http://schemas.openxmlformats.org/officeDocument/2006/relationships" type="flowChartManualOperation" r:blip="" rot="90">
              <dgm:adjLst/>
            </dgm:shape>
          </dgm:else>
        </dgm:choose>
        <dgm:presOf axis="desOrSelf" ptType="node"/>
        <dgm:constrLst>
          <dgm:constr type="primFontSz" val="65"/>
          <dgm:constr type="tMarg"/>
          <dgm:constr type="bMarg"/>
          <dgm:constr type="lMarg" refType="primFontSz" fact="0.5"/>
          <dgm:constr type="rMarg" refType="lMarg"/>
        </dgm:constrLst>
        <dgm:ruleLst>
          <dgm:rule type="primFontSz" val="5" fact="NaN" max="NaN"/>
        </dgm:ruleLst>
      </dgm:layoutNode>
      <dgm:forEach name="sibTransForEach"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srcNode" val="srcNode"/>
            <dgm:param type="dstNode" val="dstNode"/>
            <dgm:param type="endSty" val="noArr"/>
            <dgm:param type="connRout" val="curve"/>
            <dgm:param type="begPts" val="ctr"/>
            <dgm:param type="endPts" val="ct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parTxRTLAlign" val="l"/>
                <dgm:param type="shpTxLTRAlignCh" val="l"/>
                <dgm:param type="shpTxRTLAlignCh" val="l"/>
              </dgm:alg>
            </dgm:if>
            <dgm:else name="Name27">
              <dgm:alg type="tx">
                <dgm:param type="parTxLTRAlign" val="r"/>
                <dgm:param type="parTxRTLAlign" val="r"/>
                <dgm:param type="shpTxLTRAlignCh"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parTxRTLAlign" val="l"/>
                <dgm:param type="shpTxLTRAlignCh" val="l"/>
                <dgm:param type="shpTxRTLAlignCh" val="l"/>
              </dgm:alg>
            </dgm:if>
            <dgm:else name="Name32">
              <dgm:alg type="tx">
                <dgm:param type="parTxLTRAlign" val="r"/>
                <dgm:param type="parTxRTLAlign" val="r"/>
                <dgm:param type="shpTxLTRAlignCh"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parTxRTLAlign" val="l"/>
                <dgm:param type="shpTxLTRAlignCh" val="l"/>
                <dgm:param type="shpTxRTLAlignCh" val="l"/>
              </dgm:alg>
            </dgm:if>
            <dgm:else name="Name37">
              <dgm:alg type="tx">
                <dgm:param type="parTxLTRAlign" val="r"/>
                <dgm:param type="parTxRTLAlign" val="r"/>
                <dgm:param type="shpTxLTRAlignCh"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parTxRTLAlign" val="l"/>
                <dgm:param type="shpTxLTRAlignCh" val="l"/>
                <dgm:param type="shpTxRTLAlignCh" val="l"/>
              </dgm:alg>
            </dgm:if>
            <dgm:else name="Name42">
              <dgm:alg type="tx">
                <dgm:param type="parTxLTRAlign" val="r"/>
                <dgm:param type="parTxRTLAlign" val="r"/>
                <dgm:param type="shpTxLTRAlignCh"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parTxRTLAlign" val="l"/>
                <dgm:param type="shpTxLTRAlignCh" val="l"/>
                <dgm:param type="shpTxRTLAlignCh" val="l"/>
              </dgm:alg>
            </dgm:if>
            <dgm:else name="Name47">
              <dgm:alg type="tx">
                <dgm:param type="parTxLTRAlign" val="r"/>
                <dgm:param type="parTxRTLAlign" val="r"/>
                <dgm:param type="shpTxLTRAlignCh"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parTxRTLAlign" val="l"/>
                <dgm:param type="shpTxLTRAlignCh" val="l"/>
                <dgm:param type="shpTxRTLAlignCh" val="l"/>
              </dgm:alg>
            </dgm:if>
            <dgm:else name="Name52">
              <dgm:alg type="tx">
                <dgm:param type="parTxLTRAlign" val="r"/>
                <dgm:param type="parTxRTLAlign" val="r"/>
                <dgm:param type="shpTxLTRAlignCh"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parTxRTLAlign" val="l"/>
                <dgm:param type="shpTxLTRAlignCh" val="l"/>
                <dgm:param type="shpTxRTLAlignCh" val="l"/>
              </dgm:alg>
            </dgm:if>
            <dgm:else name="Name57">
              <dgm:alg type="tx">
                <dgm:param type="parTxLTRAlign" val="r"/>
                <dgm:param type="parTxRTLAlign" val="r"/>
                <dgm:param type="shpTxLTRAlignCh"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2">
        <a:scrgbClr r="0" g="0" b="0"/>
      </a:lnRef>
      <a:fillRef idx="1">
        <a:scrgbClr r="0" g="0" b="0"/>
      </a:fillRef>
      <a:effectRef idx="0">
        <a:scrgbClr r="0" g="0" b="0"/>
      </a:effectRef>
      <a:fontRef idx="minor">
        <a:schemeClr val="tx1"/>
      </a:fontRef>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2">
        <a:scrgbClr r="0" g="0" b="0"/>
      </a:lnRef>
      <a:fillRef idx="1">
        <a:scrgbClr r="0" g="0" b="0"/>
      </a:fillRef>
      <a:effectRef idx="0">
        <a:scrgbClr r="0" g="0" b="0"/>
      </a:effectRef>
      <a:fontRef idx="minor">
        <a:schemeClr val="tx1"/>
      </a:fontRef>
    </dgm:style>
  </dgm:styleLbl>
</dgm:styleDef>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9E2BF1E301D14EFB8DF1BC2CA3313459"/>
        <w:style w:val=""/>
        <w:category>
          <w:name w:val="General"/>
          <w:gallery w:val="placeholder"/>
        </w:category>
        <w:types>
          <w:type w:val="bbPlcHdr"/>
        </w:types>
        <w:behaviors>
          <w:behavior w:val="content"/>
        </w:behaviors>
        <w:description w:val=""/>
        <w:guid w:val="{7AAAA23E-B630-4120-9529-75B9B2E977DC}"/>
      </w:docPartPr>
      <w:docPartBody>
        <w:p>
          <w:pPr>
            <w:pStyle w:val="7"/>
          </w:pPr>
          <w:r>
            <w:rPr>
              <w:color w:val="4472C4" w:themeColor="accent1"/>
              <w:sz w:val="28"/>
              <w:szCs w:val="28"/>
              <w14:textFill>
                <w14:solidFill>
                  <w14:schemeClr w14:val="accent1"/>
                </w14:solidFill>
              </w14:textFill>
            </w:rPr>
            <w:t>[Author name]</w:t>
          </w:r>
        </w:p>
      </w:docPartBody>
    </w:docPart>
    <w:docPart>
      <w:docPartPr>
        <w:name w:val="4DEC2680579F41E694F714014F2C7805"/>
        <w:style w:val=""/>
        <w:category>
          <w:name w:val="General"/>
          <w:gallery w:val="placeholder"/>
        </w:category>
        <w:types>
          <w:type w:val="bbPlcHdr"/>
        </w:types>
        <w:behaviors>
          <w:behavior w:val="content"/>
        </w:behaviors>
        <w:description w:val=""/>
        <w:guid w:val="{1711DA09-9ECF-4766-A9ED-785129FBB8ED}"/>
      </w:docPartPr>
      <w:docPartBody>
        <w:p>
          <w:pPr>
            <w:pStyle w:val="8"/>
          </w:pPr>
          <w:r>
            <w:rPr>
              <w:color w:val="4472C4" w:themeColor="accent1"/>
              <w:sz w:val="28"/>
              <w:szCs w:val="28"/>
              <w14:textFill>
                <w14:solidFill>
                  <w14:schemeClr w14:val="accent1"/>
                </w14:solidFill>
              </w14:textFill>
            </w:rPr>
            <w:t>[Date]</w:t>
          </w:r>
        </w:p>
      </w:docPartBody>
    </w:docPart>
    <w:docPart>
      <w:docPartPr>
        <w:name w:val="{426317d3-2d39-4f97-9711-2eb05454ec64}"/>
        <w:style w:val=""/>
        <w:category>
          <w:name w:val="General"/>
          <w:gallery w:val="placeholder"/>
        </w:category>
        <w:types>
          <w:type w:val="bbPlcHdr"/>
        </w:types>
        <w:behaviors>
          <w:behavior w:val="content"/>
        </w:behaviors>
        <w:description w:val=""/>
        <w:guid w:val="{426317d3-2d39-4f97-9711-2eb05454ec64}"/>
      </w:docPartPr>
      <w:docPartBody>
        <w:p>
          <w:pPr>
            <w:pStyle w:val="5"/>
          </w:pPr>
          <w:r>
            <w:rPr>
              <w:rFonts w:asciiTheme="majorHAnsi" w:hAnsiTheme="majorHAnsi" w:eastAsiaTheme="majorEastAsia" w:cstheme="majorBidi"/>
              <w:color w:val="4472C4" w:themeColor="accent1"/>
              <w:sz w:val="88"/>
              <w:szCs w:val="88"/>
              <w14:textFill>
                <w14:solidFill>
                  <w14:schemeClr w14:val="accent1"/>
                </w14:solidFill>
              </w14:textFill>
            </w:rPr>
            <w:t>[Document title]</w:t>
          </w:r>
        </w:p>
      </w:docPartBody>
    </w:docPart>
    <w:docPart>
      <w:docPartPr>
        <w:name w:val="{9870d3e8-f0a1-4a34-9bb9-2b6b43868eae}"/>
        <w:style w:val=""/>
        <w:category>
          <w:name w:val="General"/>
          <w:gallery w:val="placeholder"/>
        </w:category>
        <w:types>
          <w:type w:val="bbPlcHdr"/>
        </w:types>
        <w:behaviors>
          <w:behavior w:val="content"/>
        </w:behaviors>
        <w:description w:val=""/>
        <w:guid w:val="{9870d3e8-f0a1-4a34-9bb9-2b6b43868eae}"/>
      </w:docPartPr>
      <w:docPartBody>
        <w:p>
          <w:pPr>
            <w:pStyle w:val="6"/>
          </w:pPr>
          <w:r>
            <w:rPr>
              <w:color w:val="2F5597" w:themeColor="accent1" w:themeShade="BF"/>
              <w:sz w:val="24"/>
              <w:szCs w:val="24"/>
            </w:rPr>
            <w:t>[Document subtitle]</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oNotDisplayPageBoundaries w:val="1"/>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73BB"/>
    <w:rsid w:val="001C4D4D"/>
    <w:rsid w:val="003E73B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GB" w:eastAsia="en-GB"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customStyle="1" w:styleId="4">
    <w:name w:val="28C0CE6B798F4D5E8B1F16145BB76254"/>
    <w:uiPriority w:val="0"/>
    <w:pPr>
      <w:spacing w:after="160" w:line="259" w:lineRule="auto"/>
    </w:pPr>
    <w:rPr>
      <w:rFonts w:asciiTheme="minorHAnsi" w:hAnsiTheme="minorHAnsi" w:eastAsiaTheme="minorEastAsia" w:cstheme="minorBidi"/>
      <w:sz w:val="22"/>
      <w:szCs w:val="22"/>
      <w:lang w:val="en-GB" w:eastAsia="en-GB" w:bidi="ar-SA"/>
    </w:rPr>
  </w:style>
  <w:style w:type="paragraph" w:customStyle="1" w:styleId="5">
    <w:name w:val="7FE39B1BB1BA428F9D32A4300A9AF112"/>
    <w:qFormat/>
    <w:uiPriority w:val="0"/>
    <w:pPr>
      <w:spacing w:after="160" w:line="259" w:lineRule="auto"/>
    </w:pPr>
    <w:rPr>
      <w:rFonts w:asciiTheme="minorHAnsi" w:hAnsiTheme="minorHAnsi" w:eastAsiaTheme="minorEastAsia" w:cstheme="minorBidi"/>
      <w:sz w:val="22"/>
      <w:szCs w:val="22"/>
      <w:lang w:val="en-GB" w:eastAsia="en-GB" w:bidi="ar-SA"/>
    </w:rPr>
  </w:style>
  <w:style w:type="paragraph" w:customStyle="1" w:styleId="6">
    <w:name w:val="3D92ACF7896842F7B1BF8CB40133CD38"/>
    <w:qFormat/>
    <w:uiPriority w:val="0"/>
    <w:pPr>
      <w:spacing w:after="160" w:line="259" w:lineRule="auto"/>
    </w:pPr>
    <w:rPr>
      <w:rFonts w:asciiTheme="minorHAnsi" w:hAnsiTheme="minorHAnsi" w:eastAsiaTheme="minorEastAsia" w:cstheme="minorBidi"/>
      <w:sz w:val="22"/>
      <w:szCs w:val="22"/>
      <w:lang w:val="en-GB" w:eastAsia="en-GB" w:bidi="ar-SA"/>
    </w:rPr>
  </w:style>
  <w:style w:type="paragraph" w:customStyle="1" w:styleId="7">
    <w:name w:val="9E2BF1E301D14EFB8DF1BC2CA3313459"/>
    <w:qFormat/>
    <w:uiPriority w:val="0"/>
    <w:pPr>
      <w:spacing w:after="160" w:line="259" w:lineRule="auto"/>
    </w:pPr>
    <w:rPr>
      <w:rFonts w:asciiTheme="minorHAnsi" w:hAnsiTheme="minorHAnsi" w:eastAsiaTheme="minorEastAsia" w:cstheme="minorBidi"/>
      <w:sz w:val="22"/>
      <w:szCs w:val="22"/>
      <w:lang w:val="en-GB" w:eastAsia="en-GB" w:bidi="ar-SA"/>
    </w:rPr>
  </w:style>
  <w:style w:type="paragraph" w:customStyle="1" w:styleId="8">
    <w:name w:val="4DEC2680579F41E694F714014F2C7805"/>
    <w:qFormat/>
    <w:uiPriority w:val="0"/>
    <w:pPr>
      <w:spacing w:after="160" w:line="259" w:lineRule="auto"/>
    </w:pPr>
    <w:rPr>
      <w:rFonts w:asciiTheme="minorHAnsi" w:hAnsiTheme="minorHAnsi" w:eastAsiaTheme="minorEastAsia" w:cstheme="minorBidi"/>
      <w:sz w:val="22"/>
      <w:szCs w:val="22"/>
      <w:lang w:val="en-GB" w:eastAsia="en-GB"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Word count: 2063</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2135</Words>
  <Characters>12171</Characters>
  <Lines>101</Lines>
  <Paragraphs>28</Paragraphs>
  <TotalTime>30</TotalTime>
  <ScaleCrop>false</ScaleCrop>
  <LinksUpToDate>false</LinksUpToDate>
  <CharactersWithSpaces>14278</CharactersWithSpaces>
  <Application>WPS Office_11.2.0.11440_F1E327BC-269C-435d-A152-05C5408002CA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2022-12-29T22:44:00Z</dcterms:created>
  <dc:creator>Gyulten Harla (2133453)</dc:creator>
  <cp:lastModifiedBy>Gyulok Harla</cp:lastModifiedBy>
  <dcterms:modified xsi:type="dcterms:W3CDTF">2023-01-02T22:45:41Z</dcterms:modified>
  <dc:subject>Introduction to Public Healt</dc:subject>
  <dc:title>Mental Health Diseases</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2057-11.2.0.11440</vt:lpwstr>
  </property>
  <property fmtid="{D5CDD505-2E9C-101B-9397-08002B2CF9AE}" pid="3" name="ICV">
    <vt:lpwstr>55B6F1ED32B44AEDAFBEACAA466C33D1</vt:lpwstr>
  </property>
</Properties>
</file>