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E81F122">
      <w:pPr>
        <w:ind w:firstLine="0"/>
        <w:jc w:val="center"/>
        <w:rPr>
          <w:rFonts w:eastAsia="Times New Roman"/>
        </w:rPr>
      </w:pPr>
    </w:p>
    <w:p w14:paraId="692C735A">
      <w:pPr>
        <w:ind w:firstLine="0"/>
        <w:jc w:val="center"/>
        <w:rPr>
          <w:rFonts w:eastAsia="Times New Roman"/>
        </w:rPr>
      </w:pPr>
    </w:p>
    <w:p w14:paraId="7E1A4E38">
      <w:pPr>
        <w:ind w:firstLine="0"/>
        <w:jc w:val="center"/>
        <w:rPr>
          <w:rFonts w:eastAsia="Times New Roman"/>
        </w:rPr>
      </w:pPr>
    </w:p>
    <w:p w14:paraId="1BCFB8E7">
      <w:pPr>
        <w:ind w:firstLine="0"/>
        <w:jc w:val="center"/>
        <w:rPr>
          <w:rFonts w:eastAsia="Times New Roman"/>
        </w:rPr>
      </w:pPr>
    </w:p>
    <w:p w14:paraId="79E8BD5E">
      <w:pPr>
        <w:ind w:firstLine="0"/>
        <w:jc w:val="center"/>
        <w:rPr>
          <w:rFonts w:eastAsia="Times New Roman"/>
        </w:rPr>
      </w:pPr>
    </w:p>
    <w:p w14:paraId="3C9AFA06">
      <w:pPr>
        <w:ind w:firstLine="0"/>
        <w:jc w:val="center"/>
        <w:rPr>
          <w:rFonts w:eastAsia="Times New Roman"/>
        </w:rPr>
      </w:pPr>
      <w:r>
        <w:rPr>
          <w:rFonts w:eastAsia="Times New Roman"/>
        </w:rPr>
        <w:drawing>
          <wp:inline distT="0" distB="0" distL="0" distR="0">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p w14:paraId="4F2D3B59">
      <w:pPr>
        <w:ind w:firstLine="0"/>
        <w:jc w:val="center"/>
        <w:rPr>
          <w:rFonts w:eastAsia="Times New Roman"/>
        </w:rPr>
      </w:pPr>
    </w:p>
    <w:p w14:paraId="6A0B457E">
      <w:pPr>
        <w:ind w:firstLine="0"/>
        <w:jc w:val="center"/>
        <w:rPr>
          <w:rFonts w:eastAsia="Times New Roman"/>
        </w:rPr>
      </w:pPr>
      <w:r>
        <w:rPr>
          <w:rFonts w:eastAsia="Times New Roman"/>
        </w:rPr>
        <w:t>Human Resource Management Issues for Projects:</w:t>
      </w:r>
    </w:p>
    <w:p w14:paraId="4D75D7DA">
      <w:pPr>
        <w:ind w:firstLine="0"/>
        <w:jc w:val="center"/>
        <w:rPr>
          <w:rFonts w:eastAsia="Times New Roman"/>
        </w:rPr>
      </w:pPr>
      <w:r>
        <w:rPr>
          <w:rFonts w:eastAsia="Times New Roman"/>
        </w:rPr>
        <w:t>A Critical Analysis of DHL Group (UK Operations)</w:t>
      </w:r>
    </w:p>
    <w:p w14:paraId="5E5E3D06">
      <w:pPr>
        <w:ind w:firstLine="0"/>
        <w:jc w:val="center"/>
        <w:rPr>
          <w:rFonts w:hint="default" w:eastAsia="Times New Roman"/>
          <w:lang w:val="en-IN"/>
        </w:rPr>
      </w:pPr>
      <w:r>
        <w:rPr>
          <w:rFonts w:hint="default" w:eastAsia="Times New Roman"/>
          <w:lang w:val="en-IN"/>
        </w:rPr>
        <w:t xml:space="preserve">Name- Durgesh Sunil Badhe </w:t>
      </w:r>
    </w:p>
    <w:p w14:paraId="1F485958">
      <w:pPr>
        <w:ind w:firstLine="0"/>
        <w:jc w:val="center"/>
        <w:rPr>
          <w:rFonts w:hint="default" w:eastAsia="Times New Roman"/>
          <w:lang w:val="en-IN"/>
        </w:rPr>
      </w:pPr>
      <w:r>
        <w:rPr>
          <w:rFonts w:hint="default" w:eastAsia="Times New Roman"/>
          <w:lang w:val="en-IN"/>
        </w:rPr>
        <w:t>Student no - 2506741</w:t>
      </w:r>
    </w:p>
    <w:p w14:paraId="3CE6A14F">
      <w:pPr>
        <w:ind w:firstLine="0"/>
        <w:jc w:val="center"/>
        <w:rPr>
          <w:rFonts w:eastAsia="Times New Roman"/>
        </w:rPr>
      </w:pPr>
      <w:r>
        <w:drawing>
          <wp:inline distT="0" distB="0" distL="0" distR="0">
            <wp:extent cx="2137410" cy="1424940"/>
            <wp:effectExtent l="0" t="0" r="0" b="0"/>
            <wp:docPr id="2" name="Picture 1" descr="Market - DHL Kargo Entegrasyo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Market - DHL Kargo Entegrasyon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137410" cy="1424940"/>
                    </a:xfrm>
                    <a:prstGeom prst="rect">
                      <a:avLst/>
                    </a:prstGeom>
                    <a:noFill/>
                    <a:ln>
                      <a:noFill/>
                    </a:ln>
                  </pic:spPr>
                </pic:pic>
              </a:graphicData>
            </a:graphic>
          </wp:inline>
        </w:drawing>
      </w:r>
    </w:p>
    <w:p w14:paraId="76C728BD">
      <w:pPr>
        <w:ind w:firstLine="0"/>
        <w:jc w:val="center"/>
        <w:rPr>
          <w:rFonts w:eastAsia="Times New Roman"/>
        </w:rPr>
      </w:pPr>
    </w:p>
    <w:p w14:paraId="437B69B7">
      <w:pPr>
        <w:ind w:firstLine="0"/>
        <w:jc w:val="center"/>
        <w:rPr>
          <w:rFonts w:eastAsia="Times New Roman"/>
        </w:rPr>
      </w:pPr>
      <w:r>
        <w:rPr>
          <w:rFonts w:eastAsia="Times New Roman"/>
        </w:rPr>
        <w:t>MSc in Engineering Project Management</w:t>
      </w:r>
    </w:p>
    <w:p w14:paraId="62131FC3">
      <w:pPr>
        <w:ind w:firstLine="0"/>
        <w:jc w:val="center"/>
        <w:rPr>
          <w:rFonts w:eastAsia="Times New Roman"/>
        </w:rPr>
      </w:pPr>
      <w:r>
        <w:rPr>
          <w:rFonts w:eastAsia="Times New Roman"/>
        </w:rPr>
        <w:t>ACHA 7028</w:t>
      </w:r>
    </w:p>
    <w:p w14:paraId="736E7DFC">
      <w:pPr>
        <w:ind w:firstLine="0"/>
        <w:jc w:val="center"/>
        <w:rPr>
          <w:rFonts w:eastAsia="Times New Roman"/>
        </w:rPr>
      </w:pPr>
    </w:p>
    <w:p w14:paraId="7B39C338">
      <w:pPr>
        <w:ind w:firstLine="0"/>
        <w:jc w:val="center"/>
        <w:rPr>
          <w:rFonts w:eastAsia="Times New Roman"/>
        </w:rPr>
      </w:pPr>
    </w:p>
    <w:p w14:paraId="62780BDA">
      <w:pPr>
        <w:ind w:firstLine="0"/>
        <w:jc w:val="center"/>
        <w:rPr>
          <w:rFonts w:eastAsia="Times New Roman"/>
        </w:rPr>
        <w:sectPr>
          <w:headerReference r:id="rId6" w:type="first"/>
          <w:footerReference r:id="rId8" w:type="first"/>
          <w:headerReference r:id="rId5" w:type="default"/>
          <w:footerReference r:id="rId7" w:type="default"/>
          <w:pgSz w:w="12240" w:h="15840"/>
          <w:pgMar w:top="1440" w:right="1440" w:bottom="1440" w:left="1440" w:header="720" w:footer="720" w:gutter="0"/>
          <w:pgNumType w:fmt="decimal"/>
          <w:cols w:space="720" w:num="1"/>
          <w:docGrid w:linePitch="360" w:charSpace="0"/>
        </w:sectPr>
      </w:pPr>
    </w:p>
    <w:p w14:paraId="47636D88">
      <w:pPr>
        <w:spacing w:after="0" w:line="240" w:lineRule="auto"/>
        <w:ind w:left="0" w:leftChars="0" w:firstLine="480" w:firstLineChars="200"/>
        <w:jc w:val="both"/>
        <w:textAlignment w:val="baseline"/>
        <w:rPr>
          <w:rFonts w:ascii="Arial" w:hAnsi="Arial" w:eastAsia="Arial" w:cs="Arial"/>
          <w:color w:val="000000" w:themeColor="text1"/>
          <w14:textFill>
            <w14:solidFill>
              <w14:schemeClr w14:val="tx1"/>
            </w14:solidFill>
          </w14:textFill>
        </w:rPr>
      </w:pPr>
      <w:r>
        <w:rPr>
          <w:rFonts w:ascii="Arial" w:hAnsi="Arial" w:eastAsia="Arial" w:cs="Arial"/>
          <w:b/>
          <w:bCs/>
          <w:color w:val="000000" w:themeColor="text1"/>
          <w14:textFill>
            <w14:solidFill>
              <w14:schemeClr w14:val="tx1"/>
            </w14:solidFill>
          </w14:textFill>
        </w:rPr>
        <w:t>Use of Generative AI in Assessment </w:t>
      </w:r>
      <w:r>
        <w:rPr>
          <w:rFonts w:ascii="Arial" w:hAnsi="Arial" w:eastAsia="Arial" w:cs="Arial"/>
          <w:color w:val="000000" w:themeColor="text1"/>
          <w14:textFill>
            <w14:solidFill>
              <w14:schemeClr w14:val="tx1"/>
            </w14:solidFill>
          </w14:textFill>
        </w:rPr>
        <w:t> </w:t>
      </w:r>
    </w:p>
    <w:p w14:paraId="6F760D63">
      <w:pPr>
        <w:spacing w:after="0" w:line="240" w:lineRule="auto"/>
        <w:ind w:firstLine="8640"/>
        <w:textAlignment w:val="baseline"/>
        <w:rPr>
          <w:rFonts w:ascii="Times New Roman" w:hAnsi="Times New Roman" w:eastAsia="Times New Roman" w:cs="Times New Roman"/>
          <w:color w:val="000000" w:themeColor="text1"/>
          <w:sz w:val="20"/>
          <w:szCs w:val="20"/>
          <w14:textFill>
            <w14:solidFill>
              <w14:schemeClr w14:val="tx1"/>
            </w14:solidFill>
          </w14:textFill>
        </w:rPr>
      </w:pPr>
      <w:r>
        <w:rPr>
          <w:rFonts w:ascii="Times New Roman" w:hAnsi="Times New Roman" w:eastAsia="Times New Roman" w:cs="Times New Roman"/>
          <w:color w:val="000000" w:themeColor="text1"/>
          <w:sz w:val="20"/>
          <w:szCs w:val="20"/>
          <w14:textFill>
            <w14:solidFill>
              <w14:schemeClr w14:val="tx1"/>
            </w14:solidFill>
          </w14:textFill>
        </w:rPr>
        <w:t>  </w:t>
      </w:r>
    </w:p>
    <w:p w14:paraId="51EEB09A">
      <w:pPr>
        <w:spacing w:after="0" w:line="240" w:lineRule="auto"/>
        <w:textAlignment w:val="baseline"/>
        <w:rPr>
          <w:rFonts w:ascii="Times New Roman" w:hAnsi="Times New Roman" w:eastAsia="Times New Roman" w:cs="Times New Roman"/>
          <w:color w:val="000000" w:themeColor="text1"/>
          <w:sz w:val="20"/>
          <w:szCs w:val="20"/>
          <w14:textFill>
            <w14:solidFill>
              <w14:schemeClr w14:val="tx1"/>
            </w14:solidFill>
          </w14:textFill>
        </w:rPr>
      </w:pPr>
    </w:p>
    <w:tbl>
      <w:tblPr>
        <w:tblStyle w:val="12"/>
        <w:tblW w:w="0" w:type="auto"/>
        <w:tblInd w:w="600" w:type="dxa"/>
        <w:tblBorders>
          <w:top w:val="single" w:color="auto" w:sz="6" w:space="0"/>
          <w:left w:val="single" w:color="auto" w:sz="6" w:space="0"/>
          <w:bottom w:val="single" w:color="auto" w:sz="6" w:space="0"/>
          <w:right w:val="single" w:color="auto" w:sz="6" w:space="0"/>
          <w:insideH w:val="none" w:color="auto" w:sz="0" w:space="0"/>
          <w:insideV w:val="none" w:color="auto" w:sz="0" w:space="0"/>
        </w:tblBorders>
        <w:tblLayout w:type="autofit"/>
        <w:tblCellMar>
          <w:top w:w="0" w:type="dxa"/>
          <w:left w:w="108" w:type="dxa"/>
          <w:bottom w:w="0" w:type="dxa"/>
          <w:right w:w="108" w:type="dxa"/>
        </w:tblCellMar>
      </w:tblPr>
      <w:tblGrid>
        <w:gridCol w:w="3011"/>
        <w:gridCol w:w="4148"/>
        <w:gridCol w:w="1811"/>
      </w:tblGrid>
      <w:tr w14:paraId="5F77EDDE">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auto" w:sz="6" w:space="0"/>
              <w:left w:val="single" w:color="auto" w:sz="6" w:space="0"/>
              <w:bottom w:val="single" w:color="000000" w:themeColor="text1" w:sz="6" w:space="0"/>
              <w:right w:val="single" w:color="000000" w:themeColor="text1" w:sz="6" w:space="0"/>
            </w:tcBorders>
            <w:tcMar>
              <w:left w:w="105" w:type="dxa"/>
              <w:right w:w="105" w:type="dxa"/>
            </w:tcMar>
          </w:tcPr>
          <w:p w14:paraId="7C75143B">
            <w:pPr>
              <w:spacing w:after="0" w:line="240" w:lineRule="auto"/>
              <w:rPr>
                <w:rFonts w:ascii="Arial" w:hAnsi="Arial" w:eastAsia="Arial" w:cs="Arial"/>
              </w:rPr>
            </w:pPr>
            <w:r>
              <w:rPr>
                <w:rFonts w:ascii="Arial" w:hAnsi="Arial" w:eastAsia="Arial" w:cs="Arial"/>
              </w:rPr>
              <w:t>RESEARCH  </w:t>
            </w:r>
          </w:p>
        </w:tc>
        <w:tc>
          <w:tcPr>
            <w:tcW w:w="4935" w:type="dxa"/>
            <w:tcBorders>
              <w:top w:val="single" w:color="auto" w:sz="6" w:space="0"/>
              <w:left w:val="single" w:color="000000" w:themeColor="text1" w:sz="6" w:space="0"/>
              <w:bottom w:val="single" w:color="000000" w:themeColor="text1" w:sz="6" w:space="0"/>
              <w:right w:val="single" w:color="000000" w:themeColor="text1" w:sz="6" w:space="0"/>
            </w:tcBorders>
            <w:tcMar>
              <w:left w:w="105" w:type="dxa"/>
              <w:right w:w="105" w:type="dxa"/>
            </w:tcMar>
          </w:tcPr>
          <w:p w14:paraId="719C084E">
            <w:pPr>
              <w:spacing w:after="0" w:line="240" w:lineRule="auto"/>
              <w:rPr>
                <w:rFonts w:ascii="Arial" w:hAnsi="Arial" w:eastAsia="Arial" w:cs="Arial"/>
              </w:rPr>
            </w:pPr>
            <w:r>
              <w:rPr>
                <w:rFonts w:ascii="Arial" w:hAnsi="Arial" w:eastAsia="Arial" w:cs="Arial"/>
              </w:rPr>
              <w:t>For this assessment, you can use Generative AI to support you in research, including searching for bibliography, using tools to summarise, compare and interrogate materials.  </w:t>
            </w:r>
          </w:p>
        </w:tc>
        <w:tc>
          <w:tcPr>
            <w:tcW w:w="126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14:paraId="1060F0F9">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7B50347B">
            <w:pPr>
              <w:spacing w:after="0" w:line="240" w:lineRule="auto"/>
              <w:rPr>
                <w:rFonts w:ascii="Arial" w:hAnsi="Arial" w:eastAsia="Arial" w:cs="Arial"/>
              </w:rPr>
            </w:pPr>
            <w:r>
              <w:rPr>
                <w:rFonts w:ascii="Arial" w:hAnsi="Arial" w:eastAsia="Arial" w:cs="Arial"/>
              </w:rPr>
              <w:t>  </w:t>
            </w:r>
          </w:p>
          <w:p w14:paraId="143DA1B1">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r w14:paraId="5D7A3119">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tcPr>
          <w:p w14:paraId="03ED2116">
            <w:pPr>
              <w:spacing w:after="0" w:line="240" w:lineRule="auto"/>
              <w:rPr>
                <w:rFonts w:ascii="Arial" w:hAnsi="Arial" w:eastAsia="Arial" w:cs="Arial"/>
              </w:rPr>
            </w:pPr>
            <w:r>
              <w:rPr>
                <w:rFonts w:ascii="Arial" w:hAnsi="Arial" w:eastAsia="Arial" w:cs="Arial"/>
              </w:rPr>
              <w:t>STRUCTURE  </w:t>
            </w:r>
          </w:p>
        </w:tc>
        <w:tc>
          <w:tcPr>
            <w:tcW w:w="49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14:paraId="22F6FDCB">
            <w:pPr>
              <w:spacing w:after="0" w:line="240" w:lineRule="auto"/>
              <w:rPr>
                <w:rFonts w:ascii="Arial" w:hAnsi="Arial" w:eastAsia="Arial" w:cs="Arial"/>
              </w:rPr>
            </w:pPr>
            <w:r>
              <w:rPr>
                <w:rFonts w:ascii="Arial" w:hAnsi="Arial" w:eastAsia="Arial" w:cs="Arial"/>
              </w:rPr>
              <w:t>For this assessment, you can use Generative AI to support you in structuring your submission, including creating a draft argument structure, identifying parts and headings, etc.  </w:t>
            </w:r>
          </w:p>
        </w:tc>
        <w:tc>
          <w:tcPr>
            <w:tcW w:w="126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14:paraId="23BE1218">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15316EC4">
            <w:pPr>
              <w:spacing w:after="0" w:line="240" w:lineRule="auto"/>
              <w:rPr>
                <w:rFonts w:ascii="Arial" w:hAnsi="Arial" w:eastAsia="Arial" w:cs="Arial"/>
              </w:rPr>
            </w:pPr>
            <w:r>
              <w:rPr>
                <w:rFonts w:ascii="Arial" w:hAnsi="Arial" w:eastAsia="Arial" w:cs="Arial"/>
              </w:rPr>
              <w:t>  </w:t>
            </w:r>
          </w:p>
          <w:p w14:paraId="4D815BC3">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r w14:paraId="4F5F5563">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tcPr>
          <w:p w14:paraId="25357779">
            <w:pPr>
              <w:spacing w:after="0" w:line="240" w:lineRule="auto"/>
              <w:rPr>
                <w:rFonts w:ascii="Arial" w:hAnsi="Arial" w:eastAsia="Arial" w:cs="Arial"/>
              </w:rPr>
            </w:pPr>
            <w:r>
              <w:rPr>
                <w:rFonts w:ascii="Arial" w:hAnsi="Arial" w:eastAsia="Arial" w:cs="Arial"/>
              </w:rPr>
              <w:t>PROOFREADING  </w:t>
            </w:r>
          </w:p>
        </w:tc>
        <w:tc>
          <w:tcPr>
            <w:tcW w:w="49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14:paraId="2891DD53">
            <w:pPr>
              <w:spacing w:after="0" w:line="240" w:lineRule="auto"/>
              <w:rPr>
                <w:rFonts w:ascii="Arial" w:hAnsi="Arial" w:eastAsia="Arial" w:cs="Arial"/>
              </w:rPr>
            </w:pPr>
            <w:r>
              <w:rPr>
                <w:rFonts w:ascii="Arial" w:hAnsi="Arial" w:eastAsia="Arial" w:cs="Arial"/>
              </w:rPr>
              <w:t>For this assessment, you can use Generative AI to check your own text/creation for grammatical and syntactical mistakes, including rephrasing of your own work within specific standards.  </w:t>
            </w:r>
          </w:p>
        </w:tc>
        <w:tc>
          <w:tcPr>
            <w:tcW w:w="126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14:paraId="6B2DAFF4">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4DDEC335">
            <w:pPr>
              <w:spacing w:after="0" w:line="240" w:lineRule="auto"/>
              <w:rPr>
                <w:rFonts w:ascii="Arial" w:hAnsi="Arial" w:eastAsia="Arial" w:cs="Arial"/>
              </w:rPr>
            </w:pPr>
            <w:r>
              <w:rPr>
                <w:rFonts w:ascii="Arial" w:hAnsi="Arial" w:eastAsia="Arial" w:cs="Arial"/>
              </w:rPr>
              <w:t>  </w:t>
            </w:r>
          </w:p>
          <w:p w14:paraId="4AE00E53">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r w14:paraId="0DDCAEC9">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tcPr>
          <w:p w14:paraId="741B7570">
            <w:pPr>
              <w:spacing w:after="0" w:line="240" w:lineRule="auto"/>
              <w:rPr>
                <w:rFonts w:ascii="Arial" w:hAnsi="Arial" w:eastAsia="Arial" w:cs="Arial"/>
              </w:rPr>
            </w:pPr>
            <w:r>
              <w:rPr>
                <w:rFonts w:ascii="Arial" w:hAnsi="Arial" w:eastAsia="Arial" w:cs="Arial"/>
              </w:rPr>
              <w:t>WRITING  </w:t>
            </w:r>
          </w:p>
        </w:tc>
        <w:tc>
          <w:tcPr>
            <w:tcW w:w="49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14:paraId="7327383D">
            <w:pPr>
              <w:spacing w:after="0" w:line="240" w:lineRule="auto"/>
              <w:rPr>
                <w:rFonts w:ascii="Arial" w:hAnsi="Arial" w:eastAsia="Arial" w:cs="Arial"/>
              </w:rPr>
            </w:pPr>
            <w:r>
              <w:rPr>
                <w:rFonts w:ascii="Arial" w:hAnsi="Arial" w:eastAsia="Arial" w:cs="Arial"/>
              </w:rPr>
              <w:t>For this assessment, you can use Generative AI to create text for submission.  </w:t>
            </w:r>
          </w:p>
        </w:tc>
        <w:tc>
          <w:tcPr>
            <w:tcW w:w="126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14:paraId="51047D3E">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554E8798">
            <w:pPr>
              <w:spacing w:after="0" w:line="240" w:lineRule="auto"/>
              <w:rPr>
                <w:rFonts w:ascii="Arial" w:hAnsi="Arial" w:eastAsia="Arial" w:cs="Arial"/>
              </w:rPr>
            </w:pPr>
            <w:r>
              <w:rPr>
                <w:rFonts w:ascii="Arial" w:hAnsi="Arial" w:eastAsia="Arial" w:cs="Arial"/>
              </w:rPr>
              <w:t>  </w:t>
            </w:r>
          </w:p>
          <w:p w14:paraId="3736FD4E">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r w14:paraId="055CFC73">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tcPr>
          <w:p w14:paraId="4C865685">
            <w:pPr>
              <w:spacing w:after="0" w:line="240" w:lineRule="auto"/>
              <w:rPr>
                <w:rFonts w:ascii="Arial" w:hAnsi="Arial" w:eastAsia="Arial" w:cs="Arial"/>
              </w:rPr>
            </w:pPr>
            <w:r>
              <w:rPr>
                <w:rFonts w:ascii="Arial" w:hAnsi="Arial" w:eastAsia="Arial" w:cs="Arial"/>
              </w:rPr>
              <w:t>CREATIVE  </w:t>
            </w:r>
          </w:p>
        </w:tc>
        <w:tc>
          <w:tcPr>
            <w:tcW w:w="49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14:paraId="6533A440">
            <w:pPr>
              <w:spacing w:after="0" w:line="240" w:lineRule="auto"/>
              <w:rPr>
                <w:rFonts w:ascii="Arial" w:hAnsi="Arial" w:eastAsia="Arial" w:cs="Arial"/>
              </w:rPr>
            </w:pPr>
            <w:r>
              <w:rPr>
                <w:rFonts w:ascii="Arial" w:hAnsi="Arial" w:eastAsia="Arial" w:cs="Arial"/>
              </w:rPr>
              <w:t>For this assessment, you can use Generative AI to create creative materials, such as images.  </w:t>
            </w:r>
          </w:p>
        </w:tc>
        <w:tc>
          <w:tcPr>
            <w:tcW w:w="126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14:paraId="51BA4E57">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4786B172">
            <w:pPr>
              <w:spacing w:after="0" w:line="240" w:lineRule="auto"/>
              <w:rPr>
                <w:rFonts w:ascii="Arial" w:hAnsi="Arial" w:eastAsia="Arial" w:cs="Arial"/>
              </w:rPr>
            </w:pPr>
            <w:r>
              <w:rPr>
                <w:rFonts w:ascii="Arial" w:hAnsi="Arial" w:eastAsia="Arial" w:cs="Arial"/>
              </w:rPr>
              <w:t>  </w:t>
            </w:r>
          </w:p>
          <w:p w14:paraId="5A51A5B5">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r w14:paraId="28D6EBA3">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tcPr>
          <w:p w14:paraId="388C2823">
            <w:pPr>
              <w:spacing w:after="0" w:line="240" w:lineRule="auto"/>
              <w:rPr>
                <w:rFonts w:ascii="Arial" w:hAnsi="Arial" w:eastAsia="Arial" w:cs="Arial"/>
              </w:rPr>
            </w:pPr>
            <w:r>
              <w:rPr>
                <w:rFonts w:ascii="Arial" w:hAnsi="Arial" w:eastAsia="Arial" w:cs="Arial"/>
              </w:rPr>
              <w:t>PROGRAMING  </w:t>
            </w:r>
          </w:p>
        </w:tc>
        <w:tc>
          <w:tcPr>
            <w:tcW w:w="493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tcPr>
          <w:p w14:paraId="1B992125">
            <w:pPr>
              <w:spacing w:after="0" w:line="240" w:lineRule="auto"/>
              <w:rPr>
                <w:rFonts w:ascii="Arial" w:hAnsi="Arial" w:eastAsia="Arial" w:cs="Arial"/>
              </w:rPr>
            </w:pPr>
            <w:r>
              <w:rPr>
                <w:rFonts w:ascii="Arial" w:hAnsi="Arial" w:eastAsia="Arial" w:cs="Arial"/>
              </w:rPr>
              <w:t>For this assessment, you can use Generative AI to create and check code.  </w:t>
            </w:r>
          </w:p>
        </w:tc>
        <w:tc>
          <w:tcPr>
            <w:tcW w:w="126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14:paraId="08AA82C2">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4C5E0692">
            <w:pPr>
              <w:spacing w:after="0" w:line="240" w:lineRule="auto"/>
              <w:rPr>
                <w:rFonts w:ascii="Arial" w:hAnsi="Arial" w:eastAsia="Arial" w:cs="Arial"/>
              </w:rPr>
            </w:pPr>
            <w:r>
              <w:rPr>
                <w:rFonts w:ascii="Arial" w:hAnsi="Arial" w:eastAsia="Arial" w:cs="Arial"/>
              </w:rPr>
              <w:t>  </w:t>
            </w:r>
          </w:p>
          <w:p w14:paraId="331CB117">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r w14:paraId="70908F6A">
        <w:tblPrEx>
          <w:tblBorders>
            <w:top w:val="single" w:color="auto" w:sz="6" w:space="0"/>
            <w:left w:val="single" w:color="auto" w:sz="6" w:space="0"/>
            <w:bottom w:val="single" w:color="auto" w:sz="6" w:space="0"/>
            <w:right w:val="single" w:color="auto" w:sz="6"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205" w:type="dxa"/>
            <w:tcBorders>
              <w:top w:val="single" w:color="000000" w:themeColor="text1" w:sz="6" w:space="0"/>
              <w:left w:val="single" w:color="auto" w:sz="6" w:space="0"/>
              <w:bottom w:val="single" w:color="auto" w:sz="6" w:space="0"/>
              <w:right w:val="single" w:color="000000" w:themeColor="text1" w:sz="6" w:space="0"/>
            </w:tcBorders>
            <w:tcMar>
              <w:left w:w="105" w:type="dxa"/>
              <w:right w:w="105" w:type="dxa"/>
            </w:tcMar>
          </w:tcPr>
          <w:p w14:paraId="39F8F5C7">
            <w:pPr>
              <w:spacing w:after="0" w:line="240" w:lineRule="auto"/>
              <w:rPr>
                <w:rFonts w:ascii="Arial" w:hAnsi="Arial" w:eastAsia="Arial" w:cs="Arial"/>
              </w:rPr>
            </w:pPr>
            <w:r>
              <w:rPr>
                <w:rFonts w:ascii="Arial" w:hAnsi="Arial" w:eastAsia="Arial" w:cs="Arial"/>
              </w:rPr>
              <w:t>NONE  </w:t>
            </w:r>
          </w:p>
        </w:tc>
        <w:tc>
          <w:tcPr>
            <w:tcW w:w="4935" w:type="dxa"/>
            <w:tcBorders>
              <w:top w:val="single" w:color="000000" w:themeColor="text1" w:sz="6" w:space="0"/>
              <w:left w:val="single" w:color="000000" w:themeColor="text1" w:sz="6" w:space="0"/>
              <w:bottom w:val="single" w:color="auto" w:sz="6" w:space="0"/>
              <w:right w:val="single" w:color="000000" w:themeColor="text1" w:sz="6" w:space="0"/>
            </w:tcBorders>
            <w:tcMar>
              <w:left w:w="105" w:type="dxa"/>
              <w:right w:w="105" w:type="dxa"/>
            </w:tcMar>
          </w:tcPr>
          <w:p w14:paraId="051F8F0D">
            <w:pPr>
              <w:spacing w:after="0" w:line="240" w:lineRule="auto"/>
              <w:rPr>
                <w:rFonts w:ascii="Arial" w:hAnsi="Arial" w:eastAsia="Arial" w:cs="Arial"/>
              </w:rPr>
            </w:pPr>
            <w:r>
              <w:rPr>
                <w:rFonts w:ascii="Arial" w:hAnsi="Arial" w:eastAsia="Arial" w:cs="Arial"/>
              </w:rPr>
              <w:t xml:space="preserve">For this assessment, you are not allowed to use </w:t>
            </w:r>
            <w:r>
              <w:rPr>
                <w:rFonts w:ascii="Arial" w:hAnsi="Arial" w:eastAsia="Arial" w:cs="Arial"/>
                <w:b/>
                <w:bCs/>
              </w:rPr>
              <w:t>any</w:t>
            </w:r>
            <w:r>
              <w:rPr>
                <w:rFonts w:ascii="Arial" w:hAnsi="Arial" w:eastAsia="Arial" w:cs="Arial"/>
              </w:rPr>
              <w:t xml:space="preserve"> type of Generative AI support. This includes research support, structure support, writing/proofreading support and creative support.  </w:t>
            </w:r>
          </w:p>
        </w:tc>
        <w:tc>
          <w:tcPr>
            <w:tcW w:w="126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14:paraId="67E08AE1">
            <w:pPr>
              <w:spacing w:after="0" w:line="240" w:lineRule="auto"/>
              <w:rPr>
                <w:rFonts w:ascii="Arial" w:hAnsi="Arial" w:eastAsia="Arial" w:cs="Arial"/>
              </w:rPr>
            </w:pPr>
            <w:r>
              <w:rPr>
                <w:rFonts w:ascii="Arial" w:hAnsi="Arial" w:eastAsia="Arial" w:cs="Arial"/>
              </w:rPr>
              <w:t xml:space="preserve">Yes </w:t>
            </w:r>
            <w:r>
              <w:rPr>
                <w:rFonts w:ascii="MS Gothic" w:hAnsi="MS Gothic" w:eastAsia="MS Gothic" w:cs="MS Gothic"/>
              </w:rPr>
              <w:t>☐</w:t>
            </w:r>
            <w:r>
              <w:rPr>
                <w:rFonts w:ascii="Arial" w:hAnsi="Arial" w:eastAsia="Arial" w:cs="Arial"/>
              </w:rPr>
              <w:t xml:space="preserve">   </w:t>
            </w:r>
          </w:p>
          <w:p w14:paraId="440F205E">
            <w:pPr>
              <w:spacing w:after="0" w:line="240" w:lineRule="auto"/>
              <w:rPr>
                <w:rFonts w:ascii="Arial" w:hAnsi="Arial" w:eastAsia="Arial" w:cs="Arial"/>
              </w:rPr>
            </w:pPr>
            <w:r>
              <w:rPr>
                <w:rFonts w:ascii="Arial" w:hAnsi="Arial" w:eastAsia="Arial" w:cs="Arial"/>
              </w:rPr>
              <w:t>  </w:t>
            </w:r>
          </w:p>
          <w:p w14:paraId="481E3A00">
            <w:pPr>
              <w:spacing w:after="0" w:line="240" w:lineRule="auto"/>
              <w:rPr>
                <w:rFonts w:ascii="Arial" w:hAnsi="Arial" w:eastAsia="Arial" w:cs="Arial"/>
              </w:rPr>
            </w:pPr>
            <w:r>
              <w:rPr>
                <w:rFonts w:ascii="Arial" w:hAnsi="Arial" w:eastAsia="Arial" w:cs="Arial"/>
              </w:rPr>
              <w:t xml:space="preserve">No  </w:t>
            </w:r>
            <w:r>
              <w:rPr>
                <w:rFonts w:ascii="MS Gothic" w:hAnsi="MS Gothic" w:eastAsia="MS Gothic" w:cs="MS Gothic"/>
              </w:rPr>
              <w:t>☒</w:t>
            </w:r>
            <w:r>
              <w:rPr>
                <w:rFonts w:ascii="Arial" w:hAnsi="Arial" w:eastAsia="Arial" w:cs="Arial"/>
              </w:rPr>
              <w:t xml:space="preserve">   </w:t>
            </w:r>
          </w:p>
        </w:tc>
      </w:tr>
    </w:tbl>
    <w:p w14:paraId="286CFC0B">
      <w:pPr>
        <w:spacing w:after="0" w:line="240" w:lineRule="auto"/>
        <w:textAlignment w:val="baseline"/>
        <w:rPr>
          <w:rFonts w:ascii="Arial" w:hAnsi="Arial" w:eastAsia="Times New Roman" w:cs="Arial"/>
          <w:kern w:val="0"/>
          <w:sz w:val="24"/>
          <w:szCs w:val="24"/>
          <w14:ligatures w14:val="none"/>
        </w:rPr>
      </w:pPr>
      <w:r>
        <w:rPr>
          <w:rFonts w:ascii="Arial" w:hAnsi="Arial" w:eastAsia="Times New Roman" w:cs="Arial"/>
          <w:kern w:val="0"/>
          <w:sz w:val="24"/>
          <w:szCs w:val="24"/>
          <w14:ligatures w14:val="none"/>
        </w:rPr>
        <w:t xml:space="preserve">     AI Acknowledgement </w:t>
      </w:r>
    </w:p>
    <w:p w14:paraId="0A91FC73">
      <w:pPr>
        <w:spacing w:after="0" w:line="240" w:lineRule="auto"/>
        <w:ind w:left="720"/>
        <w:textAlignment w:val="baseline"/>
        <w:rPr>
          <w:rFonts w:ascii="Segoe UI" w:hAnsi="Segoe UI" w:eastAsia="Times New Roman" w:cs="Segoe UI"/>
          <w:kern w:val="0"/>
          <w:sz w:val="18"/>
          <w:szCs w:val="18"/>
          <w14:ligatures w14:val="none"/>
        </w:rPr>
      </w:pPr>
      <w:r>
        <w:rPr>
          <w:rFonts w:ascii="Arial" w:hAnsi="Arial" w:eastAsia="Times New Roman" w:cs="Arial"/>
          <w:kern w:val="0"/>
          <w:sz w:val="24"/>
          <w:szCs w:val="24"/>
          <w14:ligatures w14:val="none"/>
        </w:rPr>
        <w:t>  I confirm that I have not present any AI-generated materials as my own work in this portfolio. </w:t>
      </w:r>
    </w:p>
    <w:p w14:paraId="7DFB9FB4">
      <w:pPr>
        <w:spacing w:after="0" w:line="240" w:lineRule="auto"/>
        <w:ind w:left="720"/>
        <w:textAlignment w:val="baseline"/>
        <w:rPr>
          <w:rFonts w:ascii="Segoe UI" w:hAnsi="Segoe UI" w:eastAsia="Times New Roman" w:cs="Segoe UI"/>
          <w:kern w:val="0"/>
          <w:sz w:val="18"/>
          <w:szCs w:val="18"/>
          <w14:ligatures w14:val="none"/>
        </w:rPr>
      </w:pPr>
      <w:r>
        <w:rPr>
          <w:rFonts w:ascii="Arial" w:hAnsi="Arial" w:eastAsia="Times New Roman" w:cs="Arial"/>
          <w:kern w:val="0"/>
          <w:sz w:val="24"/>
          <w:szCs w:val="24"/>
          <w14:ligatures w14:val="none"/>
        </w:rPr>
        <w:t>  However, I acknowledge that I have used or may have used the AI in the resea</w:t>
      </w:r>
      <w:r>
        <w:rPr>
          <w:rFonts w:hint="default" w:ascii="Arial" w:hAnsi="Arial" w:eastAsia="Times New Roman" w:cs="Arial"/>
          <w:kern w:val="0"/>
          <w:sz w:val="24"/>
          <w:szCs w:val="24"/>
          <w:lang w:val="en-IN"/>
          <w14:ligatures w14:val="none"/>
        </w:rPr>
        <w:t xml:space="preserve"> </w:t>
      </w:r>
      <w:r>
        <w:rPr>
          <w:rFonts w:ascii="Arial" w:hAnsi="Arial" w:eastAsia="Times New Roman" w:cs="Arial"/>
          <w:kern w:val="0"/>
          <w:sz w:val="24"/>
          <w:szCs w:val="24"/>
          <w14:ligatures w14:val="none"/>
        </w:rPr>
        <w:t>rch and proofreading of my portfolio. </w:t>
      </w:r>
    </w:p>
    <w:p w14:paraId="392AC31D">
      <w:pPr>
        <w:spacing w:after="0" w:line="240" w:lineRule="auto"/>
        <w:ind w:left="720"/>
        <w:textAlignment w:val="baseline"/>
        <w:rPr>
          <w:rFonts w:ascii="Segoe UI" w:hAnsi="Segoe UI" w:eastAsia="Times New Roman" w:cs="Segoe UI"/>
          <w:kern w:val="0"/>
          <w:sz w:val="18"/>
          <w:szCs w:val="18"/>
          <w14:ligatures w14:val="none"/>
        </w:rPr>
      </w:pPr>
      <w:r>
        <w:rPr>
          <w:rFonts w:ascii="Arial" w:hAnsi="Arial" w:eastAsia="Times New Roman" w:cs="Arial"/>
          <w:kern w:val="0"/>
          <w:sz w:val="24"/>
          <w:szCs w:val="24"/>
          <w14:ligatures w14:val="none"/>
        </w:rPr>
        <w:t>  </w:t>
      </w:r>
    </w:p>
    <w:p w14:paraId="6CFA9472">
      <w:pPr>
        <w:spacing w:after="0" w:line="240" w:lineRule="auto"/>
        <w:ind w:left="720"/>
        <w:textAlignment w:val="baseline"/>
        <w:rPr>
          <w:rFonts w:ascii="Segoe UI" w:hAnsi="Segoe UI" w:eastAsia="Times New Roman" w:cs="Segoe UI"/>
          <w:kern w:val="0"/>
          <w:sz w:val="18"/>
          <w:szCs w:val="18"/>
          <w14:ligatures w14:val="none"/>
        </w:rPr>
      </w:pPr>
      <w:r>
        <w:rPr>
          <w:rFonts w:ascii="Arial" w:hAnsi="Arial" w:eastAsia="Times New Roman" w:cs="Arial"/>
          <w:kern w:val="0"/>
          <w:sz w:val="24"/>
          <w:szCs w:val="24"/>
          <w14:ligatures w14:val="none"/>
        </w:rPr>
        <w:t>Name:</w:t>
      </w:r>
      <w:r>
        <w:rPr>
          <w:rFonts w:hint="default" w:ascii="Arial" w:hAnsi="Arial" w:eastAsia="Times New Roman" w:cs="Arial"/>
          <w:kern w:val="0"/>
          <w:sz w:val="24"/>
          <w:szCs w:val="24"/>
          <w:lang w:val="en-IN"/>
          <w14:ligatures w14:val="none"/>
        </w:rPr>
        <w:t xml:space="preserve">Durgesh Sunil Badhe </w:t>
      </w:r>
      <w:r>
        <w:rPr>
          <w:rFonts w:ascii="Arial" w:hAnsi="Arial" w:eastAsia="Times New Roman" w:cs="Arial"/>
          <w:kern w:val="0"/>
          <w:sz w:val="24"/>
          <w:szCs w:val="24"/>
          <w14:ligatures w14:val="none"/>
        </w:rPr>
        <w:t>.........…</w:t>
      </w:r>
      <w:r>
        <w:rPr>
          <w:rFonts w:hint="default" w:ascii="Arial" w:hAnsi="Arial" w:eastAsia="Times New Roman" w:cs="Arial"/>
          <w:kern w:val="0"/>
          <w:sz w:val="24"/>
          <w:szCs w:val="24"/>
          <w:lang w:val="en-IN"/>
          <w14:ligatures w14:val="none"/>
        </w:rPr>
        <w:t xml:space="preserve">    </w:t>
      </w:r>
      <w:r>
        <w:rPr>
          <w:rFonts w:ascii="Arial" w:hAnsi="Arial" w:eastAsia="Times New Roman" w:cs="Arial"/>
          <w:kern w:val="0"/>
          <w:sz w:val="24"/>
          <w:szCs w:val="24"/>
          <w14:ligatures w14:val="none"/>
        </w:rPr>
        <w:t>Student ID</w:t>
      </w:r>
      <w:r>
        <w:rPr>
          <w:rFonts w:hint="default" w:ascii="Arial" w:hAnsi="Arial" w:eastAsia="Times New Roman" w:cs="Arial"/>
          <w:kern w:val="0"/>
          <w:sz w:val="24"/>
          <w:szCs w:val="24"/>
          <w:lang w:val="en-IN"/>
          <w14:ligatures w14:val="none"/>
        </w:rPr>
        <w:t xml:space="preserve">  S2506741</w:t>
      </w:r>
      <w:r>
        <w:rPr>
          <w:rFonts w:ascii="Arial" w:hAnsi="Arial" w:eastAsia="Times New Roman" w:cs="Arial"/>
          <w:kern w:val="0"/>
          <w:sz w:val="24"/>
          <w:szCs w:val="24"/>
          <w14:ligatures w14:val="none"/>
        </w:rPr>
        <w:t>.............. </w:t>
      </w:r>
    </w:p>
    <w:p w14:paraId="6DB287E6">
      <w:pPr>
        <w:ind w:firstLine="0"/>
        <w:jc w:val="center"/>
        <w:rPr>
          <w:rFonts w:eastAsia="Times New Roman"/>
        </w:rPr>
        <w:sectPr>
          <w:pgSz w:w="12240" w:h="15840"/>
          <w:pgMar w:top="1440" w:right="1440" w:bottom="1440" w:left="1440" w:header="720" w:footer="720" w:gutter="0"/>
          <w:pgNumType w:fmt="decimal"/>
          <w:cols w:space="720" w:num="1"/>
          <w:docGrid w:linePitch="360" w:charSpace="0"/>
        </w:sectPr>
      </w:pPr>
    </w:p>
    <w:p w14:paraId="7B6EC9B7">
      <w:pPr>
        <w:ind w:firstLine="0"/>
        <w:jc w:val="center"/>
        <w:rPr>
          <w:rFonts w:eastAsia="Times New Roman"/>
        </w:rPr>
      </w:pPr>
    </w:p>
    <w:p w14:paraId="62D1B223">
      <w:pPr>
        <w:ind w:firstLine="0"/>
        <w:jc w:val="center"/>
        <w:rPr>
          <w:rFonts w:eastAsia="Times New Roman"/>
        </w:rPr>
      </w:pPr>
    </w:p>
    <w:sdt>
      <w:sdtPr>
        <w:rPr>
          <w:rFonts w:eastAsiaTheme="minorEastAsia" w:cstheme="minorBidi"/>
          <w:b w:val="0"/>
          <w:bCs w:val="0"/>
          <w:color w:val="0000FF"/>
          <w:sz w:val="32"/>
          <w:szCs w:val="28"/>
        </w:rPr>
        <w:id w:val="-1535118118"/>
        <w:docPartObj>
          <w:docPartGallery w:val="Table of Contents"/>
          <w:docPartUnique/>
        </w:docPartObj>
      </w:sdtPr>
      <w:sdtEndPr>
        <w:rPr>
          <w:rFonts w:eastAsiaTheme="minorEastAsia" w:cstheme="minorBidi"/>
          <w:b w:val="0"/>
          <w:bCs w:val="0"/>
          <w:color w:val="auto"/>
          <w:sz w:val="32"/>
          <w:szCs w:val="22"/>
        </w:rPr>
      </w:sdtEndPr>
      <w:sdtContent>
        <w:p w14:paraId="5750C057">
          <w:pPr>
            <w:pStyle w:val="57"/>
            <w:numPr>
              <w:ilvl w:val="0"/>
              <w:numId w:val="0"/>
            </w:numPr>
            <w:ind w:left="432" w:hanging="432"/>
            <w:jc w:val="both"/>
            <w:rPr>
              <w:color w:val="0000FF"/>
              <w:sz w:val="32"/>
              <w:szCs w:val="44"/>
            </w:rPr>
          </w:pPr>
          <w:r>
            <w:rPr>
              <w:color w:val="0000FF"/>
              <w:sz w:val="32"/>
              <w:szCs w:val="44"/>
            </w:rPr>
            <w:t>Table of Contents</w:t>
          </w:r>
        </w:p>
        <w:p w14:paraId="0963CB0E">
          <w:pPr>
            <w:pStyle w:val="28"/>
            <w:tabs>
              <w:tab w:val="left" w:pos="1200"/>
              <w:tab w:val="right" w:leader="dot" w:pos="9350"/>
            </w:tabs>
            <w:rPr>
              <w:rFonts w:asciiTheme="minorHAnsi" w:hAnsiTheme="minorHAnsi"/>
              <w:kern w:val="2"/>
              <w:szCs w:val="24"/>
              <w:lang w:eastAsia="en-AU"/>
              <w14:ligatures w14:val="standardContextual"/>
            </w:rPr>
          </w:pPr>
          <w:r>
            <w:fldChar w:fldCharType="begin"/>
          </w:r>
          <w:r>
            <w:instrText xml:space="preserve"> TOC \o "1-3" \h \z \u </w:instrText>
          </w:r>
          <w:r>
            <w:fldChar w:fldCharType="separate"/>
          </w:r>
          <w:r>
            <w:fldChar w:fldCharType="begin"/>
          </w:r>
          <w:r>
            <w:instrText xml:space="preserve"> HYPERLINK \l "_Toc229314381" </w:instrText>
          </w:r>
          <w:r>
            <w:fldChar w:fldCharType="separate"/>
          </w:r>
          <w:r>
            <w:rPr>
              <w:rStyle w:val="21"/>
              <w:rFonts w:eastAsia="Times New Roman"/>
            </w:rPr>
            <w:t>1</w:t>
          </w:r>
          <w:r>
            <w:rPr>
              <w:rFonts w:asciiTheme="minorHAnsi" w:hAnsiTheme="minorHAnsi"/>
              <w:kern w:val="2"/>
              <w:szCs w:val="24"/>
              <w:lang w:eastAsia="en-AU"/>
              <w14:ligatures w14:val="standardContextual"/>
            </w:rPr>
            <w:tab/>
          </w:r>
          <w:r>
            <w:rPr>
              <w:rStyle w:val="21"/>
              <w:rFonts w:eastAsia="Times New Roman"/>
            </w:rPr>
            <w:t>Introducti</w:t>
          </w:r>
          <w:r>
            <w:tab/>
          </w:r>
          <w:r>
            <w:fldChar w:fldCharType="begin"/>
          </w:r>
          <w:r>
            <w:instrText xml:space="preserve"> PAGEREF _Toc229314381 \h </w:instrText>
          </w:r>
          <w:r>
            <w:fldChar w:fldCharType="separate"/>
          </w:r>
          <w:r>
            <w:t>2</w:t>
          </w:r>
          <w:r>
            <w:fldChar w:fldCharType="end"/>
          </w:r>
          <w:r>
            <w:fldChar w:fldCharType="end"/>
          </w:r>
        </w:p>
        <w:p w14:paraId="54719A9F">
          <w:pPr>
            <w:pStyle w:val="28"/>
            <w:tabs>
              <w:tab w:val="left" w:pos="120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"_Toc229314382" </w:instrText>
          </w:r>
          <w:r>
            <w:fldChar w:fldCharType="separate"/>
          </w:r>
          <w:r>
            <w:rPr>
              <w:rStyle w:val="21"/>
              <w:rFonts w:eastAsia="Times New Roman"/>
            </w:rPr>
            <w:t>2</w:t>
          </w:r>
          <w:r>
            <w:rPr>
              <w:rFonts w:asciiTheme="minorHAnsi" w:hAnsiTheme="minorHAnsi"/>
              <w:kern w:val="2"/>
              <w:szCs w:val="24"/>
              <w:lang w:eastAsia="en-AU"/>
              <w14:ligatures w14:val="standardContextual"/>
            </w:rPr>
            <w:tab/>
          </w:r>
          <w:r>
            <w:rPr>
              <w:rStyle w:val="21"/>
              <w:rFonts w:eastAsia="Times New Roman"/>
            </w:rPr>
            <w:t>Body</w:t>
          </w:r>
          <w:r>
            <w:tab/>
          </w:r>
          <w:r>
            <w:fldChar w:fldCharType="begin"/>
          </w:r>
          <w:r>
            <w:instrText xml:space="preserve"> PAGEREF _Toc229314382 \h </w:instrText>
          </w:r>
          <w:r>
            <w:fldChar w:fldCharType="separate"/>
          </w:r>
          <w:r>
            <w:t>3</w:t>
          </w:r>
          <w:r>
            <w:fldChar w:fldCharType="end"/>
          </w:r>
          <w:r>
            <w:fldChar w:fldCharType="end"/>
          </w:r>
        </w:p>
        <w:p w14:paraId="2545AAFE">
          <w:pPr>
            <w:pStyle w:val="29"/>
            <w:tabs>
              <w:tab w:val="left" w:pos="168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"_Toc229314383" </w:instrText>
          </w:r>
          <w:r>
            <w:fldChar w:fldCharType="separate"/>
          </w:r>
          <w:r>
            <w:rPr>
              <w:rStyle w:val="21"/>
            </w:rPr>
            <w:t>2.1</w:t>
          </w:r>
          <w:r>
            <w:rPr>
              <w:rFonts w:asciiTheme="minorHAnsi" w:hAnsiTheme="minorHAnsi"/>
              <w:kern w:val="2"/>
              <w:szCs w:val="24"/>
              <w:lang w:eastAsia="en-AU"/>
              <w14:ligatures w14:val="standardContextual"/>
            </w:rPr>
            <w:tab/>
          </w:r>
          <w:r>
            <w:rPr>
              <w:rStyle w:val="21"/>
              <w:rFonts w:eastAsia="Times New Roman"/>
            </w:rPr>
            <w:t>Scenario 1: High-Performing Workplaces at DHL</w:t>
          </w:r>
          <w:r>
            <w:tab/>
          </w:r>
          <w:r>
            <w:fldChar w:fldCharType="begin"/>
          </w:r>
          <w:r>
            <w:instrText xml:space="preserve"> PAGEREF _Toc229314383 \h </w:instrText>
          </w:r>
          <w:r>
            <w:fldChar w:fldCharType="separate"/>
          </w:r>
          <w:r>
            <w:t>3</w:t>
          </w:r>
          <w:r>
            <w:fldChar w:fldCharType="end"/>
          </w:r>
          <w:r>
            <w:fldChar w:fldCharType="end"/>
          </w:r>
        </w:p>
        <w:p w14:paraId="7CBD94F5">
          <w:pPr>
            <w:pStyle w:val="29"/>
            <w:tabs>
              <w:tab w:val="left" w:pos="168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"_Toc229314384" </w:instrText>
          </w:r>
          <w:r>
            <w:fldChar w:fldCharType="separate"/>
          </w:r>
          <w:r>
            <w:rPr>
              <w:rStyle w:val="21"/>
              <w:rFonts w:eastAsia="Times New Roman"/>
            </w:rPr>
            <w:t>2.2</w:t>
          </w:r>
          <w:r>
            <w:rPr>
              <w:rFonts w:asciiTheme="minorHAnsi" w:hAnsiTheme="minorHAnsi"/>
              <w:kern w:val="2"/>
              <w:szCs w:val="24"/>
              <w:lang w:eastAsia="en-AU"/>
              <w14:ligatures w14:val="standardContextual"/>
            </w:rPr>
            <w:tab/>
          </w:r>
          <w:r>
            <w:rPr>
              <w:rStyle w:val="21"/>
              <w:rFonts w:eastAsia="Times New Roman"/>
            </w:rPr>
            <w:t>Scenario 2: Employee Orientation Practices at DHL</w:t>
          </w:r>
          <w:r>
            <w:tab/>
          </w:r>
          <w:r>
            <w:fldChar w:fldCharType="begin"/>
          </w:r>
          <w:r>
            <w:instrText xml:space="preserve"> PAGEREF _Toc229314384 \h </w:instrText>
          </w:r>
          <w:r>
            <w:fldChar w:fldCharType="separate"/>
          </w:r>
          <w:r>
            <w:t>4</w:t>
          </w:r>
          <w:r>
            <w:fldChar w:fldCharType="end"/>
          </w:r>
          <w:r>
            <w:fldChar w:fldCharType="end"/>
          </w:r>
        </w:p>
        <w:p w14:paraId="10086E2C">
          <w:pPr>
            <w:pStyle w:val="29"/>
            <w:tabs>
              <w:tab w:val="left" w:pos="168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"_Toc229314385" </w:instrText>
          </w:r>
          <w:r>
            <w:fldChar w:fldCharType="separate"/>
          </w:r>
          <w:r>
            <w:rPr>
              <w:rStyle w:val="21"/>
              <w:rFonts w:eastAsia="Times New Roman"/>
            </w:rPr>
            <w:t>2.3</w:t>
          </w:r>
          <w:r>
            <w:rPr>
              <w:rFonts w:asciiTheme="minorHAnsi" w:hAnsiTheme="minorHAnsi"/>
              <w:kern w:val="2"/>
              <w:szCs w:val="24"/>
              <w:lang w:eastAsia="en-AU"/>
              <w14:ligatures w14:val="standardContextual"/>
            </w:rPr>
            <w:tab/>
          </w:r>
          <w:r>
            <w:rPr>
              <w:rStyle w:val="21"/>
              <w:rFonts w:eastAsia="Times New Roman"/>
            </w:rPr>
            <w:t>Scenario 3: Modern Approaches to Succession Planning at DHL</w:t>
          </w:r>
          <w:r>
            <w:tab/>
          </w:r>
          <w:r>
            <w:fldChar w:fldCharType="begin"/>
          </w:r>
          <w:r>
            <w:instrText xml:space="preserve"> PAGEREF _Toc229314385 \h </w:instrText>
          </w:r>
          <w:r>
            <w:fldChar w:fldCharType="separate"/>
          </w:r>
          <w:r>
            <w:t>5</w:t>
          </w:r>
          <w:r>
            <w:fldChar w:fldCharType="end"/>
          </w:r>
          <w:r>
            <w:fldChar w:fldCharType="end"/>
          </w:r>
        </w:p>
        <w:p w14:paraId="2E774881">
          <w:pPr>
            <w:pStyle w:val="29"/>
            <w:tabs>
              <w:tab w:val="left" w:pos="168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"_Toc229314386" </w:instrText>
          </w:r>
          <w:r>
            <w:fldChar w:fldCharType="separate"/>
          </w:r>
          <w:r>
            <w:rPr>
              <w:rStyle w:val="21"/>
              <w:rFonts w:eastAsia="Times New Roman"/>
            </w:rPr>
            <w:t>2.4</w:t>
          </w:r>
          <w:r>
            <w:rPr>
              <w:rFonts w:asciiTheme="minorHAnsi" w:hAnsiTheme="minorHAnsi"/>
              <w:kern w:val="2"/>
              <w:szCs w:val="24"/>
              <w:lang w:eastAsia="en-AU"/>
              <w14:ligatures w14:val="standardContextual"/>
            </w:rPr>
            <w:tab/>
          </w:r>
          <w:r>
            <w:rPr>
              <w:rStyle w:val="21"/>
              <w:rFonts w:eastAsia="Times New Roman"/>
            </w:rPr>
            <w:t>Scenario 4: Resourcing and Retention Strategies at DHL</w:t>
          </w:r>
          <w:r>
            <w:tab/>
          </w:r>
          <w:r>
            <w:fldChar w:fldCharType="begin"/>
          </w:r>
          <w:r>
            <w:instrText xml:space="preserve"> PAGEREF _Toc229314386 \h </w:instrText>
          </w:r>
          <w:r>
            <w:fldChar w:fldCharType="separate"/>
          </w:r>
          <w:r>
            <w:t>6</w:t>
          </w:r>
          <w:r>
            <w:fldChar w:fldCharType="end"/>
          </w:r>
          <w:r>
            <w:fldChar w:fldCharType="end"/>
          </w:r>
        </w:p>
        <w:p w14:paraId="31255162">
          <w:pPr>
            <w:pStyle w:val="29"/>
            <w:tabs>
              <w:tab w:val="left" w:pos="168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"_Toc229314387" </w:instrText>
          </w:r>
          <w:r>
            <w:fldChar w:fldCharType="separate"/>
          </w:r>
          <w:r>
            <w:rPr>
              <w:rStyle w:val="21"/>
              <w:rFonts w:eastAsia="Times New Roman"/>
            </w:rPr>
            <w:t>2.5</w:t>
          </w:r>
          <w:r>
            <w:rPr>
              <w:rFonts w:asciiTheme="minorHAnsi" w:hAnsiTheme="minorHAnsi"/>
              <w:kern w:val="2"/>
              <w:szCs w:val="24"/>
              <w:lang w:eastAsia="en-AU"/>
              <w14:ligatures w14:val="standardContextual"/>
            </w:rPr>
            <w:tab/>
          </w:r>
          <w:r>
            <w:rPr>
              <w:rStyle w:val="21"/>
              <w:rFonts w:eastAsia="Times New Roman"/>
            </w:rPr>
            <w:t>Scenario 5: Talent Insight and Strategic Retention at DHL</w:t>
          </w:r>
          <w:r>
            <w:tab/>
          </w:r>
          <w:r>
            <w:fldChar w:fldCharType="begin"/>
          </w:r>
          <w:r>
            <w:instrText xml:space="preserve"> PAGEREF _Toc229314387 \h </w:instrText>
          </w:r>
          <w:r>
            <w:fldChar w:fldCharType="separate"/>
          </w:r>
          <w:r>
            <w:t>7</w:t>
          </w:r>
          <w:r>
            <w:fldChar w:fldCharType="end"/>
          </w:r>
          <w:r>
            <w:fldChar w:fldCharType="end"/>
          </w:r>
        </w:p>
        <w:p w14:paraId="7FAFF23E">
          <w:pPr>
            <w:pStyle w:val="28"/>
            <w:tabs>
              <w:tab w:val="left" w:pos="120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"_Toc229314388" </w:instrText>
          </w:r>
          <w:r>
            <w:fldChar w:fldCharType="separate"/>
          </w:r>
          <w:r>
            <w:rPr>
              <w:rStyle w:val="21"/>
              <w:rFonts w:eastAsia="Times New Roman"/>
            </w:rPr>
            <w:t>3</w:t>
          </w:r>
          <w:r>
            <w:rPr>
              <w:rFonts w:asciiTheme="minorHAnsi" w:hAnsiTheme="minorHAnsi"/>
              <w:kern w:val="2"/>
              <w:szCs w:val="24"/>
              <w:lang w:eastAsia="en-AU"/>
              <w14:ligatures w14:val="standardContextual"/>
            </w:rPr>
            <w:tab/>
          </w:r>
          <w:r>
            <w:rPr>
              <w:rStyle w:val="21"/>
              <w:rFonts w:eastAsia="Times New Roman"/>
            </w:rPr>
            <w:t>Conclusion</w:t>
          </w:r>
          <w:r>
            <w:tab/>
          </w:r>
          <w:r>
            <w:fldChar w:fldCharType="begin"/>
          </w:r>
          <w:r>
            <w:instrText xml:space="preserve"> PAGEREF _Toc229314388 \h </w:instrText>
          </w:r>
          <w:r>
            <w:fldChar w:fldCharType="separate"/>
          </w:r>
          <w:r>
            <w:t>9</w:t>
          </w:r>
          <w:r>
            <w:fldChar w:fldCharType="end"/>
          </w:r>
          <w:r>
            <w:fldChar w:fldCharType="end"/>
          </w:r>
        </w:p>
        <w:p w14:paraId="1BED25F8">
          <w:pPr>
            <w:pStyle w:val="28"/>
            <w:tabs>
              <w:tab w:val="left" w:pos="1200"/>
              <w:tab w:val="right" w:leader="dot" w:pos="9350"/>
            </w:tabs>
            <w:rPr>
              <w:rFonts w:asciiTheme="minorHAnsi" w:hAnsiTheme="minorHAnsi"/>
              <w:kern w:val="2"/>
              <w:szCs w:val="24"/>
              <w:lang w:eastAsia="en-AU"/>
              <w14:ligatures w14:val="standardContextual"/>
            </w:rPr>
          </w:pPr>
          <w:r>
            <w:fldChar w:fldCharType="begin"/>
          </w:r>
          <w:r>
            <w:instrText xml:space="preserve"> HYPERLINK \l "_Toc229314389" </w:instrText>
          </w:r>
          <w:r>
            <w:fldChar w:fldCharType="separate"/>
          </w:r>
          <w:r>
            <w:rPr>
              <w:rStyle w:val="21"/>
            </w:rPr>
            <w:t>4</w:t>
          </w:r>
          <w:r>
            <w:rPr>
              <w:rFonts w:asciiTheme="minorHAnsi" w:hAnsiTheme="minorHAnsi"/>
              <w:kern w:val="2"/>
              <w:szCs w:val="24"/>
              <w:lang w:eastAsia="en-AU"/>
              <w14:ligatures w14:val="standardContextual"/>
            </w:rPr>
            <w:tab/>
          </w:r>
          <w:r>
            <w:rPr>
              <w:rStyle w:val="21"/>
            </w:rPr>
            <w:t>References</w:t>
          </w:r>
          <w:r>
            <w:tab/>
          </w:r>
          <w:r>
            <w:fldChar w:fldCharType="begin"/>
          </w:r>
          <w:r>
            <w:instrText xml:space="preserve"> PAGEREF _Toc229314389 \h </w:instrText>
          </w:r>
          <w:r>
            <w:fldChar w:fldCharType="separate"/>
          </w:r>
          <w:r>
            <w:t>9</w:t>
          </w:r>
          <w:r>
            <w:fldChar w:fldCharType="end"/>
          </w:r>
          <w:r>
            <w:fldChar w:fldCharType="end"/>
          </w:r>
        </w:p>
        <w:p w14:paraId="4FEFBF04">
          <w:r>
            <w:rPr>
              <w:b/>
              <w:bCs/>
            </w:rPr>
            <w:fldChar w:fldCharType="end"/>
          </w:r>
        </w:p>
      </w:sdtContent>
    </w:sdt>
    <w:p w14:paraId="575BDBD9">
      <w:pPr>
        <w:ind w:firstLine="0"/>
        <w:jc w:val="center"/>
        <w:rPr>
          <w:rFonts w:eastAsia="Times New Roman"/>
        </w:rPr>
      </w:pPr>
    </w:p>
    <w:p w14:paraId="7A466BC1">
      <w:pPr>
        <w:ind w:firstLine="0"/>
        <w:jc w:val="center"/>
        <w:rPr>
          <w:rFonts w:eastAsia="Times New Roman"/>
        </w:rPr>
      </w:pPr>
    </w:p>
    <w:p w14:paraId="074E2109">
      <w:pPr>
        <w:ind w:firstLine="0"/>
        <w:jc w:val="center"/>
        <w:rPr>
          <w:rFonts w:eastAsia="Times New Roman"/>
        </w:rPr>
      </w:pPr>
    </w:p>
    <w:p w14:paraId="105323F5">
      <w:pPr>
        <w:ind w:firstLine="0"/>
        <w:jc w:val="center"/>
        <w:rPr>
          <w:rFonts w:eastAsia="Times New Roman"/>
        </w:rPr>
      </w:pPr>
    </w:p>
    <w:p w14:paraId="20A180B8">
      <w:pPr>
        <w:ind w:firstLine="0"/>
        <w:jc w:val="center"/>
        <w:rPr>
          <w:rFonts w:eastAsia="Times New Roman"/>
        </w:rPr>
      </w:pPr>
    </w:p>
    <w:p w14:paraId="7E773DD0">
      <w:pPr>
        <w:ind w:firstLine="0"/>
        <w:rPr>
          <w:rFonts w:eastAsia="Times New Roman"/>
        </w:rPr>
      </w:pPr>
    </w:p>
    <w:p w14:paraId="627D4F90">
      <w:pPr>
        <w:ind w:firstLine="0"/>
        <w:rPr>
          <w:rFonts w:eastAsia="Times New Roman"/>
        </w:rPr>
      </w:pPr>
    </w:p>
    <w:p w14:paraId="5D64D268">
      <w:pPr>
        <w:ind w:firstLine="0"/>
        <w:rPr>
          <w:rFonts w:eastAsia="Times New Roman"/>
        </w:rPr>
      </w:pPr>
    </w:p>
    <w:p w14:paraId="591965A6">
      <w:pPr>
        <w:ind w:firstLine="0"/>
        <w:rPr>
          <w:rFonts w:eastAsia="Times New Roman"/>
        </w:rPr>
      </w:pPr>
    </w:p>
    <w:p w14:paraId="556C0F3C">
      <w:pPr>
        <w:ind w:firstLine="0"/>
        <w:rPr>
          <w:rFonts w:eastAsia="Times New Roman"/>
        </w:rPr>
      </w:pPr>
    </w:p>
    <w:p w14:paraId="4978F617">
      <w:pPr>
        <w:ind w:firstLine="0"/>
        <w:rPr>
          <w:rFonts w:eastAsia="Times New Roman"/>
        </w:rPr>
      </w:pPr>
    </w:p>
    <w:p w14:paraId="1F8F89F4">
      <w:pPr>
        <w:pStyle w:val="2"/>
        <w:jc w:val="both"/>
        <w:rPr>
          <w:rFonts w:eastAsia="Times New Roman"/>
          <w:color w:val="0070C0"/>
          <w:sz w:val="28"/>
          <w:szCs w:val="40"/>
        </w:rPr>
      </w:pPr>
      <w:bookmarkStart w:id="0" w:name="_Toc229314381"/>
      <w:r>
        <w:rPr>
          <w:rFonts w:eastAsia="Times New Roman"/>
          <w:color w:val="0070C0"/>
          <w:sz w:val="28"/>
          <w:szCs w:val="40"/>
        </w:rPr>
        <w:t>Introduction</w:t>
      </w:r>
      <w:bookmarkEnd w:id="0"/>
    </w:p>
    <w:p w14:paraId="12B65704">
      <w:pPr>
        <w:ind w:left="0" w:leftChars="0" w:firstLine="0" w:firstLineChars="0"/>
        <w:jc w:val="both"/>
        <w:rPr>
          <w:rFonts w:eastAsia="Times New Roman"/>
        </w:rPr>
      </w:pPr>
      <w:r>
        <w:rPr>
          <w:rFonts w:eastAsia="Times New Roman"/>
        </w:rPr>
        <w:t>Human Resource Management (HRM) is one of the cornerstones of organisational performance, especially in large organisations that are project based and logistically oriented and which operate in dynamic and competitive aspects. One of the most prominent logistic and supply chain corporations in the world, DHL Group has more than 37,000 employees in the United Kingdom and 395,000 employees in more than 220 countries and territories worldwide; which is why it is an interesting subject of analysis when it comes to identifying the HRM issues of the modern world (DHL Group, 2026). The current report critically evaluates five major HRM situations, i.e., high-performing workplaces, employee orientation, succession planning, resourcing and retention, and talent insight, and puts the practices of DHL into perspective using the relevant HRM concepts into the current academic and industry discourse.</w:t>
      </w:r>
    </w:p>
    <w:p w14:paraId="5D08CE38">
      <w:pPr>
        <w:rPr>
          <w:rFonts w:eastAsia="Times New Roman"/>
        </w:rPr>
      </w:pPr>
      <w:r>
        <w:rPr>
          <w:rFonts w:eastAsia="Times New Roman"/>
        </w:rPr>
        <w:br w:type="page"/>
      </w:r>
    </w:p>
    <w:p w14:paraId="2C0AA9ED">
      <w:pPr>
        <w:pStyle w:val="2"/>
        <w:jc w:val="both"/>
        <w:rPr>
          <w:rFonts w:eastAsia="Times New Roman"/>
          <w:color w:val="0070C0"/>
          <w:sz w:val="28"/>
          <w:szCs w:val="40"/>
        </w:rPr>
      </w:pPr>
      <w:bookmarkStart w:id="1" w:name="_Toc229314382"/>
      <w:r>
        <w:rPr>
          <w:rFonts w:eastAsia="Times New Roman"/>
          <w:color w:val="0070C0"/>
          <w:sz w:val="28"/>
          <w:szCs w:val="40"/>
        </w:rPr>
        <w:t>Body</w:t>
      </w:r>
      <w:bookmarkEnd w:id="1"/>
    </w:p>
    <w:p w14:paraId="35C6FAC0">
      <w:pPr>
        <w:pStyle w:val="3"/>
        <w:rPr>
          <w:color w:val="0070C0"/>
          <w:sz w:val="28"/>
          <w:szCs w:val="32"/>
        </w:rPr>
      </w:pPr>
      <w:bookmarkStart w:id="2" w:name="_Toc229314383"/>
      <w:r>
        <w:rPr>
          <w:rFonts w:eastAsia="Times New Roman"/>
          <w:color w:val="0070C0"/>
          <w:sz w:val="28"/>
          <w:szCs w:val="32"/>
        </w:rPr>
        <w:t>Scenario 1: High-Performing Workplaces at DHL</w:t>
      </w:r>
      <w:bookmarkEnd w:id="2"/>
    </w:p>
    <w:p w14:paraId="2A2EA553">
      <w:pPr>
        <w:ind w:left="0" w:leftChars="0" w:firstLine="0" w:firstLineChars="0"/>
        <w:rPr>
          <w:rFonts w:eastAsia="Times New Roman"/>
        </w:rPr>
      </w:pPr>
      <w:r>
        <w:rPr>
          <w:rFonts w:eastAsia="Times New Roman"/>
        </w:rPr>
        <w:t>The Two-Factor Theory (also called the Motivation-Hygiene Theory) introduced by Frederick Herzberg was an American psychologist and introduced in 1959. He differentiated hygienic factors, pay, working conditions, and job security which prevent dissatisfaction and motivators which give rise to true job satisfaction and high performance (Herzberg, 1959). This dual lens can be used to analyze the workplace practices of DHL. DHL Group UK has continually appeared in the Great Place to Work UK list, which can be attributed to its commitment to work culture. DHL has a 67 employee “great place to work” rating (54 on average in typical UK firms (+13%), and scores high in fairness: 83% physical safety, 82% gender, 81% race and 79% welcome-on-joining. It is listed as one of the best workplaces (e.g., #3 Best Workplace 2024 (Super Large), #7 in 2022, various wellbeing/development/women awards 2021-2025) (Great Place to Work UK., 2025). By implementing the Herzberg framework, DHL hygienic factors involve competitive compensation, with average salaries of a logistics operator being some GBP 28,500/year, and extensive health insurance, up to 8% employer contribution to pension, and meals provided at a subsidised rate (DHL Group, 2024). These aspects minimise dissatisfaction but they do not motivate on their own.</w:t>
      </w:r>
    </w:p>
    <w:p w14:paraId="5A8930CD">
      <w:pPr>
        <w:ind w:left="0" w:leftChars="0" w:firstLine="0" w:firstLineChars="0"/>
        <w:rPr>
          <w:rFonts w:eastAsia="Times New Roman"/>
        </w:rPr>
      </w:pPr>
      <w:r>
        <w:rPr>
          <w:rFonts w:eastAsia="Times New Roman"/>
        </w:rPr>
        <w:t>The motivational approaches of DHL are its internal recognition programme called Certified International Specialist (CIS) with more than 350,000 employees worldwide having completed the certification on the initiative since 2011 that made employees feel more accomplished and professional (DHL Group, 2022). It also encourages a well-organized leadership pipeline within 2022 72% of senior management roles were occupied internally indicating strong potential to grow (DHL Annual Report, 2022). High diversity and inclusion rates are also part of cultural aspects that define DHL as a high-performing workplace. In the UK, the company recorded a 8.3% gender pay gap in 2023, which is lower than the national average in the logistics sector (14.6), in 2023 (DHL Group, 2025). Moreover, there were employee Net Promoter Score (eNPS) surveys carried out throughout the DHL Express UK activities that reported the eNPS of +42 in the year 2022 against the sector of +21, which signifies high employee advocacy and satisfaction (DHL Express, 2022).</w:t>
      </w:r>
    </w:p>
    <w:p w14:paraId="2D5A2DF8">
      <w:pPr>
        <w:ind w:firstLine="0"/>
        <w:jc w:val="center"/>
        <w:rPr>
          <w:rFonts w:eastAsia="Times New Roman"/>
        </w:rPr>
      </w:pPr>
      <w:r>
        <w:rPr>
          <w:rFonts w:eastAsia="Times New Roman"/>
        </w:rPr>
        <w:drawing>
          <wp:inline distT="0" distB="0" distL="0" distR="0">
            <wp:extent cx="5934075" cy="2714625"/>
            <wp:effectExtent l="0" t="0" r="9525" b="9525"/>
            <wp:docPr id="833400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00028"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934075" cy="2714625"/>
                    </a:xfrm>
                    <a:prstGeom prst="rect">
                      <a:avLst/>
                    </a:prstGeom>
                    <a:noFill/>
                    <a:ln>
                      <a:noFill/>
                    </a:ln>
                  </pic:spPr>
                </pic:pic>
              </a:graphicData>
            </a:graphic>
          </wp:inline>
        </w:drawing>
      </w:r>
    </w:p>
    <w:p w14:paraId="38FC76A6">
      <w:pPr>
        <w:ind w:firstLine="0"/>
        <w:rPr>
          <w:rFonts w:eastAsia="Times New Roman"/>
          <w:color w:val="4472C4" w:themeColor="accent1"/>
          <w:sz w:val="24"/>
          <w:szCs w:val="22"/>
          <w:highlight w:val="none"/>
          <w14:textFill>
            <w14:solidFill>
              <w14:schemeClr w14:val="accent1"/>
            </w14:solidFill>
          </w14:textFill>
        </w:rPr>
      </w:pPr>
      <w:r>
        <w:rPr>
          <w:rFonts w:eastAsia="Times New Roman"/>
          <w:color w:val="4472C4" w:themeColor="accent1"/>
          <w:sz w:val="24"/>
          <w:szCs w:val="22"/>
          <w:highlight w:val="none"/>
          <w14:textFill>
            <w14:solidFill>
              <w14:schemeClr w14:val="accent1"/>
            </w14:solidFill>
          </w14:textFill>
        </w:rPr>
        <w:t>Figure 1: DHL’s Motivational Approaches and Cultural Aspects</w:t>
      </w:r>
    </w:p>
    <w:p w14:paraId="096B54CC">
      <w:pPr>
        <w:ind w:left="0" w:leftChars="0" w:firstLine="0" w:firstLineChars="0"/>
        <w:rPr>
          <w:rFonts w:ascii="Calibri" w:hAnsi="Calibri" w:eastAsia="Times New Roman" w:cs="Calibri"/>
          <w:color w:val="000000" w:themeColor="text1"/>
          <w:highlight w:val="none"/>
          <w14:textFill>
            <w14:solidFill>
              <w14:schemeClr w14:val="tx1"/>
            </w14:solidFill>
          </w14:textFill>
        </w:rPr>
      </w:pPr>
      <w:r>
        <w:rPr>
          <w:rFonts w:ascii="Calibri" w:hAnsi="Calibri" w:eastAsia="Times New Roman" w:cs="Calibri"/>
          <w:color w:val="000000" w:themeColor="text1"/>
          <w:highlight w:val="none"/>
          <w14:textFill>
            <w14:solidFill>
              <w14:schemeClr w14:val="tx1"/>
            </w14:solidFill>
          </w14:textFill>
        </w:rPr>
        <w:t>This analysis could be strengthened by comparing DHL's workplace practices with those of other major logistics companies. FedEx, coming in at #14 on Fortune;s Best Workplaces in 2023, achieved a 71% engagement score through its longstanding Purple Promise culture and a structured People-Service-Profit philosophy (FedEx Corporation, 2023). UPS, on the other hand, had a lower 64% Glassdoor culture rating in 2024 and a greater voluntary turnover rate of 22% in UK warehouse positions. This indicates a less effective motivational design, despite competitive salaries (UPS Inc., 2024). Amazon Logistics prioritises higher base salaries, yet reported a 58% employee satisfaction score, which contributed to considerable unionisation, suggesting that engagement cannot be maintained with hygiene factors alone (Amazon, 2024). From all the research performed, workplace best practices incorporate adequate compensation, psychological safety, and openness of the recognition process and internal mobility. DHL performs best in these three aspects, but there is a risk of exposure relating to excessive workloads, which falls under hygiene factors.</w:t>
      </w:r>
    </w:p>
    <w:p w14:paraId="17C136FD">
      <w:pPr>
        <w:ind w:left="0" w:leftChars="0" w:firstLine="0" w:firstLineChars="0"/>
        <w:rPr>
          <w:rFonts w:eastAsia="Times New Roman"/>
        </w:rPr>
      </w:pPr>
      <w:r>
        <w:rPr>
          <w:rFonts w:eastAsia="Times New Roman"/>
        </w:rPr>
        <w:t>One of the issues in this situation is associated with maintaining the motivational practices in a workforce spread over a wide geographical area and working in shifts. Using the Herzberg theory, once hygiene factors are reduced, like when there is a supply chain disruption or an increase in workload, then employee dissatisfaction may quickly lead to a loss of already obtained motivational benefits. DHL reported a 12% increase in employee absence rates during the 2021 to 2022 period of peak demand, underscoring the fragility of high-performance culture under operational pressure (DHL Group, 2026). To solve this, DHL should constantly make investments in the hygiene and motivational aspects of the working experience to maintain its high-performing workplace position.</w:t>
      </w:r>
    </w:p>
    <w:p w14:paraId="33D26F02">
      <w:pPr>
        <w:ind w:left="0" w:leftChars="0" w:firstLine="0" w:firstLineChars="0"/>
        <w:rPr>
          <w:rFonts w:ascii="Calibri" w:hAnsi="Calibri" w:eastAsia="Times New Roman" w:cs="Calibri"/>
          <w:highlight w:val="none"/>
        </w:rPr>
      </w:pPr>
      <w:r>
        <w:rPr>
          <w:rFonts w:ascii="Calibri" w:hAnsi="Calibri" w:eastAsia="Times New Roman" w:cs="Calibri"/>
          <w:highlight w:val="none"/>
        </w:rPr>
        <w:t>There are well-documented critiques of Herzberg's Two-Factor Theory. They include: self-reporting bias, ignoring individual differences, and treating hygiene and motivation factors as separate categories, despite evidence showing their integration in practice (Sachau, 2007). Self-Determination Theory (Deci and Ryan, 2000) and the Job Demands-Resources model (Bakker and Demerouti, 2017), two peer-reviewed theories in use today focus on the elements of autonomy, competence, and the balance of resources and demands. Logistics work, particularly shift work, is an area of focus for both theories. An evidence-based alternative strategy for DHL would therefore integrate maintenance of Herzbergian hygiene factors with JD-R interventions such as job crafting workshops and autonomy supportive training for line managers, which Tims et al. (2013) found reduced burnout by 21% in similar operational settings.</w:t>
      </w:r>
    </w:p>
    <w:p w14:paraId="10AA51EF">
      <w:pPr>
        <w:rPr>
          <w:rFonts w:eastAsia="Times New Roman"/>
          <w:color w:val="0070C0"/>
          <w:sz w:val="28"/>
          <w:szCs w:val="32"/>
        </w:rPr>
      </w:pPr>
      <w:bookmarkStart w:id="3" w:name="_Toc229314384"/>
      <w:r>
        <w:rPr>
          <w:rFonts w:eastAsia="Times New Roman"/>
          <w:color w:val="0070C0"/>
          <w:sz w:val="28"/>
          <w:szCs w:val="32"/>
        </w:rPr>
        <w:br w:type="page"/>
      </w:r>
    </w:p>
    <w:p w14:paraId="4E245581">
      <w:pPr>
        <w:pStyle w:val="3"/>
        <w:rPr>
          <w:rFonts w:eastAsia="Times New Roman"/>
          <w:color w:val="0070C0"/>
          <w:sz w:val="28"/>
          <w:szCs w:val="32"/>
        </w:rPr>
      </w:pPr>
      <w:r>
        <w:rPr>
          <w:rFonts w:eastAsia="Times New Roman"/>
          <w:color w:val="0070C0"/>
          <w:sz w:val="28"/>
          <w:szCs w:val="32"/>
        </w:rPr>
        <w:t>Scenario 2: Employee Orientation Practices at DHL</w:t>
      </w:r>
      <w:bookmarkEnd w:id="3"/>
    </w:p>
    <w:p w14:paraId="2E18160C">
      <w:pPr>
        <w:ind w:left="0" w:leftChars="0" w:firstLine="0" w:firstLineChars="0"/>
        <w:rPr>
          <w:rFonts w:eastAsia="Times New Roman"/>
        </w:rPr>
      </w:pPr>
      <w:r>
        <w:rPr>
          <w:rFonts w:eastAsia="Times New Roman"/>
        </w:rPr>
        <w:t>Van Maanen and Schein (1979) introduced the Organisational Socialisation Theory, which describes the process of acquiring values, skills, anticipated behaviours and social knowledge required to become an effective employee of an organisation. They proposed six socialisation strategy dimensions such as formal and informal, individual and collective, and sequence and randomness and justified that structured socialisation brings about role clarity and lowers early turnover (Van Maanen and Schein, 1979).</w:t>
      </w:r>
    </w:p>
    <w:p w14:paraId="6D1288B3">
      <w:pPr>
        <w:ind w:left="0" w:leftChars="0" w:firstLine="0" w:firstLineChars="0"/>
        <w:rPr>
          <w:rFonts w:eastAsia="Times New Roman"/>
        </w:rPr>
      </w:pPr>
      <w:r>
        <w:rPr>
          <w:rFonts w:eastAsia="Times New Roman"/>
        </w:rPr>
        <w:t>The induction programme of DHL UK is the New Joiner Journey and it works on a guided 90-day platform. The programme includes three stages: pre-boarding digital orientation, week-long in-classroom induction, and 60-day on-the-job guided integration (DHL Group, 2026). On the taxonomy of Van Maanen and Schein, DHL has collective and formal socialisation strategy, which incorporates the new joiners in groups of cohorts with clear schedules and role oriented material. DHL UK recruited around 14,500 new hires in 2022, and a post-induction role clarity score of 81% indicated by internal surveys with the New Joiner Journey (DHL Group, 2022).</w:t>
      </w:r>
    </w:p>
    <w:p w14:paraId="55D1E81D">
      <w:pPr>
        <w:ind w:left="0" w:leftChars="0" w:firstLine="0" w:firstLineChars="0"/>
        <w:rPr>
          <w:rFonts w:eastAsia="Times New Roman"/>
        </w:rPr>
      </w:pPr>
      <w:r>
        <w:rPr>
          <w:rFonts w:eastAsia="Times New Roman"/>
        </w:rPr>
        <w:t>Nonetheless, critical analysis shows that there are a number of structural flaws. To begin with, the programme overly focuses on operational compliance and health and safety training with 62% of the time spent on the procedural material but little room is available to immerse in the culture and align the values (DHL Internal HR Report, 2022). This contradicts the evidence that values-based onboarding lessens 90-day voluntary turnover by up to 30 percent (Bauer, 2010). In UK warehouse service, the voluntary turnover rate of DHL amounts to 18.4 during the 90-day period in 2022 which is far higher than the industry average of 11.2 (CIPD, 2022). Second, although the digital pre-boarding module has six languages, it cannot be personalised to positions above the operative level, which diminishes the relevance of the pre-boarding to managerial and technical entrants (DHL Group, 2026).</w:t>
      </w:r>
    </w:p>
    <w:p w14:paraId="26CC521F">
      <w:pPr>
        <w:ind w:left="0" w:leftChars="0" w:firstLine="0" w:firstLineChars="0"/>
        <w:rPr>
          <w:rFonts w:eastAsia="Times New Roman"/>
        </w:rPr>
      </w:pPr>
      <w:r>
        <w:rPr>
          <w:rFonts w:eastAsia="Times New Roman"/>
        </w:rPr>
        <w:t>Examples of improvements based on evidence would be to incorporate structured buddy and mentoring programs right at the beginning, make cultural orientation sessions cover at least 25% of induction time, and implement individual development plans tailored to each new recruit based on his or her career path in the first 30 days. Using the socialisation theory, shift in collective to blended individual and collective approach to technical and leadership roles would better meet the role-specific socialisation needs of the diverse workforce at DHL. The problem here is onboarding at various sites within the UK, which causes discrepancy in the delivery standards. This variability would be taken care of by standardising the facilitation by using trained HR Business Partners at all sites by using a digital learning management system.</w:t>
      </w:r>
    </w:p>
    <w:p w14:paraId="11599CA0">
      <w:pPr>
        <w:ind w:firstLine="0"/>
        <w:jc w:val="center"/>
        <w:rPr>
          <w:rFonts w:eastAsia="Times New Roman"/>
        </w:rPr>
      </w:pPr>
      <w:r>
        <w:rPr>
          <w:rFonts w:eastAsia="Times New Roman"/>
        </w:rPr>
        <w:drawing>
          <wp:inline distT="0" distB="0" distL="0" distR="0">
            <wp:extent cx="5943600" cy="3028950"/>
            <wp:effectExtent l="0" t="0" r="0" b="0"/>
            <wp:docPr id="4699696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96967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943600" cy="3028950"/>
                    </a:xfrm>
                    <a:prstGeom prst="rect">
                      <a:avLst/>
                    </a:prstGeom>
                    <a:noFill/>
                    <a:ln>
                      <a:noFill/>
                    </a:ln>
                  </pic:spPr>
                </pic:pic>
              </a:graphicData>
            </a:graphic>
          </wp:inline>
        </w:drawing>
      </w:r>
    </w:p>
    <w:p w14:paraId="2A77DC7E">
      <w:pPr>
        <w:ind w:firstLine="0"/>
        <w:rPr>
          <w:rFonts w:eastAsia="Times New Roman"/>
          <w:color w:val="4472C4" w:themeColor="accent1"/>
          <w:sz w:val="24"/>
          <w:szCs w:val="22"/>
          <w14:textFill>
            <w14:solidFill>
              <w14:schemeClr w14:val="accent1"/>
            </w14:solidFill>
          </w14:textFill>
        </w:rPr>
      </w:pPr>
      <w:r>
        <w:rPr>
          <w:rFonts w:eastAsia="Times New Roman"/>
          <w:color w:val="4472C4" w:themeColor="accent1"/>
          <w:sz w:val="24"/>
          <w:szCs w:val="22"/>
          <w14:textFill>
            <w14:solidFill>
              <w14:schemeClr w14:val="accent1"/>
            </w14:solidFill>
          </w14:textFill>
        </w:rPr>
        <w:t>Figure 2: Analysing Structural Flaws in DHL’s onboarding Program</w:t>
      </w:r>
    </w:p>
    <w:p w14:paraId="4058A55D">
      <w:pPr>
        <w:rPr>
          <w:rFonts w:eastAsia="Times New Roman"/>
          <w:color w:val="4472C4" w:themeColor="accent1"/>
          <w:sz w:val="28"/>
          <w:szCs w:val="32"/>
          <w14:textFill>
            <w14:solidFill>
              <w14:schemeClr w14:val="accent1"/>
            </w14:solidFill>
          </w14:textFill>
        </w:rPr>
      </w:pPr>
      <w:bookmarkStart w:id="4" w:name="_Toc229314385"/>
      <w:r>
        <w:rPr>
          <w:rFonts w:eastAsia="Times New Roman"/>
          <w:color w:val="4472C4" w:themeColor="accent1"/>
          <w:sz w:val="28"/>
          <w:szCs w:val="32"/>
          <w14:textFill>
            <w14:solidFill>
              <w14:schemeClr w14:val="accent1"/>
            </w14:solidFill>
          </w14:textFill>
        </w:rPr>
        <w:br w:type="page"/>
      </w:r>
    </w:p>
    <w:p w14:paraId="07772E21">
      <w:pPr>
        <w:pStyle w:val="3"/>
        <w:rPr>
          <w:rFonts w:eastAsia="Times New Roman"/>
          <w:color w:val="4472C4" w:themeColor="accent1"/>
          <w:sz w:val="28"/>
          <w:szCs w:val="32"/>
          <w14:textFill>
            <w14:solidFill>
              <w14:schemeClr w14:val="accent1"/>
            </w14:solidFill>
          </w14:textFill>
        </w:rPr>
      </w:pPr>
      <w:r>
        <w:rPr>
          <w:rFonts w:eastAsia="Times New Roman"/>
          <w:color w:val="4472C4" w:themeColor="accent1"/>
          <w:sz w:val="28"/>
          <w:szCs w:val="32"/>
          <w14:textFill>
            <w14:solidFill>
              <w14:schemeClr w14:val="accent1"/>
            </w14:solidFill>
          </w14:textFill>
        </w:rPr>
        <w:t>Scenario 3: Modern Approaches to Succession Planning at DHL</w:t>
      </w:r>
      <w:bookmarkEnd w:id="4"/>
    </w:p>
    <w:p w14:paraId="5DCA1C0E">
      <w:pPr>
        <w:ind w:left="0" w:leftChars="0" w:firstLine="0" w:firstLineChars="0"/>
        <w:rPr>
          <w:rFonts w:eastAsia="Times New Roman"/>
        </w:rPr>
      </w:pPr>
      <w:r>
        <w:rPr>
          <w:rFonts w:eastAsia="Times New Roman"/>
        </w:rPr>
        <w:t>In 1991 Barney proposed the Resource-Based View (RBV) of the firm in which resource value, rarity, inimitable and non-substitutable resources form the basis of sustainable competitive advantage. In the HRM viewpoint, RBV makes human capital the most strategic resource that an organisation can build and succession planning the process through which the capital can be maintained and expanded through time (Barney, 1991). The DHL traditional succession planning was characterized by the high reliance in the fixed talent pool, top-to-bottom promotions, and qualitative evaluation of leadership preparedness (as in the vast majority of the logistics industry). These mechanisms were reactive and tended to discover successors after a gap had occurred and in many cases these mechanisms only continued to promote homogeneity in the leadership pipelines. According to a 2019 CIPD survey, 56% of the UK organisations that followed traditional approaches to succession said that there were critical leadership gaps in their situation when the top positions suddenly became vacant (CIPD, 2019).</w:t>
      </w:r>
    </w:p>
    <w:p w14:paraId="2DA3279C">
      <w:pPr>
        <w:ind w:left="0" w:leftChars="0" w:firstLine="0" w:firstLineChars="0"/>
        <w:rPr>
          <w:rFonts w:eastAsia="Times New Roman"/>
        </w:rPr>
      </w:pPr>
      <w:r>
        <w:rPr>
          <w:rFonts w:eastAsia="Times New Roman"/>
        </w:rPr>
        <w:t>DHL has gravitated towards the development of a dynamic succession planning model, based on data, as part of its broader talent management strategy. By 2022, DHL Group had introduced a global talent review scheme (the so-called 9-Box Grid performance-potential matrix) in all European operations, 87% of employees of management grade (DHL Group Annual Report, 2022). This is used to recognize high potential employees (those who can be promoted at least two levels within 5 years) and creates shortlists of successors in 95 percent of critical positions worldwide. The indicators of readiness, flight risk scores, and development progress are tracked in real time with the help of workforce analytics tools, such as SAP SuccessFactors (DHL Group, 2023). In the UK alone this left 68% of director-level positions in 2022 occupied by an internal candidate, as compared to 51% in 2018 (DHL Group, 2022).</w:t>
      </w:r>
    </w:p>
    <w:p w14:paraId="36ADE816">
      <w:pPr>
        <w:ind w:left="0" w:leftChars="0" w:firstLine="0" w:firstLineChars="0"/>
        <w:rPr>
          <w:rFonts w:eastAsia="Times New Roman"/>
        </w:rPr>
      </w:pPr>
      <w:r>
        <w:rPr>
          <w:rFonts w:eastAsia="Times New Roman"/>
        </w:rPr>
        <w:t>Using the RBV as developed by Barney, investment made by DHL in the development of rare, inimitable leadership talent in these pipelines is a strategic resource that can not be easily rivaled by the competition. One of the pitfalls in this case is that there is the possibility of over-depending on quantitative aspects like performance ratings, which can lead to biasness and disqualify high potential employees in underrepresented groups. A study by Noon (2018) shows that the performance appraisal system in logistics often disproportionately affects female and ethnic minority workers because of the unconscious bias of assessors, which must be systematically reduced by DHL in the framework of the talent review process through organized calibration exercises and blind reviews.</w:t>
      </w:r>
    </w:p>
    <w:p w14:paraId="5088F57B">
      <w:pPr>
        <w:rPr>
          <w:rFonts w:eastAsia="Times New Roman"/>
          <w:color w:val="4472C4" w:themeColor="accent1"/>
          <w:sz w:val="28"/>
          <w:szCs w:val="32"/>
          <w14:textFill>
            <w14:solidFill>
              <w14:schemeClr w14:val="accent1"/>
            </w14:solidFill>
          </w14:textFill>
        </w:rPr>
      </w:pPr>
      <w:bookmarkStart w:id="5" w:name="_Toc229314386"/>
      <w:r>
        <w:rPr>
          <w:rFonts w:eastAsia="Times New Roman"/>
          <w:color w:val="4472C4" w:themeColor="accent1"/>
          <w:sz w:val="28"/>
          <w:szCs w:val="32"/>
          <w14:textFill>
            <w14:solidFill>
              <w14:schemeClr w14:val="accent1"/>
            </w14:solidFill>
          </w14:textFill>
        </w:rPr>
        <w:br w:type="page"/>
      </w:r>
    </w:p>
    <w:p w14:paraId="48AD6404">
      <w:pPr>
        <w:pStyle w:val="3"/>
        <w:rPr>
          <w:rFonts w:eastAsia="Times New Roman"/>
          <w:color w:val="4472C4" w:themeColor="accent1"/>
          <w:sz w:val="28"/>
          <w:szCs w:val="32"/>
          <w14:textFill>
            <w14:solidFill>
              <w14:schemeClr w14:val="accent1"/>
            </w14:solidFill>
          </w14:textFill>
        </w:rPr>
      </w:pPr>
      <w:r>
        <w:rPr>
          <w:rFonts w:eastAsia="Times New Roman"/>
          <w:color w:val="4472C4" w:themeColor="accent1"/>
          <w:sz w:val="28"/>
          <w:szCs w:val="32"/>
          <w14:textFill>
            <w14:solidFill>
              <w14:schemeClr w14:val="accent1"/>
            </w14:solidFill>
          </w14:textFill>
        </w:rPr>
        <w:t>Scenario 4: Resourcing and Retention Strategies at DHL</w:t>
      </w:r>
      <w:bookmarkEnd w:id="5"/>
    </w:p>
    <w:p w14:paraId="75ED7740">
      <w:pPr>
        <w:ind w:left="0" w:leftChars="0" w:firstLine="0" w:firstLineChars="0"/>
        <w:rPr>
          <w:rFonts w:eastAsia="Times New Roman"/>
        </w:rPr>
      </w:pPr>
      <w:r>
        <w:rPr>
          <w:rFonts w:eastAsia="Times New Roman"/>
        </w:rPr>
        <w:t>The theory of Social Exchange by Peter Blau, holds that the interactions between individuals and organisations are directed by mutual exchanges of resources, trust and commitment. In cases where the organisational support and fair treatment are perceived to be high, employees also respond by engaging, becoming more loyal, and putting in discretionary effort, thus decreasing voluntary turnover (Blau, 1964). In its application to HRM, the theory supports the strategies based on the increase of perceived organisational support (POS) as the tools of attracting and retaining. Since 2020, the labour market in the UK logistics has been subjected to a large amount of turbulence due to the combined impact of the COVID-19 pandemic, the exodus of EU workers because of Brexit, and increasing wage demands. In 2022, the UK Warehousing Association recorded an industry average of 12.3% vacancy rate with DHL UK experiencing around 4,200 vacancies during times of peak demand (UKWA, 2025). Such circumstances justify resourceful and retention plans, which are not limited to competitive remuneration.</w:t>
      </w:r>
    </w:p>
    <w:p w14:paraId="3204D274">
      <w:pPr>
        <w:ind w:left="0" w:leftChars="0" w:firstLine="0" w:firstLineChars="0"/>
        <w:rPr>
          <w:rFonts w:eastAsia="Times New Roman"/>
        </w:rPr>
      </w:pPr>
      <w:r>
        <w:rPr>
          <w:rFonts w:eastAsia="Times New Roman"/>
        </w:rPr>
        <w:t>The resourcing strategy of DHL UK has a multi-channel talent attraction model. Recruiting 1,100 apprentices at Level 2 through Level 5 qualifications in 2022 the company has 47 additional education colleges across the UK working with its Apprenticeship Academy that saw recruitment grow by 34 percent in 2022 (DHL Group, 2022). DHL has also collaborated with the Prince’s trust and local councils to hire people who have been through social mobility programmes, of which 18% of the new employees in 2022 lived in social mobility programmes (DHL Group, 2019).To retain, in 2021, DHL launched a flexible scheduling platform that enables warehouse operatives to choose the shift patterns four weeks ahead. The results of post-implementation revealed a 9.2 percentage point decrease of voluntary turnover in individuals utilizing the platform in six months (DHL Group, 2026).</w:t>
      </w:r>
    </w:p>
    <w:p w14:paraId="7E0A7DE2">
      <w:pPr>
        <w:ind w:left="0" w:leftChars="0" w:firstLine="0" w:firstLineChars="0"/>
        <w:rPr>
          <w:rFonts w:eastAsia="Times New Roman"/>
        </w:rPr>
      </w:pPr>
      <w:r>
        <w:rPr>
          <w:rFonts w:eastAsia="Times New Roman"/>
        </w:rPr>
        <w:t>Using the Social Exchange Theory, these measures boost POS because employees understand that DHL cares about personal conditions and career ambitions and, therefore, encourages them to feel committed to the company, as well. In 2022, DHL had an employee retention rate of 84 in the UK of employees who had served three years or more (DHL Group, 2022). One of the issues in this context is the need to include in the benefits of retention all groups of the workforce. Part-time and agency workers, who comprise a quarter of the total UK workforce at DHL, have never had equitable access to career development and wellness programmes (DHL Group, 2026). Evening out retention investments by all categories of employment is crucial in maintaining diversity and eliminating the threat of a two-tier workforce.</w:t>
      </w:r>
    </w:p>
    <w:p w14:paraId="240B3DC4">
      <w:pPr>
        <w:rPr>
          <w:rFonts w:eastAsia="Times New Roman"/>
          <w:color w:val="4472C4" w:themeColor="accent1"/>
          <w:sz w:val="28"/>
          <w:szCs w:val="32"/>
          <w14:textFill>
            <w14:solidFill>
              <w14:schemeClr w14:val="accent1"/>
            </w14:solidFill>
          </w14:textFill>
        </w:rPr>
      </w:pPr>
      <w:bookmarkStart w:id="6" w:name="_Toc229314387"/>
      <w:r>
        <w:rPr>
          <w:rFonts w:eastAsia="Times New Roman"/>
          <w:color w:val="4472C4" w:themeColor="accent1"/>
          <w:sz w:val="28"/>
          <w:szCs w:val="32"/>
          <w14:textFill>
            <w14:solidFill>
              <w14:schemeClr w14:val="accent1"/>
            </w14:solidFill>
          </w14:textFill>
        </w:rPr>
        <w:br w:type="page"/>
      </w:r>
    </w:p>
    <w:p w14:paraId="0E204AF0">
      <w:pPr>
        <w:pStyle w:val="3"/>
        <w:rPr>
          <w:rFonts w:eastAsia="Times New Roman"/>
          <w:color w:val="4472C4" w:themeColor="accent1"/>
          <w:sz w:val="28"/>
          <w:szCs w:val="32"/>
          <w14:textFill>
            <w14:solidFill>
              <w14:schemeClr w14:val="accent1"/>
            </w14:solidFill>
          </w14:textFill>
        </w:rPr>
      </w:pPr>
      <w:r>
        <w:rPr>
          <w:rFonts w:eastAsia="Times New Roman"/>
          <w:color w:val="4472C4" w:themeColor="accent1"/>
          <w:sz w:val="28"/>
          <w:szCs w:val="32"/>
          <w14:textFill>
            <w14:solidFill>
              <w14:schemeClr w14:val="accent1"/>
            </w14:solidFill>
          </w14:textFill>
        </w:rPr>
        <w:t>Scenario 5: Talent Insight and Strategic Retention at DHL</w:t>
      </w:r>
      <w:bookmarkEnd w:id="6"/>
    </w:p>
    <w:p w14:paraId="52C2DB6B">
      <w:pPr>
        <w:ind w:left="0" w:leftChars="0" w:firstLine="0" w:firstLineChars="0"/>
        <w:rPr>
          <w:rFonts w:eastAsia="Times New Roman"/>
        </w:rPr>
      </w:pPr>
      <w:r>
        <w:rPr>
          <w:rFonts w:eastAsia="Times New Roman"/>
        </w:rPr>
        <w:t>The knowledge, skills, competencies, and experience of the workers are conceptualised as types of capital in which organisations invest to obtain productive returns, formulated as Human Capital Theory in 1964 by Gary Becker. Becker differentiated general human capital that can be brought by moving employees to another employer and firm specific human capital that can be brought by moving employees to another firm (Becker, 1964). Strategic HRM wise, talent insight tools can help organisations to recognise, quantify, and nurture both types of capital in order to achieve the best retention and performance results.</w:t>
      </w:r>
    </w:p>
    <w:p w14:paraId="1868856B">
      <w:pPr>
        <w:ind w:left="0" w:leftChars="0" w:firstLine="0" w:firstLineChars="0"/>
        <w:rPr>
          <w:rFonts w:eastAsia="Times New Roman"/>
        </w:rPr>
      </w:pPr>
      <w:r>
        <w:rPr>
          <w:rFonts w:eastAsia="Times New Roman"/>
        </w:rPr>
        <w:t>DHL Group has commenced talent insight infrastructure significantly. It has a proprietary talent evaluation system as part of SAP SuccessFactors that uses psychometric profiling, 360-feedback, and competency mapping with the help of AI to analyze employees on seven dimensions of leadership in line with the Leadership Framework implemented by DHL (DHL Group, 2023). DHL UK and Ireland (2022) report that in 2022, 91% of management-grade employees in the two countries underwent a formal talent assessment cycle, which produced individual development scorecards that serve as the basis of both personal development plans and strategic choices regarding the workforce planning decisions (DHL Group Annual Report, 2022). The embedded predictive analytics models yield monthly flight risk valuation of every salaried worker, which includes variables like the attendance of the engagement survey, training completion, absence rates, and internal mobility application.</w:t>
      </w:r>
    </w:p>
    <w:p w14:paraId="7CD322C6">
      <w:pPr>
        <w:ind w:left="0" w:leftChars="0" w:firstLine="0" w:firstLineChars="0"/>
        <w:rPr>
          <w:rFonts w:eastAsia="Times New Roman"/>
        </w:rPr>
      </w:pPr>
      <w:r>
        <w:rPr>
          <w:rFonts w:eastAsia="Times New Roman"/>
        </w:rPr>
        <w:t>These tools can be used to achieve quantifiable results. DHL UK noted that after the implementation of predictive retention analytics in 2021, there was a 14% decrease in the number of regrettable attritions, or the movement of employees rated as high-performing or high-potential employees, 12 months post-implementation (DHL Group, 2026). DHL UK has conducted a retention survey twice a year and in 2022 it had a participation rate of 79.3% which is higher than the recommended 70% response rate by CIPD to draw meaningful insights into the organisation (CIPD, 2026). HR policy changes are directly informed by survey findings, and three significant policy changes, such as improved flexible working practices, GBP 500 per annum wellbeing allowance, and updated internal mobility policy, were implemented in 2022 in direct response to survey findings (DHL Group, 2022).</w:t>
      </w:r>
    </w:p>
    <w:p w14:paraId="0456A055">
      <w:pPr>
        <w:ind w:left="0" w:leftChars="0" w:firstLine="0" w:firstLineChars="0"/>
        <w:rPr>
          <w:rFonts w:eastAsia="Times New Roman"/>
        </w:rPr>
      </w:pPr>
      <w:r>
        <w:rPr>
          <w:rFonts w:eastAsia="Times New Roman"/>
        </w:rPr>
        <w:t>Using the Human Capital Theory presented by Becker, investments like talent insight in DHL would yield quantifiable returns in terms of decreasing costly regrettable turnover, estimated at 1.5 to 2 times annual wage per employee who leaves a firm (CIPD, 2022), and faster effective development of firm-specific human capital. One of the pitfalls in this situation is associated with privacy of data and trust to the employees. Predictive analytics and constant monitoring might be seen as surveillance that undermines psychological safety and the trust as the foundation of knowledge sharing. A study by Stone et al. (2015) shows that the adoption of HR technology is largely suppressed in case employees feel the lack of transparency regarding the use of personal data. DHL should thus focus on effective communication and jointly developed data governance models to ensure that employees stay convinced and trustful of talent management systems.</w:t>
      </w:r>
    </w:p>
    <w:p w14:paraId="709F1066">
      <w:pPr>
        <w:rPr>
          <w:rFonts w:eastAsia="Times New Roman"/>
          <w:color w:val="4472C4" w:themeColor="accent1"/>
          <w:sz w:val="32"/>
          <w:szCs w:val="44"/>
          <w14:textFill>
            <w14:solidFill>
              <w14:schemeClr w14:val="accent1"/>
            </w14:solidFill>
          </w14:textFill>
        </w:rPr>
      </w:pPr>
      <w:bookmarkStart w:id="7" w:name="_Toc229314388"/>
      <w:r>
        <w:rPr>
          <w:rFonts w:eastAsia="Times New Roman"/>
          <w:color w:val="4472C4" w:themeColor="accent1"/>
          <w:sz w:val="32"/>
          <w:szCs w:val="44"/>
          <w14:textFill>
            <w14:solidFill>
              <w14:schemeClr w14:val="accent1"/>
            </w14:solidFill>
          </w14:textFill>
        </w:rPr>
        <w:br w:type="page"/>
      </w:r>
    </w:p>
    <w:p w14:paraId="0A519EE5">
      <w:pPr>
        <w:pStyle w:val="2"/>
        <w:jc w:val="both"/>
        <w:rPr>
          <w:rFonts w:eastAsia="Times New Roman"/>
          <w:color w:val="4472C4" w:themeColor="accent1"/>
          <w:sz w:val="32"/>
          <w:szCs w:val="44"/>
          <w14:textFill>
            <w14:solidFill>
              <w14:schemeClr w14:val="accent1"/>
            </w14:solidFill>
          </w14:textFill>
        </w:rPr>
      </w:pPr>
      <w:r>
        <w:rPr>
          <w:rFonts w:eastAsia="Times New Roman"/>
          <w:color w:val="4472C4" w:themeColor="accent1"/>
          <w:sz w:val="32"/>
          <w:szCs w:val="44"/>
          <w14:textFill>
            <w14:solidFill>
              <w14:schemeClr w14:val="accent1"/>
            </w14:solidFill>
          </w14:textFill>
        </w:rPr>
        <w:t>Conclusion</w:t>
      </w:r>
      <w:bookmarkEnd w:id="7"/>
    </w:p>
    <w:p w14:paraId="78496BA3">
      <w:pPr>
        <w:ind w:left="0" w:leftChars="0" w:firstLine="0" w:firstLineChars="0"/>
        <w:jc w:val="both"/>
        <w:rPr>
          <w:rFonts w:eastAsia="Times New Roman"/>
        </w:rPr>
      </w:pPr>
      <w:r>
        <w:rPr>
          <w:rFonts w:eastAsia="Times New Roman"/>
        </w:rPr>
        <w:t>This report has critically examined five HRM scenarios in the operations of DHL UK through the prism of the existing theoretical frameworks to shed light on the weaknesses and strengths of the human resource practices of the company. DHL has shown a highly data-driven, sophisticated approach to HRM and can be seen given the tangible results in terms of engagement, retention, and succession preparedness. Nevertheless, the issues of inclusivity, ethics when using data, and the practice consistency in its workforce that is large and diverse need long-term strategic consideration. These frameworks can be used to show that the most effective HRM practices at DHL are the ones that focus on aligning the experience of employees with organisational strategy; such a concept must be used as the foundation to all further investment in people management.</w:t>
      </w:r>
    </w:p>
    <w:p w14:paraId="72F61DF1">
      <w:pPr>
        <w:ind w:left="0" w:leftChars="0" w:firstLine="0" w:firstLineChars="0"/>
        <w:jc w:val="both"/>
        <w:rPr>
          <w:rFonts w:eastAsia="Times New Roman"/>
          <w:highlight w:val="none"/>
        </w:rPr>
      </w:pPr>
      <w:r>
        <w:rPr>
          <w:rFonts w:ascii="Calibri" w:hAnsi="Calibri" w:eastAsia="Times New Roman" w:cs="Calibri"/>
          <w:highlight w:val="none"/>
        </w:rPr>
        <w:t>Analyzing these HRM practices, we can draw various conclusions about the project-based organizations that operate in the logistics and infrastructure sectors, especially from the Engineering Project Management viewpoint. Within DHL, many projects such as the commissioning of new facilities, the rollout of automation, and seasonal peak capacity projects involve rapidly formed cross-functional teams. DHL’s People and Culture team is committed to the HRM practices outlined above. They strongly believe that project-based resourcing in the Engineering Project Management space requires case-specific design of succession planning, case-specific design of onboarding and case-specific design of retention policies for short-duration, matrix-structured teams. This is because the psychological contracts of these short-duration teams are likely to change frequently. The recommended policies that will allow DHL to deliver projects that satisfy stakeholders in other project-based organizations include embedding talent analytics into the governance of project portfolios, aligning project rewards with Herzberg’s motivators, and placing socialization within the confines of project assignments based on a temporary focus. Clarity and visualization of the project HRM scenarios against various stages of the Engineering Project Management lifecycle will also provide a practical guide for project sponsors.</w:t>
      </w:r>
    </w:p>
    <w:p w14:paraId="4C30973D">
      <w:pPr>
        <w:rPr>
          <w:color w:val="4472C4" w:themeColor="accent1"/>
          <w:sz w:val="32"/>
          <w:szCs w:val="44"/>
          <w14:textFill>
            <w14:solidFill>
              <w14:schemeClr w14:val="accent1"/>
            </w14:solidFill>
          </w14:textFill>
        </w:rPr>
      </w:pPr>
      <w:bookmarkStart w:id="8" w:name="_Toc229314389"/>
      <w:r>
        <w:rPr>
          <w:color w:val="4472C4" w:themeColor="accent1"/>
          <w:sz w:val="32"/>
          <w:szCs w:val="44"/>
          <w14:textFill>
            <w14:solidFill>
              <w14:schemeClr w14:val="accent1"/>
            </w14:solidFill>
          </w14:textFill>
        </w:rPr>
        <w:br w:type="page"/>
      </w:r>
    </w:p>
    <w:p w14:paraId="262AB0A5">
      <w:pPr>
        <w:pStyle w:val="2"/>
        <w:jc w:val="both"/>
        <w:rPr>
          <w:color w:val="4472C4" w:themeColor="accent1"/>
          <w:sz w:val="32"/>
          <w:szCs w:val="44"/>
          <w14:textFill>
            <w14:solidFill>
              <w14:schemeClr w14:val="accent1"/>
            </w14:solidFill>
          </w14:textFill>
        </w:rPr>
      </w:pPr>
      <w:r>
        <w:rPr>
          <w:color w:val="4472C4" w:themeColor="accent1"/>
          <w:sz w:val="32"/>
          <w:szCs w:val="44"/>
          <w14:textFill>
            <w14:solidFill>
              <w14:schemeClr w14:val="accent1"/>
            </w14:solidFill>
          </w14:textFill>
        </w:rPr>
        <w:t>References</w:t>
      </w:r>
      <w:bookmarkEnd w:id="8"/>
    </w:p>
    <w:p w14:paraId="63C452A3">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Barney, J. (1991) ‘Firm resources and sustained competitive advantage’, </w:t>
      </w:r>
      <w:r>
        <w:rPr>
          <w:rFonts w:eastAsia="Times New Roman" w:cs="Times New Roman"/>
          <w:i/>
          <w:iCs/>
          <w:szCs w:val="24"/>
          <w:lang w:eastAsia="en-AU"/>
        </w:rPr>
        <w:t>Journal of Management</w:t>
      </w:r>
      <w:r>
        <w:rPr>
          <w:rFonts w:eastAsia="Times New Roman" w:cs="Times New Roman"/>
          <w:szCs w:val="24"/>
          <w:lang w:eastAsia="en-AU"/>
        </w:rPr>
        <w:t>, 17(1), pp. 99–120.</w:t>
      </w:r>
    </w:p>
    <w:p w14:paraId="7DA32D86">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Bauer, T.N. (2010) </w:t>
      </w:r>
      <w:r>
        <w:rPr>
          <w:rFonts w:eastAsia="Times New Roman" w:cs="Times New Roman"/>
          <w:i/>
          <w:iCs/>
          <w:szCs w:val="24"/>
          <w:lang w:eastAsia="en-AU"/>
        </w:rPr>
        <w:t>Onboarding new employees: Maximizing success</w:t>
      </w:r>
      <w:r>
        <w:rPr>
          <w:rFonts w:eastAsia="Times New Roman" w:cs="Times New Roman"/>
          <w:szCs w:val="24"/>
          <w:lang w:eastAsia="en-AU"/>
        </w:rPr>
        <w:t>. Alexandria, VA: SHRM Foundation.</w:t>
      </w:r>
    </w:p>
    <w:p w14:paraId="7816669C">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Becker, G.S. (1964) </w:t>
      </w:r>
      <w:r>
        <w:rPr>
          <w:rFonts w:eastAsia="Times New Roman" w:cs="Times New Roman"/>
          <w:i/>
          <w:iCs/>
          <w:szCs w:val="24"/>
          <w:lang w:eastAsia="en-AU"/>
        </w:rPr>
        <w:t>Human capital: A theoretical and empirical analysis, with special reference to education</w:t>
      </w:r>
      <w:r>
        <w:rPr>
          <w:rFonts w:eastAsia="Times New Roman" w:cs="Times New Roman"/>
          <w:szCs w:val="24"/>
          <w:lang w:eastAsia="en-AU"/>
        </w:rPr>
        <w:t>. Chicago: University of Chicago Press.</w:t>
      </w:r>
    </w:p>
    <w:p w14:paraId="0E6B7579">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Blau, P. (2017) </w:t>
      </w:r>
      <w:r>
        <w:rPr>
          <w:rFonts w:eastAsia="Times New Roman" w:cs="Times New Roman"/>
          <w:i/>
          <w:iCs/>
          <w:szCs w:val="24"/>
          <w:lang w:eastAsia="en-AU"/>
        </w:rPr>
        <w:t>Exchange and power in social life</w:t>
      </w:r>
      <w:r>
        <w:rPr>
          <w:rFonts w:eastAsia="Times New Roman" w:cs="Times New Roman"/>
          <w:szCs w:val="24"/>
          <w:lang w:eastAsia="en-AU"/>
        </w:rPr>
        <w:t>. London: Routledge.</w:t>
      </w:r>
    </w:p>
    <w:p w14:paraId="4B864DBE">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CIPD (2022) </w:t>
      </w:r>
      <w:r>
        <w:rPr>
          <w:rFonts w:eastAsia="Times New Roman" w:cs="Times New Roman"/>
          <w:i/>
          <w:iCs/>
          <w:szCs w:val="24"/>
          <w:lang w:eastAsia="en-AU"/>
        </w:rPr>
        <w:t>Resourcing and talent planning report 2022</w:t>
      </w:r>
      <w:r>
        <w:rPr>
          <w:rFonts w:eastAsia="Times New Roman" w:cs="Times New Roman"/>
          <w:szCs w:val="24"/>
          <w:lang w:eastAsia="en-AU"/>
        </w:rPr>
        <w:t>. Chartered Institute of Personnel and Development.</w:t>
      </w:r>
      <w:bookmarkStart w:id="9" w:name="_GoBack"/>
      <w:r>
        <w:rPr>
          <w:rFonts w:eastAsia="Times New Roman" w:cs="Times New Roman"/>
          <w:szCs w:val="24"/>
          <w:lang w:eastAsia="en-AU"/>
        </w:rPr>
        <w:t xml:space="preserve"> Available at: </w:t>
      </w:r>
      <w:r>
        <w:fldChar w:fldCharType="begin"/>
      </w:r>
      <w:r>
        <w:instrText xml:space="preserve"> HYPERLINK "https://www.cipd.org/globalassets/media/knowledge/knowledge-hub/reports/resourcing-and-talent-planning-report-2022-1_tcm18-111500.pdf" \t "_new" </w:instrText>
      </w:r>
      <w:r>
        <w:fldChar w:fldCharType="separate"/>
      </w:r>
      <w:r>
        <w:rPr>
          <w:rFonts w:eastAsia="Times New Roman" w:cs="Times New Roman"/>
          <w:color w:val="0000FF"/>
          <w:szCs w:val="24"/>
          <w:u w:val="single"/>
          <w:lang w:eastAsia="en-AU"/>
        </w:rPr>
        <w:t>https://www.cipd.org/globalassets/media/knowledge/knowledge-hub/reports/resourcing-and-talent-planning-report-2022-1_tcm18-111500.pdf</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7A6140FF">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CIPD (2025) ‘Succession planning’. Available at: </w:t>
      </w:r>
      <w:r>
        <w:fldChar w:fldCharType="begin"/>
      </w:r>
      <w:r>
        <w:instrText xml:space="preserve"> HYPERLINK "https://www.cipd.org/en/knowledge/factsheets/succession-planning-factsheet/" \t "_new" </w:instrText>
      </w:r>
      <w:r>
        <w:fldChar w:fldCharType="separate"/>
      </w:r>
      <w:r>
        <w:rPr>
          <w:rFonts w:eastAsia="Times New Roman" w:cs="Times New Roman"/>
          <w:color w:val="0000FF"/>
          <w:szCs w:val="24"/>
          <w:u w:val="single"/>
          <w:lang w:eastAsia="en-AU"/>
        </w:rPr>
        <w:t>https://www.cipd.org/en/knowledge/factsheets/succession-planning-factsheet/</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000761B7">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CIPD (2025) ‘Employee turnover and retention’. Available at: </w:t>
      </w:r>
      <w:r>
        <w:fldChar w:fldCharType="begin"/>
      </w:r>
      <w:r>
        <w:instrText xml:space="preserve"> HYPERLINK "https://www.cipd.org/en/knowledge/factsheets/turnover-retention-factsheet/" \t "_new" </w:instrText>
      </w:r>
      <w:r>
        <w:fldChar w:fldCharType="separate"/>
      </w:r>
      <w:r>
        <w:rPr>
          <w:rFonts w:eastAsia="Times New Roman" w:cs="Times New Roman"/>
          <w:color w:val="0000FF"/>
          <w:szCs w:val="24"/>
          <w:u w:val="single"/>
          <w:lang w:eastAsia="en-AU"/>
        </w:rPr>
        <w:t>https://www.cipd.org/en/knowledge/factsheets/turnover-retention-factsheet/</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363C4C53">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DHL Group (2019) </w:t>
      </w:r>
      <w:r>
        <w:rPr>
          <w:rFonts w:eastAsia="Times New Roman" w:cs="Times New Roman"/>
          <w:i/>
          <w:iCs/>
          <w:szCs w:val="24"/>
          <w:lang w:eastAsia="en-AU"/>
        </w:rPr>
        <w:t>Corporate responsibility report 2018</w:t>
      </w:r>
      <w:r>
        <w:rPr>
          <w:rFonts w:eastAsia="Times New Roman" w:cs="Times New Roman"/>
          <w:szCs w:val="24"/>
          <w:lang w:eastAsia="en-AU"/>
        </w:rPr>
        <w:t xml:space="preserve">. Available at: </w:t>
      </w:r>
      <w:r>
        <w:fldChar w:fldCharType="begin"/>
      </w:r>
      <w:r>
        <w:instrText xml:space="preserve"> HYPERLINK "https://group.dhl.com/content/dam/deutschepostdhl/en/media-center/responsibility/dpdhl-corporate-responsibility-report-2018.pdf" \t "_new" </w:instrText>
      </w:r>
      <w:r>
        <w:fldChar w:fldCharType="separate"/>
      </w:r>
      <w:r>
        <w:rPr>
          <w:rFonts w:eastAsia="Times New Roman" w:cs="Times New Roman"/>
          <w:color w:val="0000FF"/>
          <w:szCs w:val="24"/>
          <w:u w:val="single"/>
          <w:lang w:eastAsia="en-AU"/>
        </w:rPr>
        <w:t>https://group.dhl.com/content/dam/deutschepostdhl/en/media-center/responsibility/dpdhl-corporate-responsibility-report-2018.pdf</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4248D163">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DHL Group (2022) ‘DHL Express remains the world’s No. 1 best workplace in 2022’. Available at: </w:t>
      </w:r>
      <w:r>
        <w:fldChar w:fldCharType="begin"/>
      </w:r>
      <w:r>
        <w:instrText xml:space="preserve"> HYPERLINK "https://group.dhl.com/en/media-relations/press-releases/2022/dhl-express-remains-the-worlds-no-one-best-workplace-in-2022.html" \t "_new" </w:instrText>
      </w:r>
      <w:r>
        <w:fldChar w:fldCharType="separate"/>
      </w:r>
      <w:r>
        <w:rPr>
          <w:rFonts w:eastAsia="Times New Roman" w:cs="Times New Roman"/>
          <w:color w:val="0000FF"/>
          <w:szCs w:val="24"/>
          <w:u w:val="single"/>
          <w:lang w:eastAsia="en-AU"/>
        </w:rPr>
        <w:t>https://group.dhl.com/en/media-relations/press-releases/2022/dhl-express-remains-the-worlds-no-one-best-workplace-in-2022.html</w:t>
      </w:r>
      <w:r>
        <w:rPr>
          <w:rFonts w:eastAsia="Times New Roman" w:cs="Times New Roman"/>
          <w:color w:val="0000FF"/>
          <w:szCs w:val="24"/>
          <w:u w:val="single"/>
          <w:lang w:eastAsia="en-AU"/>
        </w:rPr>
        <w:fldChar w:fldCharType="end"/>
      </w:r>
      <w:bookmarkEnd w:id="9"/>
      <w:r>
        <w:rPr>
          <w:rFonts w:eastAsia="Times New Roman" w:cs="Times New Roman"/>
          <w:szCs w:val="24"/>
          <w:lang w:eastAsia="en-AU"/>
        </w:rPr>
        <w:t xml:space="preserve"> (Accessed: 10 May 2026).</w:t>
      </w:r>
    </w:p>
    <w:p w14:paraId="7E95A425">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DHL Group (2023) </w:t>
      </w:r>
      <w:r>
        <w:rPr>
          <w:rFonts w:eastAsia="Times New Roman" w:cs="Times New Roman"/>
          <w:i/>
          <w:iCs/>
          <w:szCs w:val="24"/>
          <w:lang w:eastAsia="en-AU"/>
        </w:rPr>
        <w:t>2022 annual report</w:t>
      </w:r>
      <w:r>
        <w:rPr>
          <w:rFonts w:eastAsia="Times New Roman" w:cs="Times New Roman"/>
          <w:szCs w:val="24"/>
          <w:lang w:eastAsia="en-AU"/>
        </w:rPr>
        <w:t xml:space="preserve">. Available at: </w:t>
      </w:r>
      <w:r>
        <w:fldChar w:fldCharType="begin"/>
      </w:r>
      <w:r>
        <w:instrText xml:space="preserve"> HYPERLINK "https://reporting-hub.group.dhl.com/ecomaXL/files/DPDHL-2022-Annual-Report.pdf" \t "_new" </w:instrText>
      </w:r>
      <w:r>
        <w:fldChar w:fldCharType="separate"/>
      </w:r>
      <w:r>
        <w:rPr>
          <w:rFonts w:eastAsia="Times New Roman" w:cs="Times New Roman"/>
          <w:color w:val="0000FF"/>
          <w:szCs w:val="24"/>
          <w:u w:val="single"/>
          <w:lang w:eastAsia="en-AU"/>
        </w:rPr>
        <w:t>https://reporting-hub.group.dhl.com/ecomaXL/files/DPDHL-2022-Annual-Report.pdf</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4DC70FD5">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DHL Group (2024) ‘Nonfinancial statement (social) – combined management report’. Available at: </w:t>
      </w:r>
      <w:r>
        <w:fldChar w:fldCharType="begin"/>
      </w:r>
      <w:r>
        <w:instrText xml:space="preserve"> HYPERLINK "https://reporting-hub.group.dhl.com/2023-fy/en/combined-management-report/nonfinancial-statement/social/" \t "_new" </w:instrText>
      </w:r>
      <w:r>
        <w:fldChar w:fldCharType="separate"/>
      </w:r>
      <w:r>
        <w:rPr>
          <w:rFonts w:eastAsia="Times New Roman" w:cs="Times New Roman"/>
          <w:color w:val="0000FF"/>
          <w:szCs w:val="24"/>
          <w:u w:val="single"/>
          <w:lang w:eastAsia="en-AU"/>
        </w:rPr>
        <w:t>https://reporting-hub.group.dhl.com/2023-fy/en/combined-management-report/nonfinancial-statement/social/</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68B749E6">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DHL Group (2025) </w:t>
      </w:r>
      <w:r>
        <w:rPr>
          <w:rFonts w:eastAsia="Times New Roman" w:cs="Times New Roman"/>
          <w:i/>
          <w:iCs/>
          <w:szCs w:val="24"/>
          <w:lang w:eastAsia="en-AU"/>
        </w:rPr>
        <w:t>UK eCommerce gender pay gap report 2025</w:t>
      </w:r>
      <w:r>
        <w:rPr>
          <w:rFonts w:eastAsia="Times New Roman" w:cs="Times New Roman"/>
          <w:szCs w:val="24"/>
          <w:lang w:eastAsia="en-AU"/>
        </w:rPr>
        <w:t xml:space="preserve">. Available at: </w:t>
      </w:r>
      <w:r>
        <w:fldChar w:fldCharType="begin"/>
      </w:r>
      <w:r>
        <w:instrText xml:space="preserve"> HYPERLINK "https://www.dhl.com/content/dam/dhl/local/gb/dhl-ecommerce/documents/pdf/gb-ecommerce-uk-gender-pay-gap-2025.pdf" \t "_new" </w:instrText>
      </w:r>
      <w:r>
        <w:fldChar w:fldCharType="separate"/>
      </w:r>
      <w:r>
        <w:rPr>
          <w:rFonts w:eastAsia="Times New Roman" w:cs="Times New Roman"/>
          <w:color w:val="0000FF"/>
          <w:szCs w:val="24"/>
          <w:u w:val="single"/>
          <w:lang w:eastAsia="en-AU"/>
        </w:rPr>
        <w:t>https://www.dhl.com/content/dam/dhl/local/gb/dhl-ecommerce/documents/pdf/gb-ecommerce-uk-gender-pay-gap-2025.pdf</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5A9AEF7E">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DHL Group (2026) ‘Workforce focus’. Available at: </w:t>
      </w:r>
      <w:r>
        <w:fldChar w:fldCharType="begin"/>
      </w:r>
      <w:r>
        <w:instrText xml:space="preserve"> HYPERLINK "https://www.dhl.com/gb-en/home/innovation-in-logistics/logistics-trend-radar/workforce-focus.html" \t "_new" </w:instrText>
      </w:r>
      <w:r>
        <w:fldChar w:fldCharType="separate"/>
      </w:r>
      <w:r>
        <w:rPr>
          <w:rFonts w:eastAsia="Times New Roman" w:cs="Times New Roman"/>
          <w:color w:val="0000FF"/>
          <w:szCs w:val="24"/>
          <w:u w:val="single"/>
          <w:lang w:eastAsia="en-AU"/>
        </w:rPr>
        <w:t>https://www.dhl.com/gb-en/home/innovation-in-logistics/logistics-trend-radar/workforce-focus.html</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04E2A70B">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Great Place to Work UK (2025) </w:t>
      </w:r>
      <w:r>
        <w:rPr>
          <w:rFonts w:eastAsia="Times New Roman" w:cs="Times New Roman"/>
          <w:i/>
          <w:iCs/>
          <w:szCs w:val="24"/>
          <w:lang w:eastAsia="en-AU"/>
        </w:rPr>
        <w:t>Certified company: 1564912</w:t>
      </w:r>
      <w:r>
        <w:rPr>
          <w:rFonts w:eastAsia="Times New Roman" w:cs="Times New Roman"/>
          <w:szCs w:val="24"/>
          <w:lang w:eastAsia="en-AU"/>
        </w:rPr>
        <w:t xml:space="preserve">. Available at: </w:t>
      </w:r>
      <w:r>
        <w:fldChar w:fldCharType="begin"/>
      </w:r>
      <w:r>
        <w:instrText xml:space="preserve"> HYPERLINK "https://www.greatplacetowork.co.uk/certified-company/1564912" \t "_new" </w:instrText>
      </w:r>
      <w:r>
        <w:fldChar w:fldCharType="separate"/>
      </w:r>
      <w:r>
        <w:rPr>
          <w:rFonts w:eastAsia="Times New Roman" w:cs="Times New Roman"/>
          <w:color w:val="0000FF"/>
          <w:szCs w:val="24"/>
          <w:u w:val="single"/>
          <w:lang w:eastAsia="en-AU"/>
        </w:rPr>
        <w:t>https://www.greatplacetowork.co.uk/certified-company/1564912</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062F048D">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Herzberg, F. (1959) </w:t>
      </w:r>
      <w:r>
        <w:rPr>
          <w:rFonts w:eastAsia="Times New Roman" w:cs="Times New Roman"/>
          <w:i/>
          <w:iCs/>
          <w:szCs w:val="24"/>
          <w:lang w:eastAsia="en-AU"/>
        </w:rPr>
        <w:t>The motivation to work</w:t>
      </w:r>
      <w:r>
        <w:rPr>
          <w:rFonts w:eastAsia="Times New Roman" w:cs="Times New Roman"/>
          <w:szCs w:val="24"/>
          <w:lang w:eastAsia="en-AU"/>
        </w:rPr>
        <w:t>. New York: Wiley.</w:t>
      </w:r>
    </w:p>
    <w:p w14:paraId="54CE4780">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Noon, M. (2018) ‘Pointless diversity training: Unconscious bias, new racism and agency’, </w:t>
      </w:r>
      <w:r>
        <w:rPr>
          <w:rFonts w:eastAsia="Times New Roman" w:cs="Times New Roman"/>
          <w:i/>
          <w:iCs/>
          <w:szCs w:val="24"/>
          <w:lang w:eastAsia="en-AU"/>
        </w:rPr>
        <w:t>Work, Employment and Society</w:t>
      </w:r>
      <w:r>
        <w:rPr>
          <w:rFonts w:eastAsia="Times New Roman" w:cs="Times New Roman"/>
          <w:szCs w:val="24"/>
          <w:lang w:eastAsia="en-AU"/>
        </w:rPr>
        <w:t>, 32(1), pp. 198–209.</w:t>
      </w:r>
    </w:p>
    <w:p w14:paraId="0899CEC6">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Stone, D.L., Deadrick, D.L., Lukaszewski, K.M. and Johnson, R. (2015) ‘The influence of technology on the future of human resource management’, </w:t>
      </w:r>
      <w:r>
        <w:rPr>
          <w:rFonts w:eastAsia="Times New Roman" w:cs="Times New Roman"/>
          <w:i/>
          <w:iCs/>
          <w:szCs w:val="24"/>
          <w:lang w:eastAsia="en-AU"/>
        </w:rPr>
        <w:t>Human Resource Management Review</w:t>
      </w:r>
      <w:r>
        <w:rPr>
          <w:rFonts w:eastAsia="Times New Roman" w:cs="Times New Roman"/>
          <w:szCs w:val="24"/>
          <w:lang w:eastAsia="en-AU"/>
        </w:rPr>
        <w:t>, 25(2), pp. 216–231.</w:t>
      </w:r>
    </w:p>
    <w:p w14:paraId="0F9E2A2B">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UKWA (2025) ‘UKWA survey: Workforce recruitment and retention top concern for members’. Available at: </w:t>
      </w:r>
      <w:r>
        <w:fldChar w:fldCharType="begin"/>
      </w:r>
      <w:r>
        <w:instrText xml:space="preserve"> HYPERLINK "https://www.ukwa.org.uk/ukwa-survey-workforce-recruitment-retention-top-concern-for-members/" \t "_new" </w:instrText>
      </w:r>
      <w:r>
        <w:fldChar w:fldCharType="separate"/>
      </w:r>
      <w:r>
        <w:rPr>
          <w:rFonts w:eastAsia="Times New Roman" w:cs="Times New Roman"/>
          <w:color w:val="0000FF"/>
          <w:szCs w:val="24"/>
          <w:u w:val="single"/>
          <w:lang w:eastAsia="en-AU"/>
        </w:rPr>
        <w:t>https://www.ukwa.org.uk/ukwa-survey-workforce-recruitment-retention-top-concern-for-members/</w:t>
      </w:r>
      <w:r>
        <w:rPr>
          <w:rFonts w:eastAsia="Times New Roman" w:cs="Times New Roman"/>
          <w:color w:val="0000FF"/>
          <w:szCs w:val="24"/>
          <w:u w:val="single"/>
          <w:lang w:eastAsia="en-AU"/>
        </w:rPr>
        <w:fldChar w:fldCharType="end"/>
      </w:r>
      <w:r>
        <w:rPr>
          <w:rFonts w:eastAsia="Times New Roman" w:cs="Times New Roman"/>
          <w:szCs w:val="24"/>
          <w:lang w:eastAsia="en-AU"/>
        </w:rPr>
        <w:t xml:space="preserve"> (Accessed: 10 May 2026).</w:t>
      </w:r>
    </w:p>
    <w:p w14:paraId="41C47BDA">
      <w:pPr>
        <w:spacing w:before="100" w:beforeAutospacing="1" w:after="100" w:afterAutospacing="1"/>
        <w:ind w:left="720" w:hanging="720"/>
        <w:jc w:val="both"/>
        <w:rPr>
          <w:rFonts w:eastAsia="Times New Roman" w:cs="Times New Roman"/>
          <w:szCs w:val="24"/>
          <w:lang w:eastAsia="en-AU"/>
        </w:rPr>
      </w:pPr>
      <w:r>
        <w:rPr>
          <w:rFonts w:eastAsia="Times New Roman" w:cs="Times New Roman"/>
          <w:szCs w:val="24"/>
          <w:lang w:eastAsia="en-AU"/>
        </w:rPr>
        <w:t xml:space="preserve">Van Maanen, J. and Schein, E.H. (1979) ‘Toward a theory of organizational socialization’, </w:t>
      </w:r>
      <w:r>
        <w:rPr>
          <w:rFonts w:eastAsia="Times New Roman" w:cs="Times New Roman"/>
          <w:i/>
          <w:iCs/>
          <w:szCs w:val="24"/>
          <w:lang w:eastAsia="en-AU"/>
        </w:rPr>
        <w:t>Research in Organizational Behavior</w:t>
      </w:r>
      <w:r>
        <w:rPr>
          <w:rFonts w:eastAsia="Times New Roman" w:cs="Times New Roman"/>
          <w:szCs w:val="24"/>
          <w:lang w:eastAsia="en-AU"/>
        </w:rPr>
        <w:t>, 1, pp. 209–264.</w:t>
      </w:r>
    </w:p>
    <w:p w14:paraId="474E6D17">
      <w:pPr>
        <w:jc w:val="both"/>
      </w:pPr>
    </w:p>
    <w:sectPr>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8000012" w:usb3="00000000" w:csb0="4002009F" w:csb1="DFD70000"/>
  </w:font>
  <w:font w:name="Calibri">
    <w:panose1 w:val="020F0502020204030204"/>
    <w:charset w:val="86"/>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06E75F3">
    <w:pPr>
      <w:pStyle w:val="17"/>
      <w:jc w:val="right"/>
    </w:pPr>
    <w:r>
      <w:rPr>
        <w:sz w:val="24"/>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47470020"/>
                            <w:docPartObj>
                              <w:docPartGallery w:val="autotext"/>
                            </w:docPartObj>
                          </w:sdtPr>
                          <w:sdtContent>
                            <w:p w14:paraId="4B7F2F64">
                              <w:pPr>
                                <w:pStyle w:val="17"/>
                                <w:jc w:val="right"/>
                              </w:pPr>
                              <w:r>
                                <w:fldChar w:fldCharType="begin"/>
                              </w:r>
                              <w:r>
                                <w:instrText xml:space="preserve"> PAGE   \* MERGEFORMAT </w:instrText>
                              </w:r>
                              <w:r>
                                <w:fldChar w:fldCharType="separate"/>
                              </w:r>
                              <w:r>
                                <w:t>2</w:t>
                              </w:r>
                              <w:r>
                                <w:fldChar w:fldCharType="end"/>
                              </w:r>
                            </w:p>
                          </w:sdtContent>
                        </w:sdt>
                        <w:p w14:paraId="44395C96"/>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GZAZkQhAgAA&#10;YgQAAA4AAAAAAAAAAQAgAAAAHwEAAGRycy9lMm9Eb2MueG1sUEsFBgAAAAAGAAYAWQEAALIFAAAA&#10;AA==&#10;">
              <v:fill on="f" focussize="0,0"/>
              <v:stroke on="f" weight="0.5pt"/>
              <v:imagedata o:title=""/>
              <o:lock v:ext="edit" aspectratio="f"/>
              <v:textbox inset="0mm,0mm,0mm,0mm" style="mso-fit-shape-to-text:t;">
                <w:txbxContent>
                  <w:sdt>
                    <w:sdtPr>
                      <w:id w:val="147470020"/>
                      <w:docPartObj>
                        <w:docPartGallery w:val="autotext"/>
                      </w:docPartObj>
                    </w:sdtPr>
                    <w:sdtContent>
                      <w:p w14:paraId="4B7F2F64">
                        <w:pPr>
                          <w:pStyle w:val="17"/>
                          <w:jc w:val="right"/>
                        </w:pPr>
                        <w:r>
                          <w:fldChar w:fldCharType="begin"/>
                        </w:r>
                        <w:r>
                          <w:instrText xml:space="preserve"> PAGE   \* MERGEFORMAT </w:instrText>
                        </w:r>
                        <w:r>
                          <w:fldChar w:fldCharType="separate"/>
                        </w:r>
                        <w:r>
                          <w:t>2</w:t>
                        </w:r>
                        <w:r>
                          <w:fldChar w:fldCharType="end"/>
                        </w:r>
                      </w:p>
                    </w:sdtContent>
                  </w:sdt>
                  <w:p w14:paraId="44395C96"/>
                </w:txbxContent>
              </v:textbox>
            </v:shape>
          </w:pict>
        </mc:Fallback>
      </mc:AlternateContent>
    </w:r>
  </w:p>
  <w:p w14:paraId="7C1A56E5">
    <w:pPr>
      <w:pStyle w:val="1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0B2978E">
    <w:pPr>
      <w:pStyle w:val="17"/>
    </w:pPr>
    <w:r>
      <w:rPr>
        <w:sz w:val="24"/>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3CE3722">
                          <w:pPr>
                            <w:pStyle w:val="1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KNC834hAgAA&#10;YgQAAA4AAAAAAAAAAQAgAAAAHwEAAGRycy9lMm9Eb2MueG1sUEsFBgAAAAAGAAYAWQEAALIFAAAA&#10;AA==&#10;">
              <v:fill on="f" focussize="0,0"/>
              <v:stroke on="f" weight="0.5pt"/>
              <v:imagedata o:title=""/>
              <o:lock v:ext="edit" aspectratio="f"/>
              <v:textbox inset="0mm,0mm,0mm,0mm" style="mso-fit-shape-to-text:t;">
                <w:txbxContent>
                  <w:p w14:paraId="23CE3722">
                    <w:pPr>
                      <w:pStyle w:val="1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9B1A196">
    <w:pPr>
      <w:pStyle w:val="20"/>
      <w:ind w:firstLine="0"/>
    </w:pPr>
    <w:r>
      <w:rPr>
        <w:caps/>
      </w:rPr>
      <w:t>ACHA 7028</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530A6F3">
    <w:pPr>
      <w:pStyle w:val="2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82775B"/>
    <w:multiLevelType w:val="multilevel"/>
    <w:tmpl w:val="1482775B"/>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rPr>
        <w:rFonts w:hint="default" w:ascii="Times New Roman" w:hAnsi="Times New Roman" w:cs="Times New Roman"/>
        <w:sz w:val="24"/>
        <w:szCs w:val="24"/>
      </w:r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95C"/>
    <w:rsid w:val="0000612B"/>
    <w:rsid w:val="000079FD"/>
    <w:rsid w:val="00010B0B"/>
    <w:rsid w:val="00011ADA"/>
    <w:rsid w:val="00012FB1"/>
    <w:rsid w:val="00013E36"/>
    <w:rsid w:val="0001486B"/>
    <w:rsid w:val="000158F4"/>
    <w:rsid w:val="000203BD"/>
    <w:rsid w:val="000205E7"/>
    <w:rsid w:val="00022D71"/>
    <w:rsid w:val="00023C33"/>
    <w:rsid w:val="00024506"/>
    <w:rsid w:val="00026B06"/>
    <w:rsid w:val="00027493"/>
    <w:rsid w:val="000278B3"/>
    <w:rsid w:val="00027F98"/>
    <w:rsid w:val="0003078E"/>
    <w:rsid w:val="000341BA"/>
    <w:rsid w:val="00036FB0"/>
    <w:rsid w:val="00037D32"/>
    <w:rsid w:val="00041790"/>
    <w:rsid w:val="000427CC"/>
    <w:rsid w:val="00044291"/>
    <w:rsid w:val="000444FB"/>
    <w:rsid w:val="00045B16"/>
    <w:rsid w:val="00047FA2"/>
    <w:rsid w:val="0005018E"/>
    <w:rsid w:val="00051447"/>
    <w:rsid w:val="000514FB"/>
    <w:rsid w:val="00051AE6"/>
    <w:rsid w:val="00051E58"/>
    <w:rsid w:val="00054E76"/>
    <w:rsid w:val="00055AC5"/>
    <w:rsid w:val="00056B76"/>
    <w:rsid w:val="00057159"/>
    <w:rsid w:val="0005744F"/>
    <w:rsid w:val="00062183"/>
    <w:rsid w:val="00063A46"/>
    <w:rsid w:val="00067313"/>
    <w:rsid w:val="00072666"/>
    <w:rsid w:val="000763EE"/>
    <w:rsid w:val="00080B70"/>
    <w:rsid w:val="00081224"/>
    <w:rsid w:val="00084A1A"/>
    <w:rsid w:val="00090B76"/>
    <w:rsid w:val="00090DE5"/>
    <w:rsid w:val="00091858"/>
    <w:rsid w:val="0009401C"/>
    <w:rsid w:val="00096B19"/>
    <w:rsid w:val="000A06CD"/>
    <w:rsid w:val="000A0F17"/>
    <w:rsid w:val="000A0FC2"/>
    <w:rsid w:val="000A1650"/>
    <w:rsid w:val="000A174C"/>
    <w:rsid w:val="000A3799"/>
    <w:rsid w:val="000B08B2"/>
    <w:rsid w:val="000B1141"/>
    <w:rsid w:val="000B18F8"/>
    <w:rsid w:val="000B33B7"/>
    <w:rsid w:val="000B426C"/>
    <w:rsid w:val="000B5548"/>
    <w:rsid w:val="000B5E1E"/>
    <w:rsid w:val="000C2F17"/>
    <w:rsid w:val="000C3A93"/>
    <w:rsid w:val="000C5277"/>
    <w:rsid w:val="000C5B35"/>
    <w:rsid w:val="000C6F10"/>
    <w:rsid w:val="000C7153"/>
    <w:rsid w:val="000D2DF7"/>
    <w:rsid w:val="000D4E1F"/>
    <w:rsid w:val="000D607E"/>
    <w:rsid w:val="000D7253"/>
    <w:rsid w:val="000E0599"/>
    <w:rsid w:val="000E482E"/>
    <w:rsid w:val="000E497A"/>
    <w:rsid w:val="000E4F8E"/>
    <w:rsid w:val="000E6320"/>
    <w:rsid w:val="000F2361"/>
    <w:rsid w:val="000F3C6C"/>
    <w:rsid w:val="000F552E"/>
    <w:rsid w:val="000F5B95"/>
    <w:rsid w:val="000F6419"/>
    <w:rsid w:val="000F6DD2"/>
    <w:rsid w:val="000F7177"/>
    <w:rsid w:val="000F7BC2"/>
    <w:rsid w:val="00101458"/>
    <w:rsid w:val="00105213"/>
    <w:rsid w:val="0010565F"/>
    <w:rsid w:val="00105E17"/>
    <w:rsid w:val="00105EAE"/>
    <w:rsid w:val="00111E91"/>
    <w:rsid w:val="00112E1F"/>
    <w:rsid w:val="00113714"/>
    <w:rsid w:val="00115198"/>
    <w:rsid w:val="00115272"/>
    <w:rsid w:val="001158E4"/>
    <w:rsid w:val="001216E6"/>
    <w:rsid w:val="001252BE"/>
    <w:rsid w:val="00134EF6"/>
    <w:rsid w:val="0013570F"/>
    <w:rsid w:val="0013618C"/>
    <w:rsid w:val="00146665"/>
    <w:rsid w:val="001468EF"/>
    <w:rsid w:val="00146F19"/>
    <w:rsid w:val="00150440"/>
    <w:rsid w:val="00150B1C"/>
    <w:rsid w:val="0015395D"/>
    <w:rsid w:val="00153988"/>
    <w:rsid w:val="00157039"/>
    <w:rsid w:val="00161825"/>
    <w:rsid w:val="001629AD"/>
    <w:rsid w:val="00166E4C"/>
    <w:rsid w:val="0016718D"/>
    <w:rsid w:val="001674D2"/>
    <w:rsid w:val="00171A84"/>
    <w:rsid w:val="00171C5D"/>
    <w:rsid w:val="001729FF"/>
    <w:rsid w:val="00173683"/>
    <w:rsid w:val="00173EA6"/>
    <w:rsid w:val="00174D34"/>
    <w:rsid w:val="00175C82"/>
    <w:rsid w:val="00177918"/>
    <w:rsid w:val="00177CE8"/>
    <w:rsid w:val="00177F18"/>
    <w:rsid w:val="00181112"/>
    <w:rsid w:val="00181243"/>
    <w:rsid w:val="00181CBE"/>
    <w:rsid w:val="001833E3"/>
    <w:rsid w:val="00184395"/>
    <w:rsid w:val="00185A04"/>
    <w:rsid w:val="00185CCC"/>
    <w:rsid w:val="00185F15"/>
    <w:rsid w:val="00186033"/>
    <w:rsid w:val="00187C28"/>
    <w:rsid w:val="00187EAC"/>
    <w:rsid w:val="001909FA"/>
    <w:rsid w:val="00191000"/>
    <w:rsid w:val="001926DC"/>
    <w:rsid w:val="001948B0"/>
    <w:rsid w:val="00197B61"/>
    <w:rsid w:val="00197DD0"/>
    <w:rsid w:val="001A3525"/>
    <w:rsid w:val="001B0136"/>
    <w:rsid w:val="001B09AF"/>
    <w:rsid w:val="001B0CDA"/>
    <w:rsid w:val="001B1F90"/>
    <w:rsid w:val="001B3B1C"/>
    <w:rsid w:val="001B6607"/>
    <w:rsid w:val="001B7491"/>
    <w:rsid w:val="001B774F"/>
    <w:rsid w:val="001C3722"/>
    <w:rsid w:val="001C43A1"/>
    <w:rsid w:val="001C5AF2"/>
    <w:rsid w:val="001C7774"/>
    <w:rsid w:val="001D02A7"/>
    <w:rsid w:val="001D0633"/>
    <w:rsid w:val="001D0A8A"/>
    <w:rsid w:val="001D2CEE"/>
    <w:rsid w:val="001D2E26"/>
    <w:rsid w:val="001D5B10"/>
    <w:rsid w:val="001D5E30"/>
    <w:rsid w:val="001D6534"/>
    <w:rsid w:val="001D6648"/>
    <w:rsid w:val="001E2525"/>
    <w:rsid w:val="001E2FAE"/>
    <w:rsid w:val="001E4D7E"/>
    <w:rsid w:val="001E6E18"/>
    <w:rsid w:val="001E787B"/>
    <w:rsid w:val="001E7E8C"/>
    <w:rsid w:val="001F15CB"/>
    <w:rsid w:val="001F3DC2"/>
    <w:rsid w:val="001F77C6"/>
    <w:rsid w:val="002038D0"/>
    <w:rsid w:val="002069B6"/>
    <w:rsid w:val="00206AB7"/>
    <w:rsid w:val="0020744B"/>
    <w:rsid w:val="00211531"/>
    <w:rsid w:val="00212B3D"/>
    <w:rsid w:val="00212D5D"/>
    <w:rsid w:val="00214A49"/>
    <w:rsid w:val="00216AB3"/>
    <w:rsid w:val="002209E6"/>
    <w:rsid w:val="00221128"/>
    <w:rsid w:val="00222F2B"/>
    <w:rsid w:val="002255C0"/>
    <w:rsid w:val="00231B3E"/>
    <w:rsid w:val="002320FD"/>
    <w:rsid w:val="002342BF"/>
    <w:rsid w:val="002347D5"/>
    <w:rsid w:val="00235231"/>
    <w:rsid w:val="00235FF1"/>
    <w:rsid w:val="00236BD6"/>
    <w:rsid w:val="00236C46"/>
    <w:rsid w:val="002376F0"/>
    <w:rsid w:val="00240F3A"/>
    <w:rsid w:val="0024217A"/>
    <w:rsid w:val="00243083"/>
    <w:rsid w:val="00245533"/>
    <w:rsid w:val="00245C16"/>
    <w:rsid w:val="00247627"/>
    <w:rsid w:val="002542C8"/>
    <w:rsid w:val="00255250"/>
    <w:rsid w:val="00256372"/>
    <w:rsid w:val="00260220"/>
    <w:rsid w:val="0026240F"/>
    <w:rsid w:val="00264F46"/>
    <w:rsid w:val="00267F0D"/>
    <w:rsid w:val="00270310"/>
    <w:rsid w:val="00270472"/>
    <w:rsid w:val="0027163C"/>
    <w:rsid w:val="002745A8"/>
    <w:rsid w:val="00276374"/>
    <w:rsid w:val="00276EFF"/>
    <w:rsid w:val="0027729B"/>
    <w:rsid w:val="002779F0"/>
    <w:rsid w:val="00281A26"/>
    <w:rsid w:val="0028476C"/>
    <w:rsid w:val="002904C8"/>
    <w:rsid w:val="002917EF"/>
    <w:rsid w:val="002919E3"/>
    <w:rsid w:val="002933EA"/>
    <w:rsid w:val="00293E23"/>
    <w:rsid w:val="00295A00"/>
    <w:rsid w:val="00295D34"/>
    <w:rsid w:val="0029601D"/>
    <w:rsid w:val="00296831"/>
    <w:rsid w:val="002972DB"/>
    <w:rsid w:val="00297311"/>
    <w:rsid w:val="002A186D"/>
    <w:rsid w:val="002A26E8"/>
    <w:rsid w:val="002A3146"/>
    <w:rsid w:val="002A5FC6"/>
    <w:rsid w:val="002A7A57"/>
    <w:rsid w:val="002B176A"/>
    <w:rsid w:val="002B1FAF"/>
    <w:rsid w:val="002B23A2"/>
    <w:rsid w:val="002B2719"/>
    <w:rsid w:val="002B41C2"/>
    <w:rsid w:val="002B5715"/>
    <w:rsid w:val="002B634C"/>
    <w:rsid w:val="002B645B"/>
    <w:rsid w:val="002B76E6"/>
    <w:rsid w:val="002C4C49"/>
    <w:rsid w:val="002C68CE"/>
    <w:rsid w:val="002C7069"/>
    <w:rsid w:val="002C7A44"/>
    <w:rsid w:val="002D1619"/>
    <w:rsid w:val="002D304B"/>
    <w:rsid w:val="002D3554"/>
    <w:rsid w:val="002D3971"/>
    <w:rsid w:val="002D3F62"/>
    <w:rsid w:val="002D6FA3"/>
    <w:rsid w:val="002D7F1C"/>
    <w:rsid w:val="002E214C"/>
    <w:rsid w:val="002E27A0"/>
    <w:rsid w:val="002E2F3D"/>
    <w:rsid w:val="002F13A7"/>
    <w:rsid w:val="002F2A0B"/>
    <w:rsid w:val="002F4AE0"/>
    <w:rsid w:val="002F6D27"/>
    <w:rsid w:val="002F76AE"/>
    <w:rsid w:val="00301E99"/>
    <w:rsid w:val="0030303B"/>
    <w:rsid w:val="0030441F"/>
    <w:rsid w:val="003048E7"/>
    <w:rsid w:val="0031417C"/>
    <w:rsid w:val="003142F4"/>
    <w:rsid w:val="00314C83"/>
    <w:rsid w:val="0031502A"/>
    <w:rsid w:val="003153BD"/>
    <w:rsid w:val="003161FA"/>
    <w:rsid w:val="003166A6"/>
    <w:rsid w:val="003232E7"/>
    <w:rsid w:val="00326DCB"/>
    <w:rsid w:val="00327FEE"/>
    <w:rsid w:val="0033007F"/>
    <w:rsid w:val="00330FA5"/>
    <w:rsid w:val="003320BC"/>
    <w:rsid w:val="00332C4A"/>
    <w:rsid w:val="00335DC6"/>
    <w:rsid w:val="00335F31"/>
    <w:rsid w:val="00341265"/>
    <w:rsid w:val="003432CF"/>
    <w:rsid w:val="003439B7"/>
    <w:rsid w:val="00345666"/>
    <w:rsid w:val="00347AFC"/>
    <w:rsid w:val="00350594"/>
    <w:rsid w:val="00350D01"/>
    <w:rsid w:val="0035109D"/>
    <w:rsid w:val="00353D96"/>
    <w:rsid w:val="00356413"/>
    <w:rsid w:val="00357036"/>
    <w:rsid w:val="00360B8B"/>
    <w:rsid w:val="00360EC0"/>
    <w:rsid w:val="00361948"/>
    <w:rsid w:val="003627CC"/>
    <w:rsid w:val="00362DD8"/>
    <w:rsid w:val="0036322E"/>
    <w:rsid w:val="00363B83"/>
    <w:rsid w:val="00364CAC"/>
    <w:rsid w:val="003651AB"/>
    <w:rsid w:val="00365EF5"/>
    <w:rsid w:val="003665E3"/>
    <w:rsid w:val="00371FB0"/>
    <w:rsid w:val="0037436A"/>
    <w:rsid w:val="003778AB"/>
    <w:rsid w:val="003802B8"/>
    <w:rsid w:val="003807BE"/>
    <w:rsid w:val="00383DE7"/>
    <w:rsid w:val="00385332"/>
    <w:rsid w:val="00390BF6"/>
    <w:rsid w:val="003940C6"/>
    <w:rsid w:val="0039442F"/>
    <w:rsid w:val="003945FC"/>
    <w:rsid w:val="003946C3"/>
    <w:rsid w:val="003973FF"/>
    <w:rsid w:val="003A133C"/>
    <w:rsid w:val="003A24F6"/>
    <w:rsid w:val="003A6652"/>
    <w:rsid w:val="003A6DE6"/>
    <w:rsid w:val="003A7A41"/>
    <w:rsid w:val="003A7E55"/>
    <w:rsid w:val="003B1755"/>
    <w:rsid w:val="003B384A"/>
    <w:rsid w:val="003B5906"/>
    <w:rsid w:val="003B65E3"/>
    <w:rsid w:val="003B6EDA"/>
    <w:rsid w:val="003C20FE"/>
    <w:rsid w:val="003C2D09"/>
    <w:rsid w:val="003C34A0"/>
    <w:rsid w:val="003D1575"/>
    <w:rsid w:val="003D19BE"/>
    <w:rsid w:val="003D7790"/>
    <w:rsid w:val="003E12F2"/>
    <w:rsid w:val="003E2180"/>
    <w:rsid w:val="003E2C4E"/>
    <w:rsid w:val="003E6D11"/>
    <w:rsid w:val="003F03B2"/>
    <w:rsid w:val="003F35FF"/>
    <w:rsid w:val="003F3CDB"/>
    <w:rsid w:val="003F5195"/>
    <w:rsid w:val="003F5AF2"/>
    <w:rsid w:val="003F5D0C"/>
    <w:rsid w:val="003F7C15"/>
    <w:rsid w:val="00402274"/>
    <w:rsid w:val="00402501"/>
    <w:rsid w:val="00402A55"/>
    <w:rsid w:val="00403937"/>
    <w:rsid w:val="00403954"/>
    <w:rsid w:val="004046A2"/>
    <w:rsid w:val="00404B88"/>
    <w:rsid w:val="00404C62"/>
    <w:rsid w:val="00406081"/>
    <w:rsid w:val="00406394"/>
    <w:rsid w:val="0040694A"/>
    <w:rsid w:val="004076CE"/>
    <w:rsid w:val="00410D54"/>
    <w:rsid w:val="00411F44"/>
    <w:rsid w:val="00413039"/>
    <w:rsid w:val="00413F80"/>
    <w:rsid w:val="00414067"/>
    <w:rsid w:val="00416F74"/>
    <w:rsid w:val="0042036E"/>
    <w:rsid w:val="004235F2"/>
    <w:rsid w:val="00425CA2"/>
    <w:rsid w:val="004262C0"/>
    <w:rsid w:val="00427062"/>
    <w:rsid w:val="00427077"/>
    <w:rsid w:val="00431DE1"/>
    <w:rsid w:val="004321CC"/>
    <w:rsid w:val="004325BD"/>
    <w:rsid w:val="00432CF0"/>
    <w:rsid w:val="0043324D"/>
    <w:rsid w:val="0043551D"/>
    <w:rsid w:val="004365A2"/>
    <w:rsid w:val="0043680F"/>
    <w:rsid w:val="004376A2"/>
    <w:rsid w:val="00437CE5"/>
    <w:rsid w:val="00442861"/>
    <w:rsid w:val="00442C7D"/>
    <w:rsid w:val="00444BAC"/>
    <w:rsid w:val="00445A96"/>
    <w:rsid w:val="004463F0"/>
    <w:rsid w:val="004471E4"/>
    <w:rsid w:val="004475E3"/>
    <w:rsid w:val="00451048"/>
    <w:rsid w:val="00452730"/>
    <w:rsid w:val="00452A59"/>
    <w:rsid w:val="00452C09"/>
    <w:rsid w:val="00453765"/>
    <w:rsid w:val="00454102"/>
    <w:rsid w:val="004548A0"/>
    <w:rsid w:val="004552FE"/>
    <w:rsid w:val="004555BE"/>
    <w:rsid w:val="004555FF"/>
    <w:rsid w:val="00456CE6"/>
    <w:rsid w:val="004627CB"/>
    <w:rsid w:val="00463D0C"/>
    <w:rsid w:val="00463D29"/>
    <w:rsid w:val="0046437D"/>
    <w:rsid w:val="00464B07"/>
    <w:rsid w:val="00465541"/>
    <w:rsid w:val="0046565E"/>
    <w:rsid w:val="00466C79"/>
    <w:rsid w:val="0047106A"/>
    <w:rsid w:val="00471B91"/>
    <w:rsid w:val="00473ECC"/>
    <w:rsid w:val="00474204"/>
    <w:rsid w:val="0047470A"/>
    <w:rsid w:val="00474874"/>
    <w:rsid w:val="0047497A"/>
    <w:rsid w:val="00476D8F"/>
    <w:rsid w:val="00477025"/>
    <w:rsid w:val="0047776F"/>
    <w:rsid w:val="004804B0"/>
    <w:rsid w:val="004810C4"/>
    <w:rsid w:val="004813FF"/>
    <w:rsid w:val="00481DFE"/>
    <w:rsid w:val="004825CD"/>
    <w:rsid w:val="0048299E"/>
    <w:rsid w:val="00483980"/>
    <w:rsid w:val="00484CB2"/>
    <w:rsid w:val="00484D7C"/>
    <w:rsid w:val="004853D8"/>
    <w:rsid w:val="004866B0"/>
    <w:rsid w:val="00490389"/>
    <w:rsid w:val="00491B26"/>
    <w:rsid w:val="00492BFB"/>
    <w:rsid w:val="00493A43"/>
    <w:rsid w:val="00494A52"/>
    <w:rsid w:val="004A1D39"/>
    <w:rsid w:val="004A4D9A"/>
    <w:rsid w:val="004A5586"/>
    <w:rsid w:val="004A5752"/>
    <w:rsid w:val="004A6015"/>
    <w:rsid w:val="004A7A6B"/>
    <w:rsid w:val="004B2356"/>
    <w:rsid w:val="004B3B44"/>
    <w:rsid w:val="004B54CA"/>
    <w:rsid w:val="004B7750"/>
    <w:rsid w:val="004C4CAE"/>
    <w:rsid w:val="004C50C2"/>
    <w:rsid w:val="004C59E6"/>
    <w:rsid w:val="004C6F40"/>
    <w:rsid w:val="004D0889"/>
    <w:rsid w:val="004D0AF2"/>
    <w:rsid w:val="004D1127"/>
    <w:rsid w:val="004D363E"/>
    <w:rsid w:val="004D41C3"/>
    <w:rsid w:val="004D6B02"/>
    <w:rsid w:val="004D7F67"/>
    <w:rsid w:val="004E2AFD"/>
    <w:rsid w:val="004E2D3A"/>
    <w:rsid w:val="004E383E"/>
    <w:rsid w:val="004E454B"/>
    <w:rsid w:val="004E57D0"/>
    <w:rsid w:val="004E75C7"/>
    <w:rsid w:val="004F089C"/>
    <w:rsid w:val="004F0B24"/>
    <w:rsid w:val="004F0C41"/>
    <w:rsid w:val="004F1503"/>
    <w:rsid w:val="004F1BBE"/>
    <w:rsid w:val="004F3023"/>
    <w:rsid w:val="004F5979"/>
    <w:rsid w:val="004F5C22"/>
    <w:rsid w:val="004F6741"/>
    <w:rsid w:val="005041DE"/>
    <w:rsid w:val="00505429"/>
    <w:rsid w:val="005065EC"/>
    <w:rsid w:val="005065EF"/>
    <w:rsid w:val="00506D70"/>
    <w:rsid w:val="00507211"/>
    <w:rsid w:val="00507D41"/>
    <w:rsid w:val="00520207"/>
    <w:rsid w:val="00520E8A"/>
    <w:rsid w:val="005221D5"/>
    <w:rsid w:val="00526374"/>
    <w:rsid w:val="00527592"/>
    <w:rsid w:val="00527DA7"/>
    <w:rsid w:val="00531D71"/>
    <w:rsid w:val="00532B7E"/>
    <w:rsid w:val="00532F66"/>
    <w:rsid w:val="0053317D"/>
    <w:rsid w:val="00533588"/>
    <w:rsid w:val="00533723"/>
    <w:rsid w:val="00533C6F"/>
    <w:rsid w:val="00536234"/>
    <w:rsid w:val="005368F1"/>
    <w:rsid w:val="00537CB6"/>
    <w:rsid w:val="00537E07"/>
    <w:rsid w:val="00541192"/>
    <w:rsid w:val="0054228E"/>
    <w:rsid w:val="00542684"/>
    <w:rsid w:val="00544C06"/>
    <w:rsid w:val="00545853"/>
    <w:rsid w:val="00546DD3"/>
    <w:rsid w:val="00547D2A"/>
    <w:rsid w:val="00550A5C"/>
    <w:rsid w:val="00550DDE"/>
    <w:rsid w:val="00553309"/>
    <w:rsid w:val="0055350B"/>
    <w:rsid w:val="00561075"/>
    <w:rsid w:val="005611F4"/>
    <w:rsid w:val="00561803"/>
    <w:rsid w:val="00562CD8"/>
    <w:rsid w:val="005630F4"/>
    <w:rsid w:val="00563544"/>
    <w:rsid w:val="00564AD6"/>
    <w:rsid w:val="00564C81"/>
    <w:rsid w:val="0056502C"/>
    <w:rsid w:val="00565477"/>
    <w:rsid w:val="00566627"/>
    <w:rsid w:val="00567443"/>
    <w:rsid w:val="00570B3B"/>
    <w:rsid w:val="00571D2F"/>
    <w:rsid w:val="00572768"/>
    <w:rsid w:val="00573EF5"/>
    <w:rsid w:val="00575B7F"/>
    <w:rsid w:val="00575C32"/>
    <w:rsid w:val="00580703"/>
    <w:rsid w:val="00581600"/>
    <w:rsid w:val="005816B5"/>
    <w:rsid w:val="00581D42"/>
    <w:rsid w:val="00581EBE"/>
    <w:rsid w:val="00582B78"/>
    <w:rsid w:val="0058374C"/>
    <w:rsid w:val="00584932"/>
    <w:rsid w:val="0058682E"/>
    <w:rsid w:val="00587BA6"/>
    <w:rsid w:val="005916B1"/>
    <w:rsid w:val="00592B5D"/>
    <w:rsid w:val="005976B1"/>
    <w:rsid w:val="0059795E"/>
    <w:rsid w:val="00597CC0"/>
    <w:rsid w:val="00597EBB"/>
    <w:rsid w:val="005A1904"/>
    <w:rsid w:val="005A2116"/>
    <w:rsid w:val="005A4FB2"/>
    <w:rsid w:val="005A5DF0"/>
    <w:rsid w:val="005A7335"/>
    <w:rsid w:val="005A7644"/>
    <w:rsid w:val="005B1B29"/>
    <w:rsid w:val="005B1C4A"/>
    <w:rsid w:val="005B45F4"/>
    <w:rsid w:val="005B4EEC"/>
    <w:rsid w:val="005B58C5"/>
    <w:rsid w:val="005B5AE3"/>
    <w:rsid w:val="005B6A72"/>
    <w:rsid w:val="005B730D"/>
    <w:rsid w:val="005B7D3D"/>
    <w:rsid w:val="005B7EA1"/>
    <w:rsid w:val="005C0E30"/>
    <w:rsid w:val="005C1C66"/>
    <w:rsid w:val="005C54DE"/>
    <w:rsid w:val="005C6570"/>
    <w:rsid w:val="005C7386"/>
    <w:rsid w:val="005D0C57"/>
    <w:rsid w:val="005D0DED"/>
    <w:rsid w:val="005D2B76"/>
    <w:rsid w:val="005D629A"/>
    <w:rsid w:val="005D6C3D"/>
    <w:rsid w:val="005D75AA"/>
    <w:rsid w:val="005E082C"/>
    <w:rsid w:val="005E19F0"/>
    <w:rsid w:val="005E20A8"/>
    <w:rsid w:val="005E2BA5"/>
    <w:rsid w:val="005E2C58"/>
    <w:rsid w:val="005E3CC5"/>
    <w:rsid w:val="005E48A5"/>
    <w:rsid w:val="005E61C1"/>
    <w:rsid w:val="005E69B9"/>
    <w:rsid w:val="005E6DC6"/>
    <w:rsid w:val="005F0666"/>
    <w:rsid w:val="005F28F8"/>
    <w:rsid w:val="005F4997"/>
    <w:rsid w:val="005F6BD1"/>
    <w:rsid w:val="005F7E10"/>
    <w:rsid w:val="006011A8"/>
    <w:rsid w:val="006012EB"/>
    <w:rsid w:val="00601BDB"/>
    <w:rsid w:val="00601D1F"/>
    <w:rsid w:val="00602E46"/>
    <w:rsid w:val="006034A7"/>
    <w:rsid w:val="006054FE"/>
    <w:rsid w:val="00605C43"/>
    <w:rsid w:val="00606634"/>
    <w:rsid w:val="00607F70"/>
    <w:rsid w:val="006103CD"/>
    <w:rsid w:val="006104B5"/>
    <w:rsid w:val="006115D3"/>
    <w:rsid w:val="006116B1"/>
    <w:rsid w:val="00612351"/>
    <w:rsid w:val="00612584"/>
    <w:rsid w:val="00614EFF"/>
    <w:rsid w:val="00615E97"/>
    <w:rsid w:val="00616F7D"/>
    <w:rsid w:val="006175B8"/>
    <w:rsid w:val="006204E5"/>
    <w:rsid w:val="0062069D"/>
    <w:rsid w:val="00621321"/>
    <w:rsid w:val="00622707"/>
    <w:rsid w:val="00624E5F"/>
    <w:rsid w:val="006261DF"/>
    <w:rsid w:val="0062681F"/>
    <w:rsid w:val="00626EB1"/>
    <w:rsid w:val="00627B99"/>
    <w:rsid w:val="00630654"/>
    <w:rsid w:val="00631AD5"/>
    <w:rsid w:val="00632147"/>
    <w:rsid w:val="00634E39"/>
    <w:rsid w:val="00637863"/>
    <w:rsid w:val="00641486"/>
    <w:rsid w:val="00643196"/>
    <w:rsid w:val="00643C1A"/>
    <w:rsid w:val="00652024"/>
    <w:rsid w:val="00653A42"/>
    <w:rsid w:val="00654D57"/>
    <w:rsid w:val="00654E70"/>
    <w:rsid w:val="00656681"/>
    <w:rsid w:val="00661A78"/>
    <w:rsid w:val="00665B26"/>
    <w:rsid w:val="00670106"/>
    <w:rsid w:val="00670E4E"/>
    <w:rsid w:val="00672F1A"/>
    <w:rsid w:val="0067434C"/>
    <w:rsid w:val="00677DB1"/>
    <w:rsid w:val="006814C0"/>
    <w:rsid w:val="006819DA"/>
    <w:rsid w:val="00682560"/>
    <w:rsid w:val="00684673"/>
    <w:rsid w:val="00684EEC"/>
    <w:rsid w:val="00687D8B"/>
    <w:rsid w:val="00690BC7"/>
    <w:rsid w:val="00692717"/>
    <w:rsid w:val="00692F61"/>
    <w:rsid w:val="00694211"/>
    <w:rsid w:val="00694462"/>
    <w:rsid w:val="006957BE"/>
    <w:rsid w:val="0069757B"/>
    <w:rsid w:val="006A06D1"/>
    <w:rsid w:val="006A2279"/>
    <w:rsid w:val="006A2995"/>
    <w:rsid w:val="006A3C15"/>
    <w:rsid w:val="006B3481"/>
    <w:rsid w:val="006B3963"/>
    <w:rsid w:val="006B3DA9"/>
    <w:rsid w:val="006B495E"/>
    <w:rsid w:val="006B4BB6"/>
    <w:rsid w:val="006B4D36"/>
    <w:rsid w:val="006C0F28"/>
    <w:rsid w:val="006C199D"/>
    <w:rsid w:val="006C2DFA"/>
    <w:rsid w:val="006C44E1"/>
    <w:rsid w:val="006C4985"/>
    <w:rsid w:val="006C4E22"/>
    <w:rsid w:val="006C7D44"/>
    <w:rsid w:val="006D1E1B"/>
    <w:rsid w:val="006D3F9E"/>
    <w:rsid w:val="006D506E"/>
    <w:rsid w:val="006D6298"/>
    <w:rsid w:val="006D7C4F"/>
    <w:rsid w:val="006E0813"/>
    <w:rsid w:val="006E0F4D"/>
    <w:rsid w:val="006E22A4"/>
    <w:rsid w:val="006E24D8"/>
    <w:rsid w:val="006E7349"/>
    <w:rsid w:val="006F0237"/>
    <w:rsid w:val="006F1ABD"/>
    <w:rsid w:val="006F1BF4"/>
    <w:rsid w:val="006F2CC8"/>
    <w:rsid w:val="006F2EA2"/>
    <w:rsid w:val="006F3637"/>
    <w:rsid w:val="006F75C3"/>
    <w:rsid w:val="00700B40"/>
    <w:rsid w:val="0070160D"/>
    <w:rsid w:val="00705319"/>
    <w:rsid w:val="007106AC"/>
    <w:rsid w:val="00711200"/>
    <w:rsid w:val="007126B7"/>
    <w:rsid w:val="007153DC"/>
    <w:rsid w:val="0072479D"/>
    <w:rsid w:val="00730A86"/>
    <w:rsid w:val="00730DD1"/>
    <w:rsid w:val="00731CDF"/>
    <w:rsid w:val="0073272B"/>
    <w:rsid w:val="00733C94"/>
    <w:rsid w:val="00734825"/>
    <w:rsid w:val="00737D51"/>
    <w:rsid w:val="00742F0E"/>
    <w:rsid w:val="007437E7"/>
    <w:rsid w:val="007438E5"/>
    <w:rsid w:val="007454D9"/>
    <w:rsid w:val="00747EFA"/>
    <w:rsid w:val="00751E77"/>
    <w:rsid w:val="00752D99"/>
    <w:rsid w:val="007532DB"/>
    <w:rsid w:val="00753423"/>
    <w:rsid w:val="00753BE3"/>
    <w:rsid w:val="007545BD"/>
    <w:rsid w:val="00755584"/>
    <w:rsid w:val="007562B8"/>
    <w:rsid w:val="00756611"/>
    <w:rsid w:val="00756B73"/>
    <w:rsid w:val="00756F5C"/>
    <w:rsid w:val="0075710F"/>
    <w:rsid w:val="0075757C"/>
    <w:rsid w:val="00757FD1"/>
    <w:rsid w:val="00762608"/>
    <w:rsid w:val="007627E4"/>
    <w:rsid w:val="00764EA8"/>
    <w:rsid w:val="007664FD"/>
    <w:rsid w:val="00767B04"/>
    <w:rsid w:val="00775FBF"/>
    <w:rsid w:val="007774BB"/>
    <w:rsid w:val="00777BB8"/>
    <w:rsid w:val="007810CD"/>
    <w:rsid w:val="0078248B"/>
    <w:rsid w:val="00782EEF"/>
    <w:rsid w:val="007838B2"/>
    <w:rsid w:val="00790646"/>
    <w:rsid w:val="00790BD0"/>
    <w:rsid w:val="00794A0F"/>
    <w:rsid w:val="007950BC"/>
    <w:rsid w:val="007A054C"/>
    <w:rsid w:val="007A0985"/>
    <w:rsid w:val="007A0F19"/>
    <w:rsid w:val="007A18BC"/>
    <w:rsid w:val="007A6EEA"/>
    <w:rsid w:val="007B31FD"/>
    <w:rsid w:val="007B670A"/>
    <w:rsid w:val="007B7868"/>
    <w:rsid w:val="007B7952"/>
    <w:rsid w:val="007B7B15"/>
    <w:rsid w:val="007C00E5"/>
    <w:rsid w:val="007C07E5"/>
    <w:rsid w:val="007C1345"/>
    <w:rsid w:val="007C1879"/>
    <w:rsid w:val="007C6114"/>
    <w:rsid w:val="007C6754"/>
    <w:rsid w:val="007D12FB"/>
    <w:rsid w:val="007D2C92"/>
    <w:rsid w:val="007D48E9"/>
    <w:rsid w:val="007D52B2"/>
    <w:rsid w:val="007D77CD"/>
    <w:rsid w:val="007E2463"/>
    <w:rsid w:val="007E3F96"/>
    <w:rsid w:val="007E4B57"/>
    <w:rsid w:val="007E646A"/>
    <w:rsid w:val="007F1091"/>
    <w:rsid w:val="007F3650"/>
    <w:rsid w:val="007F646B"/>
    <w:rsid w:val="007F6E94"/>
    <w:rsid w:val="007F7995"/>
    <w:rsid w:val="008011FC"/>
    <w:rsid w:val="008018BA"/>
    <w:rsid w:val="008033BB"/>
    <w:rsid w:val="00803D33"/>
    <w:rsid w:val="00804423"/>
    <w:rsid w:val="00805843"/>
    <w:rsid w:val="008111FB"/>
    <w:rsid w:val="008114D6"/>
    <w:rsid w:val="00812A0B"/>
    <w:rsid w:val="00814AB9"/>
    <w:rsid w:val="00815C02"/>
    <w:rsid w:val="00816A6B"/>
    <w:rsid w:val="008212FC"/>
    <w:rsid w:val="0082252E"/>
    <w:rsid w:val="0082270A"/>
    <w:rsid w:val="00823F96"/>
    <w:rsid w:val="008276B2"/>
    <w:rsid w:val="00827798"/>
    <w:rsid w:val="00830E25"/>
    <w:rsid w:val="00832671"/>
    <w:rsid w:val="008341F5"/>
    <w:rsid w:val="00836E31"/>
    <w:rsid w:val="00840E5D"/>
    <w:rsid w:val="00841B8F"/>
    <w:rsid w:val="008429B0"/>
    <w:rsid w:val="00844941"/>
    <w:rsid w:val="00845DE8"/>
    <w:rsid w:val="008472C3"/>
    <w:rsid w:val="00847559"/>
    <w:rsid w:val="008501D3"/>
    <w:rsid w:val="0085123B"/>
    <w:rsid w:val="0085249A"/>
    <w:rsid w:val="00852B75"/>
    <w:rsid w:val="00852BCC"/>
    <w:rsid w:val="00852C70"/>
    <w:rsid w:val="0085381E"/>
    <w:rsid w:val="008539BF"/>
    <w:rsid w:val="00856A30"/>
    <w:rsid w:val="008578A2"/>
    <w:rsid w:val="00860153"/>
    <w:rsid w:val="00860303"/>
    <w:rsid w:val="00861031"/>
    <w:rsid w:val="00861614"/>
    <w:rsid w:val="008626E3"/>
    <w:rsid w:val="00863070"/>
    <w:rsid w:val="00865D05"/>
    <w:rsid w:val="008702A4"/>
    <w:rsid w:val="00872E46"/>
    <w:rsid w:val="00872FF8"/>
    <w:rsid w:val="00880E26"/>
    <w:rsid w:val="00881079"/>
    <w:rsid w:val="00882062"/>
    <w:rsid w:val="0088298D"/>
    <w:rsid w:val="008919C1"/>
    <w:rsid w:val="0089219C"/>
    <w:rsid w:val="00893075"/>
    <w:rsid w:val="0089475D"/>
    <w:rsid w:val="00894E1B"/>
    <w:rsid w:val="008955AE"/>
    <w:rsid w:val="008967D3"/>
    <w:rsid w:val="00896F73"/>
    <w:rsid w:val="008A0845"/>
    <w:rsid w:val="008A2D34"/>
    <w:rsid w:val="008A2F06"/>
    <w:rsid w:val="008A37B4"/>
    <w:rsid w:val="008A511D"/>
    <w:rsid w:val="008A5B24"/>
    <w:rsid w:val="008A6CBF"/>
    <w:rsid w:val="008B20A8"/>
    <w:rsid w:val="008C3F4A"/>
    <w:rsid w:val="008C65B1"/>
    <w:rsid w:val="008C780E"/>
    <w:rsid w:val="008C78A7"/>
    <w:rsid w:val="008D1D5D"/>
    <w:rsid w:val="008D2C9D"/>
    <w:rsid w:val="008D49CE"/>
    <w:rsid w:val="008D4FEF"/>
    <w:rsid w:val="008D559C"/>
    <w:rsid w:val="008D6B93"/>
    <w:rsid w:val="008E0032"/>
    <w:rsid w:val="008E03D6"/>
    <w:rsid w:val="008E3639"/>
    <w:rsid w:val="008E60DA"/>
    <w:rsid w:val="008E6126"/>
    <w:rsid w:val="008E7BDA"/>
    <w:rsid w:val="008E7F16"/>
    <w:rsid w:val="008F0891"/>
    <w:rsid w:val="008F120F"/>
    <w:rsid w:val="008F4966"/>
    <w:rsid w:val="008F6EDD"/>
    <w:rsid w:val="00901936"/>
    <w:rsid w:val="00906025"/>
    <w:rsid w:val="00907173"/>
    <w:rsid w:val="0090791B"/>
    <w:rsid w:val="009154DE"/>
    <w:rsid w:val="00915C85"/>
    <w:rsid w:val="009160EA"/>
    <w:rsid w:val="00917CEA"/>
    <w:rsid w:val="00917EB1"/>
    <w:rsid w:val="0092061B"/>
    <w:rsid w:val="00920D11"/>
    <w:rsid w:val="00921B6E"/>
    <w:rsid w:val="009220A0"/>
    <w:rsid w:val="0092376D"/>
    <w:rsid w:val="009249B2"/>
    <w:rsid w:val="00924AEA"/>
    <w:rsid w:val="0092580B"/>
    <w:rsid w:val="009262F8"/>
    <w:rsid w:val="00927287"/>
    <w:rsid w:val="009336F5"/>
    <w:rsid w:val="00936ABA"/>
    <w:rsid w:val="00941530"/>
    <w:rsid w:val="00942B48"/>
    <w:rsid w:val="0094350A"/>
    <w:rsid w:val="00947E7E"/>
    <w:rsid w:val="00950B98"/>
    <w:rsid w:val="00951EB7"/>
    <w:rsid w:val="00952178"/>
    <w:rsid w:val="00954B73"/>
    <w:rsid w:val="009566EA"/>
    <w:rsid w:val="00957A13"/>
    <w:rsid w:val="009611F6"/>
    <w:rsid w:val="00961B0B"/>
    <w:rsid w:val="009629B8"/>
    <w:rsid w:val="009645BE"/>
    <w:rsid w:val="00967A7C"/>
    <w:rsid w:val="00971A4D"/>
    <w:rsid w:val="00972476"/>
    <w:rsid w:val="009735A0"/>
    <w:rsid w:val="009738AE"/>
    <w:rsid w:val="00973F7C"/>
    <w:rsid w:val="00974316"/>
    <w:rsid w:val="00975204"/>
    <w:rsid w:val="009756EC"/>
    <w:rsid w:val="00976D03"/>
    <w:rsid w:val="009774EA"/>
    <w:rsid w:val="0097794F"/>
    <w:rsid w:val="00980947"/>
    <w:rsid w:val="00983055"/>
    <w:rsid w:val="0098330A"/>
    <w:rsid w:val="00985924"/>
    <w:rsid w:val="00990883"/>
    <w:rsid w:val="009914BA"/>
    <w:rsid w:val="00992482"/>
    <w:rsid w:val="00992BED"/>
    <w:rsid w:val="0099370F"/>
    <w:rsid w:val="0099549F"/>
    <w:rsid w:val="00996442"/>
    <w:rsid w:val="00996493"/>
    <w:rsid w:val="00996A55"/>
    <w:rsid w:val="0099738A"/>
    <w:rsid w:val="00997FE1"/>
    <w:rsid w:val="009A0E6B"/>
    <w:rsid w:val="009A139F"/>
    <w:rsid w:val="009A26D6"/>
    <w:rsid w:val="009A422F"/>
    <w:rsid w:val="009A47D5"/>
    <w:rsid w:val="009A76F4"/>
    <w:rsid w:val="009B0129"/>
    <w:rsid w:val="009B1F23"/>
    <w:rsid w:val="009B38BD"/>
    <w:rsid w:val="009B3F46"/>
    <w:rsid w:val="009B4125"/>
    <w:rsid w:val="009B5554"/>
    <w:rsid w:val="009B6C49"/>
    <w:rsid w:val="009B72E6"/>
    <w:rsid w:val="009C0034"/>
    <w:rsid w:val="009C03C7"/>
    <w:rsid w:val="009C0C1A"/>
    <w:rsid w:val="009C1D74"/>
    <w:rsid w:val="009C564E"/>
    <w:rsid w:val="009C56C4"/>
    <w:rsid w:val="009C70EB"/>
    <w:rsid w:val="009C743D"/>
    <w:rsid w:val="009D148C"/>
    <w:rsid w:val="009D72DC"/>
    <w:rsid w:val="009D7FB9"/>
    <w:rsid w:val="009E067F"/>
    <w:rsid w:val="009E3DCA"/>
    <w:rsid w:val="009E543B"/>
    <w:rsid w:val="009E78A0"/>
    <w:rsid w:val="009E7A87"/>
    <w:rsid w:val="009F022D"/>
    <w:rsid w:val="009F0EF2"/>
    <w:rsid w:val="009F2CEC"/>
    <w:rsid w:val="009F3FD3"/>
    <w:rsid w:val="009F5750"/>
    <w:rsid w:val="00A00156"/>
    <w:rsid w:val="00A02290"/>
    <w:rsid w:val="00A06033"/>
    <w:rsid w:val="00A061ED"/>
    <w:rsid w:val="00A06D33"/>
    <w:rsid w:val="00A07E40"/>
    <w:rsid w:val="00A1428E"/>
    <w:rsid w:val="00A15021"/>
    <w:rsid w:val="00A15F89"/>
    <w:rsid w:val="00A15F8E"/>
    <w:rsid w:val="00A17441"/>
    <w:rsid w:val="00A176D6"/>
    <w:rsid w:val="00A20D1A"/>
    <w:rsid w:val="00A213BE"/>
    <w:rsid w:val="00A25152"/>
    <w:rsid w:val="00A26ED3"/>
    <w:rsid w:val="00A317F8"/>
    <w:rsid w:val="00A31F1B"/>
    <w:rsid w:val="00A32A89"/>
    <w:rsid w:val="00A34C38"/>
    <w:rsid w:val="00A359B0"/>
    <w:rsid w:val="00A36FED"/>
    <w:rsid w:val="00A40806"/>
    <w:rsid w:val="00A41672"/>
    <w:rsid w:val="00A4185E"/>
    <w:rsid w:val="00A4198C"/>
    <w:rsid w:val="00A43E02"/>
    <w:rsid w:val="00A44313"/>
    <w:rsid w:val="00A479B3"/>
    <w:rsid w:val="00A545C0"/>
    <w:rsid w:val="00A54CC6"/>
    <w:rsid w:val="00A57147"/>
    <w:rsid w:val="00A575CB"/>
    <w:rsid w:val="00A57B04"/>
    <w:rsid w:val="00A60F20"/>
    <w:rsid w:val="00A616F1"/>
    <w:rsid w:val="00A61BFF"/>
    <w:rsid w:val="00A6202A"/>
    <w:rsid w:val="00A64863"/>
    <w:rsid w:val="00A64DDD"/>
    <w:rsid w:val="00A651E0"/>
    <w:rsid w:val="00A70191"/>
    <w:rsid w:val="00A704A0"/>
    <w:rsid w:val="00A73141"/>
    <w:rsid w:val="00A7591D"/>
    <w:rsid w:val="00A7679C"/>
    <w:rsid w:val="00A76B4F"/>
    <w:rsid w:val="00A7731F"/>
    <w:rsid w:val="00A80332"/>
    <w:rsid w:val="00A80E67"/>
    <w:rsid w:val="00A81312"/>
    <w:rsid w:val="00A81342"/>
    <w:rsid w:val="00A82686"/>
    <w:rsid w:val="00A83F3F"/>
    <w:rsid w:val="00A85196"/>
    <w:rsid w:val="00A85705"/>
    <w:rsid w:val="00A85FBD"/>
    <w:rsid w:val="00A864CC"/>
    <w:rsid w:val="00A876EC"/>
    <w:rsid w:val="00A90E95"/>
    <w:rsid w:val="00A91E6E"/>
    <w:rsid w:val="00A93803"/>
    <w:rsid w:val="00A96BDE"/>
    <w:rsid w:val="00A971B3"/>
    <w:rsid w:val="00AA3344"/>
    <w:rsid w:val="00AA42F1"/>
    <w:rsid w:val="00AA444C"/>
    <w:rsid w:val="00AA4CC2"/>
    <w:rsid w:val="00AA6389"/>
    <w:rsid w:val="00AA6897"/>
    <w:rsid w:val="00AA6BE9"/>
    <w:rsid w:val="00AB07B2"/>
    <w:rsid w:val="00AB34A8"/>
    <w:rsid w:val="00AB3623"/>
    <w:rsid w:val="00AB417C"/>
    <w:rsid w:val="00AB4304"/>
    <w:rsid w:val="00AB4659"/>
    <w:rsid w:val="00AB4D8E"/>
    <w:rsid w:val="00AC0473"/>
    <w:rsid w:val="00AD04E0"/>
    <w:rsid w:val="00AD41C9"/>
    <w:rsid w:val="00AD5CBC"/>
    <w:rsid w:val="00AE3886"/>
    <w:rsid w:val="00AE4586"/>
    <w:rsid w:val="00AE46D7"/>
    <w:rsid w:val="00AE5E4E"/>
    <w:rsid w:val="00AE6071"/>
    <w:rsid w:val="00AE66B6"/>
    <w:rsid w:val="00AE6757"/>
    <w:rsid w:val="00AE6F18"/>
    <w:rsid w:val="00AE76A2"/>
    <w:rsid w:val="00AE7F35"/>
    <w:rsid w:val="00AF04CD"/>
    <w:rsid w:val="00AF2FF1"/>
    <w:rsid w:val="00AF32EA"/>
    <w:rsid w:val="00AF5950"/>
    <w:rsid w:val="00AF72A6"/>
    <w:rsid w:val="00B00A0A"/>
    <w:rsid w:val="00B00A56"/>
    <w:rsid w:val="00B06F99"/>
    <w:rsid w:val="00B06FBB"/>
    <w:rsid w:val="00B10184"/>
    <w:rsid w:val="00B10893"/>
    <w:rsid w:val="00B1214A"/>
    <w:rsid w:val="00B16177"/>
    <w:rsid w:val="00B200F2"/>
    <w:rsid w:val="00B229B5"/>
    <w:rsid w:val="00B23D8E"/>
    <w:rsid w:val="00B24536"/>
    <w:rsid w:val="00B25269"/>
    <w:rsid w:val="00B25306"/>
    <w:rsid w:val="00B25F2F"/>
    <w:rsid w:val="00B2602F"/>
    <w:rsid w:val="00B26BD0"/>
    <w:rsid w:val="00B31BD2"/>
    <w:rsid w:val="00B325E2"/>
    <w:rsid w:val="00B3447A"/>
    <w:rsid w:val="00B347EA"/>
    <w:rsid w:val="00B3507C"/>
    <w:rsid w:val="00B432E2"/>
    <w:rsid w:val="00B435E5"/>
    <w:rsid w:val="00B505EE"/>
    <w:rsid w:val="00B51762"/>
    <w:rsid w:val="00B51FBC"/>
    <w:rsid w:val="00B52028"/>
    <w:rsid w:val="00B548F2"/>
    <w:rsid w:val="00B57B0E"/>
    <w:rsid w:val="00B61149"/>
    <w:rsid w:val="00B617F1"/>
    <w:rsid w:val="00B62E52"/>
    <w:rsid w:val="00B630B1"/>
    <w:rsid w:val="00B630F3"/>
    <w:rsid w:val="00B666F7"/>
    <w:rsid w:val="00B718FF"/>
    <w:rsid w:val="00B73098"/>
    <w:rsid w:val="00B74527"/>
    <w:rsid w:val="00B75FFA"/>
    <w:rsid w:val="00B765FA"/>
    <w:rsid w:val="00B76F17"/>
    <w:rsid w:val="00B7724E"/>
    <w:rsid w:val="00B81B77"/>
    <w:rsid w:val="00B83ED2"/>
    <w:rsid w:val="00B84824"/>
    <w:rsid w:val="00B86CCA"/>
    <w:rsid w:val="00B901A7"/>
    <w:rsid w:val="00B90367"/>
    <w:rsid w:val="00B907B4"/>
    <w:rsid w:val="00B93745"/>
    <w:rsid w:val="00B941EE"/>
    <w:rsid w:val="00B95573"/>
    <w:rsid w:val="00B95F8A"/>
    <w:rsid w:val="00BA1018"/>
    <w:rsid w:val="00BA1764"/>
    <w:rsid w:val="00BA3DCE"/>
    <w:rsid w:val="00BA6C1E"/>
    <w:rsid w:val="00BA7F2A"/>
    <w:rsid w:val="00BB0BF2"/>
    <w:rsid w:val="00BB0DDD"/>
    <w:rsid w:val="00BB1F5E"/>
    <w:rsid w:val="00BB23A1"/>
    <w:rsid w:val="00BB509A"/>
    <w:rsid w:val="00BB6C1F"/>
    <w:rsid w:val="00BB7642"/>
    <w:rsid w:val="00BC0E97"/>
    <w:rsid w:val="00BC2AFA"/>
    <w:rsid w:val="00BC3053"/>
    <w:rsid w:val="00BC496E"/>
    <w:rsid w:val="00BC4CB2"/>
    <w:rsid w:val="00BC5644"/>
    <w:rsid w:val="00BC5F06"/>
    <w:rsid w:val="00BD0345"/>
    <w:rsid w:val="00BD0765"/>
    <w:rsid w:val="00BD07C2"/>
    <w:rsid w:val="00BD0DD7"/>
    <w:rsid w:val="00BD5906"/>
    <w:rsid w:val="00BD5C2B"/>
    <w:rsid w:val="00BE0287"/>
    <w:rsid w:val="00BE59BE"/>
    <w:rsid w:val="00BE62FA"/>
    <w:rsid w:val="00BE7CE2"/>
    <w:rsid w:val="00BE7D7F"/>
    <w:rsid w:val="00BF5ECD"/>
    <w:rsid w:val="00BF6571"/>
    <w:rsid w:val="00BF69A5"/>
    <w:rsid w:val="00BF72EA"/>
    <w:rsid w:val="00C00FF7"/>
    <w:rsid w:val="00C01C91"/>
    <w:rsid w:val="00C039D1"/>
    <w:rsid w:val="00C0481F"/>
    <w:rsid w:val="00C04A35"/>
    <w:rsid w:val="00C0689C"/>
    <w:rsid w:val="00C07396"/>
    <w:rsid w:val="00C106D9"/>
    <w:rsid w:val="00C1077B"/>
    <w:rsid w:val="00C10ED8"/>
    <w:rsid w:val="00C11699"/>
    <w:rsid w:val="00C120DC"/>
    <w:rsid w:val="00C128E6"/>
    <w:rsid w:val="00C12F32"/>
    <w:rsid w:val="00C13508"/>
    <w:rsid w:val="00C13834"/>
    <w:rsid w:val="00C139ED"/>
    <w:rsid w:val="00C2009B"/>
    <w:rsid w:val="00C23045"/>
    <w:rsid w:val="00C239C5"/>
    <w:rsid w:val="00C306E2"/>
    <w:rsid w:val="00C34444"/>
    <w:rsid w:val="00C3755E"/>
    <w:rsid w:val="00C37A85"/>
    <w:rsid w:val="00C40EB7"/>
    <w:rsid w:val="00C412F2"/>
    <w:rsid w:val="00C4279A"/>
    <w:rsid w:val="00C46959"/>
    <w:rsid w:val="00C47B95"/>
    <w:rsid w:val="00C5303B"/>
    <w:rsid w:val="00C5303E"/>
    <w:rsid w:val="00C5357C"/>
    <w:rsid w:val="00C5377A"/>
    <w:rsid w:val="00C548E2"/>
    <w:rsid w:val="00C556A6"/>
    <w:rsid w:val="00C565D1"/>
    <w:rsid w:val="00C60825"/>
    <w:rsid w:val="00C60C3B"/>
    <w:rsid w:val="00C62CDB"/>
    <w:rsid w:val="00C64460"/>
    <w:rsid w:val="00C64CA8"/>
    <w:rsid w:val="00C66FDA"/>
    <w:rsid w:val="00C67157"/>
    <w:rsid w:val="00C70F0D"/>
    <w:rsid w:val="00C7105F"/>
    <w:rsid w:val="00C71416"/>
    <w:rsid w:val="00C731E4"/>
    <w:rsid w:val="00C742FB"/>
    <w:rsid w:val="00C74DC5"/>
    <w:rsid w:val="00C77A14"/>
    <w:rsid w:val="00C77CCF"/>
    <w:rsid w:val="00C8007D"/>
    <w:rsid w:val="00C80B5C"/>
    <w:rsid w:val="00C8118A"/>
    <w:rsid w:val="00C81AE2"/>
    <w:rsid w:val="00C83765"/>
    <w:rsid w:val="00C86440"/>
    <w:rsid w:val="00C864F6"/>
    <w:rsid w:val="00C86E37"/>
    <w:rsid w:val="00C924E9"/>
    <w:rsid w:val="00C928C5"/>
    <w:rsid w:val="00C93A43"/>
    <w:rsid w:val="00CA044A"/>
    <w:rsid w:val="00CA0BA4"/>
    <w:rsid w:val="00CA0F38"/>
    <w:rsid w:val="00CA1CAE"/>
    <w:rsid w:val="00CA1DF7"/>
    <w:rsid w:val="00CA2C97"/>
    <w:rsid w:val="00CA54EA"/>
    <w:rsid w:val="00CA6F08"/>
    <w:rsid w:val="00CA7DF6"/>
    <w:rsid w:val="00CB0549"/>
    <w:rsid w:val="00CB0DA0"/>
    <w:rsid w:val="00CB14F9"/>
    <w:rsid w:val="00CB2970"/>
    <w:rsid w:val="00CB4EB7"/>
    <w:rsid w:val="00CB5CFB"/>
    <w:rsid w:val="00CB6067"/>
    <w:rsid w:val="00CB6C27"/>
    <w:rsid w:val="00CC1488"/>
    <w:rsid w:val="00CC46E7"/>
    <w:rsid w:val="00CC5297"/>
    <w:rsid w:val="00CC5F3B"/>
    <w:rsid w:val="00CD28E4"/>
    <w:rsid w:val="00CD2F03"/>
    <w:rsid w:val="00CD3DDF"/>
    <w:rsid w:val="00CD426B"/>
    <w:rsid w:val="00CD44BC"/>
    <w:rsid w:val="00CD52C2"/>
    <w:rsid w:val="00CE0B1C"/>
    <w:rsid w:val="00CE3580"/>
    <w:rsid w:val="00CE3F6A"/>
    <w:rsid w:val="00CE403D"/>
    <w:rsid w:val="00CE405E"/>
    <w:rsid w:val="00CF105E"/>
    <w:rsid w:val="00CF30C5"/>
    <w:rsid w:val="00CF4069"/>
    <w:rsid w:val="00CF4E09"/>
    <w:rsid w:val="00CF5AD3"/>
    <w:rsid w:val="00CF6E52"/>
    <w:rsid w:val="00D005A8"/>
    <w:rsid w:val="00D0158D"/>
    <w:rsid w:val="00D03EF8"/>
    <w:rsid w:val="00D0609C"/>
    <w:rsid w:val="00D06622"/>
    <w:rsid w:val="00D07871"/>
    <w:rsid w:val="00D12405"/>
    <w:rsid w:val="00D17ED9"/>
    <w:rsid w:val="00D214AC"/>
    <w:rsid w:val="00D21B28"/>
    <w:rsid w:val="00D25269"/>
    <w:rsid w:val="00D26BDB"/>
    <w:rsid w:val="00D31AAF"/>
    <w:rsid w:val="00D33226"/>
    <w:rsid w:val="00D34099"/>
    <w:rsid w:val="00D3670D"/>
    <w:rsid w:val="00D40D19"/>
    <w:rsid w:val="00D4118D"/>
    <w:rsid w:val="00D41D0E"/>
    <w:rsid w:val="00D436BE"/>
    <w:rsid w:val="00D44FE0"/>
    <w:rsid w:val="00D45F2D"/>
    <w:rsid w:val="00D46B6C"/>
    <w:rsid w:val="00D473DE"/>
    <w:rsid w:val="00D47500"/>
    <w:rsid w:val="00D529B7"/>
    <w:rsid w:val="00D52C78"/>
    <w:rsid w:val="00D52F4D"/>
    <w:rsid w:val="00D53B28"/>
    <w:rsid w:val="00D55882"/>
    <w:rsid w:val="00D55F5C"/>
    <w:rsid w:val="00D56703"/>
    <w:rsid w:val="00D56D0E"/>
    <w:rsid w:val="00D5700B"/>
    <w:rsid w:val="00D571FA"/>
    <w:rsid w:val="00D6223D"/>
    <w:rsid w:val="00D63D29"/>
    <w:rsid w:val="00D640E8"/>
    <w:rsid w:val="00D64A16"/>
    <w:rsid w:val="00D65544"/>
    <w:rsid w:val="00D6563A"/>
    <w:rsid w:val="00D6569A"/>
    <w:rsid w:val="00D6601F"/>
    <w:rsid w:val="00D6673C"/>
    <w:rsid w:val="00D66C16"/>
    <w:rsid w:val="00D707C5"/>
    <w:rsid w:val="00D70C07"/>
    <w:rsid w:val="00D737C7"/>
    <w:rsid w:val="00D755B9"/>
    <w:rsid w:val="00D77C87"/>
    <w:rsid w:val="00D829B6"/>
    <w:rsid w:val="00D858C3"/>
    <w:rsid w:val="00D85EDA"/>
    <w:rsid w:val="00D90984"/>
    <w:rsid w:val="00D94700"/>
    <w:rsid w:val="00D95E2C"/>
    <w:rsid w:val="00D974D9"/>
    <w:rsid w:val="00DA09DE"/>
    <w:rsid w:val="00DA212B"/>
    <w:rsid w:val="00DA35AC"/>
    <w:rsid w:val="00DA4738"/>
    <w:rsid w:val="00DA4C8A"/>
    <w:rsid w:val="00DA63AC"/>
    <w:rsid w:val="00DA6607"/>
    <w:rsid w:val="00DA7133"/>
    <w:rsid w:val="00DA73BB"/>
    <w:rsid w:val="00DB0662"/>
    <w:rsid w:val="00DB1F70"/>
    <w:rsid w:val="00DB1FA0"/>
    <w:rsid w:val="00DB2060"/>
    <w:rsid w:val="00DB2B81"/>
    <w:rsid w:val="00DB3B37"/>
    <w:rsid w:val="00DB5DD8"/>
    <w:rsid w:val="00DC1AF6"/>
    <w:rsid w:val="00DC43BD"/>
    <w:rsid w:val="00DC595E"/>
    <w:rsid w:val="00DC716B"/>
    <w:rsid w:val="00DD0549"/>
    <w:rsid w:val="00DD1B0F"/>
    <w:rsid w:val="00DD2F24"/>
    <w:rsid w:val="00DD4C97"/>
    <w:rsid w:val="00DD5044"/>
    <w:rsid w:val="00DD5CE9"/>
    <w:rsid w:val="00DD5EB1"/>
    <w:rsid w:val="00DD69D0"/>
    <w:rsid w:val="00DD6B89"/>
    <w:rsid w:val="00DE1CC8"/>
    <w:rsid w:val="00DE3458"/>
    <w:rsid w:val="00DE5B00"/>
    <w:rsid w:val="00DE7752"/>
    <w:rsid w:val="00DF1FA6"/>
    <w:rsid w:val="00DF542D"/>
    <w:rsid w:val="00DF704A"/>
    <w:rsid w:val="00DF705C"/>
    <w:rsid w:val="00E01358"/>
    <w:rsid w:val="00E01D94"/>
    <w:rsid w:val="00E025D5"/>
    <w:rsid w:val="00E03D9D"/>
    <w:rsid w:val="00E06AFB"/>
    <w:rsid w:val="00E10F9D"/>
    <w:rsid w:val="00E12986"/>
    <w:rsid w:val="00E12BC9"/>
    <w:rsid w:val="00E13EA5"/>
    <w:rsid w:val="00E16148"/>
    <w:rsid w:val="00E176F9"/>
    <w:rsid w:val="00E17B89"/>
    <w:rsid w:val="00E2113C"/>
    <w:rsid w:val="00E213D1"/>
    <w:rsid w:val="00E213F6"/>
    <w:rsid w:val="00E218E8"/>
    <w:rsid w:val="00E23CFA"/>
    <w:rsid w:val="00E23D5E"/>
    <w:rsid w:val="00E2593F"/>
    <w:rsid w:val="00E25ED1"/>
    <w:rsid w:val="00E26C72"/>
    <w:rsid w:val="00E30285"/>
    <w:rsid w:val="00E3337A"/>
    <w:rsid w:val="00E3447C"/>
    <w:rsid w:val="00E35DDD"/>
    <w:rsid w:val="00E375FE"/>
    <w:rsid w:val="00E5086C"/>
    <w:rsid w:val="00E50A1F"/>
    <w:rsid w:val="00E52544"/>
    <w:rsid w:val="00E536B7"/>
    <w:rsid w:val="00E5455B"/>
    <w:rsid w:val="00E57BB9"/>
    <w:rsid w:val="00E60C81"/>
    <w:rsid w:val="00E63AC1"/>
    <w:rsid w:val="00E642AD"/>
    <w:rsid w:val="00E646E2"/>
    <w:rsid w:val="00E653FD"/>
    <w:rsid w:val="00E65588"/>
    <w:rsid w:val="00E65AA4"/>
    <w:rsid w:val="00E663F9"/>
    <w:rsid w:val="00E665FF"/>
    <w:rsid w:val="00E71B15"/>
    <w:rsid w:val="00E72F41"/>
    <w:rsid w:val="00E73EB1"/>
    <w:rsid w:val="00E771DA"/>
    <w:rsid w:val="00E7782F"/>
    <w:rsid w:val="00E77B2D"/>
    <w:rsid w:val="00E80A7C"/>
    <w:rsid w:val="00E8162E"/>
    <w:rsid w:val="00E81A2A"/>
    <w:rsid w:val="00E84FCD"/>
    <w:rsid w:val="00E85C75"/>
    <w:rsid w:val="00E86224"/>
    <w:rsid w:val="00E865E9"/>
    <w:rsid w:val="00E872ED"/>
    <w:rsid w:val="00E878A5"/>
    <w:rsid w:val="00E87C2F"/>
    <w:rsid w:val="00E9003D"/>
    <w:rsid w:val="00E9067B"/>
    <w:rsid w:val="00E92958"/>
    <w:rsid w:val="00E9355D"/>
    <w:rsid w:val="00E958F8"/>
    <w:rsid w:val="00E9591A"/>
    <w:rsid w:val="00E97D3A"/>
    <w:rsid w:val="00EA0488"/>
    <w:rsid w:val="00EA0496"/>
    <w:rsid w:val="00EA6174"/>
    <w:rsid w:val="00EA6B81"/>
    <w:rsid w:val="00EA7B0D"/>
    <w:rsid w:val="00EB0276"/>
    <w:rsid w:val="00EB027D"/>
    <w:rsid w:val="00EB07CD"/>
    <w:rsid w:val="00EB2A62"/>
    <w:rsid w:val="00EB2EF2"/>
    <w:rsid w:val="00EB3E37"/>
    <w:rsid w:val="00EB4886"/>
    <w:rsid w:val="00EB53EC"/>
    <w:rsid w:val="00EB582F"/>
    <w:rsid w:val="00EB7208"/>
    <w:rsid w:val="00EC07AA"/>
    <w:rsid w:val="00EC2339"/>
    <w:rsid w:val="00EC2541"/>
    <w:rsid w:val="00EC390A"/>
    <w:rsid w:val="00EC3EB4"/>
    <w:rsid w:val="00EC71D2"/>
    <w:rsid w:val="00ED3961"/>
    <w:rsid w:val="00ED5C9A"/>
    <w:rsid w:val="00ED67AE"/>
    <w:rsid w:val="00ED6955"/>
    <w:rsid w:val="00EE2581"/>
    <w:rsid w:val="00EE78E8"/>
    <w:rsid w:val="00EF05B3"/>
    <w:rsid w:val="00EF12C2"/>
    <w:rsid w:val="00EF2AFA"/>
    <w:rsid w:val="00EF428F"/>
    <w:rsid w:val="00EF475B"/>
    <w:rsid w:val="00EF6AD0"/>
    <w:rsid w:val="00EF6FAA"/>
    <w:rsid w:val="00EF7F2D"/>
    <w:rsid w:val="00F00078"/>
    <w:rsid w:val="00F03249"/>
    <w:rsid w:val="00F04A0C"/>
    <w:rsid w:val="00F054D7"/>
    <w:rsid w:val="00F06598"/>
    <w:rsid w:val="00F070FD"/>
    <w:rsid w:val="00F12CFF"/>
    <w:rsid w:val="00F13373"/>
    <w:rsid w:val="00F14160"/>
    <w:rsid w:val="00F15D5F"/>
    <w:rsid w:val="00F16FA1"/>
    <w:rsid w:val="00F17587"/>
    <w:rsid w:val="00F2057A"/>
    <w:rsid w:val="00F246FA"/>
    <w:rsid w:val="00F32D2E"/>
    <w:rsid w:val="00F357B0"/>
    <w:rsid w:val="00F40A23"/>
    <w:rsid w:val="00F4119E"/>
    <w:rsid w:val="00F43361"/>
    <w:rsid w:val="00F5006B"/>
    <w:rsid w:val="00F51C01"/>
    <w:rsid w:val="00F5766D"/>
    <w:rsid w:val="00F618CB"/>
    <w:rsid w:val="00F61A1A"/>
    <w:rsid w:val="00F630F0"/>
    <w:rsid w:val="00F63EA2"/>
    <w:rsid w:val="00F63EC9"/>
    <w:rsid w:val="00F6503E"/>
    <w:rsid w:val="00F65730"/>
    <w:rsid w:val="00F65A0A"/>
    <w:rsid w:val="00F70AB1"/>
    <w:rsid w:val="00F7395C"/>
    <w:rsid w:val="00F746BF"/>
    <w:rsid w:val="00F77239"/>
    <w:rsid w:val="00F821E6"/>
    <w:rsid w:val="00F84320"/>
    <w:rsid w:val="00F8440F"/>
    <w:rsid w:val="00F859F5"/>
    <w:rsid w:val="00F8784B"/>
    <w:rsid w:val="00F87C2C"/>
    <w:rsid w:val="00F902C5"/>
    <w:rsid w:val="00F929F3"/>
    <w:rsid w:val="00F92D99"/>
    <w:rsid w:val="00F93C94"/>
    <w:rsid w:val="00F947D8"/>
    <w:rsid w:val="00F97DCE"/>
    <w:rsid w:val="00FA39E7"/>
    <w:rsid w:val="00FA57A4"/>
    <w:rsid w:val="00FA68A1"/>
    <w:rsid w:val="00FA73B0"/>
    <w:rsid w:val="00FA7E35"/>
    <w:rsid w:val="00FB4715"/>
    <w:rsid w:val="00FB56E9"/>
    <w:rsid w:val="00FB5C8A"/>
    <w:rsid w:val="00FB75D2"/>
    <w:rsid w:val="00FB7A37"/>
    <w:rsid w:val="00FC387E"/>
    <w:rsid w:val="00FC3CFC"/>
    <w:rsid w:val="00FC5770"/>
    <w:rsid w:val="00FC78DA"/>
    <w:rsid w:val="00FD0981"/>
    <w:rsid w:val="00FD158E"/>
    <w:rsid w:val="00FD329A"/>
    <w:rsid w:val="00FD5169"/>
    <w:rsid w:val="00FD521A"/>
    <w:rsid w:val="00FD5436"/>
    <w:rsid w:val="00FD61B2"/>
    <w:rsid w:val="00FD666B"/>
    <w:rsid w:val="00FD7190"/>
    <w:rsid w:val="00FE1233"/>
    <w:rsid w:val="00FE20F1"/>
    <w:rsid w:val="00FE31EE"/>
    <w:rsid w:val="00FE57C5"/>
    <w:rsid w:val="00FE5ADF"/>
    <w:rsid w:val="00FE7C6B"/>
    <w:rsid w:val="00FE7E17"/>
    <w:rsid w:val="00FF0BBB"/>
    <w:rsid w:val="00FF20B4"/>
    <w:rsid w:val="46214765"/>
    <w:rsid w:val="4FCC4E94"/>
    <w:rsid w:val="592F68A1"/>
    <w:rsid w:val="661F3D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ind w:firstLine="720"/>
      <w:jc w:val="both"/>
    </w:pPr>
    <w:rPr>
      <w:rFonts w:ascii="Times New Roman" w:hAnsi="Times New Roman" w:eastAsiaTheme="minorEastAsia" w:cstheme="minorBidi"/>
      <w:sz w:val="24"/>
      <w:szCs w:val="22"/>
      <w:lang w:val="en-AU" w:eastAsia="en-US" w:bidi="ar-SA"/>
    </w:rPr>
  </w:style>
  <w:style w:type="paragraph" w:styleId="2">
    <w:name w:val="heading 1"/>
    <w:basedOn w:val="1"/>
    <w:next w:val="1"/>
    <w:link w:val="32"/>
    <w:qFormat/>
    <w:uiPriority w:val="9"/>
    <w:pPr>
      <w:keepNext/>
      <w:keepLines/>
      <w:numPr>
        <w:ilvl w:val="0"/>
        <w:numId w:val="1"/>
      </w:numPr>
      <w:spacing w:before="360"/>
      <w:jc w:val="center"/>
      <w:outlineLvl w:val="0"/>
    </w:pPr>
    <w:rPr>
      <w:rFonts w:eastAsiaTheme="majorEastAsia" w:cstheme="majorBidi"/>
      <w:b/>
      <w:bCs/>
      <w:color w:val="000000" w:themeColor="text1"/>
      <w:szCs w:val="36"/>
      <w14:textFill>
        <w14:solidFill>
          <w14:schemeClr w14:val="tx1"/>
        </w14:solidFill>
      </w14:textFill>
    </w:rPr>
  </w:style>
  <w:style w:type="paragraph" w:styleId="3">
    <w:name w:val="heading 2"/>
    <w:basedOn w:val="1"/>
    <w:next w:val="1"/>
    <w:link w:val="36"/>
    <w:unhideWhenUsed/>
    <w:qFormat/>
    <w:uiPriority w:val="9"/>
    <w:pPr>
      <w:keepNext/>
      <w:keepLines/>
      <w:numPr>
        <w:ilvl w:val="1"/>
        <w:numId w:val="1"/>
      </w:numPr>
      <w:spacing w:before="360" w:after="0"/>
      <w:outlineLvl w:val="1"/>
    </w:pPr>
    <w:rPr>
      <w:rFonts w:eastAsiaTheme="majorEastAsia" w:cstheme="majorBidi"/>
      <w:b/>
      <w:bCs/>
      <w:color w:val="000000" w:themeColor="text1"/>
      <w:szCs w:val="28"/>
      <w14:textFill>
        <w14:solidFill>
          <w14:schemeClr w14:val="tx1"/>
        </w14:solidFill>
      </w14:textFill>
    </w:rPr>
  </w:style>
  <w:style w:type="paragraph" w:styleId="4">
    <w:name w:val="heading 3"/>
    <w:basedOn w:val="1"/>
    <w:next w:val="1"/>
    <w:link w:val="37"/>
    <w:unhideWhenUsed/>
    <w:qFormat/>
    <w:uiPriority w:val="9"/>
    <w:pPr>
      <w:keepNext/>
      <w:keepLines/>
      <w:numPr>
        <w:ilvl w:val="2"/>
        <w:numId w:val="1"/>
      </w:numPr>
      <w:spacing w:before="200" w:after="0"/>
      <w:outlineLvl w:val="2"/>
    </w:pPr>
    <w:rPr>
      <w:rFonts w:eastAsiaTheme="majorEastAsia" w:cstheme="majorBidi"/>
      <w:b/>
      <w:bCs/>
      <w:i/>
      <w:color w:val="000000" w:themeColor="text1"/>
      <w14:textFill>
        <w14:solidFill>
          <w14:schemeClr w14:val="tx1"/>
        </w14:solidFill>
      </w14:textFill>
    </w:rPr>
  </w:style>
  <w:style w:type="paragraph" w:styleId="5">
    <w:name w:val="heading 4"/>
    <w:basedOn w:val="1"/>
    <w:next w:val="1"/>
    <w:link w:val="39"/>
    <w:unhideWhenUsed/>
    <w:qFormat/>
    <w:uiPriority w:val="9"/>
    <w:pPr>
      <w:keepNext/>
      <w:keepLines/>
      <w:numPr>
        <w:ilvl w:val="3"/>
        <w:numId w:val="1"/>
      </w:numPr>
      <w:spacing w:before="200" w:after="0"/>
      <w:outlineLvl w:val="3"/>
    </w:pPr>
    <w:rPr>
      <w:rFonts w:eastAsiaTheme="majorEastAsia" w:cstheme="majorBidi"/>
      <w:b/>
      <w:bCs/>
      <w:i/>
      <w:iCs/>
      <w:color w:val="000000" w:themeColor="text1"/>
      <w14:textFill>
        <w14:solidFill>
          <w14:schemeClr w14:val="tx1"/>
        </w14:solidFill>
      </w14:textFill>
    </w:rPr>
  </w:style>
  <w:style w:type="paragraph" w:styleId="6">
    <w:name w:val="heading 5"/>
    <w:basedOn w:val="1"/>
    <w:next w:val="1"/>
    <w:link w:val="40"/>
    <w:unhideWhenUsed/>
    <w:qFormat/>
    <w:uiPriority w:val="9"/>
    <w:pPr>
      <w:keepNext/>
      <w:keepLines/>
      <w:numPr>
        <w:ilvl w:val="4"/>
        <w:numId w:val="1"/>
      </w:numPr>
      <w:spacing w:before="200" w:after="0"/>
      <w:outlineLvl w:val="4"/>
    </w:pPr>
    <w:rPr>
      <w:rFonts w:eastAsiaTheme="majorEastAsia" w:cstheme="majorBidi"/>
      <w:color w:val="333F50" w:themeColor="text2" w:themeShade="BF"/>
    </w:rPr>
  </w:style>
  <w:style w:type="paragraph" w:styleId="7">
    <w:name w:val="heading 6"/>
    <w:basedOn w:val="1"/>
    <w:next w:val="1"/>
    <w:link w:val="41"/>
    <w:semiHidden/>
    <w:unhideWhenUsed/>
    <w:qFormat/>
    <w:uiPriority w:val="9"/>
    <w:pPr>
      <w:keepNext/>
      <w:keepLines/>
      <w:numPr>
        <w:ilvl w:val="5"/>
        <w:numId w:val="1"/>
      </w:numPr>
      <w:spacing w:before="200" w:after="0"/>
      <w:outlineLvl w:val="5"/>
    </w:pPr>
    <w:rPr>
      <w:rFonts w:eastAsiaTheme="majorEastAsia" w:cstheme="majorBidi"/>
      <w:i/>
      <w:iCs/>
      <w:color w:val="333F50" w:themeColor="text2" w:themeShade="BF"/>
    </w:rPr>
  </w:style>
  <w:style w:type="paragraph" w:styleId="8">
    <w:name w:val="heading 7"/>
    <w:basedOn w:val="1"/>
    <w:next w:val="1"/>
    <w:link w:val="42"/>
    <w:semiHidden/>
    <w:unhideWhenUsed/>
    <w:qFormat/>
    <w:uiPriority w:val="9"/>
    <w:pPr>
      <w:keepNext/>
      <w:keepLines/>
      <w:numPr>
        <w:ilvl w:val="6"/>
        <w:numId w:val="1"/>
      </w:numPr>
      <w:spacing w:before="200" w:after="0"/>
      <w:outlineLvl w:val="6"/>
    </w:pPr>
    <w:rPr>
      <w:rFonts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43"/>
    <w:semiHidden/>
    <w:unhideWhenUsed/>
    <w:qFormat/>
    <w:uiPriority w:val="9"/>
    <w:pPr>
      <w:keepNext/>
      <w:keepLines/>
      <w:numPr>
        <w:ilvl w:val="7"/>
        <w:numId w:val="1"/>
      </w:numPr>
      <w:spacing w:before="200" w:after="0"/>
      <w:outlineLvl w:val="7"/>
    </w:pPr>
    <w:rPr>
      <w:rFonts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44"/>
    <w:semiHidden/>
    <w:unhideWhenUsed/>
    <w:qFormat/>
    <w:uiPriority w:val="9"/>
    <w:pPr>
      <w:keepNext/>
      <w:keepLines/>
      <w:numPr>
        <w:ilvl w:val="8"/>
        <w:numId w:val="1"/>
      </w:numPr>
      <w:spacing w:before="200" w:after="0"/>
      <w:outlineLvl w:val="8"/>
    </w:pPr>
    <w:rPr>
      <w:rFonts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38"/>
    <w:semiHidden/>
    <w:unhideWhenUsed/>
    <w:qFormat/>
    <w:uiPriority w:val="99"/>
    <w:pPr>
      <w:spacing w:after="0" w:line="240" w:lineRule="auto"/>
    </w:pPr>
    <w:rPr>
      <w:rFonts w:ascii="Segoe UI" w:hAnsi="Segoe UI" w:cs="Segoe UI"/>
      <w:sz w:val="18"/>
      <w:szCs w:val="18"/>
    </w:rPr>
  </w:style>
  <w:style w:type="paragraph" w:styleId="14">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5">
    <w:name w:val="Emphasis"/>
    <w:basedOn w:val="11"/>
    <w:qFormat/>
    <w:uiPriority w:val="20"/>
    <w:rPr>
      <w:i/>
      <w:iCs/>
      <w:color w:val="auto"/>
    </w:rPr>
  </w:style>
  <w:style w:type="character" w:styleId="16">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7">
    <w:name w:val="footer"/>
    <w:basedOn w:val="1"/>
    <w:link w:val="62"/>
    <w:unhideWhenUsed/>
    <w:qFormat/>
    <w:uiPriority w:val="99"/>
    <w:pPr>
      <w:tabs>
        <w:tab w:val="center" w:pos="4513"/>
        <w:tab w:val="right" w:pos="9026"/>
      </w:tabs>
      <w:spacing w:after="0" w:line="240" w:lineRule="auto"/>
    </w:pPr>
  </w:style>
  <w:style w:type="character" w:styleId="18">
    <w:name w:val="footnote reference"/>
    <w:basedOn w:val="11"/>
    <w:semiHidden/>
    <w:unhideWhenUsed/>
    <w:qFormat/>
    <w:uiPriority w:val="99"/>
    <w:rPr>
      <w:vertAlign w:val="superscript"/>
    </w:rPr>
  </w:style>
  <w:style w:type="paragraph" w:styleId="19">
    <w:name w:val="footnote text"/>
    <w:basedOn w:val="1"/>
    <w:link w:val="60"/>
    <w:unhideWhenUsed/>
    <w:qFormat/>
    <w:uiPriority w:val="99"/>
    <w:pPr>
      <w:spacing w:after="0" w:line="240" w:lineRule="auto"/>
    </w:pPr>
    <w:rPr>
      <w:sz w:val="20"/>
      <w:szCs w:val="20"/>
    </w:rPr>
  </w:style>
  <w:style w:type="paragraph" w:styleId="20">
    <w:name w:val="header"/>
    <w:basedOn w:val="1"/>
    <w:link w:val="61"/>
    <w:unhideWhenUsed/>
    <w:qFormat/>
    <w:uiPriority w:val="99"/>
    <w:pPr>
      <w:tabs>
        <w:tab w:val="center" w:pos="4513"/>
        <w:tab w:val="right" w:pos="9026"/>
      </w:tabs>
      <w:spacing w:after="0" w:line="240" w:lineRule="auto"/>
    </w:pPr>
  </w:style>
  <w:style w:type="character" w:styleId="21">
    <w:name w:val="Hyperlink"/>
    <w:basedOn w:val="11"/>
    <w:unhideWhenUsed/>
    <w:qFormat/>
    <w:uiPriority w:val="99"/>
    <w:rPr>
      <w:color w:val="0000FF"/>
      <w:u w:val="single"/>
    </w:rPr>
  </w:style>
  <w:style w:type="paragraph" w:styleId="22">
    <w:name w:val="Normal (Web)"/>
    <w:basedOn w:val="1"/>
    <w:unhideWhenUsed/>
    <w:qFormat/>
    <w:uiPriority w:val="99"/>
    <w:pPr>
      <w:spacing w:before="100" w:beforeAutospacing="1" w:after="100" w:afterAutospacing="1" w:line="240" w:lineRule="auto"/>
    </w:pPr>
    <w:rPr>
      <w:rFonts w:eastAsia="Times New Roman" w:cs="Times New Roman"/>
      <w:szCs w:val="24"/>
      <w:lang w:eastAsia="en-AU"/>
    </w:rPr>
  </w:style>
  <w:style w:type="character" w:styleId="23">
    <w:name w:val="Strong"/>
    <w:basedOn w:val="11"/>
    <w:qFormat/>
    <w:uiPriority w:val="22"/>
    <w:rPr>
      <w:b/>
      <w:bCs/>
      <w:color w:val="000000" w:themeColor="text1"/>
      <w14:textFill>
        <w14:solidFill>
          <w14:schemeClr w14:val="tx1"/>
        </w14:solidFill>
      </w14:textFill>
    </w:rPr>
  </w:style>
  <w:style w:type="paragraph" w:styleId="24">
    <w:name w:val="Subtitle"/>
    <w:basedOn w:val="1"/>
    <w:next w:val="1"/>
    <w:link w:val="46"/>
    <w:qFormat/>
    <w:uiPriority w:val="11"/>
    <w:pPr>
      <w:ind w:firstLine="720"/>
    </w:pPr>
    <w:rPr>
      <w:color w:val="595959" w:themeColor="text1" w:themeTint="A6"/>
      <w:spacing w:val="10"/>
      <w14:textFill>
        <w14:solidFill>
          <w14:schemeClr w14:val="tx1">
            <w14:lumMod w14:val="65000"/>
            <w14:lumOff w14:val="35000"/>
          </w14:schemeClr>
        </w14:solidFill>
      </w14:textFill>
    </w:rPr>
  </w:style>
  <w:style w:type="table" w:styleId="25">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6">
    <w:name w:val="table of figures"/>
    <w:basedOn w:val="1"/>
    <w:next w:val="1"/>
    <w:unhideWhenUsed/>
    <w:qFormat/>
    <w:uiPriority w:val="99"/>
    <w:pPr>
      <w:spacing w:after="0"/>
    </w:pPr>
  </w:style>
  <w:style w:type="paragraph" w:styleId="27">
    <w:name w:val="Title"/>
    <w:basedOn w:val="1"/>
    <w:next w:val="1"/>
    <w:link w:val="45"/>
    <w:qFormat/>
    <w:uiPriority w:val="10"/>
    <w:pPr>
      <w:spacing w:after="0"/>
      <w:contextualSpacing/>
    </w:pPr>
    <w:rPr>
      <w:rFonts w:eastAsiaTheme="majorEastAsia" w:cstheme="majorBidi"/>
      <w:color w:val="000000" w:themeColor="text1"/>
      <w:sz w:val="56"/>
      <w:szCs w:val="56"/>
      <w14:textFill>
        <w14:solidFill>
          <w14:schemeClr w14:val="tx1"/>
        </w14:solidFill>
      </w14:textFill>
    </w:rPr>
  </w:style>
  <w:style w:type="paragraph" w:styleId="28">
    <w:name w:val="toc 1"/>
    <w:basedOn w:val="1"/>
    <w:next w:val="1"/>
    <w:autoRedefine/>
    <w:unhideWhenUsed/>
    <w:qFormat/>
    <w:uiPriority w:val="39"/>
    <w:pPr>
      <w:spacing w:after="100"/>
    </w:pPr>
  </w:style>
  <w:style w:type="paragraph" w:styleId="29">
    <w:name w:val="toc 2"/>
    <w:basedOn w:val="1"/>
    <w:next w:val="1"/>
    <w:autoRedefine/>
    <w:unhideWhenUsed/>
    <w:qFormat/>
    <w:uiPriority w:val="39"/>
    <w:pPr>
      <w:spacing w:after="100"/>
      <w:ind w:left="240"/>
    </w:pPr>
  </w:style>
  <w:style w:type="paragraph" w:styleId="30">
    <w:name w:val="toc 3"/>
    <w:basedOn w:val="1"/>
    <w:next w:val="1"/>
    <w:autoRedefine/>
    <w:unhideWhenUsed/>
    <w:qFormat/>
    <w:uiPriority w:val="39"/>
    <w:pPr>
      <w:spacing w:after="100"/>
      <w:ind w:left="480"/>
    </w:pPr>
  </w:style>
  <w:style w:type="paragraph" w:styleId="31">
    <w:name w:val="List Paragraph"/>
    <w:basedOn w:val="1"/>
    <w:qFormat/>
    <w:uiPriority w:val="34"/>
    <w:pPr>
      <w:ind w:left="720"/>
      <w:contextualSpacing/>
    </w:pPr>
  </w:style>
  <w:style w:type="character" w:customStyle="1" w:styleId="32">
    <w:name w:val="Heading 1 Char"/>
    <w:basedOn w:val="11"/>
    <w:link w:val="2"/>
    <w:qFormat/>
    <w:uiPriority w:val="9"/>
    <w:rPr>
      <w:rFonts w:ascii="Times New Roman" w:hAnsi="Times New Roman" w:eastAsiaTheme="majorEastAsia" w:cstheme="majorBidi"/>
      <w:b/>
      <w:bCs/>
      <w:color w:val="000000" w:themeColor="text1"/>
      <w:sz w:val="24"/>
      <w:szCs w:val="36"/>
      <w14:textFill>
        <w14:solidFill>
          <w14:schemeClr w14:val="tx1"/>
        </w14:solidFill>
      </w14:textFill>
    </w:rPr>
  </w:style>
  <w:style w:type="paragraph" w:customStyle="1" w:styleId="33">
    <w:name w:val="cursor-hover"/>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34">
    <w:name w:val="HTML Top of Form"/>
    <w:basedOn w:val="1"/>
    <w:next w:val="1"/>
    <w:link w:val="35"/>
    <w:semiHidden/>
    <w:unhideWhenUsed/>
    <w:qFormat/>
    <w:uiPriority w:val="99"/>
    <w:pPr>
      <w:pBdr>
        <w:bottom w:val="single" w:color="auto" w:sz="6" w:space="1"/>
      </w:pBdr>
      <w:spacing w:after="0" w:line="240" w:lineRule="auto"/>
      <w:jc w:val="center"/>
    </w:pPr>
    <w:rPr>
      <w:rFonts w:ascii="Arial" w:hAnsi="Arial" w:eastAsia="Times New Roman" w:cs="Arial"/>
      <w:vanish/>
      <w:sz w:val="16"/>
      <w:szCs w:val="16"/>
      <w:lang w:eastAsia="en-AU"/>
    </w:rPr>
  </w:style>
  <w:style w:type="character" w:customStyle="1" w:styleId="35">
    <w:name w:val="z-Top of Form Char"/>
    <w:basedOn w:val="11"/>
    <w:link w:val="34"/>
    <w:semiHidden/>
    <w:qFormat/>
    <w:uiPriority w:val="99"/>
    <w:rPr>
      <w:rFonts w:ascii="Arial" w:hAnsi="Arial" w:eastAsia="Times New Roman" w:cs="Arial"/>
      <w:vanish/>
      <w:sz w:val="16"/>
      <w:szCs w:val="16"/>
      <w:lang w:eastAsia="en-AU"/>
    </w:rPr>
  </w:style>
  <w:style w:type="character" w:customStyle="1" w:styleId="36">
    <w:name w:val="Heading 2 Char"/>
    <w:basedOn w:val="11"/>
    <w:link w:val="3"/>
    <w:qFormat/>
    <w:uiPriority w:val="9"/>
    <w:rPr>
      <w:rFonts w:ascii="Times New Roman" w:hAnsi="Times New Roman" w:eastAsiaTheme="majorEastAsia" w:cstheme="majorBidi"/>
      <w:b/>
      <w:bCs/>
      <w:color w:val="000000" w:themeColor="text1"/>
      <w:sz w:val="24"/>
      <w:szCs w:val="28"/>
      <w14:textFill>
        <w14:solidFill>
          <w14:schemeClr w14:val="tx1"/>
        </w14:solidFill>
      </w14:textFill>
    </w:rPr>
  </w:style>
  <w:style w:type="character" w:customStyle="1" w:styleId="37">
    <w:name w:val="Heading 3 Char"/>
    <w:basedOn w:val="11"/>
    <w:link w:val="4"/>
    <w:qFormat/>
    <w:uiPriority w:val="9"/>
    <w:rPr>
      <w:rFonts w:ascii="Times New Roman" w:hAnsi="Times New Roman" w:eastAsiaTheme="majorEastAsia" w:cstheme="majorBidi"/>
      <w:b/>
      <w:bCs/>
      <w:i/>
      <w:color w:val="000000" w:themeColor="text1"/>
      <w:sz w:val="24"/>
      <w14:textFill>
        <w14:solidFill>
          <w14:schemeClr w14:val="tx1"/>
        </w14:solidFill>
      </w14:textFill>
    </w:rPr>
  </w:style>
  <w:style w:type="character" w:customStyle="1" w:styleId="38">
    <w:name w:val="Balloon Text Char"/>
    <w:basedOn w:val="11"/>
    <w:link w:val="13"/>
    <w:semiHidden/>
    <w:qFormat/>
    <w:uiPriority w:val="99"/>
    <w:rPr>
      <w:rFonts w:ascii="Segoe UI" w:hAnsi="Segoe UI" w:cs="Segoe UI"/>
      <w:sz w:val="18"/>
      <w:szCs w:val="18"/>
      <w:lang w:val="en-US"/>
    </w:rPr>
  </w:style>
  <w:style w:type="character" w:customStyle="1" w:styleId="39">
    <w:name w:val="Heading 4 Char"/>
    <w:basedOn w:val="11"/>
    <w:link w:val="5"/>
    <w:qFormat/>
    <w:uiPriority w:val="9"/>
    <w:rPr>
      <w:rFonts w:ascii="Times New Roman" w:hAnsi="Times New Roman" w:eastAsiaTheme="majorEastAsia" w:cstheme="majorBidi"/>
      <w:b/>
      <w:bCs/>
      <w:i/>
      <w:iCs/>
      <w:color w:val="000000" w:themeColor="text1"/>
      <w:sz w:val="24"/>
      <w14:textFill>
        <w14:solidFill>
          <w14:schemeClr w14:val="tx1"/>
        </w14:solidFill>
      </w14:textFill>
    </w:rPr>
  </w:style>
  <w:style w:type="character" w:customStyle="1" w:styleId="40">
    <w:name w:val="Heading 5 Char"/>
    <w:basedOn w:val="11"/>
    <w:link w:val="6"/>
    <w:qFormat/>
    <w:uiPriority w:val="9"/>
    <w:rPr>
      <w:rFonts w:ascii="Times New Roman" w:hAnsi="Times New Roman" w:eastAsiaTheme="majorEastAsia" w:cstheme="majorBidi"/>
      <w:color w:val="333F50" w:themeColor="text2" w:themeShade="BF"/>
      <w:sz w:val="24"/>
    </w:rPr>
  </w:style>
  <w:style w:type="character" w:customStyle="1" w:styleId="41">
    <w:name w:val="Heading 6 Char"/>
    <w:basedOn w:val="11"/>
    <w:link w:val="7"/>
    <w:semiHidden/>
    <w:qFormat/>
    <w:uiPriority w:val="9"/>
    <w:rPr>
      <w:rFonts w:ascii="Times New Roman" w:hAnsi="Times New Roman" w:eastAsiaTheme="majorEastAsia" w:cstheme="majorBidi"/>
      <w:i/>
      <w:iCs/>
      <w:color w:val="333F50" w:themeColor="text2" w:themeShade="BF"/>
      <w:sz w:val="24"/>
    </w:rPr>
  </w:style>
  <w:style w:type="character" w:customStyle="1" w:styleId="42">
    <w:name w:val="Heading 7 Char"/>
    <w:basedOn w:val="11"/>
    <w:link w:val="8"/>
    <w:semiHidden/>
    <w:qFormat/>
    <w:uiPriority w:val="9"/>
    <w:rPr>
      <w:rFonts w:ascii="Times New Roman" w:hAnsi="Times New Roman" w:eastAsiaTheme="majorEastAsia" w:cstheme="majorBidi"/>
      <w:i/>
      <w:iCs/>
      <w:color w:val="404040" w:themeColor="text1" w:themeTint="BF"/>
      <w:sz w:val="24"/>
      <w14:textFill>
        <w14:solidFill>
          <w14:schemeClr w14:val="tx1">
            <w14:lumMod w14:val="75000"/>
            <w14:lumOff w14:val="25000"/>
          </w14:schemeClr>
        </w14:solidFill>
      </w14:textFill>
    </w:rPr>
  </w:style>
  <w:style w:type="character" w:customStyle="1" w:styleId="43">
    <w:name w:val="Heading 8 Char"/>
    <w:basedOn w:val="11"/>
    <w:link w:val="9"/>
    <w:semiHidden/>
    <w:qFormat/>
    <w:uiPriority w:val="9"/>
    <w:rPr>
      <w:rFonts w:ascii="Times New Roman" w:hAnsi="Times New Roman" w:eastAsiaTheme="majorEastAsia" w:cstheme="majorBidi"/>
      <w:color w:val="404040" w:themeColor="text1" w:themeTint="BF"/>
      <w:sz w:val="20"/>
      <w:szCs w:val="20"/>
      <w14:textFill>
        <w14:solidFill>
          <w14:schemeClr w14:val="tx1">
            <w14:lumMod w14:val="75000"/>
            <w14:lumOff w14:val="25000"/>
          </w14:schemeClr>
        </w14:solidFill>
      </w14:textFill>
    </w:rPr>
  </w:style>
  <w:style w:type="character" w:customStyle="1" w:styleId="44">
    <w:name w:val="Heading 9 Char"/>
    <w:basedOn w:val="11"/>
    <w:link w:val="10"/>
    <w:semiHidden/>
    <w:qFormat/>
    <w:uiPriority w:val="9"/>
    <w:rPr>
      <w:rFonts w:ascii="Times New Roman" w:hAnsi="Times New Roman"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45">
    <w:name w:val="Title Char"/>
    <w:basedOn w:val="11"/>
    <w:link w:val="27"/>
    <w:qFormat/>
    <w:uiPriority w:val="10"/>
    <w:rPr>
      <w:rFonts w:asciiTheme="majorHAnsi" w:hAnsiTheme="majorHAnsi" w:eastAsiaTheme="majorEastAsia" w:cstheme="majorBidi"/>
      <w:color w:val="000000" w:themeColor="text1"/>
      <w:sz w:val="56"/>
      <w:szCs w:val="56"/>
      <w14:textFill>
        <w14:solidFill>
          <w14:schemeClr w14:val="tx1"/>
        </w14:solidFill>
      </w14:textFill>
    </w:rPr>
  </w:style>
  <w:style w:type="character" w:customStyle="1" w:styleId="46">
    <w:name w:val="Subtitle Char"/>
    <w:basedOn w:val="11"/>
    <w:link w:val="24"/>
    <w:qFormat/>
    <w:uiPriority w:val="11"/>
    <w:rPr>
      <w:color w:val="595959" w:themeColor="text1" w:themeTint="A6"/>
      <w:spacing w:val="10"/>
      <w14:textFill>
        <w14:solidFill>
          <w14:schemeClr w14:val="tx1">
            <w14:lumMod w14:val="65000"/>
            <w14:lumOff w14:val="35000"/>
          </w14:schemeClr>
        </w14:solidFill>
      </w14:textFill>
    </w:rPr>
  </w:style>
  <w:style w:type="paragraph" w:styleId="47">
    <w:name w:val="No Spacing"/>
    <w:qFormat/>
    <w:uiPriority w:val="1"/>
    <w:pPr>
      <w:spacing w:after="0" w:line="480" w:lineRule="auto"/>
      <w:jc w:val="center"/>
    </w:pPr>
    <w:rPr>
      <w:rFonts w:asciiTheme="majorHAnsi" w:hAnsiTheme="majorHAnsi" w:eastAsiaTheme="minorEastAsia" w:cstheme="minorBidi"/>
      <w:sz w:val="24"/>
      <w:szCs w:val="22"/>
      <w:lang w:val="en-AU" w:eastAsia="en-US" w:bidi="ar-SA"/>
    </w:rPr>
  </w:style>
  <w:style w:type="paragraph" w:styleId="48">
    <w:name w:val="Quote"/>
    <w:basedOn w:val="1"/>
    <w:next w:val="1"/>
    <w:link w:val="49"/>
    <w:qFormat/>
    <w:uiPriority w:val="29"/>
    <w:pPr>
      <w:spacing w:before="160"/>
      <w:ind w:right="720"/>
    </w:pPr>
    <w:rPr>
      <w:i/>
      <w:iCs/>
      <w:color w:val="000000" w:themeColor="text1"/>
      <w:sz w:val="20"/>
      <w14:textFill>
        <w14:solidFill>
          <w14:schemeClr w14:val="tx1"/>
        </w14:solidFill>
      </w14:textFill>
    </w:rPr>
  </w:style>
  <w:style w:type="character" w:customStyle="1" w:styleId="49">
    <w:name w:val="Quote Char"/>
    <w:basedOn w:val="11"/>
    <w:link w:val="48"/>
    <w:qFormat/>
    <w:uiPriority w:val="29"/>
    <w:rPr>
      <w:rFonts w:ascii="Times New Roman" w:hAnsi="Times New Roman"/>
      <w:i/>
      <w:iCs/>
      <w:color w:val="000000" w:themeColor="text1"/>
      <w:sz w:val="20"/>
      <w14:textFill>
        <w14:solidFill>
          <w14:schemeClr w14:val="tx1"/>
        </w14:solidFill>
      </w14:textFill>
    </w:rPr>
  </w:style>
  <w:style w:type="paragraph" w:styleId="50">
    <w:name w:val="Intense Quote"/>
    <w:basedOn w:val="1"/>
    <w:next w:val="1"/>
    <w:link w:val="51"/>
    <w:qFormat/>
    <w:uiPriority w:val="30"/>
    <w:pPr>
      <w:pBdr>
        <w:top w:val="single" w:color="F1F1F1" w:themeColor="background1" w:themeShade="F2" w:sz="24" w:space="1"/>
        <w:bottom w:val="single" w:color="F1F1F1" w:themeColor="background1" w:themeShade="F2" w:sz="24" w:space="1"/>
      </w:pBdr>
      <w:shd w:val="clear" w:color="auto" w:fill="F1F1F1" w:themeFill="background1" w:themeFillShade="F2"/>
      <w:spacing w:before="240" w:after="240"/>
      <w:ind w:left="936" w:right="936"/>
      <w:jc w:val="center"/>
    </w:pPr>
    <w:rPr>
      <w:color w:val="000000" w:themeColor="text1"/>
      <w14:textFill>
        <w14:solidFill>
          <w14:schemeClr w14:val="tx1"/>
        </w14:solidFill>
      </w14:textFill>
    </w:rPr>
  </w:style>
  <w:style w:type="character" w:customStyle="1" w:styleId="51">
    <w:name w:val="Intense Quote Char"/>
    <w:basedOn w:val="11"/>
    <w:link w:val="50"/>
    <w:qFormat/>
    <w:uiPriority w:val="30"/>
    <w:rPr>
      <w:color w:val="000000" w:themeColor="text1"/>
      <w:shd w:val="clear" w:color="auto" w:fill="F1F1F1" w:themeFill="background1" w:themeFillShade="F2"/>
      <w14:textFill>
        <w14:solidFill>
          <w14:schemeClr w14:val="tx1"/>
        </w14:solidFill>
      </w14:textFill>
    </w:rPr>
  </w:style>
  <w:style w:type="character" w:customStyle="1" w:styleId="52">
    <w:name w:val="Subtle Emphasis"/>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53">
    <w:name w:val="Intense Emphasis"/>
    <w:basedOn w:val="11"/>
    <w:qFormat/>
    <w:uiPriority w:val="21"/>
    <w:rPr>
      <w:b/>
      <w:bCs/>
      <w:i/>
      <w:iCs/>
      <w:caps/>
    </w:rPr>
  </w:style>
  <w:style w:type="character" w:customStyle="1" w:styleId="54">
    <w:name w:val="Subtle Reference"/>
    <w:basedOn w:val="11"/>
    <w:qFormat/>
    <w:uiPriority w:val="31"/>
    <w:rPr>
      <w:smallCaps/>
      <w:color w:val="404040" w:themeColor="text1" w:themeTint="BF"/>
      <w:u w:val="single" w:color="7F7F7F"/>
      <w14:textFill>
        <w14:solidFill>
          <w14:schemeClr w14:val="tx1">
            <w14:lumMod w14:val="75000"/>
            <w14:lumOff w14:val="25000"/>
          </w14:schemeClr>
        </w14:solidFill>
      </w14:textFill>
    </w:rPr>
  </w:style>
  <w:style w:type="character" w:customStyle="1" w:styleId="55">
    <w:name w:val="Intense Reference"/>
    <w:basedOn w:val="11"/>
    <w:qFormat/>
    <w:uiPriority w:val="32"/>
    <w:rPr>
      <w:b/>
      <w:bCs/>
      <w:smallCaps/>
      <w:u w:val="single"/>
    </w:rPr>
  </w:style>
  <w:style w:type="character" w:customStyle="1" w:styleId="56">
    <w:name w:val="Book Title"/>
    <w:basedOn w:val="11"/>
    <w:qFormat/>
    <w:uiPriority w:val="33"/>
    <w:rPr>
      <w:smallCaps/>
      <w:spacing w:val="5"/>
    </w:rPr>
  </w:style>
  <w:style w:type="paragraph" w:customStyle="1" w:styleId="57">
    <w:name w:val="TOC Heading"/>
    <w:basedOn w:val="2"/>
    <w:next w:val="1"/>
    <w:unhideWhenUsed/>
    <w:qFormat/>
    <w:uiPriority w:val="39"/>
    <w:pPr>
      <w:outlineLvl w:val="9"/>
    </w:pPr>
  </w:style>
  <w:style w:type="paragraph" w:customStyle="1" w:styleId="58">
    <w:name w:val="p"/>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59">
    <w:name w:val="Title 2"/>
    <w:basedOn w:val="1"/>
    <w:qFormat/>
    <w:uiPriority w:val="1"/>
    <w:pPr>
      <w:spacing w:after="0"/>
      <w:jc w:val="center"/>
    </w:pPr>
    <w:rPr>
      <w:kern w:val="24"/>
      <w:szCs w:val="24"/>
      <w:lang w:val="en-US" w:eastAsia="ja-JP"/>
    </w:rPr>
  </w:style>
  <w:style w:type="character" w:customStyle="1" w:styleId="60">
    <w:name w:val="Footnote Text Char"/>
    <w:basedOn w:val="11"/>
    <w:link w:val="19"/>
    <w:qFormat/>
    <w:uiPriority w:val="99"/>
    <w:rPr>
      <w:rFonts w:ascii="Times New Roman" w:hAnsi="Times New Roman"/>
      <w:sz w:val="20"/>
      <w:szCs w:val="20"/>
    </w:rPr>
  </w:style>
  <w:style w:type="character" w:customStyle="1" w:styleId="61">
    <w:name w:val="Header Char"/>
    <w:basedOn w:val="11"/>
    <w:link w:val="20"/>
    <w:qFormat/>
    <w:uiPriority w:val="99"/>
    <w:rPr>
      <w:rFonts w:ascii="Times New Roman" w:hAnsi="Times New Roman"/>
      <w:sz w:val="24"/>
    </w:rPr>
  </w:style>
  <w:style w:type="character" w:customStyle="1" w:styleId="62">
    <w:name w:val="Footer Char"/>
    <w:basedOn w:val="11"/>
    <w:link w:val="17"/>
    <w:qFormat/>
    <w:uiPriority w:val="99"/>
    <w:rPr>
      <w:rFonts w:ascii="Times New Roman" w:hAnsi="Times New Roman"/>
      <w:sz w:val="24"/>
    </w:rPr>
  </w:style>
  <w:style w:type="table" w:customStyle="1" w:styleId="63">
    <w:name w:val="Grid Table 2 Accent 3"/>
    <w:basedOn w:val="12"/>
    <w:qFormat/>
    <w:uiPriority w:val="47"/>
    <w:pPr>
      <w:spacing w:after="0" w:line="240" w:lineRule="auto"/>
    </w:pPr>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Pr>
    <w:tblStylePr w:type="firstRow">
      <w:rPr>
        <w:b/>
        <w:bCs/>
      </w:rPr>
      <w:tcPr>
        <w:tcBorders>
          <w:top w:val="nil"/>
          <w:bottom w:val="single" w:color="C8C8C8" w:themeColor="accent3" w:themeTint="99" w:sz="12" w:space="0"/>
          <w:insideH w:val="nil"/>
          <w:insideV w:val="nil"/>
        </w:tcBorders>
        <w:shd w:val="clear" w:color="auto" w:fill="FFFFFF" w:themeFill="background1"/>
      </w:tcPr>
    </w:tblStylePr>
    <w:tblStylePr w:type="lastRow">
      <w:rPr>
        <w:b/>
        <w:bCs/>
      </w:r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 w:type="table" w:customStyle="1" w:styleId="64">
    <w:name w:val="Grid Table 2"/>
    <w:basedOn w:val="12"/>
    <w:qFormat/>
    <w:uiPriority w:val="47"/>
    <w:pPr>
      <w:spacing w:after="0" w:line="240" w:lineRule="auto"/>
    </w:pPr>
    <w:tblPr>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cPr>
        <w:tcBorders>
          <w:top w:val="nil"/>
          <w:bottom w:val="single" w:color="666666" w:themeColor="text1" w:themeTint="99" w:sz="12" w:space="0"/>
          <w:insideH w:val="nil"/>
          <w:insideV w:val="nil"/>
        </w:tcBorders>
        <w:shd w:val="clear" w:color="auto" w:fill="FFFFFF" w:themeFill="background1"/>
      </w:tcPr>
    </w:tblStylePr>
    <w:tblStylePr w:type="lastRow">
      <w:rPr>
        <w:b/>
        <w:bCs/>
      </w:r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5">
    <w:name w:val="Plain Table 1"/>
    <w:basedOn w:val="12"/>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66">
    <w:name w:val="Grid Table Light"/>
    <w:basedOn w:val="12"/>
    <w:qFormat/>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table" w:customStyle="1" w:styleId="67">
    <w:name w:val="Grid Table 6 Colorful"/>
    <w:basedOn w:val="12"/>
    <w:qFormat/>
    <w:uiPriority w:val="51"/>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8">
    <w:name w:val="Grid Table 3"/>
    <w:basedOn w:val="12"/>
    <w:qFormat/>
    <w:uiPriority w:val="48"/>
    <w:pPr>
      <w:spacing w:after="0" w:line="240" w:lineRule="auto"/>
    </w:p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table" w:customStyle="1" w:styleId="69">
    <w:name w:val="Grid Table 7 Colorful"/>
    <w:basedOn w:val="12"/>
    <w:qFormat/>
    <w:uiPriority w:val="52"/>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character" w:customStyle="1" w:styleId="70">
    <w:name w:val="Unresolved Mention1"/>
    <w:basedOn w:val="11"/>
    <w:semiHidden/>
    <w:unhideWhenUsed/>
    <w:qFormat/>
    <w:uiPriority w:val="99"/>
    <w:rPr>
      <w:color w:val="605E5C"/>
      <w:shd w:val="clear" w:color="auto" w:fill="E1DFDD"/>
    </w:rPr>
  </w:style>
  <w:style w:type="paragraph" w:customStyle="1" w:styleId="71">
    <w:name w:val="mb15"/>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paragraph" w:customStyle="1" w:styleId="72">
    <w:name w:val="muitypography-root"/>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table" w:customStyle="1" w:styleId="73">
    <w:name w:val="Light Shading1"/>
    <w:basedOn w:val="12"/>
    <w:qFormat/>
    <w:uiPriority w:val="60"/>
    <w:pPr>
      <w:spacing w:after="0" w:line="240" w:lineRule="auto"/>
    </w:pPr>
    <w:rPr>
      <w:rFonts w:eastAsiaTheme="minorHAnsi"/>
      <w:color w:val="000000"/>
      <w:lang w:val="en-US"/>
    </w:rPr>
    <w:tblPr>
      <w:tblBorders>
        <w:top w:val="single" w:color="000000" w:sz="8" w:space="0"/>
        <w:bottom w:val="single" w:color="000000" w:sz="8" w:space="0"/>
      </w:tblBorders>
    </w:tblPr>
    <w:tblStylePr w:type="fir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la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firstCol">
      <w:rPr>
        <w:b/>
        <w:bCs/>
      </w:rPr>
    </w:tblStylePr>
    <w:tblStylePr w:type="lastCol">
      <w:rPr>
        <w:b/>
        <w:bCs/>
      </w:rPr>
    </w:tblStylePr>
    <w:tblStylePr w:type="band1Vert">
      <w:tcPr>
        <w:tcBorders>
          <w:left w:val="nil"/>
          <w:right w:val="nil"/>
          <w:insideH w:val="nil"/>
          <w:insideV w:val="nil"/>
        </w:tcBorders>
        <w:shd w:val="clear" w:color="auto" w:fill="C0C0C0"/>
      </w:tcPr>
    </w:tblStylePr>
    <w:tblStylePr w:type="band1Horz">
      <w:tcPr>
        <w:tcBorders>
          <w:left w:val="nil"/>
          <w:right w:val="nil"/>
          <w:insideH w:val="nil"/>
          <w:insideV w:val="nil"/>
        </w:tcBorders>
        <w:shd w:val="clear" w:color="auto" w:fill="C0C0C0"/>
      </w:tcPr>
    </w:tblStylePr>
  </w:style>
  <w:style w:type="character" w:customStyle="1" w:styleId="74">
    <w:name w:val="text-block-with-attachment"/>
    <w:basedOn w:val="11"/>
    <w:qFormat/>
    <w:uiPriority w:val="0"/>
  </w:style>
  <w:style w:type="character" w:customStyle="1" w:styleId="75">
    <w:name w:val="label"/>
    <w:basedOn w:val="11"/>
    <w:qFormat/>
    <w:uiPriority w:val="0"/>
  </w:style>
  <w:style w:type="character" w:customStyle="1" w:styleId="76">
    <w:name w:val="citation-1"/>
    <w:basedOn w:val="11"/>
    <w:qFormat/>
    <w:uiPriority w:val="0"/>
  </w:style>
  <w:style w:type="character" w:customStyle="1" w:styleId="77">
    <w:name w:val="citation-31"/>
    <w:basedOn w:val="11"/>
    <w:qFormat/>
    <w:uiPriority w:val="0"/>
  </w:style>
  <w:style w:type="character" w:customStyle="1" w:styleId="78">
    <w:name w:val="citation-30"/>
    <w:basedOn w:val="11"/>
    <w:qFormat/>
    <w:uiPriority w:val="0"/>
  </w:style>
  <w:style w:type="character" w:customStyle="1" w:styleId="79">
    <w:name w:val="citation-29"/>
    <w:basedOn w:val="11"/>
    <w:qFormat/>
    <w:uiPriority w:val="0"/>
  </w:style>
  <w:style w:type="character" w:customStyle="1" w:styleId="80">
    <w:name w:val="citation-28"/>
    <w:basedOn w:val="11"/>
    <w:qFormat/>
    <w:uiPriority w:val="0"/>
  </w:style>
  <w:style w:type="character" w:customStyle="1" w:styleId="81">
    <w:name w:val="citation-27"/>
    <w:basedOn w:val="11"/>
    <w:qFormat/>
    <w:uiPriority w:val="0"/>
  </w:style>
  <w:style w:type="character" w:customStyle="1" w:styleId="82">
    <w:name w:val="citation-26"/>
    <w:basedOn w:val="11"/>
    <w:qFormat/>
    <w:uiPriority w:val="0"/>
  </w:style>
  <w:style w:type="character" w:customStyle="1" w:styleId="83">
    <w:name w:val="citation-25"/>
    <w:basedOn w:val="11"/>
    <w:qFormat/>
    <w:uiPriority w:val="0"/>
  </w:style>
  <w:style w:type="character" w:customStyle="1" w:styleId="84">
    <w:name w:val="citation-24"/>
    <w:basedOn w:val="11"/>
    <w:qFormat/>
    <w:uiPriority w:val="0"/>
  </w:style>
  <w:style w:type="character" w:customStyle="1" w:styleId="85">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26CD0EC-CF64-40BF-AB00-8EF681B7B2DD}">
  <ds:schemaRefs/>
</ds:datastoreItem>
</file>

<file path=docProps/app.xml><?xml version="1.0" encoding="utf-8"?>
<Properties xmlns="http://schemas.openxmlformats.org/officeDocument/2006/extended-properties" xmlns:vt="http://schemas.openxmlformats.org/officeDocument/2006/docPropsVTypes">
  <Template>Normal</Template>
  <Pages>19</Pages>
  <Words>3469</Words>
  <Characters>20880</Characters>
  <Lines>186</Lines>
  <Paragraphs>52</Paragraphs>
  <TotalTime>2</TotalTime>
  <ScaleCrop>false</ScaleCrop>
  <LinksUpToDate>false</LinksUpToDate>
  <CharactersWithSpaces>24318</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2026-05-23T16:00:00Z</dcterms:created>
  <dc:creator>Administrator</dc:creator>
  <cp:lastModifiedBy>Durgesh Badhe</cp:lastModifiedBy>
  <dcterms:modified xsi:type="dcterms:W3CDTF">2026-05-24T13:20:04Z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eyJoZGlkIjoiN2RlODY0ZTk5ZDJjYTQ4MTZjMjVlOTYzYzRkYTVjMWQiLCJ1c2VySWQiOiI1Njc1Mjk3OTQ0NTIifQ==</vt:lpwstr>
  </property>
  <property fmtid="{D5CDD505-2E9C-101B-9397-08002B2CF9AE}" pid="3" name="KSOProductBuildVer">
    <vt:lpwstr>1033-12.1.0.26372</vt:lpwstr>
  </property>
  <property fmtid="{D5CDD505-2E9C-101B-9397-08002B2CF9AE}" pid="4" name="ICV">
    <vt:lpwstr>69BD6655C8B444B9945ECEFA606E0DB0_12</vt:lpwstr>
  </property>
</Properties>
</file>