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b/>
          <w:bCs/>
          <w:lang w:val="en-GB"/>
        </w:rPr>
      </w:pPr>
      <w:r>
        <w:rPr>
          <w:rFonts w:hint="default"/>
          <w:b/>
          <w:bCs/>
          <w:lang w:val="en-GB"/>
        </w:rPr>
        <w:t xml:space="preserve">Complimentary Therapy </w:t>
      </w:r>
    </w:p>
    <w:p>
      <w:pPr>
        <w:spacing w:line="360" w:lineRule="auto"/>
        <w:rPr>
          <w:rFonts w:hint="default"/>
          <w:lang w:val="en-GB"/>
        </w:rPr>
      </w:pPr>
      <w:r>
        <w:rPr>
          <w:rFonts w:hint="default"/>
          <w:b/>
          <w:bCs/>
          <w:lang w:val="en-GB"/>
        </w:rPr>
        <w:t>Introduction</w:t>
      </w:r>
      <w:r>
        <w:rPr>
          <w:rFonts w:hint="default"/>
          <w:lang w:val="en-GB"/>
        </w:rPr>
        <w:t xml:space="preserve"> </w:t>
      </w:r>
    </w:p>
    <w:p>
      <w:pPr>
        <w:spacing w:line="360" w:lineRule="auto"/>
        <w:ind w:left="0" w:leftChars="0" w:firstLine="480" w:firstLineChars="200"/>
        <w:rPr>
          <w:rFonts w:hint="default"/>
          <w:lang w:val="en-GB"/>
        </w:rPr>
      </w:pPr>
      <w:r>
        <w:rPr>
          <w:rFonts w:hint="default"/>
          <w:lang w:val="en-GB"/>
        </w:rPr>
        <w:t xml:space="preserve">The use and acceptance of herbal medicines have had a global prominence in past decades and centuries. According to Ernst (2000) the market value of herbal medicines had reached four billion dollars a year by the 2000. Choi et al (2015) posited that in China and Korea, herbal medicine particularly ginseng has been used as far back as 2000 BCE. While herbal medicines continue to take centre stage in the medical spectrum, spurring scientific controversies over decades or centuries, there seem to be a dearth of information either to demystify purported risks or affirm the effectiveness of the same (Ernst 2003). In this paper, a history of herbal medicines will be discussed before delving into the use or effectiveness of the herbal medicines as complimentary therapy. It is hoped that all the controversies around the use of herbal medicines will be unpacked in this essay. By way of proceeding, a history of the practice will be explained, followed by the use of the medicines, juxtaposed with the obtaining controversies. </w:t>
      </w:r>
    </w:p>
    <w:p>
      <w:pPr>
        <w:spacing w:line="360" w:lineRule="auto"/>
        <w:rPr>
          <w:rFonts w:hint="default"/>
          <w:b/>
          <w:bCs/>
          <w:lang w:val="en-GB"/>
        </w:rPr>
      </w:pPr>
      <w:r>
        <w:rPr>
          <w:rFonts w:hint="default"/>
          <w:b/>
          <w:bCs/>
          <w:lang w:val="en-GB"/>
        </w:rPr>
        <w:t xml:space="preserve">History of Herbal Medicines </w:t>
      </w:r>
    </w:p>
    <w:p>
      <w:pPr>
        <w:spacing w:line="360" w:lineRule="auto"/>
        <w:ind w:left="0" w:leftChars="0" w:firstLine="480" w:firstLineChars="200"/>
        <w:rPr>
          <w:rFonts w:hint="default"/>
          <w:lang w:val="en-GB"/>
        </w:rPr>
      </w:pPr>
      <w:r>
        <w:rPr>
          <w:rFonts w:hint="default"/>
          <w:lang w:val="en-GB"/>
        </w:rPr>
        <w:t>As highlighted in the introduction, herbal medicines are believed to have been in use since 2000 BCE in China and Korea, especially the use of ginseng (Choi et al 2015). Ginseng has been regarded as an effective plant, often compared with the likes of garlic, poppy and aloe in terms of providing total healing to patients who would have partaken of it (Ibid p.4). Around the 1850s some doctors in the United States of America, for instance Doctor Hay, were popular for dispensing herbal medicines that would have been imported from China (Shelton 2013). It is further reported that the migration of some Chinese merchants to the United States in the 1850s saw at least one community member serving as a herbal medical doctor through self education or some form of training (Ibid). From these early narratives, it can be deduced that although herbal medicines are universal, there are reasonable grounds to argue that China had a global influence on the use of herbal medicines. Trade and international relations played a key part in spreading herbal medicines to the rest of the world, the USA included. At this point, it is not clear if these medicines had already been proved to be effective in dealing with illness. This is why it is important to analyse the use of herbal medicines in the later sections of this essay.</w:t>
      </w:r>
    </w:p>
    <w:p>
      <w:pPr>
        <w:spacing w:line="360" w:lineRule="auto"/>
        <w:ind w:left="0" w:leftChars="0" w:firstLine="480" w:firstLineChars="200"/>
        <w:rPr>
          <w:rFonts w:hint="default"/>
          <w:lang w:val="en-GB"/>
        </w:rPr>
      </w:pPr>
      <w:r>
        <w:rPr>
          <w:rFonts w:hint="default"/>
          <w:lang w:val="en-GB"/>
        </w:rPr>
        <w:t>Shelton (2013) postulated that Chinese doctors plying their trade in America in the 1880s saw less hostilities compared to other races because of their advanced knowledge and use of herbal medicines but there was renewed attempts to drive these unlicensed herbal doctors out of business in the 1890s by the American Medical Association (AMA) in cahoots with the state and local government authorities. According to Clark (2000) the use of alternative medicine within the American society rose in the 20</w:t>
      </w:r>
      <w:r>
        <w:rPr>
          <w:rFonts w:hint="default"/>
          <w:vertAlign w:val="superscript"/>
          <w:lang w:val="en-GB"/>
        </w:rPr>
        <w:t>th</w:t>
      </w:r>
      <w:r>
        <w:rPr>
          <w:rFonts w:hint="default"/>
          <w:lang w:val="en-GB"/>
        </w:rPr>
        <w:t xml:space="preserve"> century because conventional medicines had been failing to prevent diseases or cure chronic illness among the citizenry as well as the rising cost of healthcare. Consequently, in the late 1990s, it had been reported that about 42% of the Americans had been using complimentary medicines (Clark 2000 p.448). The rise in the use of complimentary therapy, herbal medicines around the globe is dual pronged in this case. First, it is clear that it is matter of going for cheaper medical alternatives as the American study has shown. Second, there is scepticism on the effectiveness of conventional medicines especially in a society where a lot of people are finding it difficult to have their chronic problems sustainably dealt with. While the aforementioned reasons are valid to a certain degree, at this point, scientists had not clinically proven the effectiveness of such complimentary therapy, let alone the effects that are associated with its use.</w:t>
      </w:r>
    </w:p>
    <w:p>
      <w:pPr>
        <w:spacing w:line="360" w:lineRule="auto"/>
        <w:ind w:left="0" w:leftChars="0" w:firstLine="480" w:firstLineChars="200"/>
        <w:rPr>
          <w:rFonts w:hint="default"/>
          <w:lang w:val="en-GB"/>
        </w:rPr>
      </w:pPr>
      <w:r>
        <w:rPr>
          <w:rFonts w:hint="default"/>
          <w:lang w:val="en-GB"/>
        </w:rPr>
        <w:t>As way back as 1754 and 1756, Mohegan Samson Occom published a comprehensive list of 52 herbal medicines titled ‘Herbs and Roots’ explaining how different herbs would cure diseases (Wisecup 2012). From this comprehensive list, different concoctions had been developed with a description of what they cured ranging from sore throat, broken legs, French Pox or syphilis (Ibid p.542). In other modern societies like Israel, complimentary medicines found its way into the integrative practice in the 1980s when it was reported that over 2.6 million Israeli paid visits to traditional medical practitioners (Keshet and Popper-Giveon 2013). In the United Kingdom, 35% of the population use herbal medicines but with less understanding of their effectiveness (Howes and Simmonds 2015). From these narratives it is clear that complimentary medicines had been used by both western and non western people because Americans used it, Chinese too and recently the Israelis. Given the globalisation of herbal medicines, one would wonder how effective these therapies are when it comes to dealing with the actual illness prevention and cure. It is also important to look at how these medicines interlinked with religious and spiritual practices as some practitioners in Israel used spiritual consultations to diagnose illness. Now, a closer analysis of the use of Herbal medicines follows.</w:t>
      </w:r>
    </w:p>
    <w:p>
      <w:pPr>
        <w:spacing w:line="360" w:lineRule="auto"/>
        <w:rPr>
          <w:rFonts w:hint="default"/>
          <w:b/>
          <w:bCs/>
          <w:lang w:val="en-GB"/>
        </w:rPr>
      </w:pPr>
      <w:r>
        <w:rPr>
          <w:rFonts w:hint="default"/>
          <w:b/>
          <w:bCs/>
          <w:lang w:val="en-GB"/>
        </w:rPr>
        <w:t xml:space="preserve">Use of Herbal Medicines </w:t>
      </w:r>
    </w:p>
    <w:p>
      <w:pPr>
        <w:spacing w:line="360" w:lineRule="auto"/>
        <w:ind w:left="0" w:leftChars="0" w:firstLine="480" w:firstLineChars="200"/>
        <w:rPr>
          <w:rFonts w:hint="default"/>
          <w:lang w:val="en-GB"/>
        </w:rPr>
      </w:pPr>
      <w:r>
        <w:rPr>
          <w:rFonts w:hint="default"/>
          <w:lang w:val="en-GB"/>
        </w:rPr>
        <w:t>Herbal Medicines have different uses in the human body, including illness prevention and cure as this section shows. In the United Kingdom, sage (Salvia Officinalis L.) is used to cure challenges related to the functioning of the ‘head and brain quickenethe the nerves and the memory,’ (Howes and Simmonds 2015 p.7). In other words, those who prescribe the medicine and those who partake of it believe that It heals the head, warms and enhances the senses (Ibid). However, Howes and Simmonds (2015) postulated that there is no clinical data that suggests that indeed the medicine ‘improves cognitive functioning for healthy subjects and patients with dementia.’ While the United Kingdom requires all herbal therapies to be registered, the absence of clinical data to show the effectiveness of the sage to patients with dementia is a breeding ground for controversy. The efficacy of herbal medicines thus remains faith based and would need clinical trials to deal with controversies around its use.</w:t>
      </w:r>
    </w:p>
    <w:p>
      <w:pPr>
        <w:spacing w:line="360" w:lineRule="auto"/>
        <w:ind w:left="0" w:leftChars="0" w:firstLine="480" w:firstLineChars="200"/>
        <w:rPr>
          <w:rFonts w:hint="default"/>
          <w:lang w:val="en-GB"/>
        </w:rPr>
      </w:pPr>
      <w:r>
        <w:rPr>
          <w:rFonts w:hint="default"/>
          <w:lang w:val="en-GB"/>
        </w:rPr>
        <w:t>A herbal medicine called St John’s wort has been found to be effective in dealing with depression (Ernst 2000). It is actually suggested that there are trials that were conducted in the United States to test the efficacy of the St John’s wort, with positive results emerging from randomised trials on 1,757 patients (Ibid p.396). Again, olives, dates, licorice root, red wine and pomegranates have been found to be effective in reducing cholesterol levels (Keshet and Popper-Giveon 2013). Other research studies show that Glucolevel is used to deal with diabetes when it is a mixture of four anti diabetes plants (Said et al 2008). These scientifically proven trials serve to highlight herbal medicines could be effective especially when trials are done to determine the efficacy and prescription levels. In other words, any controversy related to the use of herbal medicine must be allayed through randomised testing. This, of course, could mean that randomising medicine defeats the purpose of using complementary medicine as those tests could well be understood as biomedical processes.</w:t>
      </w:r>
    </w:p>
    <w:p>
      <w:pPr>
        <w:spacing w:line="360" w:lineRule="auto"/>
        <w:ind w:left="0" w:leftChars="0" w:firstLine="480" w:firstLineChars="200"/>
        <w:rPr>
          <w:rFonts w:hint="default"/>
          <w:lang w:val="en-GB"/>
        </w:rPr>
      </w:pPr>
      <w:r>
        <w:rPr>
          <w:rFonts w:hint="default"/>
          <w:lang w:val="en-GB"/>
        </w:rPr>
        <w:t>Herbal medicines such as olives and pomegranates have also been used as a bridge within ethnic groups, for instance, Arabs and Jews in Israel (Keshet and Popper-Giveon 2013). Ernst (2003) posited that while the use of herbal medicines have taken a religious and cultural route, most users in the United Kingdom by the time of publishing used it to cure non serious ailments such as respiratory tract infections. Whether they are used to divide ethnicity or not, it is clear that the users of herbal medicine have faith in the effectiveness of the herbs only when dealing with minor ailments, leaving serious ailments to the field of biomedical practitioners. This actually brings the complimentary effect of the herbal medicines, as opposed to serving as an all out medical method.</w:t>
      </w:r>
    </w:p>
    <w:p>
      <w:pPr>
        <w:spacing w:line="360" w:lineRule="auto"/>
        <w:rPr>
          <w:rFonts w:hint="default"/>
          <w:b/>
          <w:bCs/>
          <w:lang w:val="en-GB"/>
        </w:rPr>
      </w:pPr>
      <w:r>
        <w:rPr>
          <w:rFonts w:hint="default"/>
          <w:b/>
          <w:bCs/>
          <w:lang w:val="en-GB"/>
        </w:rPr>
        <w:t>Conclusion</w:t>
      </w:r>
    </w:p>
    <w:p>
      <w:pPr>
        <w:spacing w:line="360" w:lineRule="auto"/>
        <w:ind w:left="0" w:leftChars="0" w:firstLine="480" w:firstLineChars="200"/>
        <w:rPr>
          <w:rFonts w:hint="default"/>
          <w:lang w:val="en-GB"/>
        </w:rPr>
      </w:pPr>
      <w:r>
        <w:rPr>
          <w:rFonts w:hint="default"/>
          <w:lang w:val="en-GB"/>
        </w:rPr>
        <w:t>Herbal medicines remain a part of humanity today just as they were centuries ago. Their application however depends on the magnitude of an ailment individuals are suffering from and religious beliefs such people may have. It has been shown in this essay that herbal medicines have permeated every society around the globe, owing to trade and poverty. The fact that herbal medicines are cost effective could mean that there is less data on the market to study the efficacy, side effects associated with taking medication that is not medically proven (Pittilo 2010). It therefore remains critical to take deliberate efforts to try herbal medicines in laboratories for purposes of reducing intake volume induced side effects and the overall application of these medicines to different special needs such as dementia and Blood Pressure (BP). The studies cited in this essay also provided that a number of herbal medicines are effective in dealing with specified medical problems, suggesting that there is need both at policy and regulatory levels to commit to more studies around the use of complimentary medicine.</w:t>
      </w:r>
    </w:p>
    <w:p>
      <w:pPr>
        <w:rPr>
          <w:rFonts w:hint="default"/>
          <w:lang w:val="en-GB"/>
        </w:rPr>
      </w:pPr>
      <w:r>
        <w:rPr>
          <w:rFonts w:hint="default"/>
          <w:lang w:val="en-GB"/>
        </w:rPr>
        <w:br w:type="page"/>
      </w:r>
    </w:p>
    <w:p>
      <w:pPr>
        <w:spacing w:line="360" w:lineRule="auto"/>
        <w:rPr>
          <w:rFonts w:hint="default"/>
          <w:b/>
          <w:bCs/>
          <w:lang w:val="en-GB"/>
        </w:rPr>
      </w:pPr>
      <w:r>
        <w:rPr>
          <w:rFonts w:hint="default"/>
          <w:b/>
          <w:bCs/>
          <w:lang w:val="en-GB"/>
        </w:rPr>
        <w:t>References</w:t>
      </w:r>
    </w:p>
    <w:p>
      <w:pPr>
        <w:spacing w:line="360" w:lineRule="auto"/>
        <w:rPr>
          <w:rFonts w:hint="default" w:ascii="Times New Roman" w:hAnsi="Times New Roman" w:cs="Times New Roman"/>
          <w:sz w:val="24"/>
          <w:szCs w:val="24"/>
          <w:lang w:val="en-GB"/>
        </w:rPr>
      </w:pPr>
      <w:r>
        <w:rPr>
          <w:rFonts w:hint="default" w:ascii="Times New Roman" w:hAnsi="Times New Roman" w:eastAsia="SimSun" w:cs="Times New Roman"/>
          <w:i w:val="0"/>
          <w:iCs w:val="0"/>
          <w:caps w:val="0"/>
          <w:color w:val="222222"/>
          <w:spacing w:val="0"/>
          <w:sz w:val="24"/>
          <w:szCs w:val="24"/>
          <w:shd w:val="clear" w:fill="FFFFFF"/>
        </w:rPr>
        <w:t>Ernst, E., 2003. Herbal medicines put into context.</w:t>
      </w:r>
      <w:r>
        <w:rPr>
          <w:rFonts w:hint="default" w:ascii="Times New Roman" w:hAnsi="Times New Roman" w:eastAsia="SimSun" w:cs="Times New Roman"/>
          <w:i w:val="0"/>
          <w:iCs w:val="0"/>
          <w:caps w:val="0"/>
          <w:color w:val="222222"/>
          <w:spacing w:val="0"/>
          <w:sz w:val="24"/>
          <w:szCs w:val="24"/>
          <w:shd w:val="clear" w:fill="FFFFFF"/>
          <w:lang w:val="en-GB"/>
        </w:rPr>
        <w:t xml:space="preserve"> </w:t>
      </w:r>
      <w:r>
        <w:rPr>
          <w:rFonts w:hint="default" w:ascii="Times New Roman" w:hAnsi="Times New Roman" w:eastAsia="SimSun" w:cs="Times New Roman"/>
          <w:i/>
          <w:iCs/>
          <w:caps w:val="0"/>
          <w:color w:val="222222"/>
          <w:spacing w:val="0"/>
          <w:sz w:val="24"/>
          <w:szCs w:val="24"/>
          <w:shd w:val="clear" w:fill="FFFFFF"/>
          <w:lang w:val="en-GB"/>
        </w:rPr>
        <w:t>British Medical Journal</w:t>
      </w:r>
      <w:r>
        <w:rPr>
          <w:rFonts w:hint="default" w:ascii="Times New Roman" w:hAnsi="Times New Roman" w:eastAsia="SimSun" w:cs="Times New Roman"/>
          <w:i w:val="0"/>
          <w:iCs w:val="0"/>
          <w:caps w:val="0"/>
          <w:color w:val="222222"/>
          <w:spacing w:val="0"/>
          <w:sz w:val="24"/>
          <w:szCs w:val="24"/>
          <w:shd w:val="clear" w:fill="FFFFFF"/>
          <w:lang w:val="en-GB"/>
        </w:rPr>
        <w:t>, Vol 327, No 7420. pp 881-882.</w:t>
      </w:r>
      <w:r>
        <w:rPr>
          <w:rFonts w:hint="default" w:ascii="Times New Roman" w:hAnsi="Times New Roman" w:cs="Times New Roman"/>
          <w:sz w:val="24"/>
          <w:szCs w:val="24"/>
          <w:lang w:val="en-GB"/>
        </w:rPr>
        <w:t xml:space="preserve"> </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Howes, M.J.R. and Simmonds, M.S., 2015. Pharmacognosy in the United Kingdom: Past, present, and future. </w:t>
      </w:r>
      <w:r>
        <w:rPr>
          <w:rFonts w:hint="default" w:ascii="Times New Roman" w:hAnsi="Times New Roman" w:eastAsia="SimSun" w:cs="Times New Roman"/>
          <w:i/>
          <w:iCs/>
          <w:caps w:val="0"/>
          <w:color w:val="222222"/>
          <w:spacing w:val="0"/>
          <w:sz w:val="24"/>
          <w:szCs w:val="24"/>
          <w:shd w:val="clear" w:fill="FFFFFF"/>
        </w:rPr>
        <w:t>Science</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350</w:t>
      </w:r>
      <w:r>
        <w:rPr>
          <w:rFonts w:hint="default" w:ascii="Times New Roman" w:hAnsi="Times New Roman" w:eastAsia="SimSun" w:cs="Times New Roman"/>
          <w:i w:val="0"/>
          <w:iCs w:val="0"/>
          <w:caps w:val="0"/>
          <w:color w:val="222222"/>
          <w:spacing w:val="0"/>
          <w:sz w:val="24"/>
          <w:szCs w:val="24"/>
          <w:shd w:val="clear" w:fill="FFFFFF"/>
        </w:rPr>
        <w:t>(6262), pp.S57-S58.</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Choi, R.J., Wong, A.S., Jia, W., Chang, I.M., Wong, R.N., Fan, T.P. and Kim, Y.S., 2015. Ginseng: a panacea linking east asia and north America. </w:t>
      </w:r>
      <w:r>
        <w:rPr>
          <w:rFonts w:hint="default" w:ascii="Times New Roman" w:hAnsi="Times New Roman" w:eastAsia="SimSun" w:cs="Times New Roman"/>
          <w:i/>
          <w:iCs/>
          <w:caps w:val="0"/>
          <w:color w:val="222222"/>
          <w:spacing w:val="0"/>
          <w:sz w:val="24"/>
          <w:szCs w:val="24"/>
          <w:shd w:val="clear" w:fill="FFFFFF"/>
        </w:rPr>
        <w:t>Science</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350</w:t>
      </w:r>
      <w:r>
        <w:rPr>
          <w:rFonts w:hint="default" w:ascii="Times New Roman" w:hAnsi="Times New Roman" w:eastAsia="SimSun" w:cs="Times New Roman"/>
          <w:i w:val="0"/>
          <w:iCs w:val="0"/>
          <w:caps w:val="0"/>
          <w:color w:val="222222"/>
          <w:spacing w:val="0"/>
          <w:sz w:val="24"/>
          <w:szCs w:val="24"/>
          <w:shd w:val="clear" w:fill="FFFFFF"/>
        </w:rPr>
        <w:t>(6262), pp.S54-S56.</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Pittilo, R.M., 2010. Herbal medicine and acupuncture: protecting patients. </w:t>
      </w:r>
      <w:r>
        <w:rPr>
          <w:rFonts w:hint="default" w:ascii="Times New Roman" w:hAnsi="Times New Roman" w:eastAsia="SimSun" w:cs="Times New Roman"/>
          <w:i/>
          <w:iCs/>
          <w:caps w:val="0"/>
          <w:color w:val="222222"/>
          <w:spacing w:val="0"/>
          <w:sz w:val="24"/>
          <w:szCs w:val="24"/>
          <w:shd w:val="clear" w:fill="FFFFFF"/>
        </w:rPr>
        <w:t>Bmj</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340</w:t>
      </w:r>
      <w:r>
        <w:rPr>
          <w:rFonts w:hint="default" w:ascii="Times New Roman" w:hAnsi="Times New Roman" w:eastAsia="SimSun" w:cs="Times New Roman"/>
          <w:i w:val="0"/>
          <w:iCs w:val="0"/>
          <w:caps w:val="0"/>
          <w:color w:val="222222"/>
          <w:spacing w:val="0"/>
          <w:sz w:val="24"/>
          <w:szCs w:val="24"/>
          <w:shd w:val="clear" w:fill="FFFFFF"/>
        </w:rPr>
        <w:t>.</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Ernst, E., 2000. Herbal medicines: where is the evidence?: growing evidence of effectiveness is counterbalanced by inadequate regulation.</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Said, O., Fulder, S., Khalil, K., Azaizeh, H., Kassis, E. and Saa</w:t>
      </w:r>
      <w:bookmarkStart w:id="0" w:name="_GoBack"/>
      <w:bookmarkEnd w:id="0"/>
      <w:r>
        <w:rPr>
          <w:rFonts w:hint="default" w:ascii="Times New Roman" w:hAnsi="Times New Roman" w:eastAsia="SimSun" w:cs="Times New Roman"/>
          <w:i w:val="0"/>
          <w:iCs w:val="0"/>
          <w:caps w:val="0"/>
          <w:color w:val="222222"/>
          <w:spacing w:val="0"/>
          <w:sz w:val="24"/>
          <w:szCs w:val="24"/>
          <w:shd w:val="clear" w:fill="FFFFFF"/>
        </w:rPr>
        <w:t>d, B., 2008. Maintaining a physiological blood glucose level with ‘glucolevel’, a combination of four anti-diabetes plants used in the traditional Arab herbal medicine. </w:t>
      </w:r>
      <w:r>
        <w:rPr>
          <w:rFonts w:hint="default" w:ascii="Times New Roman" w:hAnsi="Times New Roman" w:eastAsia="SimSun" w:cs="Times New Roman"/>
          <w:i/>
          <w:iCs/>
          <w:caps w:val="0"/>
          <w:color w:val="222222"/>
          <w:spacing w:val="0"/>
          <w:sz w:val="24"/>
          <w:szCs w:val="24"/>
          <w:shd w:val="clear" w:fill="FFFFFF"/>
        </w:rPr>
        <w:t>Evidence-Based Complementary and Alternative Medicine</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5</w:t>
      </w:r>
      <w:r>
        <w:rPr>
          <w:rFonts w:hint="default" w:ascii="Times New Roman" w:hAnsi="Times New Roman" w:eastAsia="SimSun" w:cs="Times New Roman"/>
          <w:i w:val="0"/>
          <w:iCs w:val="0"/>
          <w:caps w:val="0"/>
          <w:color w:val="222222"/>
          <w:spacing w:val="0"/>
          <w:sz w:val="24"/>
          <w:szCs w:val="24"/>
          <w:shd w:val="clear" w:fill="FFFFFF"/>
        </w:rPr>
        <w:t>(4), pp.421-428.</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Keshet, Y. and Popper‐Giveon, A., 2013. Integrative health care in Israel and traditional arab herbal medicine: when health care interfaces with culture and politics. </w:t>
      </w:r>
      <w:r>
        <w:rPr>
          <w:rFonts w:hint="default" w:ascii="Times New Roman" w:hAnsi="Times New Roman" w:eastAsia="SimSun" w:cs="Times New Roman"/>
          <w:i/>
          <w:iCs/>
          <w:caps w:val="0"/>
          <w:color w:val="222222"/>
          <w:spacing w:val="0"/>
          <w:sz w:val="24"/>
          <w:szCs w:val="24"/>
          <w:shd w:val="clear" w:fill="FFFFFF"/>
        </w:rPr>
        <w:t>Medical Anthropology Quarterly</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27</w:t>
      </w:r>
      <w:r>
        <w:rPr>
          <w:rFonts w:hint="default" w:ascii="Times New Roman" w:hAnsi="Times New Roman" w:eastAsia="SimSun" w:cs="Times New Roman"/>
          <w:i w:val="0"/>
          <w:iCs w:val="0"/>
          <w:caps w:val="0"/>
          <w:color w:val="222222"/>
          <w:spacing w:val="0"/>
          <w:sz w:val="24"/>
          <w:szCs w:val="24"/>
          <w:shd w:val="clear" w:fill="FFFFFF"/>
        </w:rPr>
        <w:t>(3), pp.368-384.</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Wisecup, K., 2012. Medicine, communication, and authority in Samson Occom's Herbal. </w:t>
      </w:r>
      <w:r>
        <w:rPr>
          <w:rFonts w:hint="default" w:ascii="Times New Roman" w:hAnsi="Times New Roman" w:eastAsia="SimSun" w:cs="Times New Roman"/>
          <w:i/>
          <w:iCs/>
          <w:caps w:val="0"/>
          <w:color w:val="222222"/>
          <w:spacing w:val="0"/>
          <w:sz w:val="24"/>
          <w:szCs w:val="24"/>
          <w:shd w:val="clear" w:fill="FFFFFF"/>
        </w:rPr>
        <w:t>Early American Studies</w:t>
      </w:r>
      <w:r>
        <w:rPr>
          <w:rFonts w:hint="default" w:ascii="Times New Roman" w:hAnsi="Times New Roman" w:eastAsia="SimSun" w:cs="Times New Roman"/>
          <w:i w:val="0"/>
          <w:iCs w:val="0"/>
          <w:caps w:val="0"/>
          <w:color w:val="222222"/>
          <w:spacing w:val="0"/>
          <w:sz w:val="24"/>
          <w:szCs w:val="24"/>
          <w:shd w:val="clear" w:fill="FFFFFF"/>
        </w:rPr>
        <w:t>, pp.540-565.</w:t>
      </w:r>
    </w:p>
    <w:p>
      <w:pPr>
        <w:spacing w:line="360" w:lineRule="auto"/>
        <w:rPr>
          <w:rFonts w:hint="default" w:ascii="Times New Roman" w:hAnsi="Times New Roman" w:eastAsia="SimSun" w:cs="Times New Roman"/>
          <w:i w:val="0"/>
          <w:iCs w:val="0"/>
          <w:caps w:val="0"/>
          <w:color w:val="222222"/>
          <w:spacing w:val="0"/>
          <w:sz w:val="24"/>
          <w:szCs w:val="24"/>
          <w:shd w:val="clear" w:fill="FFFFFF"/>
        </w:rPr>
      </w:pPr>
      <w:r>
        <w:rPr>
          <w:rFonts w:hint="default" w:ascii="Times New Roman" w:hAnsi="Times New Roman" w:eastAsia="SimSun" w:cs="Times New Roman"/>
          <w:i w:val="0"/>
          <w:iCs w:val="0"/>
          <w:caps w:val="0"/>
          <w:color w:val="222222"/>
          <w:spacing w:val="0"/>
          <w:sz w:val="24"/>
          <w:szCs w:val="24"/>
          <w:shd w:val="clear" w:fill="FFFFFF"/>
        </w:rPr>
        <w:t>Clark, P.A., 2000. The ethics of alternative medicine therapies. </w:t>
      </w:r>
      <w:r>
        <w:rPr>
          <w:rFonts w:hint="default" w:ascii="Times New Roman" w:hAnsi="Times New Roman" w:eastAsia="SimSun" w:cs="Times New Roman"/>
          <w:i/>
          <w:iCs/>
          <w:caps w:val="0"/>
          <w:color w:val="222222"/>
          <w:spacing w:val="0"/>
          <w:sz w:val="24"/>
          <w:szCs w:val="24"/>
          <w:shd w:val="clear" w:fill="FFFFFF"/>
        </w:rPr>
        <w:t>Journal of Public Health Policy</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21</w:t>
      </w:r>
      <w:r>
        <w:rPr>
          <w:rFonts w:hint="default" w:ascii="Times New Roman" w:hAnsi="Times New Roman" w:eastAsia="SimSun" w:cs="Times New Roman"/>
          <w:i w:val="0"/>
          <w:iCs w:val="0"/>
          <w:caps w:val="0"/>
          <w:color w:val="222222"/>
          <w:spacing w:val="0"/>
          <w:sz w:val="24"/>
          <w:szCs w:val="24"/>
          <w:shd w:val="clear" w:fill="FFFFFF"/>
        </w:rPr>
        <w:t>(4), pp.447-470.</w:t>
      </w:r>
    </w:p>
    <w:p>
      <w:pPr>
        <w:spacing w:line="360" w:lineRule="auto"/>
        <w:rPr>
          <w:rFonts w:hint="default" w:ascii="Times New Roman" w:hAnsi="Times New Roman" w:eastAsia="SimSun" w:cs="Times New Roman"/>
          <w:i w:val="0"/>
          <w:iCs w:val="0"/>
          <w:caps w:val="0"/>
          <w:color w:val="222222"/>
          <w:spacing w:val="0"/>
          <w:sz w:val="24"/>
          <w:szCs w:val="24"/>
          <w:shd w:val="clear" w:fill="FFFFFF"/>
          <w:lang w:val="en-GB"/>
        </w:rPr>
      </w:pPr>
      <w:r>
        <w:rPr>
          <w:rFonts w:hint="default" w:ascii="Times New Roman" w:hAnsi="Times New Roman" w:eastAsia="SimSun" w:cs="Times New Roman"/>
          <w:i w:val="0"/>
          <w:iCs w:val="0"/>
          <w:caps w:val="0"/>
          <w:color w:val="222222"/>
          <w:spacing w:val="0"/>
          <w:sz w:val="24"/>
          <w:szCs w:val="24"/>
          <w:shd w:val="clear" w:fill="FFFFFF"/>
        </w:rPr>
        <w:t>Shelton, T.V., 2013. Curiosity or Cure?: Chinese Medicine and American Orientalism in Progressive Era California and Oregon. </w:t>
      </w:r>
      <w:r>
        <w:rPr>
          <w:rFonts w:hint="default" w:ascii="Times New Roman" w:hAnsi="Times New Roman" w:eastAsia="SimSun" w:cs="Times New Roman"/>
          <w:i/>
          <w:iCs/>
          <w:caps w:val="0"/>
          <w:color w:val="222222"/>
          <w:spacing w:val="0"/>
          <w:sz w:val="24"/>
          <w:szCs w:val="24"/>
          <w:shd w:val="clear" w:fill="FFFFFF"/>
        </w:rPr>
        <w:t>Oregon Historical Quarterly</w:t>
      </w:r>
      <w:r>
        <w:rPr>
          <w:rFonts w:hint="default" w:ascii="Times New Roman" w:hAnsi="Times New Roman" w:eastAsia="SimSun" w:cs="Times New Roman"/>
          <w:i w:val="0"/>
          <w:iCs w:val="0"/>
          <w:caps w:val="0"/>
          <w:color w:val="222222"/>
          <w:spacing w:val="0"/>
          <w:sz w:val="24"/>
          <w:szCs w:val="24"/>
          <w:shd w:val="clear" w:fill="FFFFFF"/>
        </w:rPr>
        <w:t>, </w:t>
      </w:r>
      <w:r>
        <w:rPr>
          <w:rFonts w:hint="default" w:ascii="Times New Roman" w:hAnsi="Times New Roman" w:eastAsia="SimSun" w:cs="Times New Roman"/>
          <w:i/>
          <w:iCs/>
          <w:caps w:val="0"/>
          <w:color w:val="222222"/>
          <w:spacing w:val="0"/>
          <w:sz w:val="24"/>
          <w:szCs w:val="24"/>
          <w:shd w:val="clear" w:fill="FFFFFF"/>
        </w:rPr>
        <w:t>114</w:t>
      </w:r>
      <w:r>
        <w:rPr>
          <w:rFonts w:hint="default" w:ascii="Times New Roman" w:hAnsi="Times New Roman" w:eastAsia="SimSun" w:cs="Times New Roman"/>
          <w:i w:val="0"/>
          <w:iCs w:val="0"/>
          <w:caps w:val="0"/>
          <w:color w:val="222222"/>
          <w:spacing w:val="0"/>
          <w:sz w:val="24"/>
          <w:szCs w:val="24"/>
          <w:shd w:val="clear" w:fill="FFFFFF"/>
        </w:rPr>
        <w:t>(3), pp.266-291.</w:t>
      </w:r>
    </w:p>
    <w:p>
      <w:pPr>
        <w:spacing w:line="360" w:lineRule="auto"/>
        <w:ind w:left="0" w:leftChars="0" w:firstLine="480" w:firstLineChars="200"/>
        <w:rPr>
          <w:rFonts w:hint="default"/>
          <w:lang w:val="en-GB"/>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4F1EDD"/>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39C0B2C"/>
    <w:rsid w:val="05D30473"/>
    <w:rsid w:val="06227EF8"/>
    <w:rsid w:val="089A6348"/>
    <w:rsid w:val="09E020CD"/>
    <w:rsid w:val="11B167EF"/>
    <w:rsid w:val="18B335B8"/>
    <w:rsid w:val="1BD96077"/>
    <w:rsid w:val="1C920BDC"/>
    <w:rsid w:val="1F6F14E8"/>
    <w:rsid w:val="22022999"/>
    <w:rsid w:val="250D6960"/>
    <w:rsid w:val="28321D64"/>
    <w:rsid w:val="29E02CEF"/>
    <w:rsid w:val="2BA4467F"/>
    <w:rsid w:val="2E1625E2"/>
    <w:rsid w:val="2FFD58CE"/>
    <w:rsid w:val="32F12553"/>
    <w:rsid w:val="35F37936"/>
    <w:rsid w:val="3A941215"/>
    <w:rsid w:val="3B145ED8"/>
    <w:rsid w:val="3D5C3579"/>
    <w:rsid w:val="46AB3ED7"/>
    <w:rsid w:val="47F10159"/>
    <w:rsid w:val="497F313B"/>
    <w:rsid w:val="4C0F77F9"/>
    <w:rsid w:val="5B341072"/>
    <w:rsid w:val="60725F2A"/>
    <w:rsid w:val="62E9129C"/>
    <w:rsid w:val="65A07A77"/>
    <w:rsid w:val="6B71165A"/>
    <w:rsid w:val="6E91473F"/>
    <w:rsid w:val="6FF86A74"/>
    <w:rsid w:val="70421E6C"/>
    <w:rsid w:val="704F1EDD"/>
    <w:rsid w:val="7377284F"/>
    <w:rsid w:val="73EC3090"/>
    <w:rsid w:val="75285930"/>
    <w:rsid w:val="786504F4"/>
    <w:rsid w:val="792B03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unhideWhenUsed="0" w:uiPriority="0" w:semiHidden="0" w:name="table of authorities"/>
    <w:lsdException w:qFormat="1" w:unhideWhenUsed="0" w:uiPriority="0" w:semiHidden="0" w:name="macro"/>
    <w:lsdException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nhideWhenUsed="0" w:uiPriority="0"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unhideWhenUsed="0" w:uiPriority="0" w:semiHidden="0" w:name="Table Simple 1"/>
    <w:lsdException w:unhideWhenUsed="0" w:uiPriority="0" w:semiHidden="0" w:name="Table Simple 2"/>
    <w:lsdException w:qFormat="1"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qFormat="1"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qFormat="1" w:unhideWhenUsed="0" w:uiPriority="0" w:semiHidden="0" w:name="Table Grid 3"/>
    <w:lsdException w:unhideWhenUsed="0" w:uiPriority="0" w:semiHidden="0" w:name="Table Grid 4"/>
    <w:lsdException w:qFormat="1" w:unhideWhenUsed="0" w:uiPriority="0" w:semiHidden="0" w:name="Table Grid 5"/>
    <w:lsdException w:qFormat="1" w:unhideWhenUsed="0" w:uiPriority="0" w:semiHidden="0" w:name="Table Grid 6"/>
    <w:lsdException w:unhideWhenUsed="0" w:uiPriority="0" w:semiHidden="0" w:name="Table Grid 7"/>
    <w:lsdException w:qFormat="1" w:unhideWhenUsed="0" w:uiPriority="0" w:semiHidden="0" w:name="Table Grid 8"/>
    <w:lsdException w:qFormat="1" w:unhideWhenUsed="0" w:uiPriority="0" w:semiHidden="0" w:name="Table List 1"/>
    <w:lsdException w:unhideWhenUsed="0" w:uiPriority="0" w:semiHidden="0" w:name="Table List 2"/>
    <w:lsdException w:qFormat="1" w:unhideWhenUsed="0" w:uiPriority="0" w:semiHidden="0" w:name="Table List 3"/>
    <w:lsdException w:qFormat="1" w:unhideWhenUsed="0" w:uiPriority="0" w:semiHidden="0" w:name="Table List 4"/>
    <w:lsdException w:unhideWhenUsed="0" w:uiPriority="0" w:semiHidden="0" w:name="Table List 5"/>
    <w:lsdException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unhideWhenUsed="0" w:uiPriority="0" w:semiHidden="0" w:name="Table Elegant"/>
    <w:lsdException w:unhideWhenUsed="0" w:uiPriority="0" w:semiHidden="0" w:name="Table Professional"/>
    <w:lsdException w:qFormat="1"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qFormat="1" w:unhideWhenUsed="0" w:uiPriority="0" w:semiHidden="0" w:name="Table Web 3"/>
    <w:lsdException w:qFormat="1" w:unhideWhenUsed="0" w:uiPriority="0" w:semiHidden="0" w:name="Balloon Text"/>
    <w:lsdException w:unhideWhenUsed="0" w:uiPriority="0" w:semiHidden="0" w:name="Table Grid"/>
    <w:lsdException w:unhideWhenUsed="0" w:uiPriority="0" w:semiHidden="0" w:name="Table Theme"/>
    <w:lsdException w:qFormat="1"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qFormat="1"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qFormat="1"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qFormat="1" w:unhideWhenUsed="0" w:uiPriority="66" w:semiHidden="0" w:name="Medium List 2 Accent 4"/>
    <w:lsdException w:unhideWhenUsed="0" w:uiPriority="67" w:semiHidden="0" w:name="Medium Grid 1 Accent 4"/>
    <w:lsdException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unhideWhenUsed="0" w:uiPriority="73" w:semiHidden="0" w:name="Colorful Grid Accent 6"/>
  </w:latentStyles>
  <w:style w:type="paragraph" w:default="1" w:styleId="1">
    <w:name w:val="Normal"/>
    <w:qFormat/>
    <w:uiPriority w:val="0"/>
    <w:pPr>
      <w:jc w:val="both"/>
    </w:pPr>
    <w:rPr>
      <w:rFonts w:ascii="Times New Roman" w:hAnsi="Times New Roman" w:eastAsia="Malgun Gothic" w:cstheme="minorBidi"/>
      <w:sz w:val="24"/>
      <w:szCs w:val="24"/>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0"/>
    <w:rPr>
      <w:sz w:val="24"/>
      <w:szCs w:val="24"/>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uiPriority w:val="0"/>
    <w:pPr>
      <w:ind w:left="1260" w:leftChars="600"/>
    </w:pPr>
  </w:style>
  <w:style w:type="paragraph" w:styleId="146">
    <w:name w:val="toc 5"/>
    <w:basedOn w:val="1"/>
    <w:next w:val="1"/>
    <w:uiPriority w:val="0"/>
    <w:pPr>
      <w:ind w:left="1680" w:leftChars="800"/>
    </w:pPr>
  </w:style>
  <w:style w:type="paragraph" w:styleId="147">
    <w:name w:val="toc 6"/>
    <w:basedOn w:val="1"/>
    <w:next w:val="1"/>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69</TotalTime>
  <ScaleCrop>false</ScaleCrop>
  <LinksUpToDate>false</LinksUpToDate>
  <CharactersWithSpaces>0</CharactersWithSpaces>
  <Application>WPS Office_11.2.0.10382_F1E327BC-269C-435d-A152-05C5408002CA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2021-12-05T13:07:00Z</dcterms:created>
  <dc:creator>linco</dc:creator>
  <cp:lastModifiedBy>lincoln.innomangwiro</cp:lastModifiedBy>
  <dcterms:modified xsi:type="dcterms:W3CDTF">2021-12-06T10:34:41Z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2057-11.2.0.10382</vt:lpwstr>
  </property>
  <property fmtid="{D5CDD505-2E9C-101B-9397-08002B2CF9AE}" pid="3" name="ICV">
    <vt:lpwstr>E883617B2D814110BCC3B45D6370F991</vt:lpwstr>
  </property>
</Properties>
</file>