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2EA31141" w:rsidR="33572C6E" w:rsidRDefault="7908378C" w:rsidP="33572C6E">
            <w:pPr>
              <w:ind w:right="237"/>
              <w:rPr>
                <w:b/>
                <w:bCs/>
                <w:color w:val="auto"/>
                <w:sz w:val="32"/>
                <w:szCs w:val="32"/>
              </w:rPr>
            </w:pPr>
            <w:r w:rsidRPr="33572C6E">
              <w:rPr>
                <w:b/>
                <w:bCs/>
                <w:color w:val="auto"/>
                <w:sz w:val="32"/>
                <w:szCs w:val="32"/>
              </w:rPr>
              <w:t>Learner name:</w:t>
            </w:r>
            <w:r w:rsidR="00877252">
              <w:rPr>
                <w:b/>
                <w:bCs/>
                <w:color w:val="auto"/>
                <w:sz w:val="32"/>
                <w:szCs w:val="32"/>
              </w:rPr>
              <w:t xml:space="preserve"> Cerys Jones </w:t>
            </w:r>
          </w:p>
          <w:p w14:paraId="7944B67F" w14:textId="77777777" w:rsidR="00877252" w:rsidRDefault="00877252"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637D6D5" w:rsidR="7908378C" w:rsidRDefault="00877252" w:rsidP="33572C6E">
            <w:pPr>
              <w:ind w:right="237"/>
              <w:rPr>
                <w:b/>
                <w:bCs/>
                <w:color w:val="auto"/>
                <w:sz w:val="32"/>
                <w:szCs w:val="32"/>
              </w:rPr>
            </w:pPr>
            <w:r>
              <w:rPr>
                <w:b/>
                <w:color w:val="auto"/>
                <w:sz w:val="32"/>
              </w:rPr>
              <w:t>2319754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20594">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E20594">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E20594">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20594">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E20594">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E20594">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E20594">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E20594">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20594">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2059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2059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20594">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20594">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205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E205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E20594">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E20594">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32933C98" w14:textId="630BE021" w:rsidR="00AA666E" w:rsidRDefault="00AA666E" w:rsidP="00340E9A">
      <w:pPr>
        <w:ind w:right="237"/>
        <w:rPr>
          <w:sz w:val="24"/>
          <w:szCs w:val="24"/>
        </w:rPr>
      </w:pPr>
    </w:p>
    <w:p w14:paraId="3E610B36" w14:textId="77777777" w:rsidR="00C63C30" w:rsidRPr="00E676F7" w:rsidRDefault="00C63C30"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4BBC525A" w14:textId="2BF7FB79"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E96D16A" w14:textId="302F013D" w:rsidR="5B843AF0" w:rsidRPr="00E676F7" w:rsidRDefault="5B843AF0" w:rsidP="5B843AF0">
      <w:pPr>
        <w:ind w:right="237"/>
        <w:jc w:val="center"/>
        <w:rPr>
          <w:b/>
          <w:bCs/>
          <w:sz w:val="24"/>
          <w:szCs w:val="24"/>
        </w:rPr>
      </w:pPr>
      <w:bookmarkStart w:id="0" w:name="_Hlk188462102"/>
    </w:p>
    <w:p w14:paraId="0B6FD2BC" w14:textId="36F7B2FB" w:rsidR="00C63C30" w:rsidRDefault="00C63C30" w:rsidP="00C63C30">
      <w:r>
        <w:t xml:space="preserve">This essay will discuss a policing incident I have dealt with in which I played a significant role with a victim of crime. This essay will begin by discussing this incident and explain the social and legislative context </w:t>
      </w:r>
      <w:r w:rsidR="00907BB5">
        <w:t>surrounding</w:t>
      </w:r>
      <w:r>
        <w:t xml:space="preserve"> it</w:t>
      </w:r>
      <w:r w:rsidR="00CB2EF5">
        <w:t>.</w:t>
      </w:r>
      <w:r>
        <w:t xml:space="preserve"> This essay will then discuss different approaches by </w:t>
      </w:r>
      <w:r w:rsidR="00CB2EF5">
        <w:t xml:space="preserve">agencies </w:t>
      </w:r>
      <w:r>
        <w:t>in managing and supporting vulnerable people</w:t>
      </w:r>
      <w:r w:rsidR="00CB2EF5">
        <w:t xml:space="preserve">, </w:t>
      </w:r>
      <w:r>
        <w:t xml:space="preserve">examples of </w:t>
      </w:r>
      <w:r w:rsidR="00CB2EF5">
        <w:t xml:space="preserve">will </w:t>
      </w:r>
      <w:r w:rsidR="00A302FD">
        <w:t xml:space="preserve">be centred around domestic abuse victims and </w:t>
      </w:r>
      <w:r>
        <w:t>will include discussions of MARAC</w:t>
      </w:r>
      <w:r w:rsidR="00CB2EF5">
        <w:t xml:space="preserve"> and</w:t>
      </w:r>
      <w:r>
        <w:t xml:space="preserve"> DASH’s</w:t>
      </w:r>
      <w:r w:rsidR="00CB2EF5">
        <w:t>,</w:t>
      </w:r>
      <w:r>
        <w:t xml:space="preserve"> </w:t>
      </w:r>
      <w:r w:rsidR="00A302FD">
        <w:t xml:space="preserve">however these approaches can be used for other vulnerable victims </w:t>
      </w:r>
      <w:r w:rsidR="002E6C4F">
        <w:t>too</w:t>
      </w:r>
      <w:r>
        <w:t xml:space="preserve">. This essay will </w:t>
      </w:r>
      <w:r w:rsidR="00CB2EF5">
        <w:t>lastly</w:t>
      </w:r>
      <w:r>
        <w:t xml:space="preserve"> discuss different tactics in tackling repeat victimisation and offending. These tactics will include evidence based policing, situational crime prevention and deterrence. </w:t>
      </w:r>
    </w:p>
    <w:p w14:paraId="3D00F7EE" w14:textId="77777777" w:rsidR="00C63C30" w:rsidRDefault="00C63C30" w:rsidP="00C63C30"/>
    <w:p w14:paraId="5BF41C6F" w14:textId="77777777" w:rsidR="00C63C30" w:rsidRDefault="00C63C30" w:rsidP="00C63C30">
      <w:r>
        <w:t xml:space="preserve">The incident this essay is centred around is a domestic incident in which a female was being coercively controlled by her partner for a number of years. The relationship had elements of emotional, physical and financial abuse. </w:t>
      </w:r>
    </w:p>
    <w:p w14:paraId="12CF5145" w14:textId="77777777" w:rsidR="00C63C30" w:rsidRDefault="00C63C30" w:rsidP="00C63C30"/>
    <w:p w14:paraId="3EF3B99F" w14:textId="37B6EA95" w:rsidR="00C63C30" w:rsidRDefault="00C63C30" w:rsidP="00C63C30">
      <w:r>
        <w:t>Domestic abuse</w:t>
      </w:r>
      <w:r w:rsidR="00CB2EF5">
        <w:t xml:space="preserve"> (DA)</w:t>
      </w:r>
      <w:r>
        <w:t xml:space="preserve"> is defined as any behaviour that is abusive and occurs between people who are aged 16 and over and are personally connected. Behaviour is abusive if it consist of the following:</w:t>
      </w:r>
    </w:p>
    <w:p w14:paraId="7FFDBAA8" w14:textId="77777777" w:rsidR="00CB2EF5" w:rsidRDefault="00CB2EF5" w:rsidP="00C63C30"/>
    <w:p w14:paraId="2724E6CC" w14:textId="77777777" w:rsidR="00C63C30" w:rsidRDefault="00C63C30" w:rsidP="00E20594">
      <w:pPr>
        <w:pStyle w:val="ListParagraph"/>
        <w:numPr>
          <w:ilvl w:val="0"/>
          <w:numId w:val="7"/>
        </w:numPr>
        <w:overflowPunct/>
        <w:autoSpaceDE/>
        <w:autoSpaceDN/>
        <w:adjustRightInd/>
        <w:spacing w:after="160" w:line="259" w:lineRule="auto"/>
        <w:textAlignment w:val="auto"/>
      </w:pPr>
      <w:r>
        <w:t xml:space="preserve">Physical or sexual abuse </w:t>
      </w:r>
    </w:p>
    <w:p w14:paraId="4DB6F860" w14:textId="77777777" w:rsidR="00C63C30" w:rsidRDefault="00C63C30" w:rsidP="00E20594">
      <w:pPr>
        <w:pStyle w:val="ListParagraph"/>
        <w:numPr>
          <w:ilvl w:val="0"/>
          <w:numId w:val="7"/>
        </w:numPr>
        <w:overflowPunct/>
        <w:autoSpaceDE/>
        <w:autoSpaceDN/>
        <w:adjustRightInd/>
        <w:spacing w:after="160" w:line="259" w:lineRule="auto"/>
        <w:textAlignment w:val="auto"/>
      </w:pPr>
      <w:r>
        <w:t xml:space="preserve">Violent or threatening behaviour </w:t>
      </w:r>
    </w:p>
    <w:p w14:paraId="7F6353A9" w14:textId="77777777" w:rsidR="00C63C30" w:rsidRDefault="00C63C30" w:rsidP="00E20594">
      <w:pPr>
        <w:pStyle w:val="ListParagraph"/>
        <w:numPr>
          <w:ilvl w:val="0"/>
          <w:numId w:val="7"/>
        </w:numPr>
        <w:overflowPunct/>
        <w:autoSpaceDE/>
        <w:autoSpaceDN/>
        <w:adjustRightInd/>
        <w:spacing w:after="160" w:line="259" w:lineRule="auto"/>
        <w:textAlignment w:val="auto"/>
      </w:pPr>
      <w:r>
        <w:t xml:space="preserve">Controlling or coercive behaviour </w:t>
      </w:r>
    </w:p>
    <w:p w14:paraId="208D83F7" w14:textId="77777777" w:rsidR="00C63C30" w:rsidRDefault="00C63C30" w:rsidP="00E20594">
      <w:pPr>
        <w:pStyle w:val="ListParagraph"/>
        <w:numPr>
          <w:ilvl w:val="0"/>
          <w:numId w:val="7"/>
        </w:numPr>
        <w:overflowPunct/>
        <w:autoSpaceDE/>
        <w:autoSpaceDN/>
        <w:adjustRightInd/>
        <w:spacing w:after="160" w:line="259" w:lineRule="auto"/>
        <w:textAlignment w:val="auto"/>
      </w:pPr>
      <w:r>
        <w:t xml:space="preserve">Economic abuse </w:t>
      </w:r>
    </w:p>
    <w:p w14:paraId="700C6116" w14:textId="77777777" w:rsidR="00C63C30" w:rsidRDefault="00C63C30" w:rsidP="00E20594">
      <w:pPr>
        <w:pStyle w:val="ListParagraph"/>
        <w:numPr>
          <w:ilvl w:val="0"/>
          <w:numId w:val="7"/>
        </w:numPr>
        <w:overflowPunct/>
        <w:autoSpaceDE/>
        <w:autoSpaceDN/>
        <w:adjustRightInd/>
        <w:spacing w:after="160" w:line="259" w:lineRule="auto"/>
        <w:textAlignment w:val="auto"/>
      </w:pPr>
      <w:r>
        <w:t xml:space="preserve">Psychological, emotional or other abuse. </w:t>
      </w:r>
    </w:p>
    <w:p w14:paraId="25F57856" w14:textId="0DFCCF72" w:rsidR="00C63C30" w:rsidRDefault="00C63C30" w:rsidP="00C63C30">
      <w:r>
        <w:t>(COP, 2015</w:t>
      </w:r>
      <w:r w:rsidR="002273EA">
        <w:t>a</w:t>
      </w:r>
      <w:r>
        <w:t xml:space="preserve">) </w:t>
      </w:r>
    </w:p>
    <w:p w14:paraId="5A14BEB8" w14:textId="69952D76" w:rsidR="5B843AF0" w:rsidRDefault="5B843AF0" w:rsidP="00C63C30">
      <w:pPr>
        <w:ind w:right="237"/>
        <w:rPr>
          <w:sz w:val="24"/>
          <w:szCs w:val="24"/>
        </w:rPr>
      </w:pPr>
    </w:p>
    <w:p w14:paraId="68317E39" w14:textId="7B52F2DC" w:rsidR="00E676F7" w:rsidRDefault="00C63C30" w:rsidP="00D5645D">
      <w:pPr>
        <w:ind w:right="237"/>
      </w:pPr>
      <w:r>
        <w:t xml:space="preserve">The Crime Survey for England and Wales estimates that approximately 2.3 million people aged 16 and above experienced </w:t>
      </w:r>
      <w:r w:rsidR="00CB2EF5">
        <w:t>DA</w:t>
      </w:r>
      <w:r>
        <w:t xml:space="preserve"> in 2024 (ONS, 2024). </w:t>
      </w:r>
      <w:r w:rsidR="004614B1">
        <w:t xml:space="preserve">Statistics show that 1 in 4 women experience </w:t>
      </w:r>
      <w:r w:rsidR="00CB2EF5">
        <w:t>DA</w:t>
      </w:r>
      <w:r w:rsidR="004614B1">
        <w:t xml:space="preserve"> at least once in their lifetime and a large percentage of abuse is experienced by a partner, ex-partner or family member (ONS, 2024; </w:t>
      </w:r>
      <w:r w:rsidR="00BC7340">
        <w:t xml:space="preserve">Refuge, 2024). Being a repeat victim of </w:t>
      </w:r>
      <w:r w:rsidR="00CB2EF5">
        <w:t>DA</w:t>
      </w:r>
      <w:r w:rsidR="00BC7340">
        <w:t xml:space="preserve"> has been reported to account for between 17-59% of </w:t>
      </w:r>
      <w:r w:rsidR="00CB2EF5">
        <w:t>DA</w:t>
      </w:r>
      <w:r w:rsidR="00BC7340">
        <w:t xml:space="preserve"> cases (Weir, 2024). Females are statically more likely to be repeat victims and males more likely to be</w:t>
      </w:r>
      <w:r w:rsidR="00387837">
        <w:t xml:space="preserve"> </w:t>
      </w:r>
      <w:r w:rsidR="00BC7340">
        <w:t xml:space="preserve">perpetrators (Weir, 2024). </w:t>
      </w:r>
      <w:r w:rsidR="00D5645D">
        <w:t xml:space="preserve">Victims of </w:t>
      </w:r>
      <w:r w:rsidR="00CB2EF5">
        <w:t xml:space="preserve">DA </w:t>
      </w:r>
      <w:r w:rsidR="00D5645D">
        <w:t>are</w:t>
      </w:r>
      <w:r w:rsidR="00CB2EF5">
        <w:t xml:space="preserve"> </w:t>
      </w:r>
      <w:r w:rsidR="00CB2EF5">
        <w:lastRenderedPageBreak/>
        <w:t>a</w:t>
      </w:r>
      <w:r w:rsidR="00D5645D">
        <w:t xml:space="preserve"> vulnerable category of victims. Vulnerability is defined as someone who</w:t>
      </w:r>
      <w:r w:rsidR="00CB2EF5">
        <w:t xml:space="preserve">, </w:t>
      </w:r>
      <w:r w:rsidR="00D5645D">
        <w:t>due to their situation or circumstances</w:t>
      </w:r>
      <w:r w:rsidR="00CB2EF5">
        <w:t>,</w:t>
      </w:r>
      <w:r w:rsidR="00D5645D">
        <w:t xml:space="preserve"> cannot properly care for themselves or protect themselves from the risk of harm (COP, 2020). By definition </w:t>
      </w:r>
      <w:r w:rsidR="00CB2EF5">
        <w:t xml:space="preserve">DA </w:t>
      </w:r>
      <w:r w:rsidR="00D5645D">
        <w:t xml:space="preserve">victims are therefore vulnerable as often than not they cannot protect themselves from harm or abuse especially if the abuse is from their current partner. </w:t>
      </w:r>
    </w:p>
    <w:p w14:paraId="32AD3C51" w14:textId="1A8AB894" w:rsidR="00D5645D" w:rsidRDefault="00D5645D" w:rsidP="00D5645D">
      <w:pPr>
        <w:ind w:right="237"/>
      </w:pPr>
    </w:p>
    <w:p w14:paraId="120876D3" w14:textId="6F1551E6" w:rsidR="00374DC9" w:rsidRDefault="00D5645D" w:rsidP="00D5645D">
      <w:pPr>
        <w:ind w:right="237"/>
      </w:pPr>
      <w:r>
        <w:t xml:space="preserve">The legislative context </w:t>
      </w:r>
      <w:r w:rsidR="00374DC9">
        <w:t xml:space="preserve">of this incident centres around coercive and controlling behaviour (CCB). CCB is defined as the following: </w:t>
      </w:r>
    </w:p>
    <w:p w14:paraId="679F1A9F" w14:textId="77777777" w:rsidR="00374DC9" w:rsidRDefault="00374DC9" w:rsidP="00D5645D">
      <w:pPr>
        <w:ind w:right="237"/>
      </w:pPr>
    </w:p>
    <w:p w14:paraId="25895759" w14:textId="25FFF352" w:rsidR="00374DC9" w:rsidRDefault="00374DC9" w:rsidP="00CC189C">
      <w:pPr>
        <w:ind w:left="360" w:right="237"/>
      </w:pPr>
      <w:r>
        <w:t xml:space="preserve">A person (A) commits an offence if: </w:t>
      </w:r>
    </w:p>
    <w:p w14:paraId="63ABB8CF" w14:textId="77777777" w:rsidR="00374DC9" w:rsidRDefault="00374DC9" w:rsidP="00CC189C">
      <w:pPr>
        <w:ind w:left="360" w:right="237"/>
      </w:pPr>
    </w:p>
    <w:p w14:paraId="51AC1F4C" w14:textId="6B40D560" w:rsidR="00374DC9" w:rsidRDefault="00374DC9" w:rsidP="00E20594">
      <w:pPr>
        <w:pStyle w:val="ListParagraph"/>
        <w:numPr>
          <w:ilvl w:val="0"/>
          <w:numId w:val="8"/>
        </w:numPr>
        <w:ind w:left="1080" w:right="237"/>
      </w:pPr>
      <w:r>
        <w:t xml:space="preserve">A repeatedly or continuously engages in behaviour towards another person B that is controlling or coercive. </w:t>
      </w:r>
    </w:p>
    <w:p w14:paraId="01339828" w14:textId="5CB7C09D" w:rsidR="00374DC9" w:rsidRDefault="00374DC9" w:rsidP="00E20594">
      <w:pPr>
        <w:pStyle w:val="ListParagraph"/>
        <w:numPr>
          <w:ilvl w:val="0"/>
          <w:numId w:val="8"/>
        </w:numPr>
        <w:ind w:left="1080" w:right="237"/>
      </w:pPr>
      <w:r>
        <w:t>At the time of the behaviour, A and B are personally connected</w:t>
      </w:r>
    </w:p>
    <w:p w14:paraId="15CFDED7" w14:textId="08538558" w:rsidR="00374DC9" w:rsidRDefault="00374DC9" w:rsidP="00E20594">
      <w:pPr>
        <w:pStyle w:val="ListParagraph"/>
        <w:numPr>
          <w:ilvl w:val="0"/>
          <w:numId w:val="8"/>
        </w:numPr>
        <w:ind w:left="1080" w:right="237"/>
      </w:pPr>
      <w:r>
        <w:t xml:space="preserve">The behaviour has a serious effect on B and </w:t>
      </w:r>
    </w:p>
    <w:p w14:paraId="381B952D" w14:textId="595226B1" w:rsidR="00374DC9" w:rsidRDefault="00374DC9" w:rsidP="00E20594">
      <w:pPr>
        <w:pStyle w:val="ListParagraph"/>
        <w:numPr>
          <w:ilvl w:val="0"/>
          <w:numId w:val="8"/>
        </w:numPr>
        <w:ind w:left="1080" w:right="237"/>
      </w:pPr>
      <w:r>
        <w:t xml:space="preserve">A knows or ought to know that the behaviour will have a serious effect on B </w:t>
      </w:r>
    </w:p>
    <w:p w14:paraId="736A1E85" w14:textId="77777777" w:rsidR="00374DC9" w:rsidRDefault="00374DC9" w:rsidP="00CC189C">
      <w:pPr>
        <w:ind w:left="360" w:right="237"/>
      </w:pPr>
    </w:p>
    <w:p w14:paraId="5544CD68" w14:textId="20AF4433" w:rsidR="00CC189C" w:rsidRDefault="00374DC9" w:rsidP="000F1607">
      <w:pPr>
        <w:ind w:left="360" w:right="237"/>
      </w:pPr>
      <w:r>
        <w:t>(</w:t>
      </w:r>
      <w:r w:rsidR="00CC189C">
        <w:t xml:space="preserve">Home Office, 2023, p.70) </w:t>
      </w:r>
    </w:p>
    <w:p w14:paraId="3C4CD645" w14:textId="77777777" w:rsidR="000F1607" w:rsidRDefault="000F1607" w:rsidP="000F1607">
      <w:pPr>
        <w:ind w:right="237"/>
      </w:pPr>
    </w:p>
    <w:p w14:paraId="5C4B07AF" w14:textId="02A375F8" w:rsidR="001A16AF" w:rsidRDefault="000F1607" w:rsidP="000F1607">
      <w:pPr>
        <w:ind w:right="237"/>
      </w:pPr>
      <w:r>
        <w:t>In the year ending March 2023 there were approximately 43,774 offences of CCB recorded in England and Wales</w:t>
      </w:r>
      <w:r w:rsidR="001A16AF">
        <w:t xml:space="preserve"> (Womens Aid, 2024)</w:t>
      </w:r>
      <w:r>
        <w:t xml:space="preserve">. CCB is a way for offenders to control, deprive, isolate and gain control of a </w:t>
      </w:r>
      <w:r w:rsidR="00DD6510">
        <w:t>person’s</w:t>
      </w:r>
      <w:r>
        <w:t xml:space="preserve"> life </w:t>
      </w:r>
      <w:r w:rsidR="00CB2EF5">
        <w:t>which</w:t>
      </w:r>
      <w:r>
        <w:t xml:space="preserve"> can be done through social isolation, restricting access to money, family and controlling and monitoring behaviour and movements of the individual (Lohmann, Cowlishaw and Felmingham, 2023). </w:t>
      </w:r>
      <w:r w:rsidR="001A16AF">
        <w:t>CCB behaviours have been strongly associated with causing mental health conditions such as depression and PTSD (Lohmann, Cowlishaw and Felmingham, 2023). CCB behaviours such as economic deprivation, social isolation and monitoring</w:t>
      </w:r>
      <w:r w:rsidR="00F56DD8">
        <w:t xml:space="preserve">, </w:t>
      </w:r>
      <w:r w:rsidR="001A16AF">
        <w:t xml:space="preserve">can leave a victim extremely vulnerable and at risk of harm from the offender. It is therefore important to try and identify those individuals who are vulnerable to harm or people who are repeat victims of harm so interventions can be put in place to protect them. </w:t>
      </w:r>
    </w:p>
    <w:p w14:paraId="5EACE94B" w14:textId="77777777" w:rsidR="00CC189C" w:rsidRDefault="00CC189C" w:rsidP="00CC189C">
      <w:pPr>
        <w:ind w:right="237"/>
        <w:jc w:val="both"/>
      </w:pPr>
    </w:p>
    <w:p w14:paraId="237912A4" w14:textId="22136BCF" w:rsidR="69F7424F" w:rsidRDefault="00A302FD" w:rsidP="0091135D">
      <w:pPr>
        <w:ind w:right="237"/>
        <w:jc w:val="both"/>
      </w:pPr>
      <w:r>
        <w:t xml:space="preserve">There are many different ways professionals and the police try to support and manage vulnerable people, especially victims of </w:t>
      </w:r>
      <w:r w:rsidR="00A063A6">
        <w:t>DA</w:t>
      </w:r>
      <w:r>
        <w:t xml:space="preserve">. One of these ways is through the completion of a DASH (Domestic Abuse Stalking and Harassment) risk assessment. </w:t>
      </w:r>
      <w:r w:rsidR="00985EC5">
        <w:t xml:space="preserve">DASH is a risk assessment that is used to help officers identify the risk and threat of future or current harm to an individual (Ringland, 2018). </w:t>
      </w:r>
      <w:r w:rsidR="006525E0">
        <w:t>A DASH includes</w:t>
      </w:r>
      <w:r w:rsidR="00985EC5">
        <w:t xml:space="preserve"> a list of 27 questions which cover a range of different topics such as offenders domestic abuse history, children and violence and these questions are </w:t>
      </w:r>
      <w:r w:rsidR="001E642D">
        <w:t xml:space="preserve">then </w:t>
      </w:r>
      <w:r w:rsidR="00985EC5">
        <w:t>used to indicate a risk grading</w:t>
      </w:r>
      <w:r w:rsidR="0091135D">
        <w:t xml:space="preserve"> (Myhill, Hohl and Johnson, 2023)</w:t>
      </w:r>
      <w:r w:rsidR="00985EC5">
        <w:t xml:space="preserve">. There are 3 risk gradings, standard, medium or high and the amount of questions answered yes depends on the risk grading given, the more </w:t>
      </w:r>
      <w:r w:rsidR="00CB2EF5">
        <w:t xml:space="preserve">yes’s, </w:t>
      </w:r>
      <w:r w:rsidR="00985EC5">
        <w:t>the higher the grading (</w:t>
      </w:r>
      <w:r w:rsidR="0091135D">
        <w:t>Myhill, Hohl and Johnson, 2023</w:t>
      </w:r>
      <w:r w:rsidR="00985EC5">
        <w:t xml:space="preserve">). </w:t>
      </w:r>
      <w:r w:rsidR="0091135D">
        <w:t xml:space="preserve">The level of risk identified then dictates the safeguarding and level of intervention other specialist agencies can give, for example high risk cases will go to MARAC, which will be discussed in due course. </w:t>
      </w:r>
    </w:p>
    <w:p w14:paraId="38CBBCA0" w14:textId="77777777" w:rsidR="0091135D" w:rsidRDefault="0091135D" w:rsidP="0091135D">
      <w:pPr>
        <w:ind w:right="237"/>
        <w:jc w:val="both"/>
      </w:pPr>
    </w:p>
    <w:p w14:paraId="06491356" w14:textId="49E38535" w:rsidR="00A221AB" w:rsidRDefault="003B22AC" w:rsidP="006666FA">
      <w:pPr>
        <w:ind w:right="237"/>
        <w:jc w:val="both"/>
      </w:pPr>
      <w:r>
        <w:t xml:space="preserve">DASH is a useful tool to help to </w:t>
      </w:r>
      <w:r w:rsidR="006666FA">
        <w:t>identify the risk an individual may be in and the support an individual may require</w:t>
      </w:r>
      <w:r>
        <w:t xml:space="preserve">. The 27 questions in the DASH often overlap which is useful as it provides multiple  opportunities for victim disclosure (Myhill, Hohl and Johnson, 2023). </w:t>
      </w:r>
      <w:r w:rsidR="004B4CB8">
        <w:t>However, many studies</w:t>
      </w:r>
      <w:r w:rsidR="006666FA">
        <w:t xml:space="preserve"> have critiqued the DASH process by stating that officers do not apply the tool consistently and thus this causes errors in recording and understanding the risk posed to individuals (</w:t>
      </w:r>
      <w:r w:rsidR="00971ABA">
        <w:t>COP, 2016</w:t>
      </w:r>
      <w:r w:rsidR="006666FA">
        <w:t>). If the tool is used inconsistently then being able to monitor and support vulnerable victims will fail. Another issue is that victims have to be willing to complete a DASH. If a victim is not willing to complete a DASH with an officer then understanding their level of risk is difficult (</w:t>
      </w:r>
      <w:r w:rsidR="00593979">
        <w:t>Walton and Hendy, 2023)</w:t>
      </w:r>
      <w:r w:rsidR="006666FA">
        <w:t>. Although officers do complete one on their behalf the information officers will use to complete it will be limited, therefore the victims true risk of harm is not known</w:t>
      </w:r>
      <w:r>
        <w:t xml:space="preserve"> and safeguarding cannot be put in place. Other studies have found that DASH gradings are a poor indicator of homicide and fail to identify the most vulnerable victims (</w:t>
      </w:r>
      <w:r w:rsidRPr="008E60E7">
        <w:t>Chalkley and Strang 2017; Thornton 2017</w:t>
      </w:r>
      <w:r>
        <w:t xml:space="preserve">). </w:t>
      </w:r>
      <w:r w:rsidR="004B4CB8">
        <w:t>Furthermore, DASH has been critiqued in terms of its ability to “create a lottery for victims” (</w:t>
      </w:r>
      <w:r w:rsidR="002A3644">
        <w:t>Myhill, Hohl and Johnson, 2023, p. 17</w:t>
      </w:r>
      <w:r w:rsidR="004B4CB8">
        <w:t>).</w:t>
      </w:r>
      <w:r w:rsidR="0010130C">
        <w:t xml:space="preserve"> T</w:t>
      </w:r>
      <w:r w:rsidR="004B4CB8">
        <w:t>his means</w:t>
      </w:r>
      <w:r w:rsidR="00C72DFD">
        <w:t xml:space="preserve"> </w:t>
      </w:r>
      <w:r w:rsidR="004B4CB8">
        <w:t xml:space="preserve">often than not safeguarding and intervention for victims is based on the risk grading officers attribute to them. Therefore, the higher risk the more interventions put in place, so victims who are considered lower risk often don’t get the specialist support they need as victims deemed higher risk are entitled to more support from services. Therefore, there are often failings in providing support to victims deemed standard or medium risk and there is the risk that without this support these victims are at risk of becoming high risk victims. </w:t>
      </w:r>
    </w:p>
    <w:p w14:paraId="689660D0" w14:textId="442A150D" w:rsidR="002A3644" w:rsidRDefault="002A3644" w:rsidP="006666FA">
      <w:pPr>
        <w:ind w:right="237"/>
        <w:jc w:val="both"/>
      </w:pPr>
      <w:r>
        <w:lastRenderedPageBreak/>
        <w:t>DASH is therefore a useful tool for officers to understand risk but it is not without its critiques</w:t>
      </w:r>
      <w:r w:rsidR="00790417">
        <w:t xml:space="preserve">. </w:t>
      </w:r>
      <w:r>
        <w:t xml:space="preserve">The next approach in managing and supporting vulnerable individuals that will be discussed is a Multi-Agency Risk Assessment Conference (MARAC). This is a meeting in which representatives from statutory agencies such as the police and social services come together with non-statutory agencies like charities, to discuss high risk cases of </w:t>
      </w:r>
      <w:r w:rsidR="00CB2EF5">
        <w:t>DA (</w:t>
      </w:r>
      <w:r>
        <w:t>Safe Lives, 202</w:t>
      </w:r>
      <w:r w:rsidR="00280BA2">
        <w:t>4</w:t>
      </w:r>
      <w:r>
        <w:t xml:space="preserve">). </w:t>
      </w:r>
      <w:r w:rsidR="009A04C4">
        <w:t xml:space="preserve">Although this essay will discuss MARAC in more detail, </w:t>
      </w:r>
      <w:r w:rsidR="002F4EB3">
        <w:t>m</w:t>
      </w:r>
      <w:r>
        <w:t>ulti-agency discussions can also come in the form of a Strategy discussion which are mainly centred around concerns for vulnerable children or children at risk, like MARAC services like social services, the police and schools come together to discuss a concern for a child and whether a joint visit by social services and the police needs to take place to discuss the concern with the child (</w:t>
      </w:r>
      <w:r w:rsidR="009A04C4">
        <w:t>Wales Safeguarding Procedures, 202</w:t>
      </w:r>
      <w:r w:rsidR="00280BA2">
        <w:t>5</w:t>
      </w:r>
      <w:r w:rsidR="009A04C4">
        <w:t xml:space="preserve">). </w:t>
      </w:r>
    </w:p>
    <w:p w14:paraId="76510CCE" w14:textId="77777777" w:rsidR="009A04C4" w:rsidRDefault="009A04C4" w:rsidP="006666FA">
      <w:pPr>
        <w:ind w:right="237"/>
        <w:jc w:val="both"/>
      </w:pPr>
    </w:p>
    <w:p w14:paraId="16E9EECB" w14:textId="29270E07" w:rsidR="009A04C4" w:rsidRPr="006666FA" w:rsidRDefault="009A04C4" w:rsidP="009A04C4">
      <w:pPr>
        <w:ind w:right="237"/>
        <w:jc w:val="both"/>
      </w:pPr>
      <w:r>
        <w:t>MARAC aims to safeguard adult victims by having various agencies come together and propose actions to protect and reduce the risk of harm to the victim. MARAC also aims to not only protect the victim from harm but try and propose ways to deal with the perpetrators of the harm (CAADA, 2012). MARAC has shown evidence to be effect</w:t>
      </w:r>
      <w:r w:rsidR="00CB2EF5">
        <w:t>ive</w:t>
      </w:r>
      <w:r>
        <w:t xml:space="preserve"> in ensuring victims of crime do not become repeat victims. One study found that 79% of victims did not report any further instances of crime and 70% did not call the police for any further domestic incidents (Robinson, 2006). This has also been evidenced in a study of D</w:t>
      </w:r>
      <w:r w:rsidR="00EA383B">
        <w:t>A</w:t>
      </w:r>
      <w:r>
        <w:t xml:space="preserve"> victims in Cardiff. </w:t>
      </w:r>
      <w:r w:rsidR="006147C0">
        <w:t>Robinson and Tregidga (2007) found that 47% of victims did not experience repeat victimisation 12 months after MARAC and the victims expressed their gratitude at the support they received from MARAC and the agencies working within it (Robinson and Tregidga, 2007)</w:t>
      </w:r>
      <w:r w:rsidR="00280BA2">
        <w:t xml:space="preserve">. However, despite these studies dictating the benefits of MARAC other studies how found it has many limitations. MARAC works best with victim co-operation so when victims do not want help or do not admit they need help there is only so much MARAC can do to safeguard and support them (Robinson, 2006). Like the limitation of DASH, MARAC only deals with high risk victims, so victims who score lower on the DASH scale lose out on the benefits of the multi-agency approach that could protect them from further harm (Robinson, 2006). This is evident as one study found that MARAC only prioritises 10% of victims who become eligible for their service due to their high risk grading, therefore only a fraction of </w:t>
      </w:r>
      <w:r w:rsidR="00EA383B">
        <w:t>DA</w:t>
      </w:r>
      <w:r w:rsidR="00280BA2">
        <w:t xml:space="preserve"> victims receive the support they need (Welsh, 2023). Therefore, although MARAC has been evidenced to benefit high risk victims of </w:t>
      </w:r>
      <w:r w:rsidR="00CB2EF5">
        <w:t>DA</w:t>
      </w:r>
      <w:r w:rsidR="00280BA2">
        <w:t xml:space="preserve">, it </w:t>
      </w:r>
      <w:r w:rsidR="00A97E64">
        <w:t>like DASH</w:t>
      </w:r>
      <w:r w:rsidR="001D4935">
        <w:t xml:space="preserve">, </w:t>
      </w:r>
      <w:r w:rsidR="00280BA2">
        <w:t xml:space="preserve">fails victims deemed lower risk. </w:t>
      </w:r>
    </w:p>
    <w:p w14:paraId="052936AA" w14:textId="77777777" w:rsidR="00280BA2" w:rsidRDefault="00280BA2" w:rsidP="006666FA">
      <w:pPr>
        <w:ind w:right="237"/>
        <w:jc w:val="both"/>
      </w:pPr>
    </w:p>
    <w:p w14:paraId="6156247A" w14:textId="629CC043" w:rsidR="009A04C4" w:rsidRDefault="00B05D17" w:rsidP="006666FA">
      <w:pPr>
        <w:ind w:right="237"/>
        <w:jc w:val="both"/>
      </w:pPr>
      <w:r>
        <w:t xml:space="preserve">Tackling repeat victimisation and repeat offending is beneficial in trying to protect the most vulnerable of society. In policing it is widely accepted that the best way to do this is to be informed by evidence-based policing (EBP). EBP is based on research by Sherman who believed that decisions should be based on “rigorous scientific evaluation” (Sherman, 1998; Pepper, Rogers and Martin, 2020). One example of EBP is based around the concept of situational crime prevention which is the idea that in order to reduce crime, victimisation and offending </w:t>
      </w:r>
      <w:r w:rsidR="00527D46">
        <w:t>you have to change the environment to make the commission of the offence more difficult (COP, 2022). Operation Swordfish, which was a targe</w:t>
      </w:r>
      <w:r w:rsidR="00CB2EF5">
        <w:t>t</w:t>
      </w:r>
      <w:r w:rsidR="00527D46">
        <w:t>-hardening program implemented in the West Midlands</w:t>
      </w:r>
      <w:r w:rsidR="00CB2EF5">
        <w:t>,</w:t>
      </w:r>
      <w:r w:rsidR="00527D46">
        <w:t xml:space="preserve"> found that situational crime prevention provided a preventative effect on repeat victimisation of burglary. In this study</w:t>
      </w:r>
      <w:r w:rsidR="00CB2EF5">
        <w:t xml:space="preserve">, </w:t>
      </w:r>
      <w:r w:rsidR="00527D46">
        <w:t xml:space="preserve">houses were given lighting units which created the illusion that a television was on, door and window chimes, electronic timers and crime prevention stickers to try and reduce re-victimisation (Johnson et al., 2017). This study found positive effects on limiting repeat victimisation and found that it reduced burglaries in the area and residents overall felt </w:t>
      </w:r>
      <w:r w:rsidR="00B800A3">
        <w:t>safer</w:t>
      </w:r>
      <w:r w:rsidR="00527D46">
        <w:t xml:space="preserve"> (Johnson et al., 2017).</w:t>
      </w:r>
      <w:r w:rsidR="00707627">
        <w:t xml:space="preserve"> However, this study did find that victims of burglary in high crime areas were not found to experience significant reduction in the risk of further crime (Johnson et al., 2017). </w:t>
      </w:r>
      <w:r w:rsidR="00B800A3">
        <w:t xml:space="preserve">Budd (1999) also found that houses with low level security (window locks) were 77% more likely to experience burglary than houses with high security like alarms and security lights. This would also benefit victims of </w:t>
      </w:r>
      <w:r w:rsidR="00977A01">
        <w:t xml:space="preserve">DA </w:t>
      </w:r>
      <w:r w:rsidR="00B800A3">
        <w:t xml:space="preserve">as it could provide deterrents for offenders to go near their homes. </w:t>
      </w:r>
    </w:p>
    <w:p w14:paraId="3E682DB8" w14:textId="53B614BD" w:rsidR="00B800A3" w:rsidRDefault="00B800A3" w:rsidP="006666FA">
      <w:pPr>
        <w:ind w:right="237"/>
        <w:jc w:val="both"/>
      </w:pPr>
    </w:p>
    <w:p w14:paraId="27BE5707" w14:textId="61A9AEF5" w:rsidR="00B800A3" w:rsidRDefault="00B800A3" w:rsidP="006666FA">
      <w:pPr>
        <w:ind w:right="237"/>
        <w:jc w:val="both"/>
      </w:pPr>
      <w:r>
        <w:t xml:space="preserve">Evidence led policing has also found deterrence strategies to be effective in targeting repeat offenders. </w:t>
      </w:r>
      <w:r w:rsidR="00CC2F35">
        <w:t>Deterrence works by communicating with offenders and coming up with support for them to stop re-offending. This includes signposting them to appropriate services and community engagement (</w:t>
      </w:r>
      <w:r w:rsidR="006A1C2D">
        <w:t>COP, 2022</w:t>
      </w:r>
      <w:r w:rsidR="00CC2F35">
        <w:t xml:space="preserve">). Braga, Weisburd and Turchan (2019) reviewed 24 studies focused on deterrence strategies which spanned from 2001-2015. This review found that overall deterrence strategies reduce crime and re-offending (COP, 2022). Programmes to reduce serious violence amongst gangs had the strongest decrease in crime (COP, 2022). 79% of the studies studied found a significant reduction in crime and re-offending due to deterrence strategies (Braga, Weisburd and Turchan, 2019). </w:t>
      </w:r>
      <w:r w:rsidR="006A1C2D">
        <w:t xml:space="preserve">However, deterrence strategies were less effective for reducing crime and repeat offending in drug market intervention (Braga, Weisburd and Turchan, 2019). </w:t>
      </w:r>
    </w:p>
    <w:p w14:paraId="326FE1BB" w14:textId="77777777" w:rsidR="006A1C2D" w:rsidRDefault="006A1C2D" w:rsidP="006666FA">
      <w:pPr>
        <w:ind w:right="237"/>
        <w:jc w:val="both"/>
      </w:pPr>
    </w:p>
    <w:p w14:paraId="5C51E41A" w14:textId="0B6870F4" w:rsidR="006666FA" w:rsidRDefault="00B96E99" w:rsidP="006666FA">
      <w:pPr>
        <w:ind w:right="237"/>
        <w:jc w:val="both"/>
      </w:pPr>
      <w:r>
        <w:t>This essay has discussed a domestic incident that I was involved with. This essay discussed the social and legislative context of the incident. This essay then went onto discuss two different approaches used by agencies to support and manage vulnerable people and people at risk of harm. These two approaches were MARAC and DASH. This essay found that both DASH and MARAC are beneficial in assisting agencies to provide support to vulnerable victims through identifying their risk and then implementing a multiagency strategy to help put protective measures in place. However, DASH and MARAC are not without their limitations.</w:t>
      </w:r>
      <w:r w:rsidR="00E02182">
        <w:t xml:space="preserve"> </w:t>
      </w:r>
      <w:r>
        <w:t>For example, victims willingness to cooperate effects both the effectiveness of DASH and MARAC. DASH has been critiqued for being inconsistently applied by officers and errors in recording while MARAC</w:t>
      </w:r>
      <w:r w:rsidR="00C17A27">
        <w:t xml:space="preserve"> and DASH</w:t>
      </w:r>
      <w:r>
        <w:t xml:space="preserve"> ha</w:t>
      </w:r>
      <w:r w:rsidR="00C17A27">
        <w:t xml:space="preserve">ve </w:t>
      </w:r>
      <w:r>
        <w:t xml:space="preserve">been critiqued for failing to only support high risk victims of crime. There appears to be a lot more work needed to improve DASH and MARAC approaches so that more vulnerable victims can be better protected. This essay then concluded by using evidence-led policing to show what works in reducing victimisation and re-offending. This essay found both deterrence strategies and </w:t>
      </w:r>
      <w:r w:rsidR="00CB2EF5">
        <w:t xml:space="preserve">situational crime prevention strategies work in reducing repeat victimisation and repeat offending by reducing opportunities for crimes to take place and deterring offenders from re-offending. </w:t>
      </w:r>
    </w:p>
    <w:p w14:paraId="7A60A69A" w14:textId="77777777" w:rsidR="006666FA" w:rsidRDefault="006666FA" w:rsidP="006666FA">
      <w:pPr>
        <w:ind w:right="237"/>
        <w:jc w:val="both"/>
      </w:pPr>
    </w:p>
    <w:p w14:paraId="1BAA6829" w14:textId="433843EF" w:rsidR="006666FA" w:rsidRPr="00766FD0" w:rsidRDefault="00766FD0" w:rsidP="006666FA">
      <w:pPr>
        <w:ind w:right="237"/>
        <w:jc w:val="both"/>
        <w:rPr>
          <w:b/>
          <w:bCs/>
        </w:rPr>
      </w:pPr>
      <w:r w:rsidRPr="00766FD0">
        <w:rPr>
          <w:b/>
          <w:bCs/>
        </w:rPr>
        <w:t>Word count: 215</w:t>
      </w:r>
      <w:r w:rsidR="00E20594">
        <w:rPr>
          <w:b/>
          <w:bCs/>
        </w:rPr>
        <w:t>3</w:t>
      </w:r>
    </w:p>
    <w:bookmarkEnd w:id="0"/>
    <w:p w14:paraId="5C778F9B" w14:textId="77777777" w:rsidR="006666FA" w:rsidRDefault="006666FA" w:rsidP="006666FA">
      <w:pPr>
        <w:ind w:right="237"/>
        <w:jc w:val="both"/>
      </w:pPr>
    </w:p>
    <w:p w14:paraId="62950318" w14:textId="77777777" w:rsidR="006666FA" w:rsidRDefault="006666FA" w:rsidP="006666FA">
      <w:pPr>
        <w:ind w:right="237"/>
        <w:jc w:val="both"/>
      </w:pPr>
    </w:p>
    <w:p w14:paraId="0B5760EE" w14:textId="77777777" w:rsidR="006666FA" w:rsidRDefault="006666FA" w:rsidP="006666FA">
      <w:pPr>
        <w:ind w:right="237"/>
        <w:jc w:val="both"/>
      </w:pPr>
    </w:p>
    <w:p w14:paraId="34FF1B5C" w14:textId="77777777" w:rsidR="006666FA" w:rsidRDefault="006666FA" w:rsidP="006666FA">
      <w:pPr>
        <w:ind w:right="237"/>
        <w:jc w:val="both"/>
      </w:pPr>
    </w:p>
    <w:p w14:paraId="7C267491" w14:textId="77777777" w:rsidR="006666FA" w:rsidRDefault="006666FA" w:rsidP="006666FA">
      <w:pPr>
        <w:ind w:right="237"/>
        <w:jc w:val="both"/>
      </w:pPr>
    </w:p>
    <w:p w14:paraId="064905FE" w14:textId="77777777" w:rsidR="006666FA" w:rsidRDefault="006666FA" w:rsidP="006666FA">
      <w:pPr>
        <w:ind w:right="237"/>
        <w:jc w:val="both"/>
      </w:pPr>
    </w:p>
    <w:p w14:paraId="17C6449B" w14:textId="77777777" w:rsidR="006666FA" w:rsidRDefault="006666FA" w:rsidP="006666FA">
      <w:pPr>
        <w:ind w:right="237"/>
        <w:jc w:val="both"/>
      </w:pPr>
    </w:p>
    <w:p w14:paraId="16CEE4F5" w14:textId="77777777" w:rsidR="006666FA" w:rsidRDefault="006666FA" w:rsidP="006666FA">
      <w:pPr>
        <w:ind w:right="237"/>
        <w:jc w:val="both"/>
      </w:pPr>
    </w:p>
    <w:p w14:paraId="15711C66" w14:textId="77777777" w:rsidR="006666FA" w:rsidRDefault="006666FA" w:rsidP="006666FA">
      <w:pPr>
        <w:ind w:right="237"/>
        <w:jc w:val="both"/>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0A068B3A" w14:textId="77777777" w:rsidR="00D223A4" w:rsidRDefault="00D223A4" w:rsidP="69F7424F">
      <w:pPr>
        <w:ind w:right="237"/>
        <w:jc w:val="center"/>
        <w:rPr>
          <w:b/>
          <w:bCs/>
          <w:sz w:val="24"/>
          <w:szCs w:val="24"/>
        </w:rPr>
      </w:pPr>
    </w:p>
    <w:p w14:paraId="08B7B591" w14:textId="77777777" w:rsidR="00D223A4" w:rsidRDefault="00D223A4" w:rsidP="69F7424F">
      <w:pPr>
        <w:ind w:right="237"/>
        <w:jc w:val="center"/>
        <w:rPr>
          <w:b/>
          <w:bCs/>
          <w:sz w:val="24"/>
          <w:szCs w:val="24"/>
        </w:rPr>
      </w:pPr>
    </w:p>
    <w:p w14:paraId="18FFE33C" w14:textId="77777777" w:rsidR="00D223A4" w:rsidRDefault="00D223A4" w:rsidP="69F7424F">
      <w:pPr>
        <w:ind w:right="237"/>
        <w:jc w:val="center"/>
        <w:rPr>
          <w:b/>
          <w:bCs/>
          <w:sz w:val="24"/>
          <w:szCs w:val="24"/>
        </w:rPr>
      </w:pPr>
    </w:p>
    <w:p w14:paraId="16E0A783" w14:textId="77777777" w:rsidR="00D223A4" w:rsidRDefault="00D223A4" w:rsidP="69F7424F">
      <w:pPr>
        <w:ind w:right="237"/>
        <w:jc w:val="center"/>
        <w:rPr>
          <w:b/>
          <w:bCs/>
          <w:sz w:val="24"/>
          <w:szCs w:val="24"/>
        </w:rPr>
      </w:pPr>
    </w:p>
    <w:p w14:paraId="2FBAFF96" w14:textId="77777777" w:rsidR="00D223A4" w:rsidRDefault="00D223A4" w:rsidP="69F7424F">
      <w:pPr>
        <w:ind w:right="237"/>
        <w:jc w:val="center"/>
        <w:rPr>
          <w:b/>
          <w:bCs/>
          <w:sz w:val="24"/>
          <w:szCs w:val="24"/>
        </w:rPr>
      </w:pPr>
    </w:p>
    <w:p w14:paraId="7DA1D360" w14:textId="77777777" w:rsidR="00D223A4" w:rsidRDefault="00D223A4" w:rsidP="69F7424F">
      <w:pPr>
        <w:ind w:right="237"/>
        <w:jc w:val="center"/>
        <w:rPr>
          <w:b/>
          <w:bCs/>
          <w:sz w:val="24"/>
          <w:szCs w:val="24"/>
        </w:rPr>
      </w:pPr>
    </w:p>
    <w:p w14:paraId="0F6AA8EE" w14:textId="77777777" w:rsidR="00D223A4" w:rsidRDefault="00D223A4" w:rsidP="69F7424F">
      <w:pPr>
        <w:ind w:right="237"/>
        <w:jc w:val="center"/>
        <w:rPr>
          <w:b/>
          <w:bCs/>
          <w:sz w:val="24"/>
          <w:szCs w:val="24"/>
        </w:rPr>
      </w:pPr>
    </w:p>
    <w:p w14:paraId="5922E7B2" w14:textId="77777777" w:rsidR="00D223A4" w:rsidRDefault="00D223A4" w:rsidP="69F7424F">
      <w:pPr>
        <w:ind w:right="237"/>
        <w:jc w:val="center"/>
        <w:rPr>
          <w:b/>
          <w:bCs/>
          <w:sz w:val="24"/>
          <w:szCs w:val="24"/>
        </w:rPr>
      </w:pPr>
    </w:p>
    <w:p w14:paraId="73183397" w14:textId="77777777" w:rsidR="00D223A4" w:rsidRDefault="00D223A4" w:rsidP="69F7424F">
      <w:pPr>
        <w:ind w:right="237"/>
        <w:jc w:val="center"/>
        <w:rPr>
          <w:b/>
          <w:bCs/>
          <w:sz w:val="24"/>
          <w:szCs w:val="24"/>
        </w:rPr>
      </w:pPr>
    </w:p>
    <w:p w14:paraId="066B9D35" w14:textId="77777777" w:rsidR="00D223A4" w:rsidRDefault="00D223A4" w:rsidP="69F7424F">
      <w:pPr>
        <w:ind w:right="237"/>
        <w:jc w:val="center"/>
        <w:rPr>
          <w:b/>
          <w:bCs/>
          <w:sz w:val="24"/>
          <w:szCs w:val="24"/>
        </w:rPr>
      </w:pPr>
    </w:p>
    <w:p w14:paraId="222B6A51" w14:textId="77777777" w:rsidR="00D223A4" w:rsidRDefault="00D223A4" w:rsidP="69F7424F">
      <w:pPr>
        <w:ind w:right="237"/>
        <w:jc w:val="center"/>
        <w:rPr>
          <w:b/>
          <w:bCs/>
          <w:sz w:val="24"/>
          <w:szCs w:val="24"/>
        </w:rPr>
      </w:pPr>
    </w:p>
    <w:p w14:paraId="1DD23F3E" w14:textId="77777777" w:rsidR="00D223A4" w:rsidRDefault="00D223A4" w:rsidP="69F7424F">
      <w:pPr>
        <w:ind w:right="237"/>
        <w:jc w:val="center"/>
        <w:rPr>
          <w:b/>
          <w:bCs/>
          <w:sz w:val="24"/>
          <w:szCs w:val="24"/>
        </w:rPr>
      </w:pPr>
    </w:p>
    <w:p w14:paraId="5C11EF1D" w14:textId="77777777" w:rsidR="00D223A4" w:rsidRDefault="00D223A4" w:rsidP="69F7424F">
      <w:pPr>
        <w:ind w:right="237"/>
        <w:jc w:val="center"/>
        <w:rPr>
          <w:b/>
          <w:bCs/>
          <w:sz w:val="24"/>
          <w:szCs w:val="24"/>
        </w:rPr>
      </w:pPr>
    </w:p>
    <w:p w14:paraId="5AC61213" w14:textId="77777777" w:rsidR="00D223A4" w:rsidRDefault="00D223A4" w:rsidP="69F7424F">
      <w:pPr>
        <w:ind w:right="237"/>
        <w:jc w:val="center"/>
        <w:rPr>
          <w:b/>
          <w:bCs/>
          <w:sz w:val="24"/>
          <w:szCs w:val="24"/>
        </w:rPr>
      </w:pPr>
    </w:p>
    <w:p w14:paraId="3470072D" w14:textId="77777777" w:rsidR="00D223A4" w:rsidRDefault="00D223A4" w:rsidP="69F7424F">
      <w:pPr>
        <w:ind w:right="237"/>
        <w:jc w:val="center"/>
        <w:rPr>
          <w:b/>
          <w:bCs/>
          <w:sz w:val="24"/>
          <w:szCs w:val="24"/>
        </w:rPr>
      </w:pPr>
    </w:p>
    <w:p w14:paraId="74783362" w14:textId="77777777" w:rsidR="00D223A4" w:rsidRDefault="00D223A4" w:rsidP="69F7424F">
      <w:pPr>
        <w:ind w:right="237"/>
        <w:jc w:val="center"/>
        <w:rPr>
          <w:b/>
          <w:bCs/>
          <w:sz w:val="24"/>
          <w:szCs w:val="24"/>
        </w:rPr>
      </w:pPr>
    </w:p>
    <w:p w14:paraId="49CBB628" w14:textId="77777777" w:rsidR="00D223A4" w:rsidRDefault="00D223A4" w:rsidP="69F7424F">
      <w:pPr>
        <w:ind w:right="237"/>
        <w:jc w:val="center"/>
        <w:rPr>
          <w:b/>
          <w:bCs/>
          <w:sz w:val="24"/>
          <w:szCs w:val="24"/>
        </w:rPr>
      </w:pPr>
    </w:p>
    <w:p w14:paraId="5D8FC977" w14:textId="77777777" w:rsidR="00D223A4" w:rsidRDefault="00D223A4" w:rsidP="69F7424F">
      <w:pPr>
        <w:ind w:right="237"/>
        <w:jc w:val="center"/>
        <w:rPr>
          <w:b/>
          <w:bCs/>
          <w:sz w:val="24"/>
          <w:szCs w:val="24"/>
        </w:rPr>
      </w:pPr>
    </w:p>
    <w:p w14:paraId="1BAED7B7" w14:textId="77777777" w:rsidR="00D223A4" w:rsidRDefault="00D223A4" w:rsidP="69F7424F">
      <w:pPr>
        <w:ind w:right="237"/>
        <w:jc w:val="center"/>
        <w:rPr>
          <w:b/>
          <w:bCs/>
          <w:sz w:val="24"/>
          <w:szCs w:val="24"/>
        </w:rPr>
      </w:pPr>
    </w:p>
    <w:p w14:paraId="2B712BDD" w14:textId="77777777" w:rsidR="00D223A4" w:rsidRDefault="00D223A4" w:rsidP="69F7424F">
      <w:pPr>
        <w:ind w:right="237"/>
        <w:jc w:val="center"/>
        <w:rPr>
          <w:b/>
          <w:bCs/>
          <w:sz w:val="24"/>
          <w:szCs w:val="24"/>
        </w:rPr>
      </w:pPr>
    </w:p>
    <w:p w14:paraId="060433CA" w14:textId="77777777" w:rsidR="00D223A4" w:rsidRDefault="00D223A4"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3AFA8816" w14:textId="77777777" w:rsidR="00EF745A" w:rsidRDefault="00EF745A" w:rsidP="69F7424F">
      <w:pPr>
        <w:ind w:right="237"/>
        <w:jc w:val="center"/>
        <w:rPr>
          <w:b/>
          <w:bCs/>
          <w:sz w:val="24"/>
          <w:szCs w:val="24"/>
        </w:rPr>
      </w:pPr>
    </w:p>
    <w:p w14:paraId="33B863D0" w14:textId="77777777" w:rsidR="00383298" w:rsidRDefault="00383298" w:rsidP="69F7424F">
      <w:pPr>
        <w:ind w:right="237"/>
        <w:jc w:val="center"/>
        <w:rPr>
          <w:b/>
          <w:bCs/>
          <w:sz w:val="24"/>
          <w:szCs w:val="24"/>
        </w:rPr>
      </w:pPr>
    </w:p>
    <w:p w14:paraId="1D9AC2BF" w14:textId="77777777" w:rsidR="00383298" w:rsidRDefault="00383298"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7087252" w14:textId="77777777" w:rsidR="00D223A4" w:rsidRDefault="00D223A4" w:rsidP="5CE196A1">
      <w:pPr>
        <w:ind w:right="237"/>
        <w:jc w:val="both"/>
        <w:rPr>
          <w:color w:val="000000" w:themeColor="text1"/>
          <w:sz w:val="24"/>
          <w:szCs w:val="24"/>
        </w:rPr>
      </w:pPr>
    </w:p>
    <w:p w14:paraId="7A0E3BA7" w14:textId="77777777" w:rsidR="00D223A4" w:rsidRDefault="00D223A4" w:rsidP="5CE196A1">
      <w:pPr>
        <w:ind w:right="237"/>
        <w:jc w:val="both"/>
        <w:rPr>
          <w:color w:val="000000" w:themeColor="text1"/>
          <w:sz w:val="24"/>
          <w:szCs w:val="24"/>
        </w:rPr>
      </w:pPr>
    </w:p>
    <w:p w14:paraId="7A2D4BDB" w14:textId="77777777" w:rsidR="00D223A4" w:rsidRDefault="00D223A4" w:rsidP="5CE196A1">
      <w:pPr>
        <w:ind w:right="237"/>
        <w:jc w:val="both"/>
        <w:rPr>
          <w:color w:val="000000" w:themeColor="text1"/>
          <w:sz w:val="24"/>
          <w:szCs w:val="24"/>
        </w:rPr>
      </w:pPr>
    </w:p>
    <w:p w14:paraId="176E2113" w14:textId="77777777" w:rsidR="00D223A4" w:rsidRDefault="00D223A4" w:rsidP="5CE196A1">
      <w:pPr>
        <w:ind w:right="237"/>
        <w:jc w:val="both"/>
        <w:rPr>
          <w:color w:val="000000" w:themeColor="text1"/>
          <w:sz w:val="24"/>
          <w:szCs w:val="24"/>
        </w:rPr>
      </w:pPr>
    </w:p>
    <w:p w14:paraId="12D6AEF9" w14:textId="77777777" w:rsidR="00D223A4" w:rsidRDefault="00D223A4" w:rsidP="5CE196A1">
      <w:pPr>
        <w:ind w:right="237"/>
        <w:jc w:val="both"/>
        <w:rPr>
          <w:color w:val="000000" w:themeColor="text1"/>
          <w:sz w:val="24"/>
          <w:szCs w:val="24"/>
        </w:rPr>
      </w:pPr>
    </w:p>
    <w:p w14:paraId="03599CEF" w14:textId="77777777" w:rsidR="00D223A4" w:rsidRDefault="00D223A4" w:rsidP="5CE196A1">
      <w:pPr>
        <w:ind w:right="237"/>
        <w:jc w:val="both"/>
        <w:rPr>
          <w:color w:val="000000" w:themeColor="text1"/>
          <w:sz w:val="24"/>
          <w:szCs w:val="24"/>
        </w:rPr>
      </w:pPr>
    </w:p>
    <w:p w14:paraId="59F7ECC0" w14:textId="77777777" w:rsidR="00D223A4" w:rsidRDefault="00D223A4" w:rsidP="5CE196A1">
      <w:pPr>
        <w:ind w:right="237"/>
        <w:jc w:val="both"/>
        <w:rPr>
          <w:color w:val="000000" w:themeColor="text1"/>
          <w:sz w:val="24"/>
          <w:szCs w:val="24"/>
        </w:rPr>
      </w:pPr>
    </w:p>
    <w:p w14:paraId="6A8F2132" w14:textId="77777777" w:rsidR="00D223A4" w:rsidRDefault="00D223A4" w:rsidP="5CE196A1">
      <w:pPr>
        <w:ind w:right="237"/>
        <w:jc w:val="both"/>
        <w:rPr>
          <w:color w:val="000000" w:themeColor="text1"/>
          <w:sz w:val="24"/>
          <w:szCs w:val="24"/>
        </w:rPr>
      </w:pPr>
    </w:p>
    <w:p w14:paraId="6C02503D" w14:textId="77777777" w:rsidR="00D223A4" w:rsidRDefault="00D223A4" w:rsidP="5CE196A1">
      <w:pPr>
        <w:ind w:right="237"/>
        <w:jc w:val="both"/>
        <w:rPr>
          <w:color w:val="000000" w:themeColor="text1"/>
          <w:sz w:val="24"/>
          <w:szCs w:val="24"/>
        </w:rPr>
      </w:pPr>
    </w:p>
    <w:p w14:paraId="6C8CFA7B" w14:textId="77777777" w:rsidR="00D223A4" w:rsidRDefault="00D223A4" w:rsidP="5CE196A1">
      <w:pPr>
        <w:ind w:right="237"/>
        <w:jc w:val="both"/>
        <w:rPr>
          <w:color w:val="000000" w:themeColor="text1"/>
          <w:sz w:val="24"/>
          <w:szCs w:val="24"/>
        </w:rPr>
      </w:pPr>
    </w:p>
    <w:p w14:paraId="72BA9275" w14:textId="77777777" w:rsidR="00D223A4" w:rsidRDefault="00D223A4" w:rsidP="5CE196A1">
      <w:pPr>
        <w:ind w:right="237"/>
        <w:jc w:val="both"/>
        <w:rPr>
          <w:color w:val="000000" w:themeColor="text1"/>
          <w:sz w:val="24"/>
          <w:szCs w:val="24"/>
        </w:rPr>
      </w:pPr>
    </w:p>
    <w:p w14:paraId="3AED1B93" w14:textId="77777777" w:rsidR="00D223A4" w:rsidRDefault="00D223A4" w:rsidP="5CE196A1">
      <w:pPr>
        <w:ind w:right="237"/>
        <w:jc w:val="both"/>
        <w:rPr>
          <w:color w:val="000000" w:themeColor="text1"/>
          <w:sz w:val="24"/>
          <w:szCs w:val="24"/>
        </w:rPr>
      </w:pPr>
    </w:p>
    <w:p w14:paraId="192D189D" w14:textId="77777777" w:rsidR="00D223A4" w:rsidRDefault="00D223A4" w:rsidP="5CE196A1">
      <w:pPr>
        <w:ind w:right="237"/>
        <w:jc w:val="both"/>
        <w:rPr>
          <w:color w:val="000000" w:themeColor="text1"/>
          <w:sz w:val="24"/>
          <w:szCs w:val="24"/>
        </w:rPr>
      </w:pPr>
    </w:p>
    <w:p w14:paraId="50C00958" w14:textId="77777777" w:rsidR="00D223A4" w:rsidRDefault="00D223A4" w:rsidP="5CE196A1">
      <w:pPr>
        <w:ind w:right="237"/>
        <w:jc w:val="both"/>
        <w:rPr>
          <w:color w:val="000000" w:themeColor="text1"/>
          <w:sz w:val="24"/>
          <w:szCs w:val="24"/>
        </w:rPr>
      </w:pPr>
    </w:p>
    <w:p w14:paraId="37F28F63" w14:textId="77777777" w:rsidR="00D223A4" w:rsidRDefault="00D223A4" w:rsidP="5CE196A1">
      <w:pPr>
        <w:ind w:right="237"/>
        <w:jc w:val="both"/>
        <w:rPr>
          <w:color w:val="000000" w:themeColor="text1"/>
          <w:sz w:val="24"/>
          <w:szCs w:val="24"/>
        </w:rPr>
      </w:pPr>
    </w:p>
    <w:p w14:paraId="3F59AB9E" w14:textId="77777777" w:rsidR="00D223A4" w:rsidRDefault="00D223A4" w:rsidP="5CE196A1">
      <w:pPr>
        <w:ind w:right="237"/>
        <w:jc w:val="both"/>
        <w:rPr>
          <w:color w:val="000000" w:themeColor="text1"/>
          <w:sz w:val="24"/>
          <w:szCs w:val="24"/>
        </w:rPr>
      </w:pPr>
    </w:p>
    <w:p w14:paraId="661FE574" w14:textId="77777777" w:rsidR="00D223A4" w:rsidRDefault="00D223A4" w:rsidP="5CE196A1">
      <w:pPr>
        <w:ind w:right="237"/>
        <w:jc w:val="both"/>
        <w:rPr>
          <w:color w:val="000000" w:themeColor="text1"/>
          <w:sz w:val="24"/>
          <w:szCs w:val="24"/>
        </w:rPr>
      </w:pPr>
    </w:p>
    <w:p w14:paraId="0D586DD1" w14:textId="77777777" w:rsidR="00D223A4" w:rsidRDefault="00D223A4" w:rsidP="5CE196A1">
      <w:pPr>
        <w:ind w:right="237"/>
        <w:jc w:val="both"/>
        <w:rPr>
          <w:color w:val="000000" w:themeColor="text1"/>
          <w:sz w:val="24"/>
          <w:szCs w:val="24"/>
        </w:rPr>
      </w:pPr>
    </w:p>
    <w:p w14:paraId="1A6813F4" w14:textId="77777777" w:rsidR="00D223A4" w:rsidRDefault="00D223A4" w:rsidP="5CE196A1">
      <w:pPr>
        <w:ind w:right="237"/>
        <w:jc w:val="both"/>
        <w:rPr>
          <w:color w:val="000000" w:themeColor="text1"/>
          <w:sz w:val="24"/>
          <w:szCs w:val="24"/>
        </w:rPr>
      </w:pPr>
    </w:p>
    <w:p w14:paraId="0B5129A0" w14:textId="77777777" w:rsidR="00D223A4" w:rsidRDefault="00D223A4" w:rsidP="5CE196A1">
      <w:pPr>
        <w:ind w:right="237"/>
        <w:jc w:val="both"/>
        <w:rPr>
          <w:color w:val="000000" w:themeColor="text1"/>
          <w:sz w:val="24"/>
          <w:szCs w:val="24"/>
        </w:rPr>
      </w:pPr>
    </w:p>
    <w:p w14:paraId="4E67EC83" w14:textId="77777777" w:rsidR="00D223A4" w:rsidRDefault="00D223A4" w:rsidP="5CE196A1">
      <w:pPr>
        <w:ind w:right="237"/>
        <w:jc w:val="both"/>
        <w:rPr>
          <w:color w:val="000000" w:themeColor="text1"/>
          <w:sz w:val="24"/>
          <w:szCs w:val="24"/>
        </w:rPr>
      </w:pPr>
    </w:p>
    <w:p w14:paraId="275BED7A" w14:textId="77777777" w:rsidR="00D223A4" w:rsidRDefault="00D223A4" w:rsidP="5CE196A1">
      <w:pPr>
        <w:ind w:right="237"/>
        <w:jc w:val="both"/>
        <w:rPr>
          <w:color w:val="000000" w:themeColor="text1"/>
          <w:sz w:val="24"/>
          <w:szCs w:val="24"/>
        </w:rPr>
      </w:pPr>
    </w:p>
    <w:p w14:paraId="294D0B55" w14:textId="77777777" w:rsidR="00D223A4" w:rsidRDefault="00D223A4" w:rsidP="5CE196A1">
      <w:pPr>
        <w:ind w:right="237"/>
        <w:jc w:val="both"/>
        <w:rPr>
          <w:color w:val="000000" w:themeColor="text1"/>
          <w:sz w:val="24"/>
          <w:szCs w:val="24"/>
        </w:rPr>
      </w:pPr>
    </w:p>
    <w:p w14:paraId="3F9FF032" w14:textId="77777777" w:rsidR="00D223A4" w:rsidRDefault="00D223A4" w:rsidP="5CE196A1">
      <w:pPr>
        <w:ind w:right="237"/>
        <w:jc w:val="both"/>
        <w:rPr>
          <w:color w:val="000000" w:themeColor="text1"/>
          <w:sz w:val="24"/>
          <w:szCs w:val="24"/>
        </w:rPr>
      </w:pPr>
    </w:p>
    <w:p w14:paraId="0C088549" w14:textId="77777777" w:rsidR="00D223A4" w:rsidRDefault="00D223A4" w:rsidP="5CE196A1">
      <w:pPr>
        <w:ind w:right="237"/>
        <w:jc w:val="both"/>
        <w:rPr>
          <w:color w:val="000000" w:themeColor="text1"/>
          <w:sz w:val="24"/>
          <w:szCs w:val="24"/>
        </w:rPr>
      </w:pPr>
    </w:p>
    <w:p w14:paraId="6C7530F6" w14:textId="77777777" w:rsidR="00D223A4" w:rsidRDefault="00D223A4" w:rsidP="5CE196A1">
      <w:pPr>
        <w:ind w:right="237"/>
        <w:jc w:val="both"/>
        <w:rPr>
          <w:color w:val="000000" w:themeColor="text1"/>
          <w:sz w:val="24"/>
          <w:szCs w:val="24"/>
        </w:rPr>
      </w:pPr>
    </w:p>
    <w:p w14:paraId="5EABF55B" w14:textId="77777777" w:rsidR="00D223A4" w:rsidRDefault="00D223A4" w:rsidP="5CE196A1">
      <w:pPr>
        <w:ind w:right="237"/>
        <w:jc w:val="both"/>
        <w:rPr>
          <w:color w:val="000000" w:themeColor="text1"/>
          <w:sz w:val="24"/>
          <w:szCs w:val="24"/>
        </w:rPr>
      </w:pPr>
    </w:p>
    <w:p w14:paraId="76CA0A56" w14:textId="77777777" w:rsidR="00D223A4" w:rsidRDefault="00D223A4" w:rsidP="5CE196A1">
      <w:pPr>
        <w:ind w:right="237"/>
        <w:jc w:val="both"/>
        <w:rPr>
          <w:color w:val="000000" w:themeColor="text1"/>
          <w:sz w:val="24"/>
          <w:szCs w:val="24"/>
        </w:rPr>
      </w:pPr>
    </w:p>
    <w:p w14:paraId="2BFC7D9D" w14:textId="77777777" w:rsidR="00D223A4" w:rsidRDefault="00D223A4" w:rsidP="5CE196A1">
      <w:pPr>
        <w:ind w:right="237"/>
        <w:jc w:val="both"/>
        <w:rPr>
          <w:color w:val="000000" w:themeColor="text1"/>
          <w:sz w:val="24"/>
          <w:szCs w:val="24"/>
        </w:rPr>
      </w:pPr>
    </w:p>
    <w:p w14:paraId="0EB43003" w14:textId="77777777" w:rsidR="00D223A4" w:rsidRDefault="00D223A4" w:rsidP="5CE196A1">
      <w:pPr>
        <w:ind w:right="237"/>
        <w:jc w:val="both"/>
        <w:rPr>
          <w:color w:val="000000" w:themeColor="text1"/>
          <w:sz w:val="24"/>
          <w:szCs w:val="24"/>
        </w:rPr>
      </w:pPr>
    </w:p>
    <w:p w14:paraId="0EE557A4" w14:textId="77777777" w:rsidR="00D223A4" w:rsidRDefault="00D223A4" w:rsidP="5CE196A1">
      <w:pPr>
        <w:ind w:right="237"/>
        <w:jc w:val="both"/>
        <w:rPr>
          <w:color w:val="000000" w:themeColor="text1"/>
          <w:sz w:val="24"/>
          <w:szCs w:val="24"/>
        </w:rPr>
      </w:pPr>
    </w:p>
    <w:p w14:paraId="6E756D7A" w14:textId="77777777" w:rsidR="00D223A4" w:rsidRDefault="00D223A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596CEBB4" w14:textId="6A438F4B" w:rsidR="00025650" w:rsidRDefault="005C76DE" w:rsidP="0FF883D4">
      <w:pPr>
        <w:ind w:right="237"/>
        <w:jc w:val="both"/>
        <w:rPr>
          <w:b/>
          <w:bCs/>
          <w:sz w:val="24"/>
          <w:szCs w:val="24"/>
        </w:rPr>
      </w:pPr>
      <w:r w:rsidRPr="5CE196A1">
        <w:rPr>
          <w:b/>
          <w:bCs/>
          <w:sz w:val="24"/>
          <w:szCs w:val="24"/>
        </w:rPr>
        <w:t>ANSWER:</w:t>
      </w:r>
    </w:p>
    <w:p w14:paraId="64A6A3E0" w14:textId="77777777" w:rsidR="007C46DA" w:rsidRDefault="007C46DA" w:rsidP="0FF883D4">
      <w:pPr>
        <w:ind w:right="237"/>
        <w:jc w:val="both"/>
        <w:rPr>
          <w:b/>
          <w:bCs/>
          <w:sz w:val="24"/>
          <w:szCs w:val="24"/>
        </w:rPr>
      </w:pPr>
    </w:p>
    <w:p w14:paraId="50F8C47E" w14:textId="644D6CD3" w:rsidR="00025650" w:rsidRDefault="00662D74" w:rsidP="0FF883D4">
      <w:pPr>
        <w:ind w:right="237"/>
        <w:jc w:val="both"/>
      </w:pPr>
      <w:bookmarkStart w:id="1" w:name="_Hlk188462154"/>
      <w:r>
        <w:t>T</w:t>
      </w:r>
      <w:r w:rsidR="007C46DA">
        <w:t xml:space="preserve">his essay will discuss a domestic abuse (DA) incident that </w:t>
      </w:r>
      <w:r w:rsidR="00F3211D">
        <w:t xml:space="preserve">I dealt with that </w:t>
      </w:r>
      <w:r w:rsidR="007C46DA">
        <w:t xml:space="preserve">was complex in nature. </w:t>
      </w:r>
      <w:r w:rsidR="00F3211D">
        <w:t xml:space="preserve">This essay will begin by briefly discussing this incident and then will begin to discuss the challenges associated with the incident. The challenges discussed </w:t>
      </w:r>
      <w:r w:rsidR="003245CF">
        <w:t>will include victims unwillingness to provide information about domestic incidents to the police as well as victims unwillingness to make a complaint and pursue a conviction. This essay will then go on to discuss different strategies developed to try and mitigate the challenge</w:t>
      </w:r>
      <w:r w:rsidR="00AD6CDF">
        <w:t>s</w:t>
      </w:r>
      <w:r w:rsidR="003245CF">
        <w:t xml:space="preserve"> faced with the incident. These strategies will include discussion on the use of evidence led prosecution </w:t>
      </w:r>
      <w:r>
        <w:t xml:space="preserve">and how the use of witness statements, body-worn video and 999 recordings can help to prosecute perpetrators without victims cooperation. This essay will also discuss </w:t>
      </w:r>
      <w:r w:rsidR="003245CF">
        <w:t>the use of DVPN’s/DVPO’s (Domestic violence protection notices and domestic violence protection orders)</w:t>
      </w:r>
      <w:r>
        <w:t xml:space="preserve"> and how they can be utilised to keep a victim of DA safe</w:t>
      </w:r>
      <w:r w:rsidR="00A917DD">
        <w:t>.</w:t>
      </w:r>
      <w:r>
        <w:t xml:space="preserve"> However, this essay will also discuss the limitations to these strategies and why they are not always effective in DA incidents. </w:t>
      </w:r>
    </w:p>
    <w:p w14:paraId="5A675BDE" w14:textId="77777777" w:rsidR="00F3211D" w:rsidRDefault="00F3211D" w:rsidP="0FF883D4">
      <w:pPr>
        <w:ind w:right="237"/>
        <w:jc w:val="both"/>
      </w:pPr>
    </w:p>
    <w:p w14:paraId="5243EF65" w14:textId="0573FC88" w:rsidR="00A47631" w:rsidRDefault="00F3211D" w:rsidP="0FF883D4">
      <w:pPr>
        <w:ind w:right="237"/>
        <w:jc w:val="both"/>
      </w:pPr>
      <w:r>
        <w:t>The domestic incident that I was involved with centred around a</w:t>
      </w:r>
      <w:r w:rsidR="00A47631">
        <w:t xml:space="preserve">n </w:t>
      </w:r>
      <w:r>
        <w:t xml:space="preserve">elderly </w:t>
      </w:r>
      <w:r w:rsidR="00A47631">
        <w:t xml:space="preserve">female </w:t>
      </w:r>
      <w:r>
        <w:t xml:space="preserve">who was </w:t>
      </w:r>
      <w:r w:rsidR="00A47631">
        <w:t>experiencing coercive and controlling behaviour from her husband. The female lived with her husband and had no family or friends near-by. She was experiencing financial abuse and emotional abuse from h</w:t>
      </w:r>
      <w:r w:rsidR="00662D74">
        <w:t>er husband</w:t>
      </w:r>
      <w:r w:rsidR="00A47631">
        <w:t xml:space="preserve">. This incident was reported by a neighbour who had concerns the female was being locked out of the house and not allowed back in. </w:t>
      </w:r>
      <w:r w:rsidR="00662D74">
        <w:t xml:space="preserve">This neighboured had reported concerns numerous times. </w:t>
      </w:r>
      <w:r w:rsidR="00A47631">
        <w:t xml:space="preserve">This </w:t>
      </w:r>
      <w:r w:rsidR="00662D74">
        <w:t xml:space="preserve">domestic </w:t>
      </w:r>
      <w:r w:rsidR="00A47631">
        <w:t xml:space="preserve">incident presented many challenges which will be discussed next. </w:t>
      </w:r>
    </w:p>
    <w:p w14:paraId="013C2E0E" w14:textId="77777777" w:rsidR="00A47631" w:rsidRDefault="00A47631" w:rsidP="0FF883D4">
      <w:pPr>
        <w:ind w:right="237"/>
        <w:jc w:val="both"/>
      </w:pPr>
    </w:p>
    <w:p w14:paraId="5737C00F" w14:textId="7F5BE597" w:rsidR="00A47631" w:rsidRDefault="00A47631" w:rsidP="0FF883D4">
      <w:pPr>
        <w:ind w:right="237"/>
        <w:jc w:val="both"/>
      </w:pPr>
      <w:r>
        <w:t>The first issue faced in this incident</w:t>
      </w:r>
      <w:r w:rsidR="006459C5">
        <w:t xml:space="preserve">, </w:t>
      </w:r>
      <w:r>
        <w:t>which is a common issue found in domestic cases</w:t>
      </w:r>
      <w:r w:rsidR="006459C5">
        <w:t>,</w:t>
      </w:r>
      <w:r>
        <w:t xml:space="preserve"> is a victims unwillingness to provide information and cooperate. This female was not willing to provide much information on her and her husband’s relationship. She mentioned a few behaviours that were coercive and controlling such as not having access to money and being monitored by her husband but when probed for more details would shut down.</w:t>
      </w:r>
      <w:r w:rsidR="00897A7C">
        <w:t xml:space="preserve"> One of the reasons why the female would not </w:t>
      </w:r>
      <w:r w:rsidR="00897A7C">
        <w:lastRenderedPageBreak/>
        <w:t>provide us with information was because she said she had no one else to live with</w:t>
      </w:r>
      <w:r w:rsidR="00631CF8">
        <w:t xml:space="preserve"> as </w:t>
      </w:r>
      <w:r w:rsidR="00897A7C">
        <w:t xml:space="preserve">she had no friends or family nearby and did not want to leave her family home. Research has found that older victims of DA may experience anxiety and fear over leaving their home and assets that they lived with for many years (Safelives, 2016). This appeared to be the case in this incident. Furthermore, coercive and controlling behaviour can isolate victims from family and friends and this female did say she had no one near her for support. Research on elder abuse does show that specifically older women experience isolation from family and friends and have limited support around them due to coercive and controlling behaviours from their partner (Meyer, Lasater and Garcia-Moreno, 2020). </w:t>
      </w:r>
      <w:r w:rsidR="005967B4">
        <w:t xml:space="preserve">Furthermore, Meyer, Lasater and Garcia-Moreno (2020) found that the older women in their study said that they deliberately isolated themselves from friends and family to hide the abuse. </w:t>
      </w:r>
      <w:r w:rsidR="003D4989">
        <w:t>This female was also being cared for by her partner which could also explain why she was unwilling to provide information to us. This has been found in studies of elder abuse as research shows that older people find it hard to report or disclose their abuse or even leave the relationship as they are being looked after by their abuser (Safelives, 2016; Age UK, 202</w:t>
      </w:r>
      <w:r w:rsidR="00E740C6">
        <w:t>1</w:t>
      </w:r>
      <w:r w:rsidR="003D4989">
        <w:t>).</w:t>
      </w:r>
      <w:r w:rsidR="007C7FCE">
        <w:t xml:space="preserve"> </w:t>
      </w:r>
      <w:r w:rsidR="00662D74">
        <w:t xml:space="preserve">Furthermore, this female was also dependent on her abuser financially. She stated that if she left the relationship she would have no money and nowhere to go as the house belonged to the male. This Is a common theme found in research on elder abuse with many victims of DA stating that a barrier to them leaving was concerns about their financial stability (Cravens, Whiting and Aamar, 2015). </w:t>
      </w:r>
      <w:r w:rsidR="003D4989">
        <w:t>The victim not being forthcoming with information was a major challenge in this incident as the true extent of the risk to the victim was not known.</w:t>
      </w:r>
    </w:p>
    <w:p w14:paraId="2951A968" w14:textId="77777777" w:rsidR="003D4989" w:rsidRDefault="003D4989" w:rsidP="0FF883D4">
      <w:pPr>
        <w:ind w:right="237"/>
        <w:jc w:val="both"/>
      </w:pPr>
    </w:p>
    <w:p w14:paraId="4737B368" w14:textId="2A70BC18" w:rsidR="001A50BC" w:rsidRDefault="003D4989" w:rsidP="0FF883D4">
      <w:pPr>
        <w:ind w:right="237"/>
        <w:jc w:val="both"/>
      </w:pPr>
      <w:r>
        <w:t xml:space="preserve">Another challenge faced in this incident was the victims unwillingness to make a complaint, without a positive complaint the realistic prospect of conviction </w:t>
      </w:r>
      <w:r w:rsidR="00431825">
        <w:t>was</w:t>
      </w:r>
      <w:r>
        <w:t xml:space="preserve"> low. A large percentage of DA cases are closed down due to evidential difficulties as the victim does not provide a positive complaint and does not support a prosecution (ONS, 2021). If a victim does provide a complaint very often in DA cases the victims will withdraw their support very early on in the investigation (ONS, 2021). </w:t>
      </w:r>
      <w:r w:rsidR="001A50BC">
        <w:t>Victim retraction in DA cases is higher than any other crime type and it has been found that the reason for this includes fear of the defendant and their family, the hope the relationship can rebuild itself and fear of the investigation and court process (</w:t>
      </w:r>
      <w:r w:rsidR="001A50BC" w:rsidRPr="00E25950">
        <w:t>Cretney and Davis, 1997; Ellison, 2002; Robinson and Cook, 2006).</w:t>
      </w:r>
      <w:r w:rsidR="00F1724D">
        <w:t xml:space="preserve"> Furthermore, r</w:t>
      </w:r>
      <w:r w:rsidR="001A50BC">
        <w:t>esearch by HMICFRS (2021) found that 54.7% of DA cases were discontinued because the victim withdrew their statement.</w:t>
      </w:r>
      <w:r w:rsidR="00E63584">
        <w:t xml:space="preserve"> Victims of DA are also more likely to retract their complaint as soon as 5 days after they made the complaint (Barrow-Grint, 2016).</w:t>
      </w:r>
      <w:r w:rsidR="001A50BC">
        <w:t xml:space="preserve"> Research has also found that half of victims never had any intention to support a prosecution they simply achieved what they wanted by reporting the behaviour or getting the person arrested (Boivin and Leclerc, 2016; McPhee et al., 202</w:t>
      </w:r>
      <w:r w:rsidR="00815FF6">
        <w:t>2</w:t>
      </w:r>
      <w:r w:rsidR="001A50BC">
        <w:t xml:space="preserve">). </w:t>
      </w:r>
      <w:r w:rsidR="00662D74">
        <w:t xml:space="preserve">Lack of complaint and victims willingness to retract means that often than not victims will continue to experience the abuse (Barrow-Grint, 2016). </w:t>
      </w:r>
    </w:p>
    <w:p w14:paraId="44FD961D" w14:textId="77777777" w:rsidR="001A50BC" w:rsidRDefault="001A50BC" w:rsidP="0FF883D4">
      <w:pPr>
        <w:ind w:right="237"/>
        <w:jc w:val="both"/>
      </w:pPr>
    </w:p>
    <w:p w14:paraId="642D812C" w14:textId="357D15DB" w:rsidR="00174F29" w:rsidRDefault="001A50BC" w:rsidP="00174F29">
      <w:pPr>
        <w:ind w:right="237"/>
        <w:jc w:val="both"/>
      </w:pPr>
      <w:r>
        <w:t>In this case the female provided two negative pocket note books saying she was not willing to provide a statement.</w:t>
      </w:r>
      <w:r w:rsidR="00174F29">
        <w:t xml:space="preserve"> Due to the fact that the female was not willing to engage evidence led prosecution was considered. Evidence led prosecution allows for justice to be served without the victims cooperation, this means other forms of evidence are used to obtain a prosecution (COP, 2024). The Criminal Justice Act 2003 allow</w:t>
      </w:r>
      <w:r w:rsidR="0042336C">
        <w:t>s</w:t>
      </w:r>
      <w:r w:rsidR="00174F29">
        <w:t xml:space="preserve"> for the use of admissible hearsay evidence, an example of hearsay evidence would be the use of 999 recordings</w:t>
      </w:r>
      <w:r w:rsidR="009017F3">
        <w:t xml:space="preserve"> (CPS, 2016)</w:t>
      </w:r>
      <w:r w:rsidR="00174F29">
        <w:t xml:space="preserve">. Often when DA incidents are ongoing a victim will call the police there and then, so 999 recordings could pick up the behaviour and speech of the perpetrator and solidify that an offence is taking place. A review of DA convictions in Norfolk found that 999 recordings were routinely used in DA cases which produced high conviction rates (CPS, 2016). 999 recordings were considered as a form of evidence in this case however, </w:t>
      </w:r>
      <w:r w:rsidR="00BB60DB">
        <w:t xml:space="preserve">it </w:t>
      </w:r>
      <w:r w:rsidR="00174F29">
        <w:t xml:space="preserve">would </w:t>
      </w:r>
      <w:r w:rsidR="00BB60DB">
        <w:t xml:space="preserve">have </w:t>
      </w:r>
      <w:r w:rsidR="00174F29">
        <w:t>prove</w:t>
      </w:r>
      <w:r w:rsidR="00BB60DB">
        <w:t>d</w:t>
      </w:r>
      <w:r w:rsidR="00174F29">
        <w:t xml:space="preserve"> unhelpful as the 999 call came from a concerned neighbour. </w:t>
      </w:r>
    </w:p>
    <w:p w14:paraId="0CF98DBC" w14:textId="77777777" w:rsidR="00174F29" w:rsidRDefault="00174F29" w:rsidP="00174F29">
      <w:pPr>
        <w:ind w:right="237"/>
        <w:jc w:val="both"/>
        <w:rPr>
          <w:color w:val="000000" w:themeColor="text1"/>
          <w:sz w:val="24"/>
          <w:szCs w:val="24"/>
          <w:u w:val="single"/>
        </w:rPr>
      </w:pPr>
    </w:p>
    <w:p w14:paraId="40C1678D" w14:textId="3D117523" w:rsidR="00174F29" w:rsidRPr="00174F29" w:rsidRDefault="00174F29" w:rsidP="00174F29">
      <w:pPr>
        <w:ind w:right="237"/>
        <w:jc w:val="both"/>
        <w:rPr>
          <w:color w:val="000000" w:themeColor="text1"/>
        </w:rPr>
      </w:pPr>
      <w:r>
        <w:rPr>
          <w:color w:val="000000" w:themeColor="text1"/>
        </w:rPr>
        <w:t>Bodyworn video has also been used as evidence in DA cases to show injuries and the behaviour of the perpetrator (</w:t>
      </w:r>
      <w:r w:rsidR="009017F3">
        <w:rPr>
          <w:color w:val="000000" w:themeColor="text1"/>
        </w:rPr>
        <w:t>CPS, 2015</w:t>
      </w:r>
      <w:r>
        <w:rPr>
          <w:color w:val="000000" w:themeColor="text1"/>
        </w:rPr>
        <w:t xml:space="preserve">). In this incident the male was exhibiting coercive and controlling behaviour even in our presence. For example, the male had the females phone and </w:t>
      </w:r>
      <w:r w:rsidR="004B50CB">
        <w:rPr>
          <w:color w:val="000000" w:themeColor="text1"/>
        </w:rPr>
        <w:t>wouldn’t explain why he had it. Furthermore, bodyworn video can also record the victims emotions at the time, damaged property and physical abuse (</w:t>
      </w:r>
      <w:r w:rsidR="009017F3">
        <w:rPr>
          <w:color w:val="000000" w:themeColor="text1"/>
        </w:rPr>
        <w:t>Morrow, Katz and Choate, 2016</w:t>
      </w:r>
      <w:r w:rsidR="004B50CB">
        <w:rPr>
          <w:color w:val="000000" w:themeColor="text1"/>
        </w:rPr>
        <w:t>). CCTV and ringdoor bell footage has also proved useful in evidence led prosecutions for securing convictions (</w:t>
      </w:r>
      <w:r w:rsidR="009017F3">
        <w:rPr>
          <w:color w:val="000000" w:themeColor="text1"/>
        </w:rPr>
        <w:t>CPS, 2015</w:t>
      </w:r>
      <w:r w:rsidR="004B50CB">
        <w:rPr>
          <w:color w:val="000000" w:themeColor="text1"/>
        </w:rPr>
        <w:t xml:space="preserve">). In this incident there was ring </w:t>
      </w:r>
      <w:r w:rsidR="000854B4">
        <w:rPr>
          <w:color w:val="000000" w:themeColor="text1"/>
        </w:rPr>
        <w:t>doorbell</w:t>
      </w:r>
      <w:r w:rsidR="004B50CB">
        <w:rPr>
          <w:color w:val="000000" w:themeColor="text1"/>
        </w:rPr>
        <w:t xml:space="preserve"> footage of the female being shut out of the house for a number of hours. This incident was phoned in by a neighbour who had also phoned in his concern about the female previously. The neighbour was happy to be a witness and provided a statement about what they saw. Locating witnesses for evidence led prosecution has been positively associated with a higher chance of prosecution. Robinson and Cook (2006) </w:t>
      </w:r>
      <w:r w:rsidR="003D4FCB">
        <w:rPr>
          <w:color w:val="000000" w:themeColor="text1"/>
        </w:rPr>
        <w:t xml:space="preserve">found in their study that witness statements </w:t>
      </w:r>
      <w:r w:rsidR="003D4FCB">
        <w:rPr>
          <w:color w:val="000000" w:themeColor="text1"/>
        </w:rPr>
        <w:lastRenderedPageBreak/>
        <w:t xml:space="preserve">increased the chances of a guilty verdict and decreased a victims likelihood of retracting their statement. </w:t>
      </w:r>
    </w:p>
    <w:p w14:paraId="7A26FF5C" w14:textId="56AE5BA5" w:rsidR="003D4989" w:rsidRDefault="003D4989" w:rsidP="0FF883D4">
      <w:pPr>
        <w:ind w:right="237"/>
        <w:jc w:val="both"/>
      </w:pPr>
    </w:p>
    <w:p w14:paraId="5FC0E8AA" w14:textId="38A02A61" w:rsidR="001A50BC" w:rsidRDefault="003D4FCB" w:rsidP="0FF883D4">
      <w:pPr>
        <w:ind w:right="237"/>
        <w:jc w:val="both"/>
      </w:pPr>
      <w:r>
        <w:t xml:space="preserve">However, although evidence-led prosecution is an option </w:t>
      </w:r>
      <w:r w:rsidR="001314D1">
        <w:t>i</w:t>
      </w:r>
      <w:r>
        <w:t xml:space="preserve">n DA cases </w:t>
      </w:r>
      <w:r w:rsidR="009017F3">
        <w:t xml:space="preserve">this additional evidence needs to be available to do it. In terms of this incident there was the opportunity to do an evidence-led prosecution but the CPS decided that there was insufficient evidence to charge and the case got dropped. </w:t>
      </w:r>
      <w:r w:rsidR="00071EB1">
        <w:t>Furthermore, evidence based prosecutions have been criticised for transferring “power from one controlling entity to another” (Flannigan, 2013, p, 482. This is because this approach forces some victims to still have to testify which</w:t>
      </w:r>
      <w:r w:rsidR="00CC5F5C">
        <w:t xml:space="preserve"> could </w:t>
      </w:r>
      <w:r w:rsidR="00071EB1">
        <w:t xml:space="preserve">lead them to have further distrust in the police and </w:t>
      </w:r>
      <w:r w:rsidR="00CC5F5C">
        <w:t xml:space="preserve">decrease the </w:t>
      </w:r>
      <w:r w:rsidR="00071EB1">
        <w:t>likelihood of them reporting further instances of violence (</w:t>
      </w:r>
      <w:r w:rsidR="00146195">
        <w:t>Flannigan, 2013</w:t>
      </w:r>
      <w:r w:rsidR="00071EB1">
        <w:t xml:space="preserve">). </w:t>
      </w:r>
      <w:r w:rsidR="009017F3">
        <w:t>Therefore, although it can be beneficial</w:t>
      </w:r>
      <w:r w:rsidR="00FC63AC">
        <w:t>,</w:t>
      </w:r>
      <w:r w:rsidR="009017F3">
        <w:t xml:space="preserve"> an evidence-led prosecution relies on additional evidence which isn’t always available in case</w:t>
      </w:r>
      <w:r w:rsidR="00071EB1">
        <w:t xml:space="preserve">s and can cause further stress for victims. </w:t>
      </w:r>
    </w:p>
    <w:bookmarkEnd w:id="1"/>
    <w:p w14:paraId="617EBB41" w14:textId="77777777" w:rsidR="00EE601C" w:rsidRDefault="00EE601C" w:rsidP="0FF883D4">
      <w:pPr>
        <w:ind w:right="237"/>
        <w:jc w:val="both"/>
        <w:rPr>
          <w:color w:val="000000" w:themeColor="text1"/>
          <w:sz w:val="24"/>
          <w:szCs w:val="24"/>
          <w:u w:val="single"/>
        </w:rPr>
      </w:pPr>
    </w:p>
    <w:p w14:paraId="2AD6AB82" w14:textId="1428F5FE" w:rsidR="00EE601C" w:rsidRDefault="00EE601C" w:rsidP="0FF883D4">
      <w:pPr>
        <w:ind w:right="237"/>
        <w:jc w:val="both"/>
        <w:rPr>
          <w:color w:val="000000" w:themeColor="text1"/>
        </w:rPr>
      </w:pPr>
      <w:r>
        <w:rPr>
          <w:color w:val="000000" w:themeColor="text1"/>
        </w:rPr>
        <w:t>Due to no complaint forthcoming and difficulties with evidence it was decided that we would try a DVPN (Domestic violence protection notice). DVPN’s primary purpose is to provide shot term relief and protection for a victim in the aftermath of a domestic incident by preventing the perpetrator molesting the victim (COP, 2015</w:t>
      </w:r>
      <w:r w:rsidR="002273EA">
        <w:rPr>
          <w:color w:val="000000" w:themeColor="text1"/>
        </w:rPr>
        <w:t>b</w:t>
      </w:r>
      <w:r>
        <w:rPr>
          <w:color w:val="000000" w:themeColor="text1"/>
        </w:rPr>
        <w:t>). The DVPN is then followed by an application for a DVPO from the magistrates court within 48 hours of servicing the DVPN (COP, 2015</w:t>
      </w:r>
      <w:r w:rsidR="002273EA">
        <w:rPr>
          <w:color w:val="000000" w:themeColor="text1"/>
        </w:rPr>
        <w:t>b</w:t>
      </w:r>
      <w:r>
        <w:rPr>
          <w:color w:val="000000" w:themeColor="text1"/>
        </w:rPr>
        <w:t>). A DVPO lasts for a maximum of 28 days (COP, 2015</w:t>
      </w:r>
      <w:r w:rsidR="002273EA">
        <w:rPr>
          <w:color w:val="000000" w:themeColor="text1"/>
        </w:rPr>
        <w:t>b</w:t>
      </w:r>
      <w:r>
        <w:rPr>
          <w:color w:val="000000" w:themeColor="text1"/>
        </w:rPr>
        <w:t xml:space="preserve">). </w:t>
      </w:r>
      <w:r w:rsidR="008F5AE0">
        <w:rPr>
          <w:color w:val="000000" w:themeColor="text1"/>
        </w:rPr>
        <w:t>Victims who have been issued a DVP</w:t>
      </w:r>
      <w:r w:rsidR="003245CF">
        <w:rPr>
          <w:color w:val="000000" w:themeColor="text1"/>
        </w:rPr>
        <w:t>O</w:t>
      </w:r>
      <w:r w:rsidR="008F5AE0">
        <w:rPr>
          <w:color w:val="000000" w:themeColor="text1"/>
        </w:rPr>
        <w:t xml:space="preserve"> have found them to useful with some victims stating that they made them feel safer (</w:t>
      </w:r>
      <w:r w:rsidR="00775BE2">
        <w:rPr>
          <w:color w:val="000000" w:themeColor="text1"/>
        </w:rPr>
        <w:t>Bessant, 2015</w:t>
      </w:r>
      <w:r w:rsidR="008F5AE0">
        <w:rPr>
          <w:color w:val="000000" w:themeColor="text1"/>
        </w:rPr>
        <w:t>). DVP</w:t>
      </w:r>
      <w:r w:rsidR="007C7FCE">
        <w:rPr>
          <w:color w:val="000000" w:themeColor="text1"/>
        </w:rPr>
        <w:t>O</w:t>
      </w:r>
      <w:r w:rsidR="008F5AE0">
        <w:rPr>
          <w:color w:val="000000" w:themeColor="text1"/>
        </w:rPr>
        <w:t xml:space="preserve">’s have been found to be effective in preventing further </w:t>
      </w:r>
      <w:r w:rsidR="00B30DC1">
        <w:rPr>
          <w:color w:val="000000" w:themeColor="text1"/>
        </w:rPr>
        <w:t xml:space="preserve">DA </w:t>
      </w:r>
      <w:r w:rsidR="008F5AE0">
        <w:rPr>
          <w:color w:val="000000" w:themeColor="text1"/>
        </w:rPr>
        <w:t>incidents (</w:t>
      </w:r>
      <w:r w:rsidR="00775BE2">
        <w:rPr>
          <w:color w:val="000000" w:themeColor="text1"/>
        </w:rPr>
        <w:t>Bessant, 2015</w:t>
      </w:r>
      <w:r w:rsidR="008F5AE0">
        <w:rPr>
          <w:color w:val="000000" w:themeColor="text1"/>
        </w:rPr>
        <w:t>).</w:t>
      </w:r>
      <w:r w:rsidR="007C7FCE">
        <w:rPr>
          <w:color w:val="000000" w:themeColor="text1"/>
        </w:rPr>
        <w:t xml:space="preserve"> DVPO’s ultimately provide a victim the opportunity to have breathing space from a perpetrator which may help in improving a victims willingness to engage with the police and other services as a DVPO would help to disrupt the coercive and controlling behaviours the perpetrator has been exhibiting (COP, 2018). </w:t>
      </w:r>
      <w:r w:rsidR="00942E7E">
        <w:rPr>
          <w:color w:val="000000" w:themeColor="text1"/>
        </w:rPr>
        <w:t>However, ultimately DVP</w:t>
      </w:r>
      <w:r w:rsidR="003245CF">
        <w:rPr>
          <w:color w:val="000000" w:themeColor="text1"/>
        </w:rPr>
        <w:t>O</w:t>
      </w:r>
      <w:r w:rsidR="00942E7E">
        <w:rPr>
          <w:color w:val="000000" w:themeColor="text1"/>
        </w:rPr>
        <w:t xml:space="preserve">s are a short term solution to a difficult situation, it relies on both parties engaging with it and the restrictions do not last so there is the potential for perpetrators to carry on their abuse. </w:t>
      </w:r>
      <w:r w:rsidR="003245CF">
        <w:rPr>
          <w:color w:val="000000" w:themeColor="text1"/>
        </w:rPr>
        <w:t xml:space="preserve">DVPO’s have been criticised by some victims as being not effective as it did not stop their abusers from turning up at their addresses and trying to engage with them (BBC, 2022). Research has found that around a quarter of DVPOs have been breached every financial year since 2018 (BBC, 2022). Therefore, DVPO’s do not always protect victims from further abuse by their perpetrators. </w:t>
      </w:r>
    </w:p>
    <w:p w14:paraId="7B68C258" w14:textId="77777777" w:rsidR="00942E7E" w:rsidRPr="00EE601C" w:rsidRDefault="00942E7E" w:rsidP="0FF883D4">
      <w:pPr>
        <w:ind w:right="237"/>
        <w:jc w:val="both"/>
        <w:rPr>
          <w:color w:val="000000" w:themeColor="text1"/>
        </w:rPr>
      </w:pPr>
    </w:p>
    <w:p w14:paraId="134534B5" w14:textId="21F510CF" w:rsidR="0FF883D4" w:rsidRPr="00C704F2" w:rsidRDefault="00A917DD" w:rsidP="0FF883D4">
      <w:pPr>
        <w:ind w:right="237"/>
        <w:jc w:val="both"/>
        <w:rPr>
          <w:color w:val="000000" w:themeColor="text1"/>
        </w:rPr>
      </w:pPr>
      <w:r>
        <w:rPr>
          <w:color w:val="000000" w:themeColor="text1"/>
        </w:rPr>
        <w:t>This essay has discussed a domestic incident that I played a significant role in. This domestic incident centred around an elderly female who was experiencing coercive and controlling behaviour. This female was reluctant to give us much information on her relationship and was reluctant to make a complaint and pursue a prosecution. It was clear from speaking to neighbours and meeting the perpetrator that the female was experiencing coercive and controlling behaviour and so I believed she needed to be protected from this even if she was not willing to make a complaint. This essay discussed the use of evidence led prosecution and how although there was not enough evidence in this case for the CPS to accept an evidence-led prosecution it was considered as a means of being able to safeguard and protect the female, but due to the high threshold for coercive and controlling behaviour and lack of support from the victim an evidence-led prosecution</w:t>
      </w:r>
      <w:r w:rsidR="00FB4EDF">
        <w:rPr>
          <w:color w:val="000000" w:themeColor="text1"/>
        </w:rPr>
        <w:t xml:space="preserve"> </w:t>
      </w:r>
      <w:r w:rsidR="00945A49">
        <w:rPr>
          <w:color w:val="000000" w:themeColor="text1"/>
        </w:rPr>
        <w:t>could not be utilised</w:t>
      </w:r>
      <w:r>
        <w:rPr>
          <w:color w:val="000000" w:themeColor="text1"/>
        </w:rPr>
        <w:t xml:space="preserve">. This essay also discussed the use of </w:t>
      </w:r>
      <w:r w:rsidR="007C7FCE">
        <w:rPr>
          <w:color w:val="000000" w:themeColor="text1"/>
        </w:rPr>
        <w:t xml:space="preserve">DVPN’s/DVPOS’s and the effectiveness of these in providing victims with short term protection from perpetrators. However, this essay found that many victims find these orders not effective at protecting them from their perpetrators due to perpetrators breaching these orders. </w:t>
      </w:r>
    </w:p>
    <w:p w14:paraId="68D3871C" w14:textId="4098369C" w:rsidR="0FF883D4" w:rsidRPr="00EE601C" w:rsidRDefault="0FF883D4" w:rsidP="0FF883D4">
      <w:pPr>
        <w:ind w:right="237"/>
        <w:jc w:val="both"/>
        <w:rPr>
          <w:color w:val="000000" w:themeColor="text1"/>
        </w:rPr>
      </w:pPr>
    </w:p>
    <w:p w14:paraId="2E7697CC" w14:textId="6BEC8B03" w:rsidR="00FE12C3" w:rsidRPr="00413112" w:rsidRDefault="00413112" w:rsidP="00340E9A">
      <w:pPr>
        <w:ind w:right="237"/>
        <w:rPr>
          <w:b/>
          <w:bCs/>
        </w:rPr>
      </w:pPr>
      <w:r w:rsidRPr="00413112">
        <w:rPr>
          <w:b/>
          <w:bCs/>
        </w:rPr>
        <w:t>Word count: 1888</w:t>
      </w:r>
    </w:p>
    <w:p w14:paraId="76B6FAAC" w14:textId="78791342" w:rsidR="0FF883D4" w:rsidRDefault="0FF883D4" w:rsidP="0FF883D4">
      <w:pPr>
        <w:ind w:left="2880" w:right="225" w:firstLine="720"/>
        <w:rPr>
          <w:b/>
          <w:bCs/>
          <w:sz w:val="24"/>
          <w:szCs w:val="24"/>
          <w:lang w:eastAsia="zh-TW"/>
        </w:rPr>
      </w:pPr>
    </w:p>
    <w:p w14:paraId="64BC00E6" w14:textId="77777777" w:rsidR="00397B45" w:rsidRDefault="00397B45" w:rsidP="5CE196A1">
      <w:pPr>
        <w:rPr>
          <w:rFonts w:eastAsia="Arial"/>
          <w:b/>
          <w:bCs/>
          <w:color w:val="000000" w:themeColor="text1"/>
          <w:sz w:val="24"/>
          <w:szCs w:val="24"/>
        </w:rPr>
      </w:pPr>
    </w:p>
    <w:p w14:paraId="6A7D4158" w14:textId="77777777" w:rsidR="00397B45" w:rsidRDefault="00397B45" w:rsidP="5CE196A1">
      <w:pPr>
        <w:rPr>
          <w:rFonts w:eastAsia="Arial"/>
          <w:b/>
          <w:bCs/>
          <w:color w:val="000000" w:themeColor="text1"/>
          <w:sz w:val="24"/>
          <w:szCs w:val="24"/>
        </w:rPr>
      </w:pPr>
    </w:p>
    <w:p w14:paraId="69FACEF1" w14:textId="77777777" w:rsidR="00397B45" w:rsidRDefault="00397B45" w:rsidP="5CE196A1">
      <w:pPr>
        <w:rPr>
          <w:rFonts w:eastAsia="Arial"/>
          <w:b/>
          <w:bCs/>
          <w:color w:val="000000" w:themeColor="text1"/>
          <w:sz w:val="24"/>
          <w:szCs w:val="24"/>
        </w:rPr>
      </w:pPr>
    </w:p>
    <w:p w14:paraId="53ADDA32" w14:textId="77777777" w:rsidR="00397B45" w:rsidRDefault="00397B45" w:rsidP="5CE196A1">
      <w:pPr>
        <w:rPr>
          <w:rFonts w:eastAsia="Arial"/>
          <w:b/>
          <w:bCs/>
          <w:color w:val="000000" w:themeColor="text1"/>
          <w:sz w:val="24"/>
          <w:szCs w:val="24"/>
        </w:rPr>
      </w:pPr>
    </w:p>
    <w:p w14:paraId="2BFB62A1" w14:textId="77777777" w:rsidR="00397B45" w:rsidRDefault="00397B45" w:rsidP="5CE196A1">
      <w:pPr>
        <w:rPr>
          <w:rFonts w:eastAsia="Arial"/>
          <w:b/>
          <w:bCs/>
          <w:color w:val="000000" w:themeColor="text1"/>
          <w:sz w:val="24"/>
          <w:szCs w:val="24"/>
        </w:rPr>
      </w:pPr>
    </w:p>
    <w:p w14:paraId="2FC06A52" w14:textId="77777777" w:rsidR="00397B45" w:rsidRDefault="00397B45" w:rsidP="5CE196A1">
      <w:pPr>
        <w:rPr>
          <w:rFonts w:eastAsia="Arial"/>
          <w:b/>
          <w:bCs/>
          <w:color w:val="000000" w:themeColor="text1"/>
          <w:sz w:val="24"/>
          <w:szCs w:val="24"/>
        </w:rPr>
      </w:pPr>
    </w:p>
    <w:p w14:paraId="50E7C1FF" w14:textId="77777777" w:rsidR="00397B45" w:rsidRDefault="00397B45" w:rsidP="5CE196A1">
      <w:pPr>
        <w:rPr>
          <w:rFonts w:eastAsia="Arial"/>
          <w:b/>
          <w:bCs/>
          <w:color w:val="000000" w:themeColor="text1"/>
          <w:sz w:val="24"/>
          <w:szCs w:val="24"/>
        </w:rPr>
      </w:pPr>
    </w:p>
    <w:p w14:paraId="2F9F1192" w14:textId="77777777" w:rsidR="00397B45" w:rsidRDefault="00397B45" w:rsidP="5CE196A1">
      <w:pPr>
        <w:rPr>
          <w:rFonts w:eastAsia="Arial"/>
          <w:b/>
          <w:bCs/>
          <w:color w:val="000000" w:themeColor="text1"/>
          <w:sz w:val="24"/>
          <w:szCs w:val="24"/>
        </w:rPr>
      </w:pPr>
    </w:p>
    <w:p w14:paraId="01AFE112" w14:textId="77777777" w:rsidR="00413112" w:rsidRDefault="00413112" w:rsidP="5CE196A1">
      <w:pPr>
        <w:rPr>
          <w:rFonts w:eastAsia="Arial"/>
          <w:b/>
          <w:bCs/>
          <w:color w:val="000000" w:themeColor="text1"/>
          <w:sz w:val="24"/>
          <w:szCs w:val="24"/>
        </w:rPr>
      </w:pPr>
    </w:p>
    <w:p w14:paraId="1FBCE137" w14:textId="77777777" w:rsidR="00397B45" w:rsidRDefault="00397B45" w:rsidP="5CE196A1">
      <w:pPr>
        <w:rPr>
          <w:rFonts w:eastAsia="Arial"/>
          <w:b/>
          <w:bCs/>
          <w:color w:val="000000" w:themeColor="text1"/>
          <w:sz w:val="24"/>
          <w:szCs w:val="24"/>
        </w:rPr>
      </w:pPr>
    </w:p>
    <w:p w14:paraId="1ADEFAE5" w14:textId="0471E077"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D39158E" w:rsidR="0FF883D4" w:rsidRDefault="5CE196A1" w:rsidP="5CE196A1">
      <w:r w:rsidRPr="5CE196A1">
        <w:rPr>
          <w:rFonts w:eastAsia="Arial"/>
          <w:b/>
          <w:bCs/>
          <w:color w:val="000000" w:themeColor="text1"/>
          <w:sz w:val="24"/>
          <w:szCs w:val="24"/>
        </w:rPr>
        <w:t xml:space="preserve">Signed: </w:t>
      </w:r>
      <w:r w:rsidR="00413112">
        <w:rPr>
          <w:rFonts w:eastAsia="Arial"/>
          <w:b/>
          <w:bCs/>
          <w:color w:val="000000" w:themeColor="text1"/>
          <w:sz w:val="24"/>
          <w:szCs w:val="24"/>
        </w:rPr>
        <w:t>CJONES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003A987" w:rsidR="0FF883D4" w:rsidRPr="00FE12C3" w:rsidRDefault="5CE196A1" w:rsidP="00FE12C3">
      <w:pPr>
        <w:sectPr w:rsidR="0FF883D4" w:rsidRPr="00FE12C3"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413112">
        <w:rPr>
          <w:rFonts w:eastAsia="Arial"/>
          <w:b/>
          <w:bCs/>
          <w:color w:val="000000" w:themeColor="text1"/>
          <w:sz w:val="24"/>
          <w:szCs w:val="24"/>
        </w:rPr>
        <w:t>: 28/02/2025</w:t>
      </w:r>
    </w:p>
    <w:p w14:paraId="3BCC68F9" w14:textId="77777777" w:rsidR="00FE12C3" w:rsidRDefault="004923DA" w:rsidP="0054772F">
      <w:pPr>
        <w:spacing w:before="240" w:after="60"/>
        <w:ind w:right="238"/>
        <w:jc w:val="both"/>
        <w:rPr>
          <w:b/>
          <w:sz w:val="24"/>
          <w:szCs w:val="24"/>
        </w:rPr>
      </w:pPr>
      <w:r w:rsidRPr="00E676F7">
        <w:rPr>
          <w:b/>
          <w:sz w:val="24"/>
          <w:szCs w:val="24"/>
        </w:rPr>
        <w:lastRenderedPageBreak/>
        <w:t>Bibliography</w:t>
      </w:r>
    </w:p>
    <w:p w14:paraId="0AB807FE" w14:textId="3E0408A5" w:rsidR="1E8636EB" w:rsidRDefault="000F7ECD" w:rsidP="0054772F">
      <w:pPr>
        <w:spacing w:before="240" w:after="60"/>
        <w:ind w:right="238"/>
        <w:jc w:val="both"/>
        <w:rPr>
          <w:sz w:val="24"/>
          <w:szCs w:val="24"/>
        </w:rPr>
      </w:pPr>
      <w:r w:rsidRPr="00FE12C3">
        <w:rPr>
          <w:sz w:val="24"/>
          <w:szCs w:val="24"/>
        </w:rPr>
        <w:t xml:space="preserve">The bibliography should only include sources referenced within the </w:t>
      </w:r>
      <w:r w:rsidR="00F139CF" w:rsidRPr="00FE12C3">
        <w:rPr>
          <w:sz w:val="24"/>
          <w:szCs w:val="24"/>
        </w:rPr>
        <w:t>workbook</w:t>
      </w:r>
      <w:r w:rsidRPr="00FE12C3">
        <w:rPr>
          <w:sz w:val="24"/>
          <w:szCs w:val="24"/>
        </w:rPr>
        <w:t xml:space="preserve"> using the Harvard referencing system. </w:t>
      </w:r>
      <w:r w:rsidR="004923DA" w:rsidRPr="00FE12C3">
        <w:rPr>
          <w:sz w:val="24"/>
          <w:szCs w:val="24"/>
        </w:rPr>
        <w:t>Information about referencing in written assignments and how to avoid plagiarism can be found on Moodle</w:t>
      </w:r>
      <w:r w:rsidR="00C27C95" w:rsidRPr="00FE12C3">
        <w:rPr>
          <w:sz w:val="24"/>
          <w:szCs w:val="24"/>
        </w:rPr>
        <w:t>.</w:t>
      </w:r>
      <w:r w:rsidR="00147DE3" w:rsidRPr="00FE12C3">
        <w:rPr>
          <w:sz w:val="24"/>
          <w:szCs w:val="24"/>
        </w:rPr>
        <w:t xml:space="preserve"> It is important </w:t>
      </w:r>
      <w:r w:rsidR="00FE12C3" w:rsidRPr="00FE12C3">
        <w:rPr>
          <w:sz w:val="24"/>
          <w:szCs w:val="24"/>
        </w:rPr>
        <w:t xml:space="preserve">  </w:t>
      </w:r>
      <w:r w:rsidR="00147DE3" w:rsidRPr="00FE12C3">
        <w:rPr>
          <w:sz w:val="24"/>
          <w:szCs w:val="24"/>
        </w:rPr>
        <w:t>that you are aware of the importance of ensuring that the work submitted is your original work</w:t>
      </w:r>
      <w:r w:rsidR="00EA28F1" w:rsidRPr="00FE12C3">
        <w:rPr>
          <w:sz w:val="24"/>
          <w:szCs w:val="24"/>
        </w:rPr>
        <w:t xml:space="preserve">. </w:t>
      </w:r>
    </w:p>
    <w:p w14:paraId="215CD66C" w14:textId="77777777" w:rsidR="0093247C" w:rsidRPr="00FE12C3" w:rsidRDefault="0093247C" w:rsidP="0054772F">
      <w:pPr>
        <w:spacing w:before="240" w:after="60"/>
        <w:ind w:right="238"/>
        <w:jc w:val="both"/>
        <w:rPr>
          <w:b/>
          <w:sz w:val="24"/>
          <w:szCs w:val="24"/>
        </w:rPr>
      </w:pPr>
    </w:p>
    <w:p w14:paraId="43F0F150" w14:textId="3F4815BA" w:rsidR="00E740C6" w:rsidRDefault="00E740C6" w:rsidP="00EA28F1">
      <w:pPr>
        <w:keepNext/>
        <w:spacing w:before="240" w:after="60"/>
        <w:ind w:right="237"/>
        <w:jc w:val="both"/>
      </w:pPr>
      <w:bookmarkStart w:id="2" w:name="_Hlk188462193"/>
      <w:r w:rsidRPr="0093247C">
        <w:lastRenderedPageBreak/>
        <w:t xml:space="preserve">Age UK (2021) </w:t>
      </w:r>
      <w:r w:rsidRPr="0093247C">
        <w:rPr>
          <w:i/>
          <w:iCs/>
        </w:rPr>
        <w:t xml:space="preserve">Domestic abuse: more needs to be done to support older people. </w:t>
      </w:r>
      <w:r w:rsidRPr="0093247C">
        <w:t xml:space="preserve">Available at: </w:t>
      </w:r>
      <w:hyperlink r:id="rId16" w:history="1">
        <w:r w:rsidRPr="0093247C">
          <w:rPr>
            <w:rStyle w:val="Hyperlink"/>
          </w:rPr>
          <w:t>Domestic abuse: more needs to be done to support older people | Discover | Age UK</w:t>
        </w:r>
      </w:hyperlink>
      <w:r w:rsidRPr="0093247C">
        <w:t xml:space="preserve"> (Accessed: 22 January 2025). </w:t>
      </w:r>
    </w:p>
    <w:p w14:paraId="4E6D3E41" w14:textId="3B28E821" w:rsidR="00E63584" w:rsidRPr="00E63584" w:rsidRDefault="00E63584" w:rsidP="00EA28F1">
      <w:pPr>
        <w:keepNext/>
        <w:spacing w:before="240" w:after="60"/>
        <w:ind w:right="237"/>
        <w:jc w:val="both"/>
      </w:pPr>
      <w:r>
        <w:t xml:space="preserve">Barrow-Grint, K. (2016) </w:t>
      </w:r>
      <w:r w:rsidRPr="00E63584">
        <w:t>‘Attrition rates in Domestic Abuse: Time for Change? An application of temporal Sequencing Theory’</w:t>
      </w:r>
      <w:r>
        <w:t xml:space="preserve">, </w:t>
      </w:r>
      <w:r>
        <w:rPr>
          <w:i/>
          <w:iCs/>
        </w:rPr>
        <w:t xml:space="preserve">A Journal of Policy and Practice, </w:t>
      </w:r>
      <w:r>
        <w:t xml:space="preserve">10(3), pp. 250-263. </w:t>
      </w:r>
    </w:p>
    <w:p w14:paraId="0032A605" w14:textId="1226E00A" w:rsidR="003245CF" w:rsidRPr="003245CF" w:rsidRDefault="003245CF" w:rsidP="00EA28F1">
      <w:pPr>
        <w:keepNext/>
        <w:spacing w:before="240" w:after="60"/>
        <w:ind w:right="237"/>
        <w:jc w:val="both"/>
      </w:pPr>
      <w:r>
        <w:t xml:space="preserve">BBC (2022) </w:t>
      </w:r>
      <w:r>
        <w:rPr>
          <w:i/>
          <w:iCs/>
        </w:rPr>
        <w:t xml:space="preserve">Domestic abuse protection orders “absolutely pointless” says victims. </w:t>
      </w:r>
      <w:r>
        <w:t xml:space="preserve">Available at: </w:t>
      </w:r>
      <w:hyperlink r:id="rId17" w:history="1">
        <w:r w:rsidRPr="003245CF">
          <w:rPr>
            <w:rStyle w:val="Hyperlink"/>
          </w:rPr>
          <w:t>Domestic abuse protection orders "absolutely pointless" say victims - BBC News</w:t>
        </w:r>
      </w:hyperlink>
      <w:r>
        <w:t xml:space="preserve"> (Accessed: 09 February 2025). </w:t>
      </w:r>
    </w:p>
    <w:p w14:paraId="695620FB" w14:textId="2448E22E" w:rsidR="00775BE2" w:rsidRPr="00775BE2" w:rsidRDefault="00775BE2" w:rsidP="00EA28F1">
      <w:pPr>
        <w:keepNext/>
        <w:spacing w:before="240" w:after="60"/>
        <w:ind w:right="237"/>
        <w:jc w:val="both"/>
      </w:pPr>
      <w:r>
        <w:t xml:space="preserve">Bessant, C. (2015) ‘Protecting victims of domestic violence – have we got the balance right?’, </w:t>
      </w:r>
      <w:r>
        <w:rPr>
          <w:i/>
          <w:iCs/>
        </w:rPr>
        <w:t xml:space="preserve">The Journal of criminal law, </w:t>
      </w:r>
      <w:r>
        <w:t xml:space="preserve">79(2), pp. 102-121. </w:t>
      </w:r>
    </w:p>
    <w:p w14:paraId="434B7038" w14:textId="74E14E77" w:rsidR="00DE5A5C" w:rsidRPr="0093247C" w:rsidRDefault="00DE5A5C" w:rsidP="00EA28F1">
      <w:pPr>
        <w:keepNext/>
        <w:spacing w:before="240" w:after="60"/>
        <w:ind w:right="237"/>
        <w:jc w:val="both"/>
      </w:pPr>
      <w:r w:rsidRPr="0093247C">
        <w:t xml:space="preserve">Braga, A.A., Weisburd, D. and Turchan, B. (2019) ‘Focused deterrence strategies effects on crime: A systematic review’, </w:t>
      </w:r>
      <w:r w:rsidRPr="0093247C">
        <w:rPr>
          <w:i/>
          <w:iCs/>
        </w:rPr>
        <w:t xml:space="preserve">Campbell systematic review, </w:t>
      </w:r>
      <w:r w:rsidRPr="0093247C">
        <w:t xml:space="preserve">15(3), pp. 1-20. </w:t>
      </w:r>
    </w:p>
    <w:p w14:paraId="0CD838C4" w14:textId="45858486" w:rsidR="00E934BE" w:rsidRPr="0093247C" w:rsidRDefault="00E934BE" w:rsidP="00EA28F1">
      <w:pPr>
        <w:keepNext/>
        <w:spacing w:before="240" w:after="60"/>
        <w:ind w:right="237"/>
        <w:jc w:val="both"/>
      </w:pPr>
      <w:r w:rsidRPr="0093247C">
        <w:t xml:space="preserve">Boivin R. and Leclerc, C. (2016) ‘Domestic violence reported to the police: Correlates of victims’ reporting behaviour and support to legal proceedings’, </w:t>
      </w:r>
      <w:r w:rsidRPr="0093247C">
        <w:rPr>
          <w:i/>
          <w:iCs/>
        </w:rPr>
        <w:t xml:space="preserve">Violence and Victims, </w:t>
      </w:r>
      <w:r w:rsidRPr="0093247C">
        <w:t>31(3), pp. 402-415.</w:t>
      </w:r>
    </w:p>
    <w:p w14:paraId="7A0BA152" w14:textId="5D19A6E0" w:rsidR="00DE5A5C" w:rsidRPr="0093247C" w:rsidRDefault="00DE5A5C" w:rsidP="00EA28F1">
      <w:pPr>
        <w:keepNext/>
        <w:spacing w:before="240" w:after="60"/>
        <w:ind w:right="237"/>
        <w:jc w:val="both"/>
      </w:pPr>
      <w:r w:rsidRPr="0093247C">
        <w:t xml:space="preserve">Budd, T. (1999) </w:t>
      </w:r>
      <w:r w:rsidRPr="0093247C">
        <w:rPr>
          <w:i/>
          <w:iCs/>
        </w:rPr>
        <w:t>Burglary of Domestic Dwelling: Findings from the British Crime Survey.</w:t>
      </w:r>
      <w:r w:rsidRPr="0093247C">
        <w:rPr>
          <w:b/>
          <w:bCs/>
        </w:rPr>
        <w:t xml:space="preserve"> </w:t>
      </w:r>
      <w:r w:rsidRPr="0093247C">
        <w:t xml:space="preserve">London: Home Office. </w:t>
      </w:r>
    </w:p>
    <w:p w14:paraId="72847C77" w14:textId="0E87BDD8" w:rsidR="00280BA2" w:rsidRPr="0093247C" w:rsidRDefault="00280BA2" w:rsidP="00EA28F1">
      <w:pPr>
        <w:keepNext/>
        <w:spacing w:before="240" w:after="60"/>
        <w:ind w:right="237"/>
        <w:jc w:val="both"/>
      </w:pPr>
      <w:r w:rsidRPr="0093247C">
        <w:t xml:space="preserve">CAADA (2012) </w:t>
      </w:r>
      <w:r w:rsidRPr="0093247C">
        <w:rPr>
          <w:i/>
          <w:iCs/>
        </w:rPr>
        <w:t xml:space="preserve">The MARAC Representatives Toolkit. </w:t>
      </w:r>
      <w:r w:rsidRPr="0093247C">
        <w:t xml:space="preserve">Available at: </w:t>
      </w:r>
      <w:hyperlink r:id="rId18" w:history="1">
        <w:r w:rsidRPr="0093247C">
          <w:rPr>
            <w:rStyle w:val="Hyperlink"/>
          </w:rPr>
          <w:t>caada.org.uk</w:t>
        </w:r>
      </w:hyperlink>
      <w:r w:rsidRPr="0093247C">
        <w:t xml:space="preserve"> (Accessed: 22 January 2025). </w:t>
      </w:r>
    </w:p>
    <w:p w14:paraId="0EAB260E" w14:textId="60CCEB01" w:rsidR="00971ABA" w:rsidRPr="0093247C" w:rsidRDefault="00971ABA" w:rsidP="00EA28F1">
      <w:pPr>
        <w:keepNext/>
        <w:spacing w:before="240" w:after="60"/>
        <w:ind w:right="237"/>
        <w:jc w:val="both"/>
      </w:pPr>
      <w:r w:rsidRPr="0093247C">
        <w:t xml:space="preserve">Chalkley, R. and Strang, H. (2017) ‘Predicting domestic homicides and serious violence in Dorset: A replication of Thornton’s Thames Valley analysis’, </w:t>
      </w:r>
      <w:r w:rsidRPr="0093247C">
        <w:rPr>
          <w:i/>
          <w:iCs/>
        </w:rPr>
        <w:t xml:space="preserve">Cambridge Journal of Evidence-Based Policing, </w:t>
      </w:r>
      <w:r w:rsidRPr="0093247C">
        <w:t xml:space="preserve">1(1), pp. 81-92. </w:t>
      </w:r>
    </w:p>
    <w:p w14:paraId="41C58E97" w14:textId="12D4EFB6" w:rsidR="00C63C30" w:rsidRPr="0093247C" w:rsidRDefault="00C63C30" w:rsidP="00EA28F1">
      <w:pPr>
        <w:keepNext/>
        <w:spacing w:before="240" w:after="60"/>
        <w:ind w:right="237"/>
        <w:jc w:val="both"/>
      </w:pPr>
      <w:r w:rsidRPr="0093247C">
        <w:t>COP (2015</w:t>
      </w:r>
      <w:r w:rsidR="002273EA" w:rsidRPr="0093247C">
        <w:t>a</w:t>
      </w:r>
      <w:r w:rsidRPr="0093247C">
        <w:t xml:space="preserve">) </w:t>
      </w:r>
      <w:r w:rsidRPr="0093247C">
        <w:rPr>
          <w:i/>
          <w:iCs/>
        </w:rPr>
        <w:t xml:space="preserve">Domestic Abuse. </w:t>
      </w:r>
      <w:r w:rsidRPr="0093247C">
        <w:t xml:space="preserve">Available at: </w:t>
      </w:r>
      <w:hyperlink r:id="rId19" w:history="1">
        <w:r w:rsidRPr="0093247C">
          <w:rPr>
            <w:rStyle w:val="Hyperlink"/>
          </w:rPr>
          <w:t>Domestic abuse | College of Policing</w:t>
        </w:r>
      </w:hyperlink>
      <w:r w:rsidRPr="0093247C">
        <w:t xml:space="preserve"> (Accessed: 18 January 2025). </w:t>
      </w:r>
    </w:p>
    <w:p w14:paraId="3818B725" w14:textId="602DB661" w:rsidR="002273EA" w:rsidRPr="0093247C" w:rsidRDefault="002273EA" w:rsidP="00EA28F1">
      <w:pPr>
        <w:keepNext/>
        <w:spacing w:before="240" w:after="60"/>
        <w:ind w:right="237"/>
        <w:jc w:val="both"/>
      </w:pPr>
      <w:r w:rsidRPr="0093247C">
        <w:t xml:space="preserve">COP (2015b) </w:t>
      </w:r>
      <w:r w:rsidRPr="0093247C">
        <w:rPr>
          <w:i/>
          <w:iCs/>
        </w:rPr>
        <w:t xml:space="preserve">Using domestic violence protection notices and domestic violence protection orders to make victims safer. </w:t>
      </w:r>
      <w:r w:rsidRPr="0093247C">
        <w:t xml:space="preserve">Available at: </w:t>
      </w:r>
      <w:hyperlink r:id="rId20" w:history="1">
        <w:r w:rsidRPr="0093247C">
          <w:rPr>
            <w:rStyle w:val="Hyperlink"/>
          </w:rPr>
          <w:t>Using domestic violence protection notices and domestic violence protection orders to make victims safer | College of Policing</w:t>
        </w:r>
      </w:hyperlink>
      <w:r w:rsidRPr="0093247C">
        <w:t xml:space="preserve"> (Accessed: 03 February 2025). </w:t>
      </w:r>
    </w:p>
    <w:p w14:paraId="5655E683" w14:textId="56C34AD1" w:rsidR="00971ABA" w:rsidRDefault="00971ABA" w:rsidP="00EA28F1">
      <w:pPr>
        <w:keepNext/>
        <w:spacing w:before="240" w:after="60"/>
        <w:ind w:right="237"/>
        <w:jc w:val="both"/>
      </w:pPr>
      <w:r w:rsidRPr="0093247C">
        <w:t xml:space="preserve">COP (2016) </w:t>
      </w:r>
      <w:r w:rsidRPr="0093247C">
        <w:rPr>
          <w:i/>
          <w:iCs/>
        </w:rPr>
        <w:t xml:space="preserve">Risk-led policing of domestic abuse and the DASH risk model. </w:t>
      </w:r>
      <w:r w:rsidRPr="0093247C">
        <w:t xml:space="preserve">Available at: </w:t>
      </w:r>
      <w:hyperlink r:id="rId21" w:history="1">
        <w:r w:rsidRPr="0093247C">
          <w:rPr>
            <w:rStyle w:val="Hyperlink"/>
          </w:rPr>
          <w:t>Risk-led-policing-2-2016.pdf</w:t>
        </w:r>
      </w:hyperlink>
      <w:r w:rsidRPr="0093247C">
        <w:t xml:space="preserve"> (Assessed: 22 January 2025). </w:t>
      </w:r>
    </w:p>
    <w:p w14:paraId="5BF2B272" w14:textId="211E7B83" w:rsidR="007C7FCE" w:rsidRPr="007C7FCE" w:rsidRDefault="007C7FCE" w:rsidP="00EA28F1">
      <w:pPr>
        <w:keepNext/>
        <w:spacing w:before="240" w:after="60"/>
        <w:ind w:right="237"/>
        <w:jc w:val="both"/>
      </w:pPr>
      <w:r>
        <w:t xml:space="preserve">COP (2018) </w:t>
      </w:r>
      <w:r>
        <w:rPr>
          <w:i/>
          <w:iCs/>
        </w:rPr>
        <w:t xml:space="preserve">Arrest and other positive approaches. </w:t>
      </w:r>
      <w:r>
        <w:t xml:space="preserve">Available at: </w:t>
      </w:r>
      <w:hyperlink r:id="rId22" w:history="1">
        <w:r w:rsidRPr="007C7FCE">
          <w:rPr>
            <w:rStyle w:val="Hyperlink"/>
          </w:rPr>
          <w:t>Arrest and other positive approaches | College of Policing</w:t>
        </w:r>
      </w:hyperlink>
      <w:r>
        <w:t xml:space="preserve"> (Accessed: 09 February 2025). </w:t>
      </w:r>
    </w:p>
    <w:p w14:paraId="4AB75EF2" w14:textId="218533B4" w:rsidR="000F1607" w:rsidRPr="0093247C" w:rsidRDefault="000F1607" w:rsidP="00EA28F1">
      <w:pPr>
        <w:keepNext/>
        <w:spacing w:before="240" w:after="60"/>
        <w:ind w:right="237"/>
        <w:jc w:val="both"/>
      </w:pPr>
      <w:r w:rsidRPr="0093247C">
        <w:t xml:space="preserve">COP (2020) </w:t>
      </w:r>
      <w:r w:rsidRPr="0093247C">
        <w:rPr>
          <w:i/>
          <w:iCs/>
        </w:rPr>
        <w:t>Recognising and responding to vulnerability related risks</w:t>
      </w:r>
      <w:r w:rsidRPr="0093247C">
        <w:t xml:space="preserve">. Available at: </w:t>
      </w:r>
      <w:hyperlink r:id="rId23" w:history="1">
        <w:r w:rsidRPr="0093247C">
          <w:rPr>
            <w:rStyle w:val="Hyperlink"/>
          </w:rPr>
          <w:t>Recognising and responding to vulnerability related risks guidelines: Consultation</w:t>
        </w:r>
      </w:hyperlink>
      <w:r w:rsidRPr="0093247C">
        <w:t xml:space="preserve"> (Accessed: 18 January 2025). </w:t>
      </w:r>
    </w:p>
    <w:p w14:paraId="7EC39F46" w14:textId="0061D45F" w:rsidR="00DE5A5C" w:rsidRPr="0093247C" w:rsidRDefault="00DE5A5C" w:rsidP="00EA28F1">
      <w:pPr>
        <w:keepNext/>
        <w:spacing w:before="240" w:after="60"/>
        <w:ind w:right="237"/>
        <w:jc w:val="both"/>
      </w:pPr>
      <w:r w:rsidRPr="0093247C">
        <w:t xml:space="preserve">COP (2022) </w:t>
      </w:r>
      <w:r w:rsidRPr="0093247C">
        <w:rPr>
          <w:i/>
          <w:iCs/>
        </w:rPr>
        <w:t xml:space="preserve">Focused deterrence strategies. </w:t>
      </w:r>
      <w:r w:rsidRPr="0093247C">
        <w:t xml:space="preserve">Available at: </w:t>
      </w:r>
      <w:hyperlink r:id="rId24" w:history="1">
        <w:r w:rsidRPr="0093247C">
          <w:rPr>
            <w:rStyle w:val="Hyperlink"/>
          </w:rPr>
          <w:t>Focused deterrence strategies | College of Policing</w:t>
        </w:r>
      </w:hyperlink>
      <w:r w:rsidRPr="0093247C">
        <w:t xml:space="preserve"> (Accessed: 22 January 2025). </w:t>
      </w:r>
    </w:p>
    <w:p w14:paraId="2F2B0F6E" w14:textId="62F6847D" w:rsidR="00815FF6" w:rsidRPr="0093247C" w:rsidRDefault="00815FF6" w:rsidP="00EA28F1">
      <w:pPr>
        <w:keepNext/>
        <w:spacing w:before="240" w:after="60"/>
        <w:ind w:right="237"/>
        <w:jc w:val="both"/>
      </w:pPr>
      <w:r w:rsidRPr="0093247C">
        <w:t xml:space="preserve">COP (2024) </w:t>
      </w:r>
      <w:r w:rsidRPr="0093247C">
        <w:rPr>
          <w:i/>
          <w:iCs/>
        </w:rPr>
        <w:t xml:space="preserve">Evidence-led prosecution checklist for domestic abuse cases. </w:t>
      </w:r>
      <w:r w:rsidRPr="0093247C">
        <w:t xml:space="preserve">Available at: </w:t>
      </w:r>
      <w:hyperlink r:id="rId25" w:history="1">
        <w:r w:rsidRPr="0093247C">
          <w:rPr>
            <w:rStyle w:val="Hyperlink"/>
          </w:rPr>
          <w:t>Evidence-led prosecution checklist for domestic abuse cases | College of Policing</w:t>
        </w:r>
      </w:hyperlink>
      <w:r w:rsidRPr="0093247C">
        <w:t xml:space="preserve"> (Accessed: 22 January 2025). </w:t>
      </w:r>
    </w:p>
    <w:p w14:paraId="79DB06D4" w14:textId="38D1FAFF" w:rsidR="00815FF6" w:rsidRPr="0093247C" w:rsidRDefault="00815FF6" w:rsidP="00EA28F1">
      <w:pPr>
        <w:keepNext/>
        <w:spacing w:before="240" w:after="60"/>
        <w:ind w:right="237"/>
        <w:jc w:val="both"/>
      </w:pPr>
      <w:r w:rsidRPr="0093247C">
        <w:lastRenderedPageBreak/>
        <w:t xml:space="preserve">CPS (2015) </w:t>
      </w:r>
      <w:r w:rsidRPr="0093247C">
        <w:rPr>
          <w:i/>
          <w:iCs/>
        </w:rPr>
        <w:t xml:space="preserve">Violence against women and girls: Crime report 2014-2015. </w:t>
      </w:r>
      <w:r w:rsidRPr="0093247C">
        <w:t xml:space="preserve">Available at: </w:t>
      </w:r>
      <w:hyperlink r:id="rId26" w:history="1">
        <w:r w:rsidRPr="0093247C">
          <w:rPr>
            <w:rStyle w:val="Hyperlink"/>
          </w:rPr>
          <w:t>CPS Violence against Women and Girls crime report 2014-2015 | The Crown Prosecution Service</w:t>
        </w:r>
      </w:hyperlink>
      <w:r w:rsidRPr="0093247C">
        <w:t xml:space="preserve"> (Accessed: 22 January 2025). </w:t>
      </w:r>
    </w:p>
    <w:p w14:paraId="550849E9" w14:textId="32B41FA6" w:rsidR="00815FF6" w:rsidRDefault="00815FF6" w:rsidP="00EA28F1">
      <w:pPr>
        <w:keepNext/>
        <w:spacing w:before="240" w:after="60"/>
        <w:ind w:right="237"/>
        <w:jc w:val="both"/>
      </w:pPr>
      <w:r w:rsidRPr="0093247C">
        <w:t xml:space="preserve">CPS (2016) </w:t>
      </w:r>
      <w:r w:rsidRPr="0093247C">
        <w:rPr>
          <w:i/>
          <w:iCs/>
        </w:rPr>
        <w:t xml:space="preserve">Violence against women and girls: Crime report 2015-16. </w:t>
      </w:r>
      <w:r w:rsidRPr="0093247C">
        <w:t xml:space="preserve">Available at: </w:t>
      </w:r>
      <w:hyperlink r:id="rId27" w:history="1">
        <w:r w:rsidRPr="0093247C">
          <w:rPr>
            <w:rStyle w:val="Hyperlink"/>
          </w:rPr>
          <w:t>CPS Violence against Women and Girls crime report 2015-2016 | The Crown Prosecution Service</w:t>
        </w:r>
      </w:hyperlink>
      <w:r w:rsidRPr="0093247C">
        <w:t xml:space="preserve"> (Accessed: 22 January 2025). </w:t>
      </w:r>
    </w:p>
    <w:p w14:paraId="23F3A45E" w14:textId="1E53052B" w:rsidR="004B2E17" w:rsidRPr="004B2E17" w:rsidRDefault="004B2E17" w:rsidP="00EA28F1">
      <w:pPr>
        <w:keepNext/>
        <w:spacing w:before="240" w:after="60"/>
        <w:ind w:right="237"/>
        <w:jc w:val="both"/>
      </w:pPr>
      <w:r>
        <w:t>Cravens, J.D., Whiting, J.B. and Aamar, R.O. (2015</w:t>
      </w:r>
      <w:r w:rsidRPr="004B2E17">
        <w:t>) ‘Why I Stayed/Left: An analysis of voices of intimate partner violence on Social Media’,</w:t>
      </w:r>
      <w:r>
        <w:rPr>
          <w:i/>
          <w:iCs/>
        </w:rPr>
        <w:t xml:space="preserve"> Contemporary Family Therapy, </w:t>
      </w:r>
      <w:r>
        <w:t xml:space="preserve">37(4), pp. 372-385. </w:t>
      </w:r>
    </w:p>
    <w:p w14:paraId="44A911E5" w14:textId="4C38236A" w:rsidR="00E934BE" w:rsidRPr="0093247C" w:rsidRDefault="00E934BE" w:rsidP="00EA28F1">
      <w:pPr>
        <w:keepNext/>
        <w:spacing w:before="240" w:after="60"/>
        <w:ind w:right="237"/>
        <w:jc w:val="both"/>
      </w:pPr>
      <w:r w:rsidRPr="0093247C">
        <w:t xml:space="preserve">Cretney, A and Davies G. (1997) ‘Prosecuting domestic assault: Victims failing courts, or courts failing victims?’, </w:t>
      </w:r>
      <w:r w:rsidRPr="0093247C">
        <w:rPr>
          <w:i/>
          <w:iCs/>
        </w:rPr>
        <w:t xml:space="preserve">Howard Journal, </w:t>
      </w:r>
      <w:r w:rsidRPr="0093247C">
        <w:t xml:space="preserve">36(2), pp. 146-157. </w:t>
      </w:r>
    </w:p>
    <w:p w14:paraId="22007C14" w14:textId="0B1CF6F0" w:rsidR="00E934BE" w:rsidRPr="0093247C" w:rsidRDefault="00E934BE" w:rsidP="00EA28F1">
      <w:pPr>
        <w:keepNext/>
        <w:spacing w:before="240" w:after="60"/>
        <w:ind w:right="237"/>
        <w:jc w:val="both"/>
      </w:pPr>
      <w:r w:rsidRPr="0093247C">
        <w:t xml:space="preserve">Ellison, L. (2002) ‘Prosecuting domestic violence without victim participation’, </w:t>
      </w:r>
      <w:r w:rsidRPr="0093247C">
        <w:rPr>
          <w:i/>
          <w:iCs/>
        </w:rPr>
        <w:t xml:space="preserve">Modern Law Review, </w:t>
      </w:r>
      <w:r w:rsidRPr="0093247C">
        <w:t xml:space="preserve">65(6), pp. 834-858. </w:t>
      </w:r>
    </w:p>
    <w:p w14:paraId="034AB525" w14:textId="5498FB64" w:rsidR="00071EB1" w:rsidRPr="0093247C" w:rsidRDefault="00071EB1" w:rsidP="00EA28F1">
      <w:pPr>
        <w:keepNext/>
        <w:spacing w:before="240" w:after="60"/>
        <w:ind w:right="237"/>
        <w:jc w:val="both"/>
      </w:pPr>
      <w:r w:rsidRPr="0093247C">
        <w:t xml:space="preserve">Flannigan, K.R. (2013) </w:t>
      </w:r>
      <w:r w:rsidR="002273EA" w:rsidRPr="0093247C">
        <w:t xml:space="preserve">‘The importance of prosecution policies in Domestic Violence cases’, </w:t>
      </w:r>
      <w:r w:rsidR="002273EA" w:rsidRPr="0093247C">
        <w:rPr>
          <w:i/>
          <w:iCs/>
        </w:rPr>
        <w:t xml:space="preserve">American Society of Criminology, </w:t>
      </w:r>
      <w:r w:rsidR="002273EA" w:rsidRPr="0093247C">
        <w:t>12(3), pp. 481-</w:t>
      </w:r>
      <w:r w:rsidR="0093247C" w:rsidRPr="0093247C">
        <w:t xml:space="preserve">490. </w:t>
      </w:r>
    </w:p>
    <w:bookmarkEnd w:id="2"/>
    <w:p w14:paraId="583383E6" w14:textId="77777777" w:rsidR="0054772F" w:rsidRPr="0093247C" w:rsidRDefault="00FE12C3" w:rsidP="0054772F">
      <w:pPr>
        <w:spacing w:before="240" w:after="60"/>
        <w:ind w:right="238"/>
        <w:jc w:val="both"/>
      </w:pPr>
      <w:r w:rsidRPr="0093247C">
        <w:t xml:space="preserve">HMICFRS (2021) </w:t>
      </w:r>
      <w:r w:rsidRPr="0093247C">
        <w:rPr>
          <w:i/>
          <w:iCs/>
        </w:rPr>
        <w:t xml:space="preserve">Review of policing domestic abuse during the pandemic. </w:t>
      </w:r>
      <w:r w:rsidRPr="0093247C">
        <w:t xml:space="preserve">Available at: </w:t>
      </w:r>
      <w:hyperlink r:id="rId28" w:history="1">
        <w:r w:rsidRPr="0093247C">
          <w:rPr>
            <w:rStyle w:val="Hyperlink"/>
          </w:rPr>
          <w:t>Review of policing domestic abuse during the pandemic - 2021 - His Majesty’s Inspectorate of Constabulary and Fire &amp; Rescue Services</w:t>
        </w:r>
      </w:hyperlink>
      <w:r w:rsidRPr="0093247C">
        <w:t xml:space="preserve"> (Accessed: 22 January 2025). </w:t>
      </w:r>
    </w:p>
    <w:p w14:paraId="5DAC4974" w14:textId="77777777" w:rsidR="0054772F" w:rsidRPr="0093247C" w:rsidRDefault="000F1607" w:rsidP="0054772F">
      <w:pPr>
        <w:spacing w:before="240" w:after="60"/>
        <w:ind w:right="238"/>
        <w:jc w:val="both"/>
      </w:pPr>
      <w:r w:rsidRPr="0093247C">
        <w:t xml:space="preserve">Home Office (2023) </w:t>
      </w:r>
      <w:r w:rsidRPr="0093247C">
        <w:rPr>
          <w:i/>
          <w:iCs/>
        </w:rPr>
        <w:t xml:space="preserve">Controlling or Coercive Behaviour, Statutory Guidance Framework. </w:t>
      </w:r>
      <w:r w:rsidRPr="0093247C">
        <w:t xml:space="preserve">Available at: </w:t>
      </w:r>
      <w:hyperlink r:id="rId29" w:history="1">
        <w:r w:rsidRPr="0093247C">
          <w:rPr>
            <w:rStyle w:val="Hyperlink"/>
          </w:rPr>
          <w:t>Controlling or coercive behaviour statutory guidance</w:t>
        </w:r>
      </w:hyperlink>
      <w:r w:rsidRPr="0093247C">
        <w:t xml:space="preserve"> (Accessed: 18 January 2025). </w:t>
      </w:r>
    </w:p>
    <w:p w14:paraId="57DE713B" w14:textId="77777777" w:rsidR="0054772F" w:rsidRPr="0093247C" w:rsidRDefault="00DE5A5C" w:rsidP="0054772F">
      <w:pPr>
        <w:spacing w:before="240" w:after="60"/>
        <w:ind w:right="238"/>
        <w:jc w:val="both"/>
      </w:pPr>
      <w:r w:rsidRPr="0093247C">
        <w:t xml:space="preserve">Johnson et al. (2017) ‘Evaluation of operation Swordfish: a near-repeat target-hardening strategy’, </w:t>
      </w:r>
      <w:r w:rsidRPr="0093247C">
        <w:rPr>
          <w:i/>
          <w:iCs/>
        </w:rPr>
        <w:t xml:space="preserve">Journal of Experimental Criminology, </w:t>
      </w:r>
      <w:r w:rsidRPr="0093247C">
        <w:t xml:space="preserve">13(4), pp. 505-525. </w:t>
      </w:r>
    </w:p>
    <w:p w14:paraId="57B7D432" w14:textId="77777777" w:rsidR="0054772F" w:rsidRPr="0093247C" w:rsidRDefault="00A302FD" w:rsidP="0054772F">
      <w:pPr>
        <w:spacing w:before="240" w:after="60"/>
        <w:ind w:right="238"/>
        <w:jc w:val="both"/>
      </w:pPr>
      <w:r w:rsidRPr="0093247C">
        <w:t xml:space="preserve">Lohmann, S., Cowlishaw, S. and Felmingham, K. (2023) ‘The Trauma and Mental Health Impacts of Coercive Control: A Systematic Review and Meta-Analysis’, </w:t>
      </w:r>
      <w:r w:rsidRPr="0093247C">
        <w:rPr>
          <w:i/>
          <w:iCs/>
        </w:rPr>
        <w:t xml:space="preserve">Trauma, Violence and Abuse, </w:t>
      </w:r>
      <w:r w:rsidRPr="0093247C">
        <w:t xml:space="preserve">25(1), pp. 630-647. </w:t>
      </w:r>
    </w:p>
    <w:p w14:paraId="65BB6F67" w14:textId="77777777" w:rsidR="0054772F" w:rsidRPr="0093247C" w:rsidRDefault="00E934BE" w:rsidP="0054772F">
      <w:pPr>
        <w:spacing w:before="240" w:after="60"/>
        <w:ind w:right="238"/>
        <w:jc w:val="both"/>
      </w:pPr>
      <w:r w:rsidRPr="0093247C">
        <w:t>McPhee et al. (202</w:t>
      </w:r>
      <w:r w:rsidR="00815FF6" w:rsidRPr="0093247C">
        <w:t>2</w:t>
      </w:r>
      <w:r w:rsidRPr="0093247C">
        <w:t xml:space="preserve">) ‘Criminal justice responses to domestic violence and abuse in England: An analysis of case attrition and inequalities using police data’, </w:t>
      </w:r>
      <w:r w:rsidRPr="0093247C">
        <w:rPr>
          <w:i/>
          <w:iCs/>
        </w:rPr>
        <w:t xml:space="preserve">Policing and Society, </w:t>
      </w:r>
      <w:r w:rsidRPr="0093247C">
        <w:t>32</w:t>
      </w:r>
      <w:r w:rsidR="00815FF6" w:rsidRPr="0093247C">
        <w:t>(8), pp. 963-980</w:t>
      </w:r>
    </w:p>
    <w:p w14:paraId="62BEF56A" w14:textId="77777777" w:rsidR="0054772F" w:rsidRPr="0093247C" w:rsidRDefault="00E740C6" w:rsidP="0054772F">
      <w:pPr>
        <w:spacing w:before="240" w:after="60"/>
        <w:ind w:right="238"/>
        <w:jc w:val="both"/>
      </w:pPr>
      <w:r w:rsidRPr="0093247C">
        <w:t xml:space="preserve">Meyer, S.R., Lasater, M.E. and Garcia-Moreno, C. (2020) ‘Violence against older women: A systematic review of qualitative literature’, </w:t>
      </w:r>
      <w:r w:rsidRPr="0093247C">
        <w:rPr>
          <w:i/>
          <w:iCs/>
        </w:rPr>
        <w:t xml:space="preserve">Plos One, </w:t>
      </w:r>
      <w:r w:rsidRPr="0093247C">
        <w:t xml:space="preserve">15(9), pp. 1-43. </w:t>
      </w:r>
    </w:p>
    <w:p w14:paraId="7E5D3DEE" w14:textId="3F2D3CE8" w:rsidR="0054772F" w:rsidRPr="0093247C" w:rsidRDefault="0054772F" w:rsidP="0054772F">
      <w:pPr>
        <w:spacing w:before="240" w:after="60"/>
        <w:ind w:right="238"/>
        <w:jc w:val="both"/>
      </w:pPr>
      <w:r w:rsidRPr="0093247C">
        <w:t xml:space="preserve">Morrow, W.J., Katz, C.M. and Choate, D.E. (2016) ‘Assessing the Impact of Police Body-worn camera on Arresting, Prosecuting and Convicting Suspects of Intimate Partner Violence’, </w:t>
      </w:r>
      <w:r w:rsidRPr="0093247C">
        <w:rPr>
          <w:i/>
          <w:iCs/>
        </w:rPr>
        <w:t>Police Quarterly,</w:t>
      </w:r>
      <w:r w:rsidRPr="0093247C">
        <w:t xml:space="preserve"> 0(0), pp. 1-23. </w:t>
      </w:r>
      <w:r w:rsidRPr="0093247C">
        <w:rPr>
          <w:i/>
          <w:iCs/>
        </w:rPr>
        <w:t xml:space="preserve"> </w:t>
      </w:r>
    </w:p>
    <w:p w14:paraId="510AA93A" w14:textId="77777777" w:rsidR="0054772F" w:rsidRPr="0093247C" w:rsidRDefault="006C33D6" w:rsidP="0054772F">
      <w:pPr>
        <w:spacing w:before="240" w:after="60"/>
        <w:ind w:right="238"/>
        <w:jc w:val="both"/>
      </w:pPr>
      <w:r w:rsidRPr="0093247C">
        <w:t xml:space="preserve">Myhill, A., Hohl, K. and Johnson, K. (2023) ‘The officer effect in risk assessment for domestic abuse: Findings from a mixed methods study in England and Wales’, </w:t>
      </w:r>
      <w:r w:rsidRPr="0093247C">
        <w:rPr>
          <w:i/>
          <w:iCs/>
        </w:rPr>
        <w:t xml:space="preserve">European Journal of Criminology, </w:t>
      </w:r>
      <w:r w:rsidRPr="0093247C">
        <w:t xml:space="preserve">20(3), pp. 856-877. </w:t>
      </w:r>
    </w:p>
    <w:p w14:paraId="6C34B91D" w14:textId="77777777" w:rsidR="0054772F" w:rsidRPr="0093247C" w:rsidRDefault="00E740C6" w:rsidP="0054772F">
      <w:pPr>
        <w:spacing w:before="240" w:after="60"/>
        <w:ind w:right="238"/>
        <w:jc w:val="both"/>
      </w:pPr>
      <w:r w:rsidRPr="0093247C">
        <w:t xml:space="preserve">ONS (2021) </w:t>
      </w:r>
      <w:r w:rsidRPr="0093247C">
        <w:rPr>
          <w:i/>
          <w:iCs/>
        </w:rPr>
        <w:t xml:space="preserve">Domestic Abuse in England and Wales overview: November 2021. </w:t>
      </w:r>
      <w:r w:rsidRPr="0093247C">
        <w:t xml:space="preserve">Available at: </w:t>
      </w:r>
      <w:hyperlink r:id="rId30" w:history="1">
        <w:r w:rsidRPr="0093247C">
          <w:rPr>
            <w:rStyle w:val="Hyperlink"/>
          </w:rPr>
          <w:t>Domestic abuse in England and Wales overview - Office for National Statistics</w:t>
        </w:r>
      </w:hyperlink>
      <w:r w:rsidRPr="0093247C">
        <w:t xml:space="preserve"> (Accessed: 22 January 2025). </w:t>
      </w:r>
    </w:p>
    <w:p w14:paraId="5F39488F" w14:textId="77777777" w:rsidR="0054772F" w:rsidRPr="0093247C" w:rsidRDefault="000F1607" w:rsidP="0054772F">
      <w:pPr>
        <w:spacing w:before="240" w:after="60"/>
        <w:ind w:right="238"/>
        <w:jc w:val="both"/>
      </w:pPr>
      <w:r w:rsidRPr="0093247C">
        <w:t xml:space="preserve">ONS (2024) </w:t>
      </w:r>
      <w:r w:rsidRPr="0093247C">
        <w:rPr>
          <w:i/>
          <w:iCs/>
        </w:rPr>
        <w:t>Domestic abuse in England and Wales overview: November 2024</w:t>
      </w:r>
      <w:r w:rsidRPr="0093247C">
        <w:t xml:space="preserve">. Available at: </w:t>
      </w:r>
      <w:hyperlink r:id="rId31" w:history="1">
        <w:r w:rsidRPr="0093247C">
          <w:rPr>
            <w:rStyle w:val="Hyperlink"/>
          </w:rPr>
          <w:t>Domestic abuse in England and Wales overview - Office for National Statistics</w:t>
        </w:r>
      </w:hyperlink>
      <w:r w:rsidRPr="0093247C">
        <w:t xml:space="preserve"> (Accessed: 18 January 2025). </w:t>
      </w:r>
    </w:p>
    <w:p w14:paraId="2D94AEA3" w14:textId="77777777" w:rsidR="0054772F" w:rsidRPr="0093247C" w:rsidRDefault="00865E72" w:rsidP="0054772F">
      <w:pPr>
        <w:spacing w:before="240" w:after="60"/>
        <w:ind w:right="238"/>
        <w:jc w:val="both"/>
      </w:pPr>
      <w:r w:rsidRPr="0093247C">
        <w:lastRenderedPageBreak/>
        <w:t xml:space="preserve">Pepper, I., Rogers, C. and Martin, H. (2020) ‘Evidence based policing: a view on its development within the police service’, </w:t>
      </w:r>
      <w:r w:rsidR="00DE5A5C" w:rsidRPr="0093247C">
        <w:rPr>
          <w:i/>
          <w:iCs/>
        </w:rPr>
        <w:t xml:space="preserve">Journal of Work-Applied Management, </w:t>
      </w:r>
      <w:r w:rsidR="00DE5A5C" w:rsidRPr="0093247C">
        <w:t>12(1), pp. 91-96.</w:t>
      </w:r>
    </w:p>
    <w:p w14:paraId="71285097" w14:textId="77777777" w:rsidR="0054772F" w:rsidRPr="0093247C" w:rsidRDefault="000F1607" w:rsidP="0054772F">
      <w:pPr>
        <w:spacing w:before="240" w:after="60"/>
        <w:ind w:right="238"/>
        <w:jc w:val="both"/>
      </w:pPr>
      <w:r w:rsidRPr="0093247C">
        <w:t xml:space="preserve">Refuge (2024) </w:t>
      </w:r>
      <w:r w:rsidRPr="0093247C">
        <w:rPr>
          <w:i/>
          <w:iCs/>
        </w:rPr>
        <w:t xml:space="preserve">Facts and Statistics. </w:t>
      </w:r>
      <w:r w:rsidRPr="0093247C">
        <w:t xml:space="preserve">Available at: </w:t>
      </w:r>
      <w:hyperlink r:id="rId32" w:history="1">
        <w:r w:rsidRPr="0093247C">
          <w:rPr>
            <w:rStyle w:val="Hyperlink"/>
          </w:rPr>
          <w:t>Facts and Statistics - Refuge</w:t>
        </w:r>
      </w:hyperlink>
      <w:r w:rsidRPr="0093247C">
        <w:t xml:space="preserve"> (Accessed: 18 January 2025). </w:t>
      </w:r>
    </w:p>
    <w:p w14:paraId="485F256B" w14:textId="5DE68FD2" w:rsidR="006C33D6" w:rsidRPr="0093247C" w:rsidRDefault="006C33D6" w:rsidP="0054772F">
      <w:pPr>
        <w:spacing w:before="240" w:after="60"/>
        <w:ind w:right="238"/>
        <w:jc w:val="both"/>
      </w:pPr>
      <w:r w:rsidRPr="0093247C">
        <w:t xml:space="preserve">Ringland, C. (2018) ‘The Domestic Violence Safety Assessment Tool (DVSAT) and Intimate Partner repeat victimisation’, </w:t>
      </w:r>
      <w:r w:rsidRPr="0093247C">
        <w:rPr>
          <w:i/>
          <w:iCs/>
        </w:rPr>
        <w:t xml:space="preserve">Contempoary issues in Crime and Justice, </w:t>
      </w:r>
      <w:r w:rsidRPr="0093247C">
        <w:t xml:space="preserve">213(1), pp. 1-20. </w:t>
      </w:r>
    </w:p>
    <w:p w14:paraId="4C1054A6" w14:textId="223A606C" w:rsidR="00280BA2" w:rsidRPr="00397B45" w:rsidRDefault="00280BA2" w:rsidP="00EA28F1">
      <w:pPr>
        <w:keepNext/>
        <w:spacing w:before="240" w:after="60"/>
        <w:ind w:right="237"/>
        <w:jc w:val="both"/>
      </w:pPr>
      <w:r w:rsidRPr="00397B45">
        <w:t xml:space="preserve">Robinson, A.L. (2006) ‘Reducing Repeat Victimisation Among High-Risk Victims of Domestic Violence: The Benefits of a Coordinated Community Response in Cardiff, Wales’, </w:t>
      </w:r>
      <w:r w:rsidRPr="00397B45">
        <w:rPr>
          <w:i/>
          <w:iCs/>
        </w:rPr>
        <w:t xml:space="preserve">Violence Against Women, </w:t>
      </w:r>
      <w:r w:rsidRPr="00397B45">
        <w:t xml:space="preserve">12(8), pp. 761-788. </w:t>
      </w:r>
    </w:p>
    <w:p w14:paraId="58576B5B" w14:textId="31776353" w:rsidR="00E934BE" w:rsidRPr="00397B45" w:rsidRDefault="00E934BE" w:rsidP="00EA28F1">
      <w:pPr>
        <w:keepNext/>
        <w:spacing w:before="240" w:after="60"/>
        <w:ind w:right="237"/>
        <w:jc w:val="both"/>
      </w:pPr>
      <w:r w:rsidRPr="00397B45">
        <w:t xml:space="preserve">Robinson, A.L. and Cook, D. (2006) ‘Understanding victim retraction in cases of domestic violence: Specialist courts, government policy and victim-centred justice’, </w:t>
      </w:r>
      <w:r w:rsidRPr="00397B45">
        <w:rPr>
          <w:i/>
          <w:iCs/>
        </w:rPr>
        <w:t xml:space="preserve">Contemporary Justice Review, </w:t>
      </w:r>
      <w:r w:rsidRPr="00397B45">
        <w:t xml:space="preserve">9(2), pp. 189-213. </w:t>
      </w:r>
    </w:p>
    <w:p w14:paraId="4E19C133" w14:textId="011B949A" w:rsidR="00B05D17" w:rsidRPr="00397B45" w:rsidRDefault="00B05D17" w:rsidP="00EA28F1">
      <w:pPr>
        <w:keepNext/>
        <w:spacing w:before="240" w:after="60"/>
        <w:ind w:right="237"/>
        <w:jc w:val="both"/>
      </w:pPr>
      <w:r w:rsidRPr="00397B45">
        <w:t xml:space="preserve">Robinson, A.L. and Tregidga, J. (2007) ‘The Perceptions of High-Risk Victims of Domestic Violence to a Coordinated Community Response in Cardiff, Wales’, </w:t>
      </w:r>
      <w:r w:rsidRPr="00397B45">
        <w:rPr>
          <w:i/>
          <w:iCs/>
        </w:rPr>
        <w:t xml:space="preserve">Violence Against Women, </w:t>
      </w:r>
      <w:r w:rsidRPr="00397B45">
        <w:t xml:space="preserve">13(11), pp. 1130-1148. </w:t>
      </w:r>
    </w:p>
    <w:p w14:paraId="377C7901" w14:textId="240576E4" w:rsidR="009017F3" w:rsidRPr="00397B45" w:rsidRDefault="009017F3" w:rsidP="00EA28F1">
      <w:pPr>
        <w:keepNext/>
        <w:spacing w:before="240" w:after="60"/>
        <w:ind w:right="237"/>
        <w:jc w:val="both"/>
      </w:pPr>
      <w:r w:rsidRPr="00397B45">
        <w:t xml:space="preserve">SafeLives (2016) </w:t>
      </w:r>
      <w:r w:rsidRPr="00397B45">
        <w:rPr>
          <w:i/>
          <w:iCs/>
        </w:rPr>
        <w:t xml:space="preserve">Safe Later Lives: Older people and domestic abuse. </w:t>
      </w:r>
      <w:r w:rsidRPr="00397B45">
        <w:t xml:space="preserve">Available at: </w:t>
      </w:r>
      <w:hyperlink r:id="rId33" w:history="1">
        <w:r w:rsidRPr="00397B45">
          <w:rPr>
            <w:rStyle w:val="Hyperlink"/>
          </w:rPr>
          <w:t>Safe-Later-Lives-Older-people-and-domestic-abuse-Spotlight.pdf</w:t>
        </w:r>
      </w:hyperlink>
      <w:r w:rsidRPr="00397B45">
        <w:t xml:space="preserve"> (Accessed: 22 January 2025). </w:t>
      </w:r>
    </w:p>
    <w:p w14:paraId="20DF58F7" w14:textId="243FCBE3" w:rsidR="00280BA2" w:rsidRPr="00397B45" w:rsidRDefault="00280BA2" w:rsidP="00EA28F1">
      <w:pPr>
        <w:keepNext/>
        <w:spacing w:before="240" w:after="60"/>
        <w:ind w:right="237"/>
        <w:jc w:val="both"/>
      </w:pPr>
      <w:r w:rsidRPr="00397B45">
        <w:t xml:space="preserve">SafeLives (2024) </w:t>
      </w:r>
      <w:r w:rsidRPr="00397B45">
        <w:rPr>
          <w:i/>
          <w:iCs/>
        </w:rPr>
        <w:t xml:space="preserve">Multi-Agency Risk Assessment Conference (MARC) Overview – Last updated March 2024. </w:t>
      </w:r>
      <w:r w:rsidRPr="00397B45">
        <w:t xml:space="preserve">Available at: </w:t>
      </w:r>
      <w:hyperlink r:id="rId34" w:history="1">
        <w:r w:rsidRPr="00397B45">
          <w:rPr>
            <w:rStyle w:val="Hyperlink"/>
          </w:rPr>
          <w:t>SafeLives-Marac-Overview-June-2024.pdf</w:t>
        </w:r>
      </w:hyperlink>
      <w:r w:rsidRPr="00397B45">
        <w:t xml:space="preserve"> (Accessed: 22 January 2025). </w:t>
      </w:r>
    </w:p>
    <w:p w14:paraId="02A2C84C" w14:textId="4631777B" w:rsidR="00865E72" w:rsidRPr="00397B45" w:rsidRDefault="00865E72" w:rsidP="00EA28F1">
      <w:pPr>
        <w:keepNext/>
        <w:spacing w:before="240" w:after="60"/>
        <w:ind w:right="237"/>
        <w:jc w:val="both"/>
      </w:pPr>
      <w:r w:rsidRPr="00397B45">
        <w:t xml:space="preserve">Sherman, L. (1998) </w:t>
      </w:r>
      <w:r w:rsidRPr="00397B45">
        <w:rPr>
          <w:i/>
          <w:iCs/>
        </w:rPr>
        <w:t xml:space="preserve">Evidence-based Policing: Ideas in American Policing. </w:t>
      </w:r>
      <w:r w:rsidRPr="00397B45">
        <w:t xml:space="preserve">Washington, D.C; Police Foundation. </w:t>
      </w:r>
    </w:p>
    <w:p w14:paraId="64E1A53A" w14:textId="6D3B4EA3" w:rsidR="00280BA2" w:rsidRPr="00397B45" w:rsidRDefault="00280BA2" w:rsidP="00EA28F1">
      <w:pPr>
        <w:keepNext/>
        <w:spacing w:before="240" w:after="60"/>
        <w:ind w:right="237"/>
        <w:jc w:val="both"/>
      </w:pPr>
      <w:r w:rsidRPr="00397B45">
        <w:t xml:space="preserve">Wales Safeguarding Procedure (2025) </w:t>
      </w:r>
      <w:r w:rsidRPr="00397B45">
        <w:rPr>
          <w:i/>
          <w:iCs/>
        </w:rPr>
        <w:t xml:space="preserve">The Strategy Discussion/Meeting. </w:t>
      </w:r>
      <w:r w:rsidRPr="00397B45">
        <w:t xml:space="preserve">Available at: </w:t>
      </w:r>
      <w:hyperlink r:id="rId35" w:history="1">
        <w:r w:rsidRPr="00397B45">
          <w:rPr>
            <w:rStyle w:val="Hyperlink"/>
          </w:rPr>
          <w:t>Safeguarding Wales</w:t>
        </w:r>
      </w:hyperlink>
      <w:r w:rsidRPr="00397B45">
        <w:t xml:space="preserve"> (Accessed: 22 January 2025). </w:t>
      </w:r>
    </w:p>
    <w:p w14:paraId="42FAC72F" w14:textId="17450BEA" w:rsidR="006C33D6" w:rsidRPr="00397B45" w:rsidRDefault="006C33D6" w:rsidP="00EA28F1">
      <w:pPr>
        <w:keepNext/>
        <w:spacing w:before="240" w:after="60"/>
        <w:ind w:right="237"/>
        <w:jc w:val="both"/>
      </w:pPr>
      <w:r w:rsidRPr="00397B45">
        <w:t xml:space="preserve">Walton, D. and Hendy, R. (2023) </w:t>
      </w:r>
      <w:r w:rsidR="00971ABA" w:rsidRPr="00397B45">
        <w:t xml:space="preserve">‘Police and Court Interventions for Family Violence: Evidence-Based Practices’ in Sturmey, P. (ed.) </w:t>
      </w:r>
      <w:r w:rsidR="00971ABA" w:rsidRPr="00397B45">
        <w:rPr>
          <w:i/>
          <w:iCs/>
        </w:rPr>
        <w:t xml:space="preserve">Violence in Families: Integrating Research into Practice. </w:t>
      </w:r>
      <w:r w:rsidR="00971ABA" w:rsidRPr="00397B45">
        <w:t xml:space="preserve">New York: Springer. </w:t>
      </w:r>
    </w:p>
    <w:p w14:paraId="5AF960E4" w14:textId="69C01182" w:rsidR="000F1607" w:rsidRPr="00397B45" w:rsidRDefault="000F1607" w:rsidP="00EA28F1">
      <w:pPr>
        <w:keepNext/>
        <w:spacing w:before="240" w:after="60"/>
        <w:ind w:right="237"/>
        <w:jc w:val="both"/>
      </w:pPr>
      <w:r w:rsidRPr="00397B45">
        <w:t xml:space="preserve">Weir, R. (2024) ‘Differentiating risk: The association between relationship type and risk of repeat victimization of domestic abuse’, </w:t>
      </w:r>
      <w:r w:rsidRPr="00397B45">
        <w:rPr>
          <w:i/>
          <w:iCs/>
        </w:rPr>
        <w:t xml:space="preserve">Policing: A journal of Policy and Practice, </w:t>
      </w:r>
      <w:r w:rsidRPr="00397B45">
        <w:t xml:space="preserve">18(1), pp. 1-13. </w:t>
      </w:r>
    </w:p>
    <w:p w14:paraId="6EE4B0A5" w14:textId="596F610B" w:rsidR="00B05D17" w:rsidRPr="00397B45" w:rsidRDefault="00B05D17" w:rsidP="00EA28F1">
      <w:pPr>
        <w:keepNext/>
        <w:spacing w:before="240" w:after="60"/>
        <w:ind w:right="237"/>
        <w:jc w:val="both"/>
      </w:pPr>
      <w:r w:rsidRPr="00397B45">
        <w:t xml:space="preserve">Welsh, K. (2022) ‘Long-term partners – Reflections on the shifts in partnership responses to domestic violence’, </w:t>
      </w:r>
      <w:r w:rsidRPr="00397B45">
        <w:rPr>
          <w:i/>
          <w:iCs/>
        </w:rPr>
        <w:t xml:space="preserve">International Review of Victimology, </w:t>
      </w:r>
      <w:r w:rsidRPr="00397B45">
        <w:t xml:space="preserve">29(1), pp. 27-51. </w:t>
      </w:r>
    </w:p>
    <w:p w14:paraId="3C7E6542" w14:textId="78722FE4" w:rsidR="00A302FD" w:rsidRPr="00397B45" w:rsidRDefault="00A302FD" w:rsidP="00EA28F1">
      <w:pPr>
        <w:keepNext/>
        <w:spacing w:before="240" w:after="60"/>
        <w:ind w:right="237"/>
        <w:jc w:val="both"/>
      </w:pPr>
      <w:r w:rsidRPr="00397B45">
        <w:t xml:space="preserve">Women’s Aid (2024) </w:t>
      </w:r>
      <w:r w:rsidRPr="00397B45">
        <w:rPr>
          <w:i/>
          <w:iCs/>
        </w:rPr>
        <w:t xml:space="preserve">What is coercive control?. </w:t>
      </w:r>
      <w:r w:rsidRPr="00397B45">
        <w:t xml:space="preserve">Available at: </w:t>
      </w:r>
      <w:hyperlink r:id="rId36" w:history="1">
        <w:r w:rsidRPr="00397B45">
          <w:rPr>
            <w:rStyle w:val="Hyperlink"/>
          </w:rPr>
          <w:t>Coercive control - Women’s Aid</w:t>
        </w:r>
      </w:hyperlink>
      <w:r w:rsidRPr="00397B45">
        <w:t xml:space="preserve"> (Accessed: 18 January 2025). </w:t>
      </w:r>
    </w:p>
    <w:sectPr w:rsidR="00A302FD" w:rsidRPr="00397B4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D29CE" w14:textId="77777777" w:rsidR="0064788C" w:rsidRDefault="0064788C">
      <w:r>
        <w:separator/>
      </w:r>
    </w:p>
  </w:endnote>
  <w:endnote w:type="continuationSeparator" w:id="0">
    <w:p w14:paraId="590C196C" w14:textId="77777777" w:rsidR="0064788C" w:rsidRDefault="006478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D41E7" w14:textId="77777777" w:rsidR="0064788C" w:rsidRDefault="0064788C">
      <w:r>
        <w:separator/>
      </w:r>
    </w:p>
  </w:footnote>
  <w:footnote w:type="continuationSeparator" w:id="0">
    <w:p w14:paraId="7CF9857C" w14:textId="77777777" w:rsidR="0064788C" w:rsidRDefault="0064788C">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EC0B3E"/>
    <w:multiLevelType w:val="hybridMultilevel"/>
    <w:tmpl w:val="4D88F17C"/>
    <w:lvl w:ilvl="0" w:tplc="7AB026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A655A0"/>
    <w:multiLevelType w:val="hybridMultilevel"/>
    <w:tmpl w:val="156C4984"/>
    <w:lvl w:ilvl="0" w:tplc="737008B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6"/>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1"/>
  </w:num>
  <w:num w:numId="4" w16cid:durableId="797259064">
    <w:abstractNumId w:val="5"/>
  </w:num>
  <w:num w:numId="5" w16cid:durableId="1722634903">
    <w:abstractNumId w:val="2"/>
  </w:num>
  <w:num w:numId="6" w16cid:durableId="339695764">
    <w:abstractNumId w:val="7"/>
  </w:num>
  <w:num w:numId="7" w16cid:durableId="2100057071">
    <w:abstractNumId w:val="4"/>
  </w:num>
  <w:num w:numId="8" w16cid:durableId="16539812">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27CDA"/>
    <w:rsid w:val="0003088B"/>
    <w:rsid w:val="000325D9"/>
    <w:rsid w:val="000372B2"/>
    <w:rsid w:val="0004079F"/>
    <w:rsid w:val="00045B87"/>
    <w:rsid w:val="00045C07"/>
    <w:rsid w:val="00055D43"/>
    <w:rsid w:val="00056FAC"/>
    <w:rsid w:val="00057751"/>
    <w:rsid w:val="00062E39"/>
    <w:rsid w:val="0006580E"/>
    <w:rsid w:val="00070A81"/>
    <w:rsid w:val="00071EB1"/>
    <w:rsid w:val="00077942"/>
    <w:rsid w:val="00080E58"/>
    <w:rsid w:val="00083D99"/>
    <w:rsid w:val="00084EA6"/>
    <w:rsid w:val="000854B4"/>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607"/>
    <w:rsid w:val="000F1769"/>
    <w:rsid w:val="000F2A07"/>
    <w:rsid w:val="000F6196"/>
    <w:rsid w:val="000F7ECD"/>
    <w:rsid w:val="0010130C"/>
    <w:rsid w:val="00102E64"/>
    <w:rsid w:val="0010312C"/>
    <w:rsid w:val="00106DC7"/>
    <w:rsid w:val="00112391"/>
    <w:rsid w:val="00114F52"/>
    <w:rsid w:val="0012135C"/>
    <w:rsid w:val="00126940"/>
    <w:rsid w:val="00130E83"/>
    <w:rsid w:val="001314D1"/>
    <w:rsid w:val="001347F8"/>
    <w:rsid w:val="00137BB5"/>
    <w:rsid w:val="00137E05"/>
    <w:rsid w:val="001447F6"/>
    <w:rsid w:val="00146195"/>
    <w:rsid w:val="00147DE3"/>
    <w:rsid w:val="00150794"/>
    <w:rsid w:val="001608C4"/>
    <w:rsid w:val="00163424"/>
    <w:rsid w:val="00171418"/>
    <w:rsid w:val="00171D38"/>
    <w:rsid w:val="00174F29"/>
    <w:rsid w:val="00190913"/>
    <w:rsid w:val="001961CF"/>
    <w:rsid w:val="001A16AF"/>
    <w:rsid w:val="001A50BC"/>
    <w:rsid w:val="001A59BB"/>
    <w:rsid w:val="001A6A51"/>
    <w:rsid w:val="001A79C4"/>
    <w:rsid w:val="001B331A"/>
    <w:rsid w:val="001C0E74"/>
    <w:rsid w:val="001C6CEC"/>
    <w:rsid w:val="001D229F"/>
    <w:rsid w:val="001D4935"/>
    <w:rsid w:val="001D59CE"/>
    <w:rsid w:val="001D6162"/>
    <w:rsid w:val="001E642D"/>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273EA"/>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0BA2"/>
    <w:rsid w:val="00291ADD"/>
    <w:rsid w:val="00294868"/>
    <w:rsid w:val="00295CA1"/>
    <w:rsid w:val="002A291A"/>
    <w:rsid w:val="002A3644"/>
    <w:rsid w:val="002A5604"/>
    <w:rsid w:val="002B1701"/>
    <w:rsid w:val="002B23C3"/>
    <w:rsid w:val="002B443A"/>
    <w:rsid w:val="002B5B35"/>
    <w:rsid w:val="002C256A"/>
    <w:rsid w:val="002C496D"/>
    <w:rsid w:val="002D05EB"/>
    <w:rsid w:val="002D2F29"/>
    <w:rsid w:val="002D2FD3"/>
    <w:rsid w:val="002E6C4F"/>
    <w:rsid w:val="002E7017"/>
    <w:rsid w:val="002F4EB3"/>
    <w:rsid w:val="002F4F6E"/>
    <w:rsid w:val="003015C3"/>
    <w:rsid w:val="003017F2"/>
    <w:rsid w:val="0030698D"/>
    <w:rsid w:val="0031350A"/>
    <w:rsid w:val="00316815"/>
    <w:rsid w:val="003168CA"/>
    <w:rsid w:val="00321255"/>
    <w:rsid w:val="0032230D"/>
    <w:rsid w:val="00322A0B"/>
    <w:rsid w:val="003238F9"/>
    <w:rsid w:val="003245CF"/>
    <w:rsid w:val="00332F54"/>
    <w:rsid w:val="00335FC5"/>
    <w:rsid w:val="00340E9A"/>
    <w:rsid w:val="003516C0"/>
    <w:rsid w:val="00352E59"/>
    <w:rsid w:val="00354DBE"/>
    <w:rsid w:val="00355210"/>
    <w:rsid w:val="003555D5"/>
    <w:rsid w:val="00365DF9"/>
    <w:rsid w:val="0036668D"/>
    <w:rsid w:val="00372DB4"/>
    <w:rsid w:val="0037490C"/>
    <w:rsid w:val="00374DC9"/>
    <w:rsid w:val="00375AF5"/>
    <w:rsid w:val="003761BD"/>
    <w:rsid w:val="003769F6"/>
    <w:rsid w:val="00383298"/>
    <w:rsid w:val="00385414"/>
    <w:rsid w:val="00387837"/>
    <w:rsid w:val="00390074"/>
    <w:rsid w:val="00394EC2"/>
    <w:rsid w:val="0039762B"/>
    <w:rsid w:val="00397B45"/>
    <w:rsid w:val="003A0C37"/>
    <w:rsid w:val="003A1B6B"/>
    <w:rsid w:val="003A2F82"/>
    <w:rsid w:val="003A46C0"/>
    <w:rsid w:val="003A600E"/>
    <w:rsid w:val="003A6513"/>
    <w:rsid w:val="003B16C7"/>
    <w:rsid w:val="003B22AC"/>
    <w:rsid w:val="003B3E48"/>
    <w:rsid w:val="003C19F1"/>
    <w:rsid w:val="003C4186"/>
    <w:rsid w:val="003C458C"/>
    <w:rsid w:val="003C6185"/>
    <w:rsid w:val="003D04DB"/>
    <w:rsid w:val="003D0D2D"/>
    <w:rsid w:val="003D4710"/>
    <w:rsid w:val="003D4989"/>
    <w:rsid w:val="003D4FCB"/>
    <w:rsid w:val="003E16D7"/>
    <w:rsid w:val="003E197E"/>
    <w:rsid w:val="004046F0"/>
    <w:rsid w:val="0040668F"/>
    <w:rsid w:val="00412677"/>
    <w:rsid w:val="00413112"/>
    <w:rsid w:val="00417925"/>
    <w:rsid w:val="0042336C"/>
    <w:rsid w:val="00431825"/>
    <w:rsid w:val="004348AE"/>
    <w:rsid w:val="00435E9A"/>
    <w:rsid w:val="004376C0"/>
    <w:rsid w:val="0044115F"/>
    <w:rsid w:val="0044223A"/>
    <w:rsid w:val="00446792"/>
    <w:rsid w:val="00446F80"/>
    <w:rsid w:val="00450C83"/>
    <w:rsid w:val="004510F4"/>
    <w:rsid w:val="00451851"/>
    <w:rsid w:val="00453343"/>
    <w:rsid w:val="004578E4"/>
    <w:rsid w:val="004608B9"/>
    <w:rsid w:val="00460ADB"/>
    <w:rsid w:val="004614B1"/>
    <w:rsid w:val="00465947"/>
    <w:rsid w:val="004672C1"/>
    <w:rsid w:val="00470BB1"/>
    <w:rsid w:val="004718F7"/>
    <w:rsid w:val="00473153"/>
    <w:rsid w:val="004743AF"/>
    <w:rsid w:val="00475F81"/>
    <w:rsid w:val="00482C17"/>
    <w:rsid w:val="004911B4"/>
    <w:rsid w:val="0049196A"/>
    <w:rsid w:val="004923DA"/>
    <w:rsid w:val="00493434"/>
    <w:rsid w:val="004962F9"/>
    <w:rsid w:val="004968E2"/>
    <w:rsid w:val="004A07F1"/>
    <w:rsid w:val="004A14C4"/>
    <w:rsid w:val="004A2A49"/>
    <w:rsid w:val="004B2E17"/>
    <w:rsid w:val="004B4CB8"/>
    <w:rsid w:val="004B50CB"/>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3CFD"/>
    <w:rsid w:val="005169D1"/>
    <w:rsid w:val="00521123"/>
    <w:rsid w:val="00521221"/>
    <w:rsid w:val="00527D46"/>
    <w:rsid w:val="00536FA9"/>
    <w:rsid w:val="005414F4"/>
    <w:rsid w:val="00546187"/>
    <w:rsid w:val="005463F1"/>
    <w:rsid w:val="0054772F"/>
    <w:rsid w:val="00557D77"/>
    <w:rsid w:val="00562EAA"/>
    <w:rsid w:val="00563B58"/>
    <w:rsid w:val="005640C4"/>
    <w:rsid w:val="00564C53"/>
    <w:rsid w:val="0056684C"/>
    <w:rsid w:val="00574A0C"/>
    <w:rsid w:val="00576E4C"/>
    <w:rsid w:val="0057780F"/>
    <w:rsid w:val="00581E0A"/>
    <w:rsid w:val="00582870"/>
    <w:rsid w:val="00586D89"/>
    <w:rsid w:val="005916B8"/>
    <w:rsid w:val="00593979"/>
    <w:rsid w:val="00593D00"/>
    <w:rsid w:val="005967B4"/>
    <w:rsid w:val="005A1B4C"/>
    <w:rsid w:val="005A1BA3"/>
    <w:rsid w:val="005A545C"/>
    <w:rsid w:val="005C1567"/>
    <w:rsid w:val="005C6CE5"/>
    <w:rsid w:val="005C76DE"/>
    <w:rsid w:val="005D3F07"/>
    <w:rsid w:val="005D583E"/>
    <w:rsid w:val="005E13EA"/>
    <w:rsid w:val="005E53BD"/>
    <w:rsid w:val="00606E27"/>
    <w:rsid w:val="006108C9"/>
    <w:rsid w:val="006147C0"/>
    <w:rsid w:val="00615C7E"/>
    <w:rsid w:val="0062158D"/>
    <w:rsid w:val="00630F39"/>
    <w:rsid w:val="00631CF8"/>
    <w:rsid w:val="006326D1"/>
    <w:rsid w:val="00632E0A"/>
    <w:rsid w:val="00633165"/>
    <w:rsid w:val="00636B6C"/>
    <w:rsid w:val="006447DE"/>
    <w:rsid w:val="006459C5"/>
    <w:rsid w:val="0064788C"/>
    <w:rsid w:val="006525E0"/>
    <w:rsid w:val="0065276E"/>
    <w:rsid w:val="00654329"/>
    <w:rsid w:val="00654CEC"/>
    <w:rsid w:val="00655507"/>
    <w:rsid w:val="00662D74"/>
    <w:rsid w:val="006666FA"/>
    <w:rsid w:val="006712A7"/>
    <w:rsid w:val="006733CC"/>
    <w:rsid w:val="00674FC2"/>
    <w:rsid w:val="00677E42"/>
    <w:rsid w:val="00682334"/>
    <w:rsid w:val="00684B16"/>
    <w:rsid w:val="00694C00"/>
    <w:rsid w:val="00696F65"/>
    <w:rsid w:val="006A1C2D"/>
    <w:rsid w:val="006A61C1"/>
    <w:rsid w:val="006A7A6D"/>
    <w:rsid w:val="006B5E67"/>
    <w:rsid w:val="006C2EB5"/>
    <w:rsid w:val="006C33D6"/>
    <w:rsid w:val="006D18A3"/>
    <w:rsid w:val="006D5970"/>
    <w:rsid w:val="006E481E"/>
    <w:rsid w:val="006E795F"/>
    <w:rsid w:val="00700249"/>
    <w:rsid w:val="0070604C"/>
    <w:rsid w:val="007069CD"/>
    <w:rsid w:val="00707627"/>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6FD0"/>
    <w:rsid w:val="00772924"/>
    <w:rsid w:val="00775BE2"/>
    <w:rsid w:val="00784EC4"/>
    <w:rsid w:val="007872F2"/>
    <w:rsid w:val="007874BC"/>
    <w:rsid w:val="00790417"/>
    <w:rsid w:val="007908E0"/>
    <w:rsid w:val="00793EB3"/>
    <w:rsid w:val="00794205"/>
    <w:rsid w:val="00797012"/>
    <w:rsid w:val="007A1F6A"/>
    <w:rsid w:val="007B0DE3"/>
    <w:rsid w:val="007B491F"/>
    <w:rsid w:val="007B5CB2"/>
    <w:rsid w:val="007B7191"/>
    <w:rsid w:val="007C1634"/>
    <w:rsid w:val="007C1D94"/>
    <w:rsid w:val="007C2879"/>
    <w:rsid w:val="007C46DA"/>
    <w:rsid w:val="007C6A87"/>
    <w:rsid w:val="007C705D"/>
    <w:rsid w:val="007C7FCE"/>
    <w:rsid w:val="007D0A07"/>
    <w:rsid w:val="007D0C96"/>
    <w:rsid w:val="007D133D"/>
    <w:rsid w:val="007D3EB4"/>
    <w:rsid w:val="007D3F16"/>
    <w:rsid w:val="007D78CC"/>
    <w:rsid w:val="007F3F7E"/>
    <w:rsid w:val="007F5497"/>
    <w:rsid w:val="008121F9"/>
    <w:rsid w:val="00813CEC"/>
    <w:rsid w:val="0081534C"/>
    <w:rsid w:val="00815FF6"/>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E72"/>
    <w:rsid w:val="00866B50"/>
    <w:rsid w:val="008708F1"/>
    <w:rsid w:val="00877252"/>
    <w:rsid w:val="00880539"/>
    <w:rsid w:val="008859E8"/>
    <w:rsid w:val="0088737B"/>
    <w:rsid w:val="00892716"/>
    <w:rsid w:val="00893067"/>
    <w:rsid w:val="008933DE"/>
    <w:rsid w:val="00895FCE"/>
    <w:rsid w:val="00897A7C"/>
    <w:rsid w:val="00897F3E"/>
    <w:rsid w:val="008A1BA8"/>
    <w:rsid w:val="008A21B4"/>
    <w:rsid w:val="008A4576"/>
    <w:rsid w:val="008B07DE"/>
    <w:rsid w:val="008B28E7"/>
    <w:rsid w:val="008B4960"/>
    <w:rsid w:val="008B55AF"/>
    <w:rsid w:val="008C14C7"/>
    <w:rsid w:val="008C2FFB"/>
    <w:rsid w:val="008C6EEA"/>
    <w:rsid w:val="008D5813"/>
    <w:rsid w:val="008D5A7F"/>
    <w:rsid w:val="008D634E"/>
    <w:rsid w:val="008D778A"/>
    <w:rsid w:val="008F22BD"/>
    <w:rsid w:val="008F3EE3"/>
    <w:rsid w:val="008F5AE0"/>
    <w:rsid w:val="009017F3"/>
    <w:rsid w:val="009079BD"/>
    <w:rsid w:val="00907BB5"/>
    <w:rsid w:val="0091135D"/>
    <w:rsid w:val="00912BD9"/>
    <w:rsid w:val="00916CFB"/>
    <w:rsid w:val="00920E5B"/>
    <w:rsid w:val="009249F8"/>
    <w:rsid w:val="00926436"/>
    <w:rsid w:val="0093018C"/>
    <w:rsid w:val="0093247C"/>
    <w:rsid w:val="00932CCA"/>
    <w:rsid w:val="00942E7E"/>
    <w:rsid w:val="00945A49"/>
    <w:rsid w:val="009544C0"/>
    <w:rsid w:val="00954FA4"/>
    <w:rsid w:val="00956AE9"/>
    <w:rsid w:val="00964CC6"/>
    <w:rsid w:val="00971ABA"/>
    <w:rsid w:val="00977A01"/>
    <w:rsid w:val="00985EC5"/>
    <w:rsid w:val="00985F0A"/>
    <w:rsid w:val="00991FDA"/>
    <w:rsid w:val="009927A1"/>
    <w:rsid w:val="0099774D"/>
    <w:rsid w:val="009A04C4"/>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63A6"/>
    <w:rsid w:val="00A10D56"/>
    <w:rsid w:val="00A12AAE"/>
    <w:rsid w:val="00A16DD1"/>
    <w:rsid w:val="00A221AB"/>
    <w:rsid w:val="00A22441"/>
    <w:rsid w:val="00A23F3B"/>
    <w:rsid w:val="00A24406"/>
    <w:rsid w:val="00A25F64"/>
    <w:rsid w:val="00A27CC2"/>
    <w:rsid w:val="00A302FD"/>
    <w:rsid w:val="00A3273B"/>
    <w:rsid w:val="00A40ED6"/>
    <w:rsid w:val="00A470EE"/>
    <w:rsid w:val="00A47621"/>
    <w:rsid w:val="00A47631"/>
    <w:rsid w:val="00A479CD"/>
    <w:rsid w:val="00A50CFC"/>
    <w:rsid w:val="00A54D67"/>
    <w:rsid w:val="00A55A3F"/>
    <w:rsid w:val="00A56BC4"/>
    <w:rsid w:val="00A652F6"/>
    <w:rsid w:val="00A732EA"/>
    <w:rsid w:val="00A7489E"/>
    <w:rsid w:val="00A8015F"/>
    <w:rsid w:val="00A80BD2"/>
    <w:rsid w:val="00A85039"/>
    <w:rsid w:val="00A851F7"/>
    <w:rsid w:val="00A853E9"/>
    <w:rsid w:val="00A906AA"/>
    <w:rsid w:val="00A91255"/>
    <w:rsid w:val="00A917DD"/>
    <w:rsid w:val="00A94C5E"/>
    <w:rsid w:val="00A9729E"/>
    <w:rsid w:val="00A97E64"/>
    <w:rsid w:val="00AA241A"/>
    <w:rsid w:val="00AA252C"/>
    <w:rsid w:val="00AA666E"/>
    <w:rsid w:val="00AB4640"/>
    <w:rsid w:val="00AB5518"/>
    <w:rsid w:val="00AC01D4"/>
    <w:rsid w:val="00AC4A04"/>
    <w:rsid w:val="00AD186F"/>
    <w:rsid w:val="00AD336F"/>
    <w:rsid w:val="00AD3550"/>
    <w:rsid w:val="00AD6CDF"/>
    <w:rsid w:val="00AE2564"/>
    <w:rsid w:val="00AE301F"/>
    <w:rsid w:val="00AE3302"/>
    <w:rsid w:val="00AE7077"/>
    <w:rsid w:val="00AF61C2"/>
    <w:rsid w:val="00AF6CC6"/>
    <w:rsid w:val="00B011CD"/>
    <w:rsid w:val="00B0296A"/>
    <w:rsid w:val="00B05D17"/>
    <w:rsid w:val="00B12295"/>
    <w:rsid w:val="00B137BE"/>
    <w:rsid w:val="00B17FA0"/>
    <w:rsid w:val="00B24344"/>
    <w:rsid w:val="00B26769"/>
    <w:rsid w:val="00B30DC1"/>
    <w:rsid w:val="00B31C91"/>
    <w:rsid w:val="00B3747F"/>
    <w:rsid w:val="00B419D1"/>
    <w:rsid w:val="00B43194"/>
    <w:rsid w:val="00B47734"/>
    <w:rsid w:val="00B50FBA"/>
    <w:rsid w:val="00B558EB"/>
    <w:rsid w:val="00B577D3"/>
    <w:rsid w:val="00B60466"/>
    <w:rsid w:val="00B6548F"/>
    <w:rsid w:val="00B7502A"/>
    <w:rsid w:val="00B77305"/>
    <w:rsid w:val="00B800A3"/>
    <w:rsid w:val="00B82CC2"/>
    <w:rsid w:val="00B84A89"/>
    <w:rsid w:val="00B92BEF"/>
    <w:rsid w:val="00B9689A"/>
    <w:rsid w:val="00B96E99"/>
    <w:rsid w:val="00BA074B"/>
    <w:rsid w:val="00BA1FFA"/>
    <w:rsid w:val="00BA2666"/>
    <w:rsid w:val="00BA7FF1"/>
    <w:rsid w:val="00BB06CB"/>
    <w:rsid w:val="00BB261F"/>
    <w:rsid w:val="00BB2887"/>
    <w:rsid w:val="00BB5EAA"/>
    <w:rsid w:val="00BB5F11"/>
    <w:rsid w:val="00BB60DB"/>
    <w:rsid w:val="00BC0401"/>
    <w:rsid w:val="00BC04FA"/>
    <w:rsid w:val="00BC1C22"/>
    <w:rsid w:val="00BC460B"/>
    <w:rsid w:val="00BC5725"/>
    <w:rsid w:val="00BC7340"/>
    <w:rsid w:val="00BD1994"/>
    <w:rsid w:val="00BD30B1"/>
    <w:rsid w:val="00BE0F7B"/>
    <w:rsid w:val="00BE10C2"/>
    <w:rsid w:val="00C01D14"/>
    <w:rsid w:val="00C025B4"/>
    <w:rsid w:val="00C0275F"/>
    <w:rsid w:val="00C11F61"/>
    <w:rsid w:val="00C161FD"/>
    <w:rsid w:val="00C17A27"/>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A49"/>
    <w:rsid w:val="00C63C30"/>
    <w:rsid w:val="00C63D00"/>
    <w:rsid w:val="00C6441B"/>
    <w:rsid w:val="00C704F2"/>
    <w:rsid w:val="00C7108B"/>
    <w:rsid w:val="00C72DFD"/>
    <w:rsid w:val="00C732A5"/>
    <w:rsid w:val="00C8089F"/>
    <w:rsid w:val="00C836CC"/>
    <w:rsid w:val="00C87A74"/>
    <w:rsid w:val="00C90A71"/>
    <w:rsid w:val="00C91574"/>
    <w:rsid w:val="00C91BC2"/>
    <w:rsid w:val="00C92C71"/>
    <w:rsid w:val="00C93F8F"/>
    <w:rsid w:val="00C94BF2"/>
    <w:rsid w:val="00CA2745"/>
    <w:rsid w:val="00CA3593"/>
    <w:rsid w:val="00CA7F4F"/>
    <w:rsid w:val="00CB258E"/>
    <w:rsid w:val="00CB2EF5"/>
    <w:rsid w:val="00CB3C8F"/>
    <w:rsid w:val="00CB75CE"/>
    <w:rsid w:val="00CC02F1"/>
    <w:rsid w:val="00CC11A6"/>
    <w:rsid w:val="00CC135E"/>
    <w:rsid w:val="00CC189C"/>
    <w:rsid w:val="00CC2F35"/>
    <w:rsid w:val="00CC5F5C"/>
    <w:rsid w:val="00CD5D3F"/>
    <w:rsid w:val="00CE4EB1"/>
    <w:rsid w:val="00CF096B"/>
    <w:rsid w:val="00CF1E90"/>
    <w:rsid w:val="00CF3DB3"/>
    <w:rsid w:val="00D052BC"/>
    <w:rsid w:val="00D07026"/>
    <w:rsid w:val="00D07BAB"/>
    <w:rsid w:val="00D11C62"/>
    <w:rsid w:val="00D223A4"/>
    <w:rsid w:val="00D22C8F"/>
    <w:rsid w:val="00D2397E"/>
    <w:rsid w:val="00D33491"/>
    <w:rsid w:val="00D44F8E"/>
    <w:rsid w:val="00D44FD0"/>
    <w:rsid w:val="00D5645D"/>
    <w:rsid w:val="00D5733C"/>
    <w:rsid w:val="00D607EF"/>
    <w:rsid w:val="00D60F88"/>
    <w:rsid w:val="00D625E7"/>
    <w:rsid w:val="00D646BD"/>
    <w:rsid w:val="00D7018F"/>
    <w:rsid w:val="00D70239"/>
    <w:rsid w:val="00D71201"/>
    <w:rsid w:val="00D720C7"/>
    <w:rsid w:val="00D77A04"/>
    <w:rsid w:val="00D81D06"/>
    <w:rsid w:val="00D8652C"/>
    <w:rsid w:val="00D876E6"/>
    <w:rsid w:val="00DA1025"/>
    <w:rsid w:val="00DA22EC"/>
    <w:rsid w:val="00DA5860"/>
    <w:rsid w:val="00DB2767"/>
    <w:rsid w:val="00DC4729"/>
    <w:rsid w:val="00DD6510"/>
    <w:rsid w:val="00DE556F"/>
    <w:rsid w:val="00DE5A5C"/>
    <w:rsid w:val="00E02182"/>
    <w:rsid w:val="00E03B6D"/>
    <w:rsid w:val="00E0649E"/>
    <w:rsid w:val="00E17160"/>
    <w:rsid w:val="00E20594"/>
    <w:rsid w:val="00E35BEC"/>
    <w:rsid w:val="00E50821"/>
    <w:rsid w:val="00E50EF8"/>
    <w:rsid w:val="00E51F91"/>
    <w:rsid w:val="00E63584"/>
    <w:rsid w:val="00E676F7"/>
    <w:rsid w:val="00E7086E"/>
    <w:rsid w:val="00E7374A"/>
    <w:rsid w:val="00E73C41"/>
    <w:rsid w:val="00E740C6"/>
    <w:rsid w:val="00E7598F"/>
    <w:rsid w:val="00E76F60"/>
    <w:rsid w:val="00E83D90"/>
    <w:rsid w:val="00E83F28"/>
    <w:rsid w:val="00E83F91"/>
    <w:rsid w:val="00E9107A"/>
    <w:rsid w:val="00E91F62"/>
    <w:rsid w:val="00E929FD"/>
    <w:rsid w:val="00E93240"/>
    <w:rsid w:val="00E934BE"/>
    <w:rsid w:val="00E9479B"/>
    <w:rsid w:val="00EA28F1"/>
    <w:rsid w:val="00EA383B"/>
    <w:rsid w:val="00EA4D48"/>
    <w:rsid w:val="00EB2173"/>
    <w:rsid w:val="00EB62E6"/>
    <w:rsid w:val="00ED1B30"/>
    <w:rsid w:val="00ED250E"/>
    <w:rsid w:val="00ED6535"/>
    <w:rsid w:val="00EE1AC1"/>
    <w:rsid w:val="00EE39D6"/>
    <w:rsid w:val="00EE413C"/>
    <w:rsid w:val="00EE52AD"/>
    <w:rsid w:val="00EE601C"/>
    <w:rsid w:val="00EF745A"/>
    <w:rsid w:val="00F01F92"/>
    <w:rsid w:val="00F10A08"/>
    <w:rsid w:val="00F139CF"/>
    <w:rsid w:val="00F1724D"/>
    <w:rsid w:val="00F22AC5"/>
    <w:rsid w:val="00F254D1"/>
    <w:rsid w:val="00F3211D"/>
    <w:rsid w:val="00F32B82"/>
    <w:rsid w:val="00F4043E"/>
    <w:rsid w:val="00F40CB5"/>
    <w:rsid w:val="00F41BBC"/>
    <w:rsid w:val="00F43B9D"/>
    <w:rsid w:val="00F444F0"/>
    <w:rsid w:val="00F50847"/>
    <w:rsid w:val="00F53F27"/>
    <w:rsid w:val="00F546D1"/>
    <w:rsid w:val="00F56DD8"/>
    <w:rsid w:val="00F613BA"/>
    <w:rsid w:val="00F6513F"/>
    <w:rsid w:val="00F66272"/>
    <w:rsid w:val="00F6ACA0"/>
    <w:rsid w:val="00F709C0"/>
    <w:rsid w:val="00F853B2"/>
    <w:rsid w:val="00F8610A"/>
    <w:rsid w:val="00F927A1"/>
    <w:rsid w:val="00F92E4D"/>
    <w:rsid w:val="00F94392"/>
    <w:rsid w:val="00FA3764"/>
    <w:rsid w:val="00FA56ED"/>
    <w:rsid w:val="00FB2252"/>
    <w:rsid w:val="00FB4EDF"/>
    <w:rsid w:val="00FB5FA6"/>
    <w:rsid w:val="00FC1310"/>
    <w:rsid w:val="00FC1328"/>
    <w:rsid w:val="00FC2FF3"/>
    <w:rsid w:val="00FC3263"/>
    <w:rsid w:val="00FC51F9"/>
    <w:rsid w:val="00FC5B40"/>
    <w:rsid w:val="00FC5FF8"/>
    <w:rsid w:val="00FC63AC"/>
    <w:rsid w:val="00FC702B"/>
    <w:rsid w:val="00FD3D7C"/>
    <w:rsid w:val="00FD4F8F"/>
    <w:rsid w:val="00FD4FF1"/>
    <w:rsid w:val="00FE0C16"/>
    <w:rsid w:val="00FE12C3"/>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63C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arked.caada.org.uk/" TargetMode="External"/><Relationship Id="rId26" Type="http://schemas.openxmlformats.org/officeDocument/2006/relationships/hyperlink" Target="https://www.cps.gov.uk/publication/cps-violence-against-women-and-girls-crime-report-2014-2015"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library.college.police.uk/docs/college-of-policing/Risk-led-policing-2-2016.pdf" TargetMode="External"/><Relationship Id="rId34" Type="http://schemas.openxmlformats.org/officeDocument/2006/relationships/hyperlink" Target="https://safelives.org.uk/wp-content/uploads/SafeLives-Marac-Overview-June-2024.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uk-england-62726384" TargetMode="External"/><Relationship Id="rId25" Type="http://schemas.openxmlformats.org/officeDocument/2006/relationships/hyperlink" Target="https://www.college.police.uk/support-forces/practices/evidence-led-prosecution-checklist-domestic-abuse-cases" TargetMode="External"/><Relationship Id="rId33" Type="http://schemas.openxmlformats.org/officeDocument/2006/relationships/hyperlink" Target="https://safelives.org.uk/wp-content/uploads/Safe-Later-Lives-Older-people-and-domestic-abuse-Spotlight.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geuk.org.uk/discover/2021/december/domestic-abuse-more-needs-to-be-done-to-support-older-people/" TargetMode="External"/><Relationship Id="rId20"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9" Type="http://schemas.openxmlformats.org/officeDocument/2006/relationships/hyperlink" Target="https://assets.publishing.service.gov.uk/media/642d3f9e7de82b001231364d/Controlling_or_Coercive_Behaviour_Statutory_Guidance_-_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crime-reduction-toolkit/focused-deterrence-strategies" TargetMode="External"/><Relationship Id="rId32" Type="http://schemas.openxmlformats.org/officeDocument/2006/relationships/hyperlink" Target="https://refuge.org.uk/what-is-domestic-abuse/the-fact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assets.college.police.uk/s3fs-public/Recognising-responding-vulnerability-related-risks-guidelines.pdf" TargetMode="External"/><Relationship Id="rId28" Type="http://schemas.openxmlformats.org/officeDocument/2006/relationships/hyperlink" Target="https://hmicfrs.justiceinspectorates.gov.uk/publications/review-of-policing-domestic-abuse-during-pandemic/" TargetMode="External"/><Relationship Id="rId36" Type="http://schemas.openxmlformats.org/officeDocument/2006/relationships/hyperlink" Target="https://www.womensaid.org.uk/information-support/what-is-domestic-abuse/coercive-control/"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 TargetMode="External"/><Relationship Id="rId31" Type="http://schemas.openxmlformats.org/officeDocument/2006/relationships/hyperlink" Target="https://www.ons.gov.uk/peoplepopulationandcommunity/crimeandjustice/bulletins/domesticabuseinenglandandwalesoverview/november20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arrest-and-other-positive-approaches" TargetMode="External"/><Relationship Id="rId27" Type="http://schemas.openxmlformats.org/officeDocument/2006/relationships/hyperlink" Target="https://www.cps.gov.uk/publication/cps-violence-against-women-and-girls-crime-report-2015-2016" TargetMode="External"/><Relationship Id="rId30" Type="http://schemas.openxmlformats.org/officeDocument/2006/relationships/hyperlink" Target="https://www.ons.gov.uk/peoplepopulationandcommunity/crimeandjustice/bulletins/domesticabuseinenglandandwalesoverview/november2021" TargetMode="External"/><Relationship Id="rId35" Type="http://schemas.openxmlformats.org/officeDocument/2006/relationships/hyperlink" Target="https://www.safeguarding.wales/en/chi-i/chi-i-c3pt1/c3pt1-p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18</Pages>
  <Words>6617</Words>
  <Characters>37721</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Cerys</cp:lastModifiedBy>
  <cp:revision>53</cp:revision>
  <cp:lastPrinted>2014-08-26T08:55:00Z</cp:lastPrinted>
  <dcterms:created xsi:type="dcterms:W3CDTF">2024-12-19T11:32:00Z</dcterms:created>
  <dcterms:modified xsi:type="dcterms:W3CDTF">2025-04-08T08:53:00Z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2024-12-19T11:32:28Z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acaf4b17-7951-48c9-a91f-67ba16af9415</vt:lpwstr>
  </property>
  <property fmtid="{D5CDD505-2E9C-101B-9397-08002B2CF9AE}" pid="9" name="MSIP_Label_f2acd28b-79a3-4a0f-b0ff-4b75658b1549_ContentBits">
    <vt:lpwstr>0</vt:lpwstr>
  </property>
</Properties>
</file>