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both"/>
        <w:rPr>
          <w:b w:val="1"/>
          <w:bCs w:val="1"/>
        </w:rPr>
      </w:pPr>
      <w:r>
        <w:rPr>
          <w:b w:val="1"/>
          <w:bCs w:val="1"/>
          <w:rtl w:val="0"/>
          <w:lang w:val="en-US"/>
        </w:rPr>
        <w:t>Consider and discuss the changes that were made to the Personal Injury Small Claims procedure on the 31</w:t>
      </w:r>
      <w:r>
        <w:rPr>
          <w:b w:val="1"/>
          <w:bCs w:val="1"/>
          <w:vertAlign w:val="superscript"/>
          <w:rtl w:val="0"/>
        </w:rPr>
        <w:t>st</w:t>
      </w:r>
      <w:r>
        <w:rPr>
          <w:b w:val="1"/>
          <w:bCs w:val="1"/>
          <w:rtl w:val="0"/>
          <w:lang w:val="en-US"/>
        </w:rPr>
        <w:t xml:space="preserve"> May 2021 and how these changes may result in more cases being brought by litigants in person (those without legal representation).</w:t>
      </w:r>
    </w:p>
    <w:p>
      <w:pPr>
        <w:pStyle w:val="Body"/>
        <w:rPr>
          <w:b w:val="1"/>
          <w:bCs w:val="1"/>
        </w:rPr>
      </w:pPr>
    </w:p>
    <w:p>
      <w:pPr>
        <w:pStyle w:val="Body"/>
      </w:pPr>
      <w:r>
        <w:rPr>
          <w:rtl w:val="0"/>
          <w:lang w:val="en-US"/>
        </w:rPr>
        <w:t xml:space="preserve">The changes that were made to the Personal Injury Small Claims procedure were ones of great significance as the whole landscape of personal injury litigation is far different from what it once was in the UK. The changes that were made on May 31st 2021 made it so that future small claims would be more common as the threshold was increased and the availability of legal representation became limited. The ability to have legal representation during personal injury small claims has become very limited with it only being allowed in exceptional circumstances meaning even more litigants will be seen in court as they are not allowed representation in small claims. The threshold for legal claims also puts claimants in the predicament of having to decide if they want to use legal representation as they may take most of the compensation that they could win and so many claimants rather take the chance on </w:t>
      </w:r>
      <w:r>
        <w:rPr>
          <w:rtl w:val="0"/>
          <w:lang w:val="en-US"/>
        </w:rPr>
        <w:t>them self</w:t>
      </w:r>
      <w:r>
        <w:rPr>
          <w:rtl w:val="0"/>
          <w:lang w:val="en-US"/>
        </w:rPr>
        <w:t xml:space="preserve"> and represent </w:t>
      </w:r>
      <w:r>
        <w:rPr>
          <w:rtl w:val="0"/>
          <w:lang w:val="en-US"/>
        </w:rPr>
        <w:t>them self</w:t>
      </w:r>
      <w:r>
        <w:rPr>
          <w:rtl w:val="0"/>
          <w:lang w:val="en-US"/>
        </w:rPr>
        <w:t xml:space="preserve"> to enable them to have the chance to keep more of the compensation if they were to win the case. </w:t>
      </w:r>
    </w:p>
    <w:p>
      <w:pPr>
        <w:pStyle w:val="Body"/>
      </w:pPr>
    </w:p>
    <w:p>
      <w:pPr>
        <w:pStyle w:val="Body"/>
      </w:pPr>
      <w:r>
        <w:rPr>
          <w:rtl w:val="0"/>
          <w:lang w:val="en-US"/>
        </w:rPr>
        <w:t xml:space="preserve">Before the changes were made to the personal injury small claims procedure, personal injury claims were classified as those with a value of </w:t>
      </w:r>
      <w:r>
        <w:rPr>
          <w:rtl w:val="0"/>
        </w:rPr>
        <w:t>£</w:t>
      </w:r>
      <w:r>
        <w:rPr>
          <w:rtl w:val="0"/>
          <w:lang w:val="en-US"/>
        </w:rPr>
        <w:t xml:space="preserve">1000 or less. This value and definition allowed for claims being brought within this threshold to be put through a more simple process with lower costs which in turn allowed individuals to be able to represent themselves without the need for legal representation. However, the changes made to the Whiplash Regulations 2021 raised the legal threshold for claims to be brought to </w:t>
      </w:r>
      <w:r>
        <w:rPr>
          <w:rtl w:val="0"/>
        </w:rPr>
        <w:t>£</w:t>
      </w:r>
      <w:r>
        <w:rPr>
          <w:rtl w:val="0"/>
          <w:lang w:val="en-US"/>
        </w:rPr>
        <w:t xml:space="preserve">5000 which increases the number of cases that will be brought under this claim. The increase in this threshold will result in more cases being brought into the courts for many reasons such as the financial considerations as now many more cases will fit the threshold and cases that may have been considered to be too low in value for them to have legal representation are now justifiable as the value in legal representation may outweigh the compensation that could be rewarded which in turn will result in more people bringing their cases to the courts without representation and hoping they can receive the lump sum of money without having to pay for legal representation. Another reason as to why the changes to the personal injury small claims procedure will result in more cases bring brought is that the accessibility of the whiplash regulations are far easier now and so claimants will be empowered to bring more claims on their own as they can use the newly reformed regulations and feel as though they can gain back the compensation in whiplash. Further evidence to support this is that the whiplash regulation reform includes a tariff system for compensation which establishes a fixed amount for compensation based on the severity and duration of the injury, ranging from minor to severe whiplash. This allows claimants to understand before they get to court if they have a better chance of gaining some compensation back or not and if it is worth it to take the case to court. Small claims procedures are designed to be simpler and more straightforward than those for fast track or multi-track cases. This includes shorter trial durations, limited pre-trial disclosure, and fewer formalities during court proceedings. Litigants in person may feel more confident navigating these streamlined procedures without the assistance of legal representatives. Another factor as to why there will be more cases benign brought to the courts in relation to personal injury small claims is that the Limitation act 1980 allows for a three year period for a person to bring a claim and so there is sufficient time for them to understand if they think they can get compensation if they were to go through the court system for personal injury. The whiplash regulation also introduced a limitation on legal costs which put restrictions on which claimants could have legal representation and legal representation is only allowed now in exceptional circumstances when it comes to small injury claims. These new reforms will add to the number of cases being brought forward for many reasons such as the consideration of costs for claimants. Legal representation can be costly especially in personal injury small claims where the compensation is not high but due to the restrictions placed on claimants seeking legal help, more litigants will be seen in court as they will have to have their case heard without representation. Another reason as to why more litigants will be seen is due to the whiplash portal that has become part of the procedure for personal </w:t>
      </w:r>
      <w:r>
        <w:rPr>
          <w:rtl w:val="0"/>
          <w:lang w:val="en-US"/>
        </w:rPr>
        <w:t>injury</w:t>
      </w:r>
      <w:r>
        <w:rPr>
          <w:rtl w:val="0"/>
          <w:lang w:val="en-US"/>
        </w:rPr>
        <w:t xml:space="preserve"> small claims. This added procedure makes it easier for claimants to navigate the system and understand how to make a claim in order to get back some compensation for their injury. However, the cases for litigants may take longer as they have no legal representation and have to do the proceedings </w:t>
      </w:r>
      <w:r>
        <w:rPr>
          <w:rtl w:val="0"/>
          <w:lang w:val="en-US"/>
        </w:rPr>
        <w:t>themselves</w:t>
      </w:r>
      <w:r>
        <w:rPr>
          <w:rtl w:val="0"/>
          <w:lang w:val="en-US"/>
        </w:rPr>
        <w:t xml:space="preserve">. Litigants in person must take on greater responsibility for managing their cases, including preparing evidence, filing documents, and presenting arguments in court. This can require significant time and effort, particularly for individuals who are unfamiliar with the legal process. However, it also allows litigants to have greater control over their cases and actively participate in the resolution of their disputes. By empowering individuals to bring claims themselves, the reforms aim to enhance access to justice for those who may have previously been deterred by the costs and complexities of legal representation. Litigants in person can now pursue compensation for personal injuries without the need for extensive financial resources or legal expertise, </w:t>
      </w:r>
      <w:r>
        <w:rPr>
          <w:rtl w:val="0"/>
          <w:lang w:val="en-US"/>
        </w:rPr>
        <w:t>levelling</w:t>
      </w:r>
      <w:r>
        <w:rPr>
          <w:rtl w:val="0"/>
          <w:lang w:val="en-US"/>
        </w:rPr>
        <w:t xml:space="preserve"> the playing field and ensuring that justice is accessible to all. Even though litigants may not have the same level of legal expertise as the legal representation they could have had, the courts provide them with guidance and assistance in navigating their claims which can come in the form of court rule, forms, or information on procedures. While the reforms aim to make the legal system more accessible and efficient, they also pose certain challenges and considerations for litigants in person. Despite the simplified procedures for small claims, the legal process can still be complex and intimidating for individuals without legal training. Litigants in person may struggle to understand the relevant laws, rules, and procedures, leading to procedural errors or difficulties in presenting their cases effectively. Personal injury cases can be emotionally taxing for claimants, particularly if they involve physical or psychological harm. Litigants in person may face additional stress and anxiety when representing themselves in court, as they navigate the legal process while coping with the emotional impact of their injuries. In cases where the opposing party is represented by legal counsel, litigants in person may face a power imbalance that could affect the outcome of the case. Legal representatives are trained advocates who can present arguments persuasively and exploit procedural advantages, potentially putting litigants in person at a disadvantage. The procedure for personal injury small claims can also be highlighted and seen in part 26 of the civil procedure rules as it displays the procedural framework for handling personal injury claims. This section of the civil procedure rules demonstrates how to initiate a claim for personal injury and what is needed, including the completion and filing of claim forms. Part 26 sets out the principles of case management for personal injury claims, including directions for the efficient handling of cases and the resolution of disputes. While the general principles apply to small claims, the procedures for case management in small claims are typically more streamlined and less formal compared to other types of claims. Part 26 addresses the disclosure of documents in personal injury claims, including the exchange of relevant information between parties. In small claims, the rules regarding disclosure may be less extensive compared to other types of claims, reflecting the simplified nature of small claims procedures.  Part 26 provides guidance on the use of expert evidence in personal injury claims, including the appointment of expert witnesses and the submission of expert reports. While expert evidence may still be relevant in small claims, its use is typically limited to cases where it is deemed necessary and proportionate to the value and complexity of the claim. The section also covers the procedure for making settlement offers and the allocation of costs in personal injury claims. In small claims, the rules regarding settlement offers and costs may be different, with specific provisions aimed at encouraging early settlement and limiting the recovery of legal costs.</w:t>
      </w:r>
    </w:p>
    <w:p>
      <w:pPr>
        <w:pStyle w:val="Body"/>
        <w:rPr>
          <w:sz w:val="20"/>
          <w:szCs w:val="20"/>
        </w:rPr>
      </w:pPr>
    </w:p>
    <w:p>
      <w:pPr>
        <w:pStyle w:val="Body"/>
      </w:pPr>
    </w:p>
    <w:p>
      <w:pPr>
        <w:pStyle w:val="Body"/>
      </w:pPr>
      <w:r>
        <w:rPr>
          <w:rtl w:val="0"/>
          <w:lang w:val="en-US"/>
        </w:rPr>
        <w:t xml:space="preserve">In conclusion, the changes made to the Personal Injury Small Claims procedure on May 31, 2021, have significant implications for the way personal injury cases are pursued in the UK. By increasing the threshold for small claims and limiting the availability of legal representation, the reforms aim to make the legal system more accessible and efficient for individuals seeking compensation for personal injuries. While these changes may lead to more cases being brought by litigants in person, they also pose challenges and considerations for individuals navigating the legal process without the assistance of legal representatives. The new reforms for the whiplash regulations make more litigants in person appear in court due to the threshold of the value people can claim in court. The higher threshold puts more people into the situation of having to make the decision between having legal help and taking less compensation back with them or deciding to represent </w:t>
      </w:r>
      <w:r>
        <w:rPr>
          <w:rtl w:val="0"/>
          <w:lang w:val="en-US"/>
        </w:rPr>
        <w:t>themselves</w:t>
      </w:r>
      <w:r>
        <w:rPr>
          <w:rtl w:val="0"/>
          <w:lang w:val="en-US"/>
        </w:rPr>
        <w:t xml:space="preserve"> and have the opportunity to gain a bigger portion of the compensation that is available to claim in the courts. Moving forward, it will be important to monitor the impact of these reforms on access to justice, procedural fairness, and the experiences of litigants in person in order to ensure that the objectives of the reforms are achieved effectively. </w:t>
      </w:r>
    </w:p>
    <w:p>
      <w:pPr>
        <w:pStyle w:val="Body"/>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ind w:left="1440" w:firstLine="0"/>
        <w:jc w:val="center"/>
      </w:pPr>
    </w:p>
    <w:p>
      <w:pPr>
        <w:pStyle w:val="Body"/>
      </w:pPr>
    </w:p>
    <w:p>
      <w:pPr>
        <w:pStyle w:val="Body"/>
        <w:jc w:val="center"/>
      </w:pPr>
      <w:r>
        <w:rPr>
          <w:rtl w:val="0"/>
          <w:lang w:val="pt-PT"/>
        </w:rPr>
        <w:t>Reference List</w:t>
      </w:r>
    </w:p>
    <w:p>
      <w:pPr>
        <w:pStyle w:val="Body"/>
      </w:pPr>
    </w:p>
    <w:p>
      <w:pPr>
        <w:pStyle w:val="Body"/>
      </w:pPr>
      <w:r>
        <w:rPr>
          <w:rtl w:val="0"/>
          <w:lang w:val="en-US"/>
        </w:rPr>
        <w:t xml:space="preserve">Civil Procedure Act 1997, available at </w:t>
      </w:r>
      <w:r>
        <w:rPr>
          <w:rStyle w:val="Hyperlink.0"/>
        </w:rPr>
        <w:fldChar w:fldCharType="begin" w:fldLock="0"/>
      </w:r>
      <w:r>
        <w:rPr>
          <w:rStyle w:val="Hyperlink.0"/>
        </w:rPr>
        <w:instrText xml:space="preserve"> HYPERLINK "https://www.legislation.gov.uk/ukpga/1997/12/contents"</w:instrText>
      </w:r>
      <w:r>
        <w:rPr>
          <w:rStyle w:val="Hyperlink.0"/>
        </w:rPr>
        <w:fldChar w:fldCharType="separate" w:fldLock="0"/>
      </w:r>
      <w:r>
        <w:rPr>
          <w:rStyle w:val="Hyperlink.0"/>
          <w:rtl w:val="0"/>
        </w:rPr>
        <w:t>https://www.legislation.gov.uk/ukpga/1997/12/contents</w:t>
      </w:r>
      <w:r>
        <w:rPr/>
        <w:fldChar w:fldCharType="end" w:fldLock="0"/>
      </w:r>
      <w:r>
        <w:rPr>
          <w:rStyle w:val="None"/>
          <w:rtl w:val="0"/>
        </w:rPr>
        <w:t xml:space="preserve"> </w:t>
      </w:r>
    </w:p>
    <w:p>
      <w:pPr>
        <w:pStyle w:val="Body"/>
      </w:pPr>
    </w:p>
    <w:p>
      <w:pPr>
        <w:pStyle w:val="Body"/>
      </w:pPr>
      <w:r>
        <w:rPr>
          <w:rStyle w:val="None"/>
          <w:rtl w:val="0"/>
          <w:lang w:val="en-US"/>
        </w:rPr>
        <w:t xml:space="preserve">Pre Action Protocol for Person Injury Claims, available at </w:t>
      </w:r>
      <w:r>
        <w:rPr>
          <w:rStyle w:val="Hyperlink.0"/>
        </w:rPr>
        <w:fldChar w:fldCharType="begin" w:fldLock="0"/>
      </w:r>
      <w:r>
        <w:rPr>
          <w:rStyle w:val="Hyperlink.0"/>
        </w:rPr>
        <w:instrText xml:space="preserve"> HYPERLINK "https://www.justice.gov.uk/courts/procedure-rules/civil/protocol/prot_pic"</w:instrText>
      </w:r>
      <w:r>
        <w:rPr>
          <w:rStyle w:val="Hyperlink.0"/>
        </w:rPr>
        <w:fldChar w:fldCharType="separate" w:fldLock="0"/>
      </w:r>
      <w:r>
        <w:rPr>
          <w:rStyle w:val="Hyperlink.0"/>
          <w:rtl w:val="0"/>
        </w:rPr>
        <w:t>https://www.justice.gov.uk/courts/procedure-rules/civil/protocol/prot_pic</w:t>
      </w:r>
      <w:r>
        <w:rPr/>
        <w:fldChar w:fldCharType="end" w:fldLock="0"/>
      </w:r>
      <w:r>
        <w:rPr>
          <w:rStyle w:val="None"/>
          <w:rtl w:val="0"/>
        </w:rPr>
        <w:t xml:space="preserve"> </w:t>
      </w:r>
    </w:p>
    <w:p>
      <w:pPr>
        <w:pStyle w:val="Body"/>
      </w:pPr>
    </w:p>
    <w:p>
      <w:pPr>
        <w:pStyle w:val="Body"/>
      </w:pPr>
      <w:r>
        <w:rPr>
          <w:rStyle w:val="None"/>
          <w:rtl w:val="0"/>
          <w:lang w:val="en-US"/>
        </w:rPr>
        <w:t xml:space="preserve">The Civil Procedure Rules (Amendment No.1) 2021, available at </w:t>
      </w:r>
      <w:r>
        <w:rPr>
          <w:rStyle w:val="Hyperlink.0"/>
        </w:rPr>
        <w:fldChar w:fldCharType="begin" w:fldLock="0"/>
      </w:r>
      <w:r>
        <w:rPr>
          <w:rStyle w:val="Hyperlink.0"/>
        </w:rPr>
        <w:instrText xml:space="preserve"> HYPERLINK "https://www.legislation.gov.uk/uksi/2021/117/contents/made"</w:instrText>
      </w:r>
      <w:r>
        <w:rPr>
          <w:rStyle w:val="Hyperlink.0"/>
        </w:rPr>
        <w:fldChar w:fldCharType="separate" w:fldLock="0"/>
      </w:r>
      <w:r>
        <w:rPr>
          <w:rStyle w:val="Hyperlink.0"/>
          <w:rtl w:val="0"/>
        </w:rPr>
        <w:t>https://www.legislation.gov.uk/uksi/2021/117/contents/made</w:t>
      </w:r>
      <w:r>
        <w:rPr/>
        <w:fldChar w:fldCharType="end" w:fldLock="0"/>
      </w:r>
      <w:r>
        <w:rPr>
          <w:rStyle w:val="None"/>
          <w:rtl w:val="0"/>
        </w:rPr>
        <w:t xml:space="preserve"> </w:t>
      </w:r>
    </w:p>
    <w:p>
      <w:pPr>
        <w:pStyle w:val="Body"/>
      </w:pPr>
    </w:p>
    <w:p>
      <w:pPr>
        <w:pStyle w:val="Body"/>
      </w:pPr>
      <w:r>
        <w:rPr>
          <w:rStyle w:val="None"/>
          <w:rtl w:val="0"/>
          <w:lang w:val="en-US"/>
        </w:rPr>
        <w:t xml:space="preserve">The Civil Procedure Rules (Part 26), available at </w:t>
      </w:r>
      <w:r>
        <w:rPr>
          <w:rStyle w:val="Hyperlink.0"/>
        </w:rPr>
        <w:fldChar w:fldCharType="begin" w:fldLock="0"/>
      </w:r>
      <w:r>
        <w:rPr>
          <w:rStyle w:val="Hyperlink.0"/>
        </w:rPr>
        <w:instrText xml:space="preserve"> HYPERLINK "https://www.justice.gov.uk/courts/procedure-rules/civil/rules/part26"</w:instrText>
      </w:r>
      <w:r>
        <w:rPr>
          <w:rStyle w:val="Hyperlink.0"/>
        </w:rPr>
        <w:fldChar w:fldCharType="separate" w:fldLock="0"/>
      </w:r>
      <w:r>
        <w:rPr>
          <w:rStyle w:val="Hyperlink.0"/>
          <w:rtl w:val="0"/>
        </w:rPr>
        <w:t>https://www.justice.gov.uk/courts/procedure-rules/civil/rules/part26</w:t>
      </w:r>
      <w:r>
        <w:rPr/>
        <w:fldChar w:fldCharType="end" w:fldLock="0"/>
      </w:r>
      <w:r>
        <w:rPr>
          <w:rStyle w:val="None"/>
          <w:rtl w:val="0"/>
        </w:rPr>
        <w:t xml:space="preserve"> </w:t>
      </w:r>
    </w:p>
    <w:p>
      <w:pPr>
        <w:pStyle w:val="Body"/>
      </w:pPr>
    </w:p>
    <w:p>
      <w:pPr>
        <w:pStyle w:val="Body"/>
      </w:pPr>
      <w:r>
        <w:rPr>
          <w:rStyle w:val="None"/>
          <w:rtl w:val="0"/>
          <w:lang w:val="en-US"/>
        </w:rPr>
        <w:t xml:space="preserve">The Limitation Act 1980, available at </w:t>
      </w:r>
      <w:r>
        <w:rPr>
          <w:rStyle w:val="Hyperlink.0"/>
        </w:rPr>
        <w:fldChar w:fldCharType="begin" w:fldLock="0"/>
      </w:r>
      <w:r>
        <w:rPr>
          <w:rStyle w:val="Hyperlink.0"/>
        </w:rPr>
        <w:instrText xml:space="preserve"> HYPERLINK "https://www.legislation.gov.uk/ukpga/1980/58"</w:instrText>
      </w:r>
      <w:r>
        <w:rPr>
          <w:rStyle w:val="Hyperlink.0"/>
        </w:rPr>
        <w:fldChar w:fldCharType="separate" w:fldLock="0"/>
      </w:r>
      <w:r>
        <w:rPr>
          <w:rStyle w:val="Hyperlink.0"/>
          <w:rtl w:val="0"/>
        </w:rPr>
        <w:t>https://www.legislation.gov.uk/ukpga/1980/58</w:t>
      </w:r>
      <w:r>
        <w:rPr/>
        <w:fldChar w:fldCharType="end" w:fldLock="0"/>
      </w:r>
      <w:r>
        <w:rPr>
          <w:rStyle w:val="None"/>
          <w:rtl w:val="0"/>
        </w:rPr>
        <w:t xml:space="preserve"> </w:t>
      </w:r>
    </w:p>
    <w:p>
      <w:pPr>
        <w:pStyle w:val="Body"/>
      </w:pPr>
    </w:p>
    <w:p>
      <w:pPr>
        <w:pStyle w:val="Body"/>
      </w:pPr>
      <w:r>
        <w:rPr>
          <w:rStyle w:val="None"/>
          <w:rtl w:val="0"/>
          <w:lang w:val="en-US"/>
        </w:rPr>
        <w:t xml:space="preserve">The Whiplash regulations 2021, available at </w:t>
      </w:r>
      <w:r>
        <w:rPr>
          <w:rStyle w:val="Hyperlink.0"/>
        </w:rPr>
        <w:fldChar w:fldCharType="begin" w:fldLock="0"/>
      </w:r>
      <w:r>
        <w:rPr>
          <w:rStyle w:val="Hyperlink.0"/>
        </w:rPr>
        <w:instrText xml:space="preserve"> HYPERLINK "https://www.legislation.gov.uk/ukdsi/2021/9780348220612"</w:instrText>
      </w:r>
      <w:r>
        <w:rPr>
          <w:rStyle w:val="Hyperlink.0"/>
        </w:rPr>
        <w:fldChar w:fldCharType="separate" w:fldLock="0"/>
      </w:r>
      <w:r>
        <w:rPr>
          <w:rStyle w:val="Hyperlink.0"/>
          <w:rtl w:val="0"/>
        </w:rPr>
        <w:t>https://www.legislation.gov.uk/ukdsi/2021/9780348220612</w:t>
      </w:r>
      <w:r>
        <w:rPr/>
        <w:fldChar w:fldCharType="end" w:fldLock="0"/>
      </w:r>
      <w:r>
        <w:rPr>
          <w:rStyle w:val="None"/>
          <w:rtl w:val="0"/>
        </w:rPr>
        <w:t xml:space="preserve"> </w:t>
      </w:r>
    </w:p>
    <w:p>
      <w:pPr>
        <w:pStyle w:val="Body"/>
      </w:pPr>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1155cc"/>
      <w:u w:val="single" w:color="1155cc"/>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