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8FE24" w14:textId="108D8ED4" w:rsidR="00311B10" w:rsidRDefault="00CD23AD" w:rsidP="00311B10">
      <w:pPr>
        <w:pStyle w:val="NormalWeb"/>
        <w:jc w:val="center"/>
        <w:rPr>
          <w:sz w:val="48"/>
          <w:szCs w:val="48"/>
        </w:rPr>
      </w:pPr>
      <w:r>
        <w:rPr>
          <w:sz w:val="48"/>
          <w:szCs w:val="48"/>
        </w:rPr>
        <w:t xml:space="preserve">Student Name: </w:t>
      </w:r>
      <w:r w:rsidR="00311B10" w:rsidRPr="00311B10">
        <w:rPr>
          <w:sz w:val="48"/>
          <w:szCs w:val="48"/>
        </w:rPr>
        <w:t xml:space="preserve">Katerina  </w:t>
      </w:r>
      <w:proofErr w:type="spellStart"/>
      <w:r w:rsidR="00311B10" w:rsidRPr="00311B10">
        <w:rPr>
          <w:sz w:val="48"/>
          <w:szCs w:val="48"/>
        </w:rPr>
        <w:t>Sugarova</w:t>
      </w:r>
      <w:proofErr w:type="spellEnd"/>
    </w:p>
    <w:p w14:paraId="46293A7B" w14:textId="108C8A0B" w:rsidR="00CD23AD" w:rsidRDefault="00CD23AD" w:rsidP="00311B10">
      <w:pPr>
        <w:pStyle w:val="NormalWeb"/>
        <w:jc w:val="center"/>
        <w:rPr>
          <w:sz w:val="48"/>
          <w:szCs w:val="48"/>
        </w:rPr>
      </w:pPr>
      <w:r>
        <w:rPr>
          <w:sz w:val="48"/>
          <w:szCs w:val="48"/>
        </w:rPr>
        <w:t>Student Number:2220482</w:t>
      </w:r>
    </w:p>
    <w:p w14:paraId="0A730286" w14:textId="26A50ACE" w:rsidR="00CD23AD" w:rsidRPr="00311B10" w:rsidRDefault="00CD23AD" w:rsidP="00311B10">
      <w:pPr>
        <w:pStyle w:val="NormalWeb"/>
        <w:jc w:val="center"/>
        <w:rPr>
          <w:sz w:val="48"/>
          <w:szCs w:val="48"/>
        </w:rPr>
      </w:pPr>
      <w:r>
        <w:rPr>
          <w:sz w:val="48"/>
          <w:szCs w:val="48"/>
        </w:rPr>
        <w:t>UWTSD</w:t>
      </w:r>
    </w:p>
    <w:p w14:paraId="7B75B7F9" w14:textId="2A5C6880" w:rsidR="00311B10" w:rsidRPr="00311B10" w:rsidRDefault="00311B10" w:rsidP="00311B10">
      <w:pPr>
        <w:pStyle w:val="NormalWeb"/>
        <w:jc w:val="center"/>
        <w:rPr>
          <w:sz w:val="48"/>
          <w:szCs w:val="48"/>
        </w:rPr>
      </w:pPr>
      <w:r w:rsidRPr="00311B10">
        <w:rPr>
          <w:sz w:val="48"/>
          <w:szCs w:val="48"/>
        </w:rPr>
        <w:t xml:space="preserve">Writing for University </w:t>
      </w:r>
    </w:p>
    <w:p w14:paraId="70FB0D33" w14:textId="17C9478D" w:rsidR="00311B10" w:rsidRPr="00311B10" w:rsidRDefault="00311B10" w:rsidP="00311B10">
      <w:pPr>
        <w:pStyle w:val="NormalWeb"/>
        <w:jc w:val="center"/>
        <w:rPr>
          <w:sz w:val="48"/>
          <w:szCs w:val="48"/>
        </w:rPr>
      </w:pPr>
      <w:r w:rsidRPr="00311B10">
        <w:rPr>
          <w:sz w:val="48"/>
          <w:szCs w:val="48"/>
        </w:rPr>
        <w:t xml:space="preserve">The Essay </w:t>
      </w:r>
    </w:p>
    <w:p w14:paraId="09938B04" w14:textId="77777777" w:rsidR="00311B10" w:rsidRDefault="00311B10" w:rsidP="00311B10">
      <w:pPr>
        <w:pStyle w:val="NormalWeb"/>
      </w:pPr>
    </w:p>
    <w:p w14:paraId="0D68964B" w14:textId="77777777" w:rsidR="00311B10" w:rsidRDefault="00311B10" w:rsidP="00311B10">
      <w:pPr>
        <w:pStyle w:val="NormalWeb"/>
        <w:jc w:val="center"/>
      </w:pPr>
    </w:p>
    <w:p w14:paraId="2B7B5CAB" w14:textId="77777777" w:rsidR="00311B10" w:rsidRDefault="00311B10" w:rsidP="00311B10">
      <w:pPr>
        <w:pStyle w:val="NormalWeb"/>
      </w:pPr>
    </w:p>
    <w:p w14:paraId="0864B461" w14:textId="0D7D7524" w:rsidR="00311B10" w:rsidRPr="00311B10" w:rsidRDefault="00311B10" w:rsidP="00311B10">
      <w:pPr>
        <w:pStyle w:val="NormalWeb"/>
        <w:jc w:val="center"/>
        <w:rPr>
          <w:sz w:val="40"/>
          <w:szCs w:val="40"/>
        </w:rPr>
      </w:pPr>
      <w:r w:rsidRPr="00311B10">
        <w:rPr>
          <w:sz w:val="40"/>
          <w:szCs w:val="40"/>
        </w:rPr>
        <w:t>Types of Writing 3: Creative Responses, Commentaries, and Oral History</w:t>
      </w:r>
    </w:p>
    <w:p w14:paraId="39CAEB16" w14:textId="77777777" w:rsidR="00311B10" w:rsidRPr="00311B10" w:rsidRDefault="00311B10" w:rsidP="00311B10">
      <w:pPr>
        <w:pStyle w:val="NormalWeb"/>
        <w:rPr>
          <w:sz w:val="40"/>
          <w:szCs w:val="40"/>
        </w:rPr>
      </w:pPr>
    </w:p>
    <w:p w14:paraId="58CD02E6" w14:textId="77777777" w:rsidR="00311B10" w:rsidRDefault="00311B10" w:rsidP="00311B10">
      <w:pPr>
        <w:pStyle w:val="NormalWeb"/>
      </w:pPr>
    </w:p>
    <w:p w14:paraId="0669DD86" w14:textId="716D6264" w:rsidR="00311B10" w:rsidRDefault="00311B10" w:rsidP="00311B10">
      <w:pPr>
        <w:pStyle w:val="NormalWeb"/>
      </w:pPr>
      <w:r>
        <w:t xml:space="preserve">       Ultimately, writing is a multifunctional pursuit that we use for many reasons, from sharing knowledge to articulating emotions. This made me realise that creative responses, commentaries and oral histories sit alongside other forms of writing, collectively enabling these new ways of engaging with reality and concepts. In this essay, I briefly discuss the characteristics, purposes, and contexts in which these three types of writing. This helps us realise the wealth of variety that writing can offer as a means of tracking or putting down expressions.</w:t>
      </w:r>
    </w:p>
    <w:p w14:paraId="26640C70" w14:textId="77777777" w:rsidR="00311B10" w:rsidRDefault="00311B10" w:rsidP="00311B10">
      <w:pPr>
        <w:pStyle w:val="NormalWeb"/>
      </w:pPr>
      <w:r>
        <w:t>Creative Responses</w:t>
      </w:r>
    </w:p>
    <w:p w14:paraId="673DE559" w14:textId="77777777" w:rsidR="00311B10" w:rsidRDefault="00311B10" w:rsidP="00311B10">
      <w:pPr>
        <w:pStyle w:val="NormalWeb"/>
      </w:pPr>
      <w:r>
        <w:t>This genre invites writers to personally respond to texts, events, or experiences. While traditional academic essays usually focus on objective analysis and critical evaluation, a creative response allows researchers to consider their own interpretations and emotional responses. Responses may be in the form of poetry, short stories, personal essays, visual art, or whatever inspires your imagination. One defining feature of this type of literature is that it refuses to adhere to conventional academic discourse and instead provokes personal impressions or feelings.</w:t>
      </w:r>
    </w:p>
    <w:p w14:paraId="4C947E2B" w14:textId="77777777" w:rsidR="00311B10" w:rsidRDefault="00311B10" w:rsidP="00311B10">
      <w:pPr>
        <w:pStyle w:val="NormalWeb"/>
      </w:pPr>
      <w:r>
        <w:t xml:space="preserve">A major reason why you might choose a creative response task is the intent to create more intimacy between the writer and the subject matter. Creative responses may be seen as </w:t>
      </w:r>
      <w:r>
        <w:lastRenderedPageBreak/>
        <w:t>encouraging self-reflection and emotional engagement, thus driving a different type of insight unrelated to a more straightforward analysis. A critical engagement with a text or narrative might take place through creative modes — for example, by reimagining a scene in the voice of another character — like using perspective to explore themes of identity, agency, force/ power that sit at the centre of the text. Conversely, a response to a historical event could be a re-imagining (fictionalised) of that event to allow the author to explore some of its emotional and psychological aspects.</w:t>
      </w:r>
    </w:p>
    <w:p w14:paraId="77B9149B" w14:textId="77777777" w:rsidR="00311B10" w:rsidRDefault="00311B10" w:rsidP="00311B10">
      <w:pPr>
        <w:pStyle w:val="NormalWeb"/>
      </w:pPr>
      <w:r>
        <w:t>Creative responses are often used in educational settings to increase students’ involvement with texts and ideals. Teachers can promote an inclusive and diverse classroom in which different interpretations matter by giving students the freedom to express their views creatively. In addition, integrating creative responses into the curriculum can serve as a means of fostering critical thinking ability because students are provided with a range of ways to interact with text — intellectually, emotionally, and creatively.</w:t>
      </w:r>
    </w:p>
    <w:p w14:paraId="1258681C" w14:textId="77777777" w:rsidR="00311B10" w:rsidRDefault="00311B10" w:rsidP="00311B10">
      <w:pPr>
        <w:pStyle w:val="NormalWeb"/>
      </w:pPr>
      <w:r>
        <w:t>Commentaries</w:t>
      </w:r>
    </w:p>
    <w:p w14:paraId="649EBFEE" w14:textId="77777777" w:rsidR="00311B10" w:rsidRDefault="00311B10" w:rsidP="00311B10">
      <w:pPr>
        <w:pStyle w:val="NormalWeb"/>
      </w:pPr>
      <w:r>
        <w:t>Commentaries: This is another major separate form of writing in which the main aim is always to provide certain perspectives, interpretations, or criticisms about specific texts, events, or issues. Whereas creative replies are about the self (or personal expression) and more of a performative voice, commentaries tackle the subject matter head-on with utter complexity. Commentaries are published in several publications, including professional scholarly journals, popular opinion and news magazines, newspapers, and publicly accessible websites.</w:t>
      </w:r>
    </w:p>
    <w:p w14:paraId="3935EB6C" w14:textId="77777777" w:rsidR="00311B10" w:rsidRDefault="00311B10" w:rsidP="00311B10">
      <w:pPr>
        <w:pStyle w:val="NormalWeb"/>
      </w:pPr>
      <w:r>
        <w:t>Commentaries seek to make a reasoned point on an issue, usually affecting public opinion or contributing to scholarly debates. Commentaries are based on specific arguments, a thesis, evidence, and analysis. An analysis of a bill may include aspects such as its impact, an examination of who it affects, and why or why not it should not be passed. An academic commentary can examine themes, symbols, or the narrative of a text—interpreting these elements against a modern understanding that enriches the reader.</w:t>
      </w:r>
    </w:p>
    <w:p w14:paraId="64955F88" w14:textId="77777777" w:rsidR="00311B10" w:rsidRDefault="00311B10" w:rsidP="00311B10">
      <w:pPr>
        <w:pStyle w:val="NormalWeb"/>
      </w:pPr>
      <w:r>
        <w:t>Commentaries serve as avenues through which to respond to academic debates. For example, a researcher might write a commentary in response to an otherwise published paper and present its strengths and weaknesses as well as identify possible next research steps. It is in this manner that new commentaries help the ongoing development of knowledge through reformed critical dialogue and reflection.</w:t>
      </w:r>
    </w:p>
    <w:p w14:paraId="517EC151" w14:textId="77777777" w:rsidR="00311B10" w:rsidRDefault="00311B10" w:rsidP="00311B10">
      <w:pPr>
        <w:pStyle w:val="NormalWeb"/>
      </w:pPr>
      <w:r>
        <w:t>Commentaries serve the purpose of communicating to readers, and they are seen in media journalism as well. For instance, opinion columns use commentary to discuss the news of the day and give readers specific viewpoints on political, social, or cultural issues. Within this frame, commentary works best when the prose is persuasive and fully developed: an argument that includes evidence and analysis is presented.</w:t>
      </w:r>
    </w:p>
    <w:p w14:paraId="06CB2343" w14:textId="77777777" w:rsidR="00311B10" w:rsidRDefault="00311B10" w:rsidP="00311B10">
      <w:pPr>
        <w:pStyle w:val="NormalWeb"/>
      </w:pPr>
      <w:r>
        <w:t>Oral History</w:t>
      </w:r>
    </w:p>
    <w:p w14:paraId="3A1464DB" w14:textId="77777777" w:rsidR="00311B10" w:rsidRDefault="00311B10" w:rsidP="00311B10">
      <w:pPr>
        <w:pStyle w:val="NormalWeb"/>
      </w:pPr>
      <w:r>
        <w:t xml:space="preserve">Oral history is a method for the writing of history that involves not only gathering firsthand testimonies and personal narratives but, in effect, recording them if they are seen as valuable because one obtains stories from individuals who were part of the events of culture or community. Unlike most traditional historical scholarship, which is based on written </w:t>
      </w:r>
      <w:r>
        <w:lastRenderedPageBreak/>
        <w:t>documents and archival materials, oral history focuses on the life stories of people who lived in a particular place or time and participated in an event that might otherwise be lost to credulous researchers.</w:t>
      </w:r>
    </w:p>
    <w:p w14:paraId="3B6E0325" w14:textId="77777777" w:rsidR="00311B10" w:rsidRDefault="00311B10" w:rsidP="00311B10">
      <w:pPr>
        <w:pStyle w:val="NormalWeb"/>
      </w:pPr>
      <w:r>
        <w:t>Oral history originated as a method by which individuals record and document their experiences, frequently with the intention of adding new perspectives on subjects that are not well represented in written records. Oral history, as the memories and stories of people, creates a more vivid and multifaceted account of what happened. For instance, an oral history project could record the stories of individuals who survived a natural disaster and provide context on how the event affected their mental and emotional health, even if official publications did not show this.</w:t>
      </w:r>
    </w:p>
    <w:p w14:paraId="067B7744" w14:textId="77777777" w:rsidR="00311B10" w:rsidRDefault="00311B10" w:rsidP="00311B10">
      <w:pPr>
        <w:pStyle w:val="NormalWeb"/>
      </w:pPr>
      <w:r>
        <w:t>This is especially important for saving and remembering the history of oppressed or underprivileged groups. Oral history adds voices that we may not hear in newspaper articles or official archives, resulting in a richer tapestry of oral narratives. This type of writing is also crucial for capturing indigenous cultural knowledge and traditions, as oral storytelling has been one of the cornerstones of passing down generational history and knowledge.</w:t>
      </w:r>
    </w:p>
    <w:p w14:paraId="499B107E" w14:textId="77777777" w:rsidR="00311B10" w:rsidRDefault="00311B10" w:rsidP="00311B10">
      <w:pPr>
        <w:pStyle w:val="NormalWeb"/>
      </w:pPr>
      <w:r>
        <w:t xml:space="preserve">The risk of oral history is that the voices of the narrators are not adequately represented. The process of recording and interpreting oral histories has important ethical implications, and it is a powerful reminder that conducting interview research remains very much about politics and </w:t>
      </w:r>
      <w:proofErr w:type="spellStart"/>
      <w:r>
        <w:t>positionality</w:t>
      </w:r>
      <w:proofErr w:type="spellEnd"/>
      <w:r>
        <w:t>. In addition, oral history is typically part of a cooperative process in which interviewers ask questions and provide their own answers to build the final narrative.</w:t>
      </w:r>
    </w:p>
    <w:p w14:paraId="5CD492BB" w14:textId="77777777" w:rsidR="00311B10" w:rsidRDefault="00311B10" w:rsidP="00311B10">
      <w:pPr>
        <w:pStyle w:val="NormalWeb"/>
      </w:pPr>
      <w:r>
        <w:t>Conclusion</w:t>
      </w:r>
    </w:p>
    <w:p w14:paraId="620DEB6B" w14:textId="77777777" w:rsidR="00311B10" w:rsidRDefault="00311B10" w:rsidP="00311B10">
      <w:pPr>
        <w:pStyle w:val="NormalWeb"/>
      </w:pPr>
      <w:r>
        <w:t xml:space="preserve">Responses and commentaries: We publish creative oral histories in three ways. Instead, creative response empower writers to inlayer their own readings of and feelings towards literature, thus making literature more accessible. Commentaries provide informed comments on specific issues designed to stimulate scholarly discussion and public interest Journal articlesOral history accessible testimony preservation Develops a richer narrative collection </w:t>
      </w:r>
      <w:proofErr w:type="spellStart"/>
      <w:r>
        <w:t>Malnay</w:t>
      </w:r>
      <w:proofErr w:type="spellEnd"/>
      <w:r>
        <w:t xml:space="preserve"> (2013) History as told Witness to past Especially for displaced people; who rarely write or publish their own histories.miscellaneous Oral Historian 66Interviewing Not everyone writes Marginalised groups especially need writingUGCResearch Article United States English</w:t>
      </w:r>
    </w:p>
    <w:p w14:paraId="4B0D5FC2" w14:textId="77777777" w:rsidR="00311B10" w:rsidRDefault="00311B10" w:rsidP="00311B10">
      <w:pPr>
        <w:pStyle w:val="NormalWeb"/>
      </w:pPr>
      <w:r>
        <w:t>These acts of writing are exemplary uses of the form as a mode of expression, analysis, and documentation.​​​​​​​ Writing to express our experiences, to dispel darkness from the light of day, and to record history; various types shed light on all facets of life and on who we are as human beings. This could lead to a much more sophisticated notion in both the production and interpretation of texts by working with these diverse forms of writing.</w:t>
      </w:r>
    </w:p>
    <w:p w14:paraId="5DD660ED" w14:textId="77777777" w:rsidR="00311B10" w:rsidRDefault="00311B10" w:rsidP="00311B10">
      <w:pPr>
        <w:pStyle w:val="NormalWeb"/>
      </w:pPr>
    </w:p>
    <w:p w14:paraId="1350258C" w14:textId="77777777" w:rsidR="00311B10" w:rsidRPr="00311B10" w:rsidRDefault="00311B10" w:rsidP="00311B10">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311B10">
        <w:rPr>
          <w:rFonts w:ascii="Times New Roman" w:eastAsia="Times New Roman" w:hAnsi="Times New Roman" w:cs="Times New Roman"/>
          <w:b/>
          <w:bCs/>
          <w:kern w:val="0"/>
          <w:lang w:eastAsia="en-GB"/>
          <w14:ligatures w14:val="none"/>
        </w:rPr>
        <w:t>References</w:t>
      </w:r>
    </w:p>
    <w:p w14:paraId="04BD1958" w14:textId="77777777" w:rsidR="00311B10" w:rsidRPr="00311B10" w:rsidRDefault="00311B10" w:rsidP="00311B1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1B10">
        <w:rPr>
          <w:rFonts w:ascii="Times New Roman" w:eastAsia="Times New Roman" w:hAnsi="Times New Roman" w:cs="Times New Roman"/>
          <w:kern w:val="0"/>
          <w:lang w:eastAsia="en-GB"/>
          <w14:ligatures w14:val="none"/>
        </w:rPr>
        <w:t xml:space="preserve">Bryson, B. (2011). </w:t>
      </w:r>
      <w:r w:rsidRPr="00311B10">
        <w:rPr>
          <w:rFonts w:ascii="Times New Roman" w:eastAsia="Times New Roman" w:hAnsi="Times New Roman" w:cs="Times New Roman"/>
          <w:i/>
          <w:iCs/>
          <w:kern w:val="0"/>
          <w:lang w:eastAsia="en-GB"/>
          <w14:ligatures w14:val="none"/>
        </w:rPr>
        <w:t>Seeing Further: The Story of Science, Discovery, and the Genius of the Royal Society</w:t>
      </w:r>
      <w:r w:rsidRPr="00311B10">
        <w:rPr>
          <w:rFonts w:ascii="Times New Roman" w:eastAsia="Times New Roman" w:hAnsi="Times New Roman" w:cs="Times New Roman"/>
          <w:kern w:val="0"/>
          <w:lang w:eastAsia="en-GB"/>
          <w14:ligatures w14:val="none"/>
        </w:rPr>
        <w:t>. HarperPress.</w:t>
      </w:r>
    </w:p>
    <w:p w14:paraId="65820242" w14:textId="77777777" w:rsidR="00311B10" w:rsidRPr="00311B10" w:rsidRDefault="00311B10" w:rsidP="00311B1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1B10">
        <w:rPr>
          <w:rFonts w:ascii="Times New Roman" w:eastAsia="Times New Roman" w:hAnsi="Times New Roman" w:cs="Times New Roman"/>
          <w:kern w:val="0"/>
          <w:lang w:eastAsia="en-GB"/>
          <w14:ligatures w14:val="none"/>
        </w:rPr>
        <w:t xml:space="preserve">Clifford, J., &amp; Marcus, G. E. (Eds.). (1986). </w:t>
      </w:r>
      <w:r w:rsidRPr="00311B10">
        <w:rPr>
          <w:rFonts w:ascii="Times New Roman" w:eastAsia="Times New Roman" w:hAnsi="Times New Roman" w:cs="Times New Roman"/>
          <w:i/>
          <w:iCs/>
          <w:kern w:val="0"/>
          <w:lang w:eastAsia="en-GB"/>
          <w14:ligatures w14:val="none"/>
        </w:rPr>
        <w:t>Writing Culture: The Poetics and Politics of Ethnography</w:t>
      </w:r>
      <w:r w:rsidRPr="00311B10">
        <w:rPr>
          <w:rFonts w:ascii="Times New Roman" w:eastAsia="Times New Roman" w:hAnsi="Times New Roman" w:cs="Times New Roman"/>
          <w:kern w:val="0"/>
          <w:lang w:eastAsia="en-GB"/>
          <w14:ligatures w14:val="none"/>
        </w:rPr>
        <w:t>. University of California Press.</w:t>
      </w:r>
    </w:p>
    <w:p w14:paraId="479D8E25" w14:textId="77777777" w:rsidR="00311B10" w:rsidRPr="00311B10" w:rsidRDefault="00311B10" w:rsidP="00311B1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311B10">
        <w:rPr>
          <w:rFonts w:ascii="Times New Roman" w:eastAsia="Times New Roman" w:hAnsi="Times New Roman" w:cs="Times New Roman"/>
          <w:kern w:val="0"/>
          <w:lang w:eastAsia="en-GB"/>
          <w14:ligatures w14:val="none"/>
        </w:rPr>
        <w:lastRenderedPageBreak/>
        <w:t>Portelli</w:t>
      </w:r>
      <w:proofErr w:type="spellEnd"/>
      <w:r w:rsidRPr="00311B10">
        <w:rPr>
          <w:rFonts w:ascii="Times New Roman" w:eastAsia="Times New Roman" w:hAnsi="Times New Roman" w:cs="Times New Roman"/>
          <w:kern w:val="0"/>
          <w:lang w:eastAsia="en-GB"/>
          <w14:ligatures w14:val="none"/>
        </w:rPr>
        <w:t xml:space="preserve">, A. (1991). </w:t>
      </w:r>
      <w:r w:rsidRPr="00311B10">
        <w:rPr>
          <w:rFonts w:ascii="Times New Roman" w:eastAsia="Times New Roman" w:hAnsi="Times New Roman" w:cs="Times New Roman"/>
          <w:i/>
          <w:iCs/>
          <w:kern w:val="0"/>
          <w:lang w:eastAsia="en-GB"/>
          <w14:ligatures w14:val="none"/>
        </w:rPr>
        <w:t xml:space="preserve">The Death of Luigi </w:t>
      </w:r>
      <w:proofErr w:type="spellStart"/>
      <w:r w:rsidRPr="00311B10">
        <w:rPr>
          <w:rFonts w:ascii="Times New Roman" w:eastAsia="Times New Roman" w:hAnsi="Times New Roman" w:cs="Times New Roman"/>
          <w:i/>
          <w:iCs/>
          <w:kern w:val="0"/>
          <w:lang w:eastAsia="en-GB"/>
          <w14:ligatures w14:val="none"/>
        </w:rPr>
        <w:t>Trastulli</w:t>
      </w:r>
      <w:proofErr w:type="spellEnd"/>
      <w:r w:rsidRPr="00311B10">
        <w:rPr>
          <w:rFonts w:ascii="Times New Roman" w:eastAsia="Times New Roman" w:hAnsi="Times New Roman" w:cs="Times New Roman"/>
          <w:i/>
          <w:iCs/>
          <w:kern w:val="0"/>
          <w:lang w:eastAsia="en-GB"/>
          <w14:ligatures w14:val="none"/>
        </w:rPr>
        <w:t xml:space="preserve"> and Other Stories: Form and Meaning in Oral History</w:t>
      </w:r>
      <w:r w:rsidRPr="00311B10">
        <w:rPr>
          <w:rFonts w:ascii="Times New Roman" w:eastAsia="Times New Roman" w:hAnsi="Times New Roman" w:cs="Times New Roman"/>
          <w:kern w:val="0"/>
          <w:lang w:eastAsia="en-GB"/>
          <w14:ligatures w14:val="none"/>
        </w:rPr>
        <w:t>. SUNY Press.</w:t>
      </w:r>
    </w:p>
    <w:p w14:paraId="0262F810" w14:textId="77777777" w:rsidR="00311B10" w:rsidRPr="00311B10" w:rsidRDefault="00311B10" w:rsidP="00311B1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1B10">
        <w:rPr>
          <w:rFonts w:ascii="Times New Roman" w:eastAsia="Times New Roman" w:hAnsi="Times New Roman" w:cs="Times New Roman"/>
          <w:kern w:val="0"/>
          <w:lang w:eastAsia="en-GB"/>
          <w14:ligatures w14:val="none"/>
        </w:rPr>
        <w:t xml:space="preserve">Thompson, P. (2017). </w:t>
      </w:r>
      <w:r w:rsidRPr="00311B10">
        <w:rPr>
          <w:rFonts w:ascii="Times New Roman" w:eastAsia="Times New Roman" w:hAnsi="Times New Roman" w:cs="Times New Roman"/>
          <w:i/>
          <w:iCs/>
          <w:kern w:val="0"/>
          <w:lang w:eastAsia="en-GB"/>
          <w14:ligatures w14:val="none"/>
        </w:rPr>
        <w:t>The Voice of the Past: Oral History</w:t>
      </w:r>
      <w:r w:rsidRPr="00311B10">
        <w:rPr>
          <w:rFonts w:ascii="Times New Roman" w:eastAsia="Times New Roman" w:hAnsi="Times New Roman" w:cs="Times New Roman"/>
          <w:kern w:val="0"/>
          <w:lang w:eastAsia="en-GB"/>
          <w14:ligatures w14:val="none"/>
        </w:rPr>
        <w:t>. Oxford University Press.</w:t>
      </w:r>
    </w:p>
    <w:p w14:paraId="25F4371C" w14:textId="381AE0DB" w:rsidR="00311B10" w:rsidRPr="00311B10" w:rsidRDefault="00311B10" w:rsidP="00311B1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1B10">
        <w:rPr>
          <w:rFonts w:ascii="Times New Roman" w:eastAsia="Times New Roman" w:hAnsi="Times New Roman" w:cs="Times New Roman"/>
          <w:kern w:val="0"/>
          <w:lang w:eastAsia="en-GB"/>
          <w14:ligatures w14:val="none"/>
        </w:rPr>
        <w:t xml:space="preserve">Throsby, D. (2001). </w:t>
      </w:r>
      <w:r w:rsidRPr="00311B10">
        <w:rPr>
          <w:rFonts w:ascii="Times New Roman" w:eastAsia="Times New Roman" w:hAnsi="Times New Roman" w:cs="Times New Roman"/>
          <w:i/>
          <w:iCs/>
          <w:kern w:val="0"/>
          <w:lang w:eastAsia="en-GB"/>
          <w14:ligatures w14:val="none"/>
        </w:rPr>
        <w:t>Economics and Culture</w:t>
      </w:r>
      <w:r w:rsidRPr="00311B10">
        <w:rPr>
          <w:rFonts w:ascii="Times New Roman" w:eastAsia="Times New Roman" w:hAnsi="Times New Roman" w:cs="Times New Roman"/>
          <w:kern w:val="0"/>
          <w:lang w:eastAsia="en-GB"/>
          <w14:ligatures w14:val="none"/>
        </w:rPr>
        <w:t>. Cambridge University Press.</w:t>
      </w:r>
    </w:p>
    <w:p w14:paraId="3F488940" w14:textId="77777777" w:rsidR="00311B10" w:rsidRDefault="00311B10" w:rsidP="00311B10">
      <w:pPr>
        <w:pStyle w:val="NormalWeb"/>
      </w:pPr>
    </w:p>
    <w:p w14:paraId="77C83F38" w14:textId="77777777" w:rsidR="006910A8" w:rsidRDefault="006910A8"/>
    <w:sectPr w:rsidR="006910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12504" w14:textId="77777777" w:rsidR="004E2EA8" w:rsidRDefault="004E2EA8" w:rsidP="00B62B9D">
      <w:pPr>
        <w:spacing w:after="0" w:line="240" w:lineRule="auto"/>
      </w:pPr>
      <w:r>
        <w:separator/>
      </w:r>
    </w:p>
  </w:endnote>
  <w:endnote w:type="continuationSeparator" w:id="0">
    <w:p w14:paraId="3EDB138C" w14:textId="77777777" w:rsidR="004E2EA8" w:rsidRDefault="004E2EA8" w:rsidP="00B62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6E9B8" w14:textId="77777777" w:rsidR="004E2EA8" w:rsidRDefault="004E2EA8" w:rsidP="00B62B9D">
      <w:pPr>
        <w:spacing w:after="0" w:line="240" w:lineRule="auto"/>
      </w:pPr>
      <w:r>
        <w:separator/>
      </w:r>
    </w:p>
  </w:footnote>
  <w:footnote w:type="continuationSeparator" w:id="0">
    <w:p w14:paraId="44DBF9F2" w14:textId="77777777" w:rsidR="004E2EA8" w:rsidRDefault="004E2EA8" w:rsidP="00B62B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CB7902"/>
    <w:multiLevelType w:val="multilevel"/>
    <w:tmpl w:val="2C02A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7975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B10"/>
    <w:rsid w:val="00286D04"/>
    <w:rsid w:val="002F5BB7"/>
    <w:rsid w:val="00311B10"/>
    <w:rsid w:val="004E2EA8"/>
    <w:rsid w:val="006910A8"/>
    <w:rsid w:val="006D790A"/>
    <w:rsid w:val="00B62B9D"/>
    <w:rsid w:val="00C90C03"/>
    <w:rsid w:val="00CD23AD"/>
    <w:rsid w:val="00EF0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1D2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1B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1B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1B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1B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1B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1B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1B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1B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1B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B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1B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1B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1B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1B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1B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1B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1B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1B10"/>
    <w:rPr>
      <w:rFonts w:eastAsiaTheme="majorEastAsia" w:cstheme="majorBidi"/>
      <w:color w:val="272727" w:themeColor="text1" w:themeTint="D8"/>
    </w:rPr>
  </w:style>
  <w:style w:type="paragraph" w:styleId="Title">
    <w:name w:val="Title"/>
    <w:basedOn w:val="Normal"/>
    <w:next w:val="Normal"/>
    <w:link w:val="TitleChar"/>
    <w:uiPriority w:val="10"/>
    <w:qFormat/>
    <w:rsid w:val="00311B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1B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1B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1B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1B10"/>
    <w:pPr>
      <w:spacing w:before="160"/>
      <w:jc w:val="center"/>
    </w:pPr>
    <w:rPr>
      <w:i/>
      <w:iCs/>
      <w:color w:val="404040" w:themeColor="text1" w:themeTint="BF"/>
    </w:rPr>
  </w:style>
  <w:style w:type="character" w:customStyle="1" w:styleId="QuoteChar">
    <w:name w:val="Quote Char"/>
    <w:basedOn w:val="DefaultParagraphFont"/>
    <w:link w:val="Quote"/>
    <w:uiPriority w:val="29"/>
    <w:rsid w:val="00311B10"/>
    <w:rPr>
      <w:i/>
      <w:iCs/>
      <w:color w:val="404040" w:themeColor="text1" w:themeTint="BF"/>
    </w:rPr>
  </w:style>
  <w:style w:type="paragraph" w:styleId="ListParagraph">
    <w:name w:val="List Paragraph"/>
    <w:basedOn w:val="Normal"/>
    <w:uiPriority w:val="34"/>
    <w:qFormat/>
    <w:rsid w:val="00311B10"/>
    <w:pPr>
      <w:ind w:left="720"/>
      <w:contextualSpacing/>
    </w:pPr>
  </w:style>
  <w:style w:type="character" w:styleId="IntenseEmphasis">
    <w:name w:val="Intense Emphasis"/>
    <w:basedOn w:val="DefaultParagraphFont"/>
    <w:uiPriority w:val="21"/>
    <w:qFormat/>
    <w:rsid w:val="00311B10"/>
    <w:rPr>
      <w:i/>
      <w:iCs/>
      <w:color w:val="0F4761" w:themeColor="accent1" w:themeShade="BF"/>
    </w:rPr>
  </w:style>
  <w:style w:type="paragraph" w:styleId="IntenseQuote">
    <w:name w:val="Intense Quote"/>
    <w:basedOn w:val="Normal"/>
    <w:next w:val="Normal"/>
    <w:link w:val="IntenseQuoteChar"/>
    <w:uiPriority w:val="30"/>
    <w:qFormat/>
    <w:rsid w:val="00311B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1B10"/>
    <w:rPr>
      <w:i/>
      <w:iCs/>
      <w:color w:val="0F4761" w:themeColor="accent1" w:themeShade="BF"/>
    </w:rPr>
  </w:style>
  <w:style w:type="character" w:styleId="IntenseReference">
    <w:name w:val="Intense Reference"/>
    <w:basedOn w:val="DefaultParagraphFont"/>
    <w:uiPriority w:val="32"/>
    <w:qFormat/>
    <w:rsid w:val="00311B10"/>
    <w:rPr>
      <w:b/>
      <w:bCs/>
      <w:smallCaps/>
      <w:color w:val="0F4761" w:themeColor="accent1" w:themeShade="BF"/>
      <w:spacing w:val="5"/>
    </w:rPr>
  </w:style>
  <w:style w:type="paragraph" w:styleId="NormalWeb">
    <w:name w:val="Normal (Web)"/>
    <w:basedOn w:val="Normal"/>
    <w:uiPriority w:val="99"/>
    <w:semiHidden/>
    <w:unhideWhenUsed/>
    <w:rsid w:val="00311B1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B62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B9D"/>
  </w:style>
  <w:style w:type="paragraph" w:styleId="Footer">
    <w:name w:val="footer"/>
    <w:basedOn w:val="Normal"/>
    <w:link w:val="FooterChar"/>
    <w:uiPriority w:val="99"/>
    <w:unhideWhenUsed/>
    <w:rsid w:val="00B62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B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430234">
      <w:bodyDiv w:val="1"/>
      <w:marLeft w:val="0"/>
      <w:marRight w:val="0"/>
      <w:marTop w:val="0"/>
      <w:marBottom w:val="0"/>
      <w:divBdr>
        <w:top w:val="none" w:sz="0" w:space="0" w:color="auto"/>
        <w:left w:val="none" w:sz="0" w:space="0" w:color="auto"/>
        <w:bottom w:val="none" w:sz="0" w:space="0" w:color="auto"/>
        <w:right w:val="none" w:sz="0" w:space="0" w:color="auto"/>
      </w:divBdr>
      <w:divsChild>
        <w:div w:id="163860702">
          <w:marLeft w:val="0"/>
          <w:marRight w:val="0"/>
          <w:marTop w:val="0"/>
          <w:marBottom w:val="0"/>
          <w:divBdr>
            <w:top w:val="none" w:sz="0" w:space="0" w:color="auto"/>
            <w:left w:val="none" w:sz="0" w:space="0" w:color="auto"/>
            <w:bottom w:val="none" w:sz="0" w:space="0" w:color="auto"/>
            <w:right w:val="none" w:sz="0" w:space="0" w:color="auto"/>
          </w:divBdr>
          <w:divsChild>
            <w:div w:id="1794865084">
              <w:marLeft w:val="0"/>
              <w:marRight w:val="0"/>
              <w:marTop w:val="0"/>
              <w:marBottom w:val="0"/>
              <w:divBdr>
                <w:top w:val="none" w:sz="0" w:space="0" w:color="auto"/>
                <w:left w:val="none" w:sz="0" w:space="0" w:color="auto"/>
                <w:bottom w:val="none" w:sz="0" w:space="0" w:color="auto"/>
                <w:right w:val="none" w:sz="0" w:space="0" w:color="auto"/>
              </w:divBdr>
              <w:divsChild>
                <w:div w:id="517277135">
                  <w:marLeft w:val="0"/>
                  <w:marRight w:val="0"/>
                  <w:marTop w:val="0"/>
                  <w:marBottom w:val="0"/>
                  <w:divBdr>
                    <w:top w:val="none" w:sz="0" w:space="0" w:color="auto"/>
                    <w:left w:val="none" w:sz="0" w:space="0" w:color="auto"/>
                    <w:bottom w:val="none" w:sz="0" w:space="0" w:color="auto"/>
                    <w:right w:val="none" w:sz="0" w:space="0" w:color="auto"/>
                  </w:divBdr>
                  <w:divsChild>
                    <w:div w:id="107547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940698">
          <w:marLeft w:val="0"/>
          <w:marRight w:val="0"/>
          <w:marTop w:val="0"/>
          <w:marBottom w:val="0"/>
          <w:divBdr>
            <w:top w:val="none" w:sz="0" w:space="0" w:color="auto"/>
            <w:left w:val="none" w:sz="0" w:space="0" w:color="auto"/>
            <w:bottom w:val="none" w:sz="0" w:space="0" w:color="auto"/>
            <w:right w:val="none" w:sz="0" w:space="0" w:color="auto"/>
          </w:divBdr>
          <w:divsChild>
            <w:div w:id="158666658">
              <w:marLeft w:val="0"/>
              <w:marRight w:val="0"/>
              <w:marTop w:val="0"/>
              <w:marBottom w:val="0"/>
              <w:divBdr>
                <w:top w:val="none" w:sz="0" w:space="0" w:color="auto"/>
                <w:left w:val="none" w:sz="0" w:space="0" w:color="auto"/>
                <w:bottom w:val="none" w:sz="0" w:space="0" w:color="auto"/>
                <w:right w:val="none" w:sz="0" w:space="0" w:color="auto"/>
              </w:divBdr>
              <w:divsChild>
                <w:div w:id="1090354468">
                  <w:marLeft w:val="0"/>
                  <w:marRight w:val="0"/>
                  <w:marTop w:val="0"/>
                  <w:marBottom w:val="0"/>
                  <w:divBdr>
                    <w:top w:val="none" w:sz="0" w:space="0" w:color="auto"/>
                    <w:left w:val="none" w:sz="0" w:space="0" w:color="auto"/>
                    <w:bottom w:val="none" w:sz="0" w:space="0" w:color="auto"/>
                    <w:right w:val="none" w:sz="0" w:space="0" w:color="auto"/>
                  </w:divBdr>
                  <w:divsChild>
                    <w:div w:id="181321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04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1238</Words>
  <Characters>7061</Characters>
  <Application>Microsoft Office Word</Application>
  <DocSecurity>0</DocSecurity>
  <Lines>58</Lines>
  <Paragraphs>16</Paragraphs>
  <ScaleCrop>false</ScaleCrop>
  <Company/>
  <LinksUpToDate>false</LinksUpToDate>
  <CharactersWithSpaces>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2025-05-07T17:53:00Z</dcterms:created>
  <dcterms:modified xsi:type="dcterms:W3CDTF">2025-05-07T17:53:00Z</dcterms:modified>
</cp:coreProperties>
</file>