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4.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media/image1.png" ContentType="image/png"/>
  <Override PartName="/word/theme/theme1.xml" ContentType="application/vnd.openxmlformats-officedocument.theme+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footer3.xml" ContentType="application/vnd.openxmlformats-officedocument.wordprocessingml.footer+xml"/>
  <Override PartName="/word/numbering.xml" ContentType="application/vnd.openxmlformats-officedocument.wordprocessingml.numbering+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_rels/document.xml.rels" ContentType="application/vnd.openxmlformats-package.relationship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GA36b</w:t>
      </w:r>
    </w:p>
    <w:p>
      <w:pPr>
        <w:pStyle w:val="Normal"/>
        <w:rPr>
          <w:rFonts w:ascii="Arial" w:hAnsi="Arial" w:cs="Arial"/>
        </w:rPr>
      </w:pPr>
      <w:r>
        <w:rPr>
          <w:rFonts w:cs="Arial" w:ascii="Arial" w:hAnsi="Arial"/>
        </w:rPr>
      </w:r>
    </w:p>
    <w:tbl>
      <w:tblPr>
        <w:tblW w:w="9922"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spacing w:before="120" w:after="120"/>
              <w:rPr>
                <w:rFonts w:ascii="Arial" w:hAnsi="Arial" w:cs="Arial"/>
                <w:b/>
              </w:rPr>
            </w:pPr>
            <w:r>
              <w:rPr>
                <w:rFonts w:cs="Arial" w:ascii="Arial" w:hAnsi="Arial"/>
                <w:b/>
              </w:rPr>
              <w:t>LEVEL 5 ASSESSMENT SPECIFICATION</w:t>
            </w:r>
          </w:p>
        </w:tc>
      </w:tr>
    </w:tbl>
    <w:p>
      <w:pPr>
        <w:pStyle w:val="Normal"/>
        <w:jc w:val="center"/>
        <w:rPr>
          <w:rFonts w:ascii="Arial" w:hAnsi="Arial" w:cs="Arial"/>
          <w:b/>
          <w:i/>
          <w:i/>
          <w:sz w:val="32"/>
        </w:rPr>
      </w:pPr>
      <w:r>
        <w:rPr>
          <w:rFonts w:cs="Arial" w:ascii="Arial" w:hAnsi="Arial"/>
          <w:b/>
          <w:i/>
          <w:sz w:val="32"/>
        </w:rPr>
      </w:r>
    </w:p>
    <w:tbl>
      <w:tblPr>
        <w:tblW w:w="9922"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
              <w:rPr>
                <w:sz w:val="22"/>
                <w:szCs w:val="22"/>
                <w:rFonts w:ascii="Arial" w:hAnsi="Arial"/>
              </w:rPr>
              <w:fldChar w:fldCharType="end"/>
            </w:r>
            <w:r>
              <w:rPr>
                <w:rFonts w:ascii="Arial" w:hAnsi="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Identity and Myth: the Normans and their World</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HPHI5009</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50%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Katie Hawks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Essay</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2500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16 March 2025</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30 March</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sz w:val="22"/>
                <w:szCs w:val="22"/>
              </w:rPr>
            </w:pPr>
            <w:r>
              <w:rPr>
                <w:rFonts w:cs="Arial" w:ascii="Arial" w:hAnsi="Arial"/>
                <w:b/>
                <w:sz w:val="22"/>
                <w:szCs w:val="22"/>
              </w:rPr>
              <w:t>Alternative submission method (if applicable):</w:t>
            </w:r>
          </w:p>
          <w:p>
            <w:pPr>
              <w:pStyle w:val="Normal"/>
              <w:spacing w:before="120" w:after="120"/>
              <w:jc w:val="both"/>
              <w:rPr>
                <w:rFonts w:ascii="Arial" w:hAnsi="Arial" w:cs="Arial"/>
                <w:b/>
                <w:sz w:val="22"/>
                <w:szCs w:val="22"/>
              </w:rPr>
            </w:pPr>
            <w:r>
              <w:rPr>
                <w:rFonts w:cs="Arial" w:ascii="Arial" w:hAnsi="Arial"/>
                <w:b/>
                <w:sz w:val="22"/>
                <w:szCs w:val="22"/>
              </w:rPr>
              <w:t>Late submission of the assessment will result in a late penalty mark:</w:t>
            </w:r>
          </w:p>
          <w:p>
            <w:pPr>
              <w:pStyle w:val="Normal"/>
              <w:spacing w:before="120" w:after="120"/>
              <w:jc w:val="both"/>
              <w:rPr>
                <w:rFonts w:ascii="Arial" w:hAnsi="Arial" w:cs="Arial"/>
                <w:sz w:val="22"/>
                <w:szCs w:val="22"/>
              </w:rPr>
            </w:pPr>
            <w:r>
              <w:rPr>
                <w:rFonts w:cs="Arial" w:ascii="Arial" w:hAnsi="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pPr>
              <w:pStyle w:val="Normal"/>
              <w:spacing w:before="120" w:after="120"/>
              <w:jc w:val="both"/>
              <w:rPr>
                <w:rFonts w:ascii="Arial" w:hAnsi="Arial" w:cs="Arial"/>
                <w:b/>
                <w:sz w:val="22"/>
                <w:szCs w:val="22"/>
              </w:rPr>
            </w:pPr>
            <w:r>
              <w:rPr>
                <w:rFonts w:cs="Arial" w:ascii="Arial" w:hAnsi="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ascii="Arial" w:hAnsi="Arial" w:cs="Arial"/>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sz w:val="22"/>
                <w:szCs w:val="22"/>
              </w:rPr>
            </w:pPr>
            <w:r>
              <w:rPr>
                <w:rFonts w:cs="Arial" w:ascii="Arial" w:hAnsi="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r>
        <w:br w:type="page"/>
      </w:r>
    </w:p>
    <w:p>
      <w:pPr>
        <w:pStyle w:val="Normal"/>
        <w:spacing w:before="0" w:after="0"/>
        <w:rPr>
          <w:rFonts w:ascii="Arial" w:hAnsi="Arial" w:cs="Arial"/>
          <w:sz w:val="32"/>
        </w:rPr>
      </w:pPr>
      <w:r>
        <w:rPr>
          <w:rFonts w:cs="Arial" w:ascii="Arial" w:hAnsi="Arial"/>
          <w:sz w:val="32"/>
        </w:rPr>
      </w:r>
    </w:p>
    <w:tbl>
      <w:tblPr>
        <w:tblW w:w="9747"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rPr>
                <w:rFonts w:ascii="Arial" w:hAnsi="Arial" w:cs="Arial"/>
                <w:b/>
                <w:sz w:val="22"/>
                <w:szCs w:val="22"/>
              </w:rPr>
            </w:pPr>
            <w:r>
              <w:rPr>
                <w:rFonts w:cs="Arial" w:ascii="Arial" w:hAnsi="Arial"/>
                <w:b/>
                <w:sz w:val="22"/>
                <w:szCs w:val="22"/>
              </w:rPr>
              <w:t>Module Learning Outcomes</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ind w:left="360"/>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tbl>
      <w:tblPr>
        <w:tblW w:w="9781"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rFonts w:ascii="Arial" w:hAnsi="Arial" w:cs="Arial"/>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Heading2"/>
        <w:ind w:hanging="0" w:left="567"/>
        <w:rPr>
          <w:rFonts w:ascii="Arial" w:hAnsi="Arial" w:cs="Arial"/>
          <w:sz w:val="22"/>
          <w:szCs w:val="22"/>
        </w:rPr>
      </w:pPr>
      <w:r>
        <w:rPr>
          <w:rFonts w:cs="Arial" w:ascii="Arial" w:hAnsi="Arial"/>
          <w:sz w:val="22"/>
          <w:szCs w:val="22"/>
        </w:rPr>
        <w:t>Write one essay from the following list</w:t>
      </w:r>
    </w:p>
    <w:p>
      <w:pPr>
        <w:pStyle w:val="Normal"/>
        <w:ind w:hanging="0" w:left="567"/>
        <w:rPr>
          <w:rFonts w:ascii="Arial" w:hAnsi="Arial" w:cs="Arial"/>
          <w:sz w:val="22"/>
          <w:szCs w:val="22"/>
        </w:rPr>
      </w:pPr>
      <w:r>
        <w:rPr>
          <w:rFonts w:cs="Arial" w:ascii="Arial" w:hAnsi="Arial"/>
          <w:sz w:val="22"/>
          <w:szCs w:val="22"/>
        </w:rPr>
        <w:t>1. To what extent were the Normans united by a shared sense of identity?</w:t>
      </w:r>
    </w:p>
    <w:p>
      <w:pPr>
        <w:pStyle w:val="Normal"/>
        <w:ind w:hanging="0" w:left="567"/>
        <w:rPr>
          <w:rFonts w:ascii="Arial" w:hAnsi="Arial" w:cs="Arial"/>
          <w:sz w:val="22"/>
          <w:szCs w:val="22"/>
        </w:rPr>
      </w:pPr>
      <w:r>
        <w:rPr>
          <w:rFonts w:cs="Arial" w:ascii="Arial" w:hAnsi="Arial"/>
          <w:sz w:val="22"/>
          <w:szCs w:val="22"/>
        </w:rPr>
        <w:t>2. To what extent were the achievements of the Normans in England the result of the same factors as those that explain their success in Southern Italy and Sicily?</w:t>
      </w:r>
    </w:p>
    <w:p>
      <w:pPr>
        <w:pStyle w:val="Normal"/>
        <w:ind w:hanging="0" w:left="567"/>
        <w:rPr>
          <w:rFonts w:ascii="Arial" w:hAnsi="Arial" w:cs="Arial"/>
          <w:sz w:val="22"/>
          <w:szCs w:val="22"/>
        </w:rPr>
      </w:pPr>
      <w:r>
        <w:rPr>
          <w:rFonts w:cs="Arial" w:ascii="Arial" w:hAnsi="Arial"/>
          <w:sz w:val="22"/>
          <w:szCs w:val="22"/>
        </w:rPr>
        <w:t xml:space="preserve">3. ‘The concept of </w:t>
      </w:r>
      <w:r>
        <w:rPr>
          <w:rFonts w:cs="Arial" w:ascii="Arial" w:hAnsi="Arial"/>
          <w:i/>
          <w:iCs/>
          <w:sz w:val="22"/>
          <w:szCs w:val="22"/>
        </w:rPr>
        <w:t>Normanitas</w:t>
      </w:r>
      <w:r>
        <w:rPr>
          <w:rFonts w:cs="Arial" w:ascii="Arial" w:hAnsi="Arial"/>
          <w:sz w:val="22"/>
          <w:szCs w:val="22"/>
        </w:rPr>
        <w:t xml:space="preserve"> is merely a literary device and bears little resemblance to reality.’ Discuss </w:t>
      </w:r>
    </w:p>
    <w:p>
      <w:pPr>
        <w:pStyle w:val="Normal"/>
        <w:ind w:hanging="0" w:left="567"/>
        <w:rPr>
          <w:rFonts w:ascii="Arial" w:hAnsi="Arial" w:cs="Arial"/>
          <w:sz w:val="22"/>
          <w:szCs w:val="22"/>
        </w:rPr>
      </w:pPr>
      <w:r>
        <w:rPr>
          <w:rFonts w:cs="Arial" w:ascii="Arial" w:hAnsi="Arial"/>
          <w:sz w:val="22"/>
          <w:szCs w:val="22"/>
        </w:rPr>
        <w:t>4. Did the Normans achieve a lasting legacy?</w:t>
      </w:r>
    </w:p>
    <w:p>
      <w:pPr>
        <w:pStyle w:val="Normal"/>
        <w:ind w:hanging="0" w:left="567"/>
        <w:rPr>
          <w:rFonts w:ascii="Arial" w:hAnsi="Arial" w:cs="Arial"/>
          <w:sz w:val="22"/>
          <w:szCs w:val="22"/>
        </w:rPr>
      </w:pPr>
      <w:r>
        <w:rPr>
          <w:rFonts w:cs="Arial" w:ascii="Arial" w:hAnsi="Arial"/>
          <w:sz w:val="22"/>
          <w:szCs w:val="22"/>
        </w:rPr>
        <w:t>5. How useful is the Bayeux Tapestry as a source for the events surrounding the Norman invasion of England?</w:t>
      </w:r>
    </w:p>
    <w:p>
      <w:pPr>
        <w:pStyle w:val="Normal"/>
        <w:ind w:hanging="0" w:left="567"/>
        <w:rPr>
          <w:rFonts w:ascii="Arial" w:hAnsi="Arial" w:cs="Arial"/>
          <w:sz w:val="22"/>
          <w:szCs w:val="22"/>
        </w:rPr>
      </w:pPr>
      <w:r>
        <w:rPr>
          <w:rFonts w:cs="Arial" w:ascii="Arial" w:hAnsi="Arial"/>
          <w:sz w:val="22"/>
          <w:szCs w:val="22"/>
        </w:rPr>
        <w:t>6. What does the artwork commissioned by the Normans tell us about how they wished to be perceived?</w:t>
      </w:r>
    </w:p>
    <w:p>
      <w:pPr>
        <w:pStyle w:val="Normal"/>
        <w:ind w:hanging="0" w:left="567"/>
        <w:rPr>
          <w:rFonts w:ascii="Arial" w:hAnsi="Arial" w:cs="Arial"/>
          <w:sz w:val="22"/>
          <w:szCs w:val="22"/>
        </w:rPr>
      </w:pPr>
      <w:r>
        <w:rPr>
          <w:rFonts w:cs="Arial" w:ascii="Arial" w:hAnsi="Arial"/>
          <w:sz w:val="22"/>
          <w:szCs w:val="22"/>
        </w:rPr>
        <w:t>7. What role do histories play in the dissemination of the ‘Norman Myth’?</w:t>
      </w:r>
    </w:p>
    <w:p>
      <w:pPr>
        <w:pStyle w:val="Heading2"/>
        <w:ind w:hanging="0" w:left="567"/>
        <w:rPr>
          <w:rFonts w:ascii="Arial" w:hAnsi="Arial" w:cs="Arial"/>
          <w:sz w:val="22"/>
          <w:szCs w:val="22"/>
        </w:rPr>
      </w:pPr>
      <w:r>
        <w:rPr>
          <w:rFonts w:cs="Arial" w:ascii="Arial" w:hAnsi="Arial"/>
          <w:sz w:val="22"/>
          <w:szCs w:val="22"/>
        </w:rPr>
      </w:r>
    </w:p>
    <w:p>
      <w:pPr>
        <w:pStyle w:val="Heading2"/>
        <w:ind w:hanging="0" w:left="567"/>
        <w:rPr>
          <w:rFonts w:ascii="Arial" w:hAnsi="Arial" w:cs="Arial"/>
          <w:sz w:val="22"/>
          <w:szCs w:val="22"/>
        </w:rPr>
      </w:pPr>
      <w:r>
        <w:rPr>
          <w:rFonts w:cs="Arial" w:ascii="Arial" w:hAnsi="Arial"/>
          <w:sz w:val="22"/>
          <w:szCs w:val="22"/>
        </w:rPr>
        <w:t>Use of Generative AI in Assessment</w:t>
      </w:r>
    </w:p>
    <w:p>
      <w:pPr>
        <w:pStyle w:val="Normal"/>
        <w:rPr>
          <w:rFonts w:ascii="Arial" w:hAnsi="Arial" w:cs="Arial"/>
          <w:sz w:val="22"/>
          <w:szCs w:val="22"/>
        </w:rPr>
      </w:pPr>
      <w:r>
        <w:rPr/>
        <w:tab/>
      </w:r>
      <w:r>
        <w:rPr>
          <w:rFonts w:cs="Arial" w:ascii="Arial" w:hAnsi="Arial"/>
          <w:sz w:val="22"/>
          <w:szCs w:val="22"/>
        </w:rPr>
        <w:t>(Lecturer to indicate Yes or Not against each element)</w:t>
      </w:r>
    </w:p>
    <w:p>
      <w:pPr>
        <w:pStyle w:val="Normal"/>
        <w:rPr>
          <w:rFonts w:eastAsia="Calibri"/>
        </w:rPr>
      </w:pPr>
      <w:r>
        <w:rPr>
          <w:rFonts w:eastAsia="Calibri"/>
        </w:rPr>
        <w:tab/>
      </w:r>
    </w:p>
    <w:p>
      <w:pPr>
        <w:pStyle w:val="Normal"/>
        <w:rPr>
          <w:rFonts w:eastAsia="Calibri"/>
        </w:rPr>
      </w:pPr>
      <w:r>
        <w:rPr>
          <w:rFonts w:eastAsia="Calibri"/>
        </w:rPr>
      </w:r>
    </w:p>
    <w:tbl>
      <w:tblPr>
        <w:tblStyle w:val="TableGrid"/>
        <w:tblW w:w="9064" w:type="dxa"/>
        <w:jc w:val="left"/>
        <w:tblInd w:w="608" w:type="dxa"/>
        <w:tblLayout w:type="fixed"/>
        <w:tblCellMar>
          <w:top w:w="0" w:type="dxa"/>
          <w:left w:w="105" w:type="dxa"/>
          <w:bottom w:w="0" w:type="dxa"/>
          <w:right w:w="105" w:type="dxa"/>
        </w:tblCellMar>
        <w:tblLook w:val="04a0" w:noVBand="1" w:noHBand="0" w:lastColumn="0" w:firstColumn="1" w:lastRow="0" w:firstRow="1"/>
      </w:tblPr>
      <w:tblGrid>
        <w:gridCol w:w="2247"/>
        <w:gridCol w:w="5400"/>
        <w:gridCol w:w="1417"/>
      </w:tblGrid>
      <w:tr>
        <w:trPr>
          <w:trHeight w:val="300" w:hRule="atLeast"/>
        </w:trPr>
        <w:tc>
          <w:tcPr>
            <w:tcW w:w="2247" w:type="dxa"/>
            <w:tcBorders>
              <w:top w:val="single" w:sz="6" w:space="0" w:color="000000"/>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RESEARCH</w:t>
            </w:r>
          </w:p>
        </w:tc>
        <w:tc>
          <w:tcPr>
            <w:tcW w:w="5400" w:type="dxa"/>
            <w:tcBorders>
              <w:top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research, including searching for bibliography, using tools to summarise, compare and interrogate materials.</w:t>
            </w:r>
          </w:p>
        </w:tc>
        <w:tc>
          <w:tcPr>
            <w:tcW w:w="1417" w:type="dxa"/>
            <w:tcBorders>
              <w:top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132582787"/>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32746510"/>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STRUCTURE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structuring your submission, including creating a draft argument structure, identifying parts and headings, etc.</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96310629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70765072"/>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PROOFREADING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check your own text/creation for grammatical and syntactical mistakes, including rephrasing of your own work within specific standards.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324893659"/>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14711207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WRITING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text for submission.</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369145368"/>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362739539"/>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CREATIVE</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creative materials, such as images.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01055208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17855451"/>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tcBorders>
          </w:tcPr>
          <w:p>
            <w:pPr>
              <w:pStyle w:val="Normal"/>
              <w:widowControl/>
              <w:suppressAutoHyphens w:val="true"/>
              <w:spacing w:lineRule="auto" w:line="259" w:before="0" w:after="0"/>
              <w:jc w:val="left"/>
              <w:rPr>
                <w:rFonts w:ascii="Arial" w:hAnsi="Arial" w:cs="Arial"/>
                <w:sz w:val="22"/>
                <w:szCs w:val="22"/>
              </w:rPr>
            </w:pPr>
            <w:r>
              <w:rPr>
                <w:rFonts w:eastAsia="Calibri" w:cs="Arial" w:ascii="Arial" w:hAnsi="Arial"/>
                <w:kern w:val="0"/>
                <w:sz w:val="22"/>
                <w:szCs w:val="22"/>
                <w:lang w:val="en-GB" w:bidi="ar-SA"/>
              </w:rPr>
              <w:t>PROGRAMING</w:t>
            </w:r>
          </w:p>
        </w:tc>
        <w:tc>
          <w:tcPr>
            <w:tcW w:w="5400"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and check code.</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136687853"/>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648559774"/>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7" w:type="dxa"/>
            <w:tcBorders>
              <w:left w:val="single" w:sz="6" w:space="0" w:color="000000"/>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NONE</w:t>
            </w:r>
          </w:p>
        </w:tc>
        <w:tc>
          <w:tcPr>
            <w:tcW w:w="5400" w:type="dxa"/>
            <w:tcBorders>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 xml:space="preserve">For this assessment, you are not allowed to use </w:t>
            </w:r>
            <w:r>
              <w:rPr>
                <w:rFonts w:eastAsia="Calibri" w:cs="Arial" w:ascii="Arial" w:hAnsi="Arial"/>
                <w:b/>
                <w:bCs/>
                <w:kern w:val="0"/>
                <w:sz w:val="22"/>
                <w:szCs w:val="22"/>
                <w:lang w:val="en-GB" w:bidi="ar-SA"/>
              </w:rPr>
              <w:t>any</w:t>
            </w:r>
            <w:r>
              <w:rPr>
                <w:rFonts w:eastAsia="Calibri" w:cs="Arial" w:ascii="Arial" w:hAnsi="Arial"/>
                <w:kern w:val="0"/>
                <w:sz w:val="22"/>
                <w:szCs w:val="22"/>
                <w:lang w:val="en-GB" w:bidi="ar-SA"/>
              </w:rPr>
              <w:t xml:space="preserve"> type of Generative AI support. This includes research support, structure support, writing/proofreading support and creative support.</w:t>
            </w:r>
          </w:p>
        </w:tc>
        <w:tc>
          <w:tcPr>
            <w:tcW w:w="1417" w:type="dxa"/>
            <w:tcBorders>
              <w:bottom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610168832"/>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62828060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bl>
    <w:p>
      <w:pPr>
        <w:pStyle w:val="Normal"/>
        <w:ind w:left="720"/>
        <w:rPr>
          <w:rFonts w:ascii="Arial" w:hAnsi="Arial" w:cs="Arial"/>
          <w:sz w:val="24"/>
          <w:szCs w:val="24"/>
        </w:rPr>
      </w:pPr>
      <w:r>
        <w:rPr>
          <w:rFonts w:cs="Arial" w:ascii="Arial" w:hAnsi="Arial"/>
          <w:sz w:val="24"/>
          <w:szCs w:val="24"/>
        </w:rPr>
      </w:r>
    </w:p>
    <w:p>
      <w:pPr>
        <w:pStyle w:val="Normal"/>
        <w:jc w:val="both"/>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445"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provide evidence that you have accessed an appropriate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5, you should be able to demonstrate:</w:t>
      </w:r>
      <w:r>
        <w:rPr/>
        <w:t xml:space="preserve"> </w:t>
      </w:r>
      <w:r>
        <w:rPr>
          <w:rFonts w:cs="Arial" w:ascii="Arial" w:hAnsi="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w:t>
      </w:r>
      <w:r>
        <w:rPr/>
        <w:t xml:space="preserve"> </w:t>
      </w:r>
    </w:p>
    <w:p>
      <w:pPr>
        <w:pStyle w:val="Normal"/>
        <w:jc w:val="both"/>
        <w:rPr>
          <w:rFonts w:ascii="Arial" w:hAnsi="Arial" w:cs="Arial"/>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t xml:space="preserve"> </w:t>
      </w:r>
      <w:r>
        <w:rPr>
          <w:rFonts w:cs="Arial" w:ascii="Arial" w:hAnsi="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employment requiring the exercise of personal responsibility and decision-making.  This includes demonstrating: professional development</w:t>
      </w:r>
      <w:r>
        <w:rPr/>
        <w:t xml:space="preserve"> to </w:t>
      </w:r>
      <w:r>
        <w:rPr>
          <w:rFonts w:cs="Arial" w:ascii="Arial" w:hAnsi="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445" w:type="dxa"/>
        <w:jc w:val="center"/>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val="04a0" w:noVBand="1" w:noHBand="0" w:lastColumn="0" w:firstColumn="1" w:lastRow="0" w:firstRow="1"/>
      </w:tblPr>
      <w:tblGrid>
        <w:gridCol w:w="8725"/>
        <w:gridCol w:w="872"/>
        <w:gridCol w:w="869"/>
      </w:tblGrid>
      <w:tr>
        <w:trPr>
          <w:trHeight w:val="1002" w:hRule="atLeast"/>
        </w:trPr>
        <w:tc>
          <w:tcPr>
            <w:tcW w:w="8725" w:type="dxa"/>
            <w:tcBorders>
              <w:top w:val="single" w:sz="4" w:space="0" w:color="000000"/>
              <w:left w:val="single" w:sz="4" w:space="0" w:color="000000"/>
              <w:right w:val="single" w:sz="4" w:space="0" w:color="000000"/>
            </w:tcBorders>
            <w:shd w:color="auto" w:fill="BFBFBF" w:val="clear"/>
            <w:vAlign w:val="center"/>
          </w:tcPr>
          <w:p>
            <w:pPr>
              <w:pStyle w:val="Normal"/>
              <w:rPr>
                <w:rFonts w:ascii="Arial" w:hAnsi="Arial" w:cs="Arial"/>
                <w:b/>
                <w:sz w:val="22"/>
              </w:rPr>
            </w:pPr>
            <w:r>
              <w:rPr>
                <w:rFonts w:cs="Arial" w:ascii="Arial" w:hAnsi="Arial"/>
                <w:b/>
                <w:sz w:val="22"/>
                <w:szCs w:val="16"/>
              </w:rPr>
              <w:t>Generic Assessment Criteria</w:t>
            </w:r>
          </w:p>
        </w:tc>
        <w:tc>
          <w:tcPr>
            <w:tcW w:w="872" w:type="dxa"/>
            <w:tcBorders>
              <w:top w:val="single" w:sz="4" w:space="0" w:color="000000"/>
              <w:left w:val="single" w:sz="4" w:space="0" w:color="000000"/>
              <w:right w:val="single" w:sz="4" w:space="0" w:color="000000"/>
            </w:tcBorders>
            <w:shd w:color="auto" w:fill="BFBFBF" w:val="clear"/>
            <w:textDirection w:val="btLr"/>
          </w:tcPr>
          <w:p>
            <w:pPr>
              <w:pStyle w:val="Normal"/>
              <w:ind w:left="34" w:right="113"/>
              <w:jc w:val="center"/>
              <w:rPr>
                <w:rFonts w:ascii="Arial" w:hAnsi="Arial" w:cs="Arial"/>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ind w:left="113" w:right="113"/>
              <w:jc w:val="center"/>
              <w:rPr>
                <w:rFonts w:ascii="Arial" w:hAnsi="Arial" w:cs="Arial"/>
                <w:b/>
                <w:sz w:val="18"/>
                <w:szCs w:val="18"/>
              </w:rPr>
            </w:pPr>
            <w:r>
              <w:rPr>
                <w:rFonts w:cs="Arial" w:ascii="Arial" w:hAnsi="Arial"/>
                <w:b/>
                <w:sz w:val="18"/>
                <w:szCs w:val="18"/>
              </w:rPr>
              <w:t>Marks</w:t>
            </w:r>
          </w:p>
          <w:p>
            <w:pPr>
              <w:pStyle w:val="Normal"/>
              <w:ind w:left="113" w:right="113"/>
              <w:jc w:val="center"/>
              <w:rPr>
                <w:rFonts w:ascii="Arial" w:hAnsi="Arial" w:cs="Arial"/>
                <w:b/>
                <w:sz w:val="18"/>
                <w:szCs w:val="18"/>
              </w:rPr>
            </w:pPr>
            <w:r>
              <w:rPr>
                <w:rFonts w:cs="Arial" w:ascii="Arial" w:hAnsi="Arial"/>
                <w:b/>
                <w:sz w:val="18"/>
                <w:szCs w:val="18"/>
              </w:rPr>
              <w:t>awarded</w:t>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bl>
    <w:p>
      <w:pPr>
        <w:pStyle w:val="Normal"/>
        <w:ind w:left="284" w:right="531"/>
        <w:rPr>
          <w:rFonts w:ascii="Arial" w:hAnsi="Arial" w:cs="Arial"/>
          <w:b/>
          <w:sz w:val="16"/>
          <w:szCs w:val="16"/>
        </w:rPr>
      </w:pPr>
      <w:r>
        <w:rPr>
          <w:rFonts w:cs="Arial" w:ascii="Arial" w:hAnsi="Arial"/>
          <w:b/>
          <w:sz w:val="16"/>
          <w:szCs w:val="16"/>
        </w:rPr>
      </w:r>
    </w:p>
    <w:tbl>
      <w:tblPr>
        <w:tblpPr w:vertAnchor="text" w:horzAnchor="margin" w:tblpXSpec="center" w:leftFromText="180" w:rightFromText="180" w:tblpY="82"/>
        <w:tblW w:w="10666" w:type="dxa"/>
        <w:jc w:val="center"/>
        <w:tblInd w:w="0" w:type="dxa"/>
        <w:tblLayout w:type="fixed"/>
        <w:tblCellMar>
          <w:top w:w="0" w:type="dxa"/>
          <w:left w:w="10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rPr>
                <w:rFonts w:ascii="Arial" w:hAnsi="Arial" w:cs="Arial"/>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jc w:val="right"/>
              <w:rPr>
                <w:rFonts w:ascii="Arial" w:hAnsi="Arial" w:cs="Arial"/>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Up to 1 week late (</w:t>
            </w:r>
            <w:r>
              <w:rPr>
                <w:rFonts w:cs="Arial" w:ascii="Arial" w:hAnsi="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left="142"/>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pStyle w:val="Normal"/>
        <w:rPr>
          <w:rFonts w:ascii="Arial" w:hAnsi="Arial" w:cs="Arial"/>
          <w:vanish/>
        </w:rPr>
      </w:pPr>
      <w:r>
        <w:rPr>
          <w:rFonts w:cs="Arial" w:ascii="Arial" w:hAnsi="Arial"/>
          <w:vanish/>
        </w:rPr>
      </w: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858"/>
      </w:tblGrid>
      <w:tr>
        <w:trPr/>
        <w:tc>
          <w:tcPr>
            <w:tcW w:w="13858" w:type="dxa"/>
            <w:tcBorders/>
            <w:shd w:color="auto" w:fill="FF99FF" w:val="clear"/>
          </w:tcPr>
          <w:p>
            <w:pPr>
              <w:pStyle w:val="NormalWeb"/>
              <w:widowControl/>
              <w:suppressAutoHyphens w:val="true"/>
              <w:spacing w:before="100" w:after="100"/>
              <w:jc w:val="left"/>
              <w:rPr>
                <w:rFonts w:ascii="Arial" w:hAnsi="Arial" w:cs="Arial"/>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948"/>
      </w:tblGrid>
      <w:tr>
        <w:trPr/>
        <w:tc>
          <w:tcPr>
            <w:tcW w:w="13948" w:type="dxa"/>
            <w:tcBorders/>
            <w:shd w:color="auto" w:fill="FF99FF" w:val="clear"/>
          </w:tcPr>
          <w:p>
            <w:pPr>
              <w:pStyle w:val="Normal"/>
              <w:widowControl/>
              <w:suppressAutoHyphens w:val="true"/>
              <w:spacing w:before="0" w:after="0"/>
              <w:jc w:val="left"/>
              <w:rPr>
                <w:rFonts w:ascii="Arial" w:hAnsi="Arial" w:cs="Arial"/>
                <w:b/>
              </w:rPr>
            </w:pPr>
            <w:r>
              <w:rPr>
                <w:rFonts w:eastAsia="Times New Roman" w:cs="Arial" w:ascii="Arial" w:hAnsi="Arial"/>
                <w:b/>
                <w:kern w:val="0"/>
                <w:sz w:val="20"/>
                <w:szCs w:val="20"/>
                <w:lang w:val="en-GB" w:bidi="ar-SA"/>
              </w:rPr>
              <w:t>Level 5</w:t>
            </w:r>
          </w:p>
        </w:tc>
      </w:tr>
      <w:tr>
        <w:trPr/>
        <w:tc>
          <w:tcPr>
            <w:tcW w:w="13948" w:type="dxa"/>
            <w:tcBorders/>
            <w:shd w:color="auto" w:fill="FFCCFF" w:val="clear"/>
          </w:tcPr>
          <w:p>
            <w:pPr>
              <w:pStyle w:val="Normal"/>
              <w:widowControl/>
              <w:suppressAutoHyphens w:val="true"/>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735"/>
        <w:gridCol w:w="1736"/>
        <w:gridCol w:w="1736"/>
        <w:gridCol w:w="1736"/>
        <w:gridCol w:w="1737"/>
        <w:gridCol w:w="1738"/>
        <w:gridCol w:w="1735"/>
        <w:gridCol w:w="1732"/>
      </w:tblGrid>
      <w:tr>
        <w:trPr>
          <w:tblHeader w:val="true"/>
        </w:trPr>
        <w:tc>
          <w:tcPr>
            <w:tcW w:w="1735" w:type="dxa"/>
            <w:tcBorders/>
            <w:shd w:color="auto" w:fill="FF99FF" w:val="clear"/>
          </w:tcPr>
          <w:p>
            <w:pPr>
              <w:pStyle w:val="Normal"/>
              <w:widowControl/>
              <w:suppressAutoHyphens w:val="true"/>
              <w:spacing w:before="0" w:after="0"/>
              <w:jc w:val="left"/>
              <w:rPr>
                <w:rFonts w:ascii="Arial" w:hAnsi="Arial" w:cs="Arial"/>
                <w:b/>
                <w:sz w:val="18"/>
                <w:szCs w:val="18"/>
              </w:rPr>
            </w:pPr>
            <w:r>
              <w:rPr>
                <w:rFonts w:eastAsia="Times New Roman" w:cs="Arial" w:ascii="Arial" w:hAnsi="Arial"/>
                <w:b/>
                <w:kern w:val="0"/>
                <w:sz w:val="18"/>
                <w:szCs w:val="18"/>
                <w:lang w:val="en-GB" w:bidi="ar-SA"/>
              </w:rPr>
              <w:t>Level 5</w:t>
            </w:r>
          </w:p>
        </w:tc>
        <w:tc>
          <w:tcPr>
            <w:tcW w:w="1736"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MARGINAL FAIL</w:t>
            </w:r>
          </w:p>
        </w:tc>
        <w:tc>
          <w:tcPr>
            <w:tcW w:w="1736"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SATISFACTORY</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w:t>
            </w:r>
            <w:r>
              <w:rPr>
                <w:rFonts w:eastAsia="Times New Roman" w:cs="Arial" w:ascii="Arial" w:hAnsi="Arial"/>
                <w:b/>
                <w:kern w:val="0"/>
                <w:sz w:val="18"/>
                <w:szCs w:val="18"/>
                <w:vertAlign w:val="superscript"/>
                <w:lang w:val="en-GB" w:bidi="ar-SA"/>
              </w:rPr>
              <w:t>rd</w:t>
            </w:r>
            <w:r>
              <w:rPr>
                <w:rFonts w:eastAsia="Times New Roman" w:cs="Arial" w:ascii="Arial" w:hAnsi="Arial"/>
                <w:b/>
                <w:kern w:val="0"/>
                <w:sz w:val="18"/>
                <w:szCs w:val="18"/>
                <w:lang w:val="en-GB" w:bidi="ar-SA"/>
              </w:rPr>
              <w:t xml:space="preserve"> / Pass)</w:t>
            </w:r>
          </w:p>
        </w:tc>
        <w:tc>
          <w:tcPr>
            <w:tcW w:w="1737"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(2.2 / Pass)</w:t>
            </w:r>
          </w:p>
        </w:tc>
        <w:tc>
          <w:tcPr>
            <w:tcW w:w="1738"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VERY 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(2.1 / Merit)</w:t>
            </w:r>
          </w:p>
        </w:tc>
        <w:tc>
          <w:tcPr>
            <w:tcW w:w="1735"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EXCELLENT</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c>
          <w:tcPr>
            <w:tcW w:w="1732" w:type="dxa"/>
            <w:tcBorders/>
            <w:shd w:color="auto" w:fill="FF99FF"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EXCEPTIONAL</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r>
      <w:tr>
        <w:trPr>
          <w:tblHeader w:val="true"/>
        </w:trPr>
        <w:tc>
          <w:tcPr>
            <w:tcW w:w="1735" w:type="dxa"/>
            <w:tcBorders/>
            <w:shd w:color="auto" w:fill="FF99FF" w:val="clear"/>
          </w:tcPr>
          <w:p>
            <w:pPr>
              <w:pStyle w:val="Normal"/>
              <w:widowControl/>
              <w:suppressAutoHyphens w:val="true"/>
              <w:spacing w:before="0" w:after="0"/>
              <w:ind w:left="171"/>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0-29%</w:t>
            </w:r>
          </w:p>
        </w:tc>
        <w:tc>
          <w:tcPr>
            <w:tcW w:w="1736"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30-39%</w:t>
            </w:r>
          </w:p>
        </w:tc>
        <w:tc>
          <w:tcPr>
            <w:tcW w:w="1736"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40-49%</w:t>
            </w:r>
          </w:p>
        </w:tc>
        <w:tc>
          <w:tcPr>
            <w:tcW w:w="1737"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50-59%</w:t>
            </w:r>
          </w:p>
        </w:tc>
        <w:tc>
          <w:tcPr>
            <w:tcW w:w="1738"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60-69%</w:t>
            </w:r>
          </w:p>
        </w:tc>
        <w:tc>
          <w:tcPr>
            <w:tcW w:w="1735" w:type="dxa"/>
            <w:tcBorders/>
            <w:shd w:color="auto" w:fill="FF99FF"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70-84%</w:t>
            </w:r>
          </w:p>
        </w:tc>
        <w:tc>
          <w:tcPr>
            <w:tcW w:w="1732" w:type="dxa"/>
            <w:tcBorders/>
            <w:shd w:color="auto" w:fill="FF99FF" w:val="clea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85-100%</w:t>
            </w:r>
          </w:p>
        </w:tc>
      </w:tr>
      <w:tr>
        <w:trPr/>
        <w:tc>
          <w:tcPr>
            <w:tcW w:w="1735" w:type="dxa"/>
            <w:tcBorders/>
            <w:shd w:color="auto" w:fill="FF99FF"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reading, referencing,</w:t>
            </w:r>
          </w:p>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uppressAutoHyphens w:val="true"/>
              <w:spacing w:before="34" w:after="0"/>
              <w:ind w:left="108" w:right="-54"/>
              <w:jc w:val="left"/>
              <w:rPr>
                <w:rFonts w:ascii="Arial" w:hAnsi="Arial" w:eastAsia="Arial" w:cs="Arial"/>
                <w:b/>
                <w:bCs/>
              </w:rPr>
            </w:pPr>
            <w:r>
              <w:rPr>
                <w:rFonts w:eastAsia="Arial" w:cs="Arial" w:ascii="Arial" w:hAnsi="Arial"/>
                <w:bCs/>
                <w:kern w:val="0"/>
                <w:sz w:val="18"/>
                <w:szCs w:val="18"/>
                <w:lang w:val="en-GB" w:bidi="ar-SA"/>
              </w:rPr>
              <w:t>academic honesty)</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cs="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limited range of mostly relevant and credible sources. Some omissions and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appropriate range of literature, including sources retrieved independently. Some over-reliance on texts. Referencing may show minor inaccuracies or inconsistencies.</w:t>
            </w:r>
          </w:p>
        </w:tc>
        <w:tc>
          <w:tcPr>
            <w:tcW w:w="1738"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wide range of literature, including sources retrieved independently.</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extensive range of relevant and credible literature. Consistently accurate application of referencing.</w:t>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High-level referencing skills consistently applied.</w:t>
            </w:r>
          </w:p>
        </w:tc>
      </w:tr>
      <w:tr>
        <w:trPr/>
        <w:tc>
          <w:tcPr>
            <w:tcW w:w="1735" w:type="dxa"/>
            <w:tcBorders/>
            <w:shd w:color="auto" w:fill="FF99FF" w:val="clear"/>
          </w:tcPr>
          <w:p>
            <w:pPr>
              <w:pStyle w:val="Normal"/>
              <w:widowControl/>
              <w:suppressAutoHyphens w:val="true"/>
              <w:spacing w:before="34" w:after="0"/>
              <w:ind w:left="108" w:right="-54"/>
              <w:jc w:val="left"/>
              <w:rPr>
                <w:rFonts w:ascii="Arial" w:hAnsi="Arial" w:cs="Arial"/>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20"/>
                <w:szCs w:val="20"/>
                <w:lang w:val="en-GB" w:bidi="ar-SA"/>
              </w:rPr>
              <w:t>(</w:t>
            </w:r>
            <w:r>
              <w:rPr>
                <w:rFonts w:eastAsia="Arial" w:cs="Arial" w:ascii="Arial" w:hAnsi="Arial"/>
                <w:bCs/>
                <w:kern w:val="0"/>
                <w:sz w:val="18"/>
                <w:szCs w:val="18"/>
                <w:lang w:val="en-GB" w:bidi="ar-SA"/>
              </w:rPr>
              <w:t>Sound knowledge and critical understanding of the well-established concepts and principles in their field of study; knowledge of the main methods of enquiry in the discipline.)</w:t>
            </w:r>
          </w:p>
        </w:tc>
        <w:tc>
          <w:tcPr>
            <w:tcW w:w="1736" w:type="dxa"/>
            <w:tcBorders>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left w:val="dashed" w:sz="4" w:space="0" w:color="000000"/>
              <w:right w:val="double"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left w:val="double"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Limited but adequate knowledge and critical understanding of the well-established concepts and principles within the subject area, with a few gaps in the selection of material. A narrow critical understanding of the main methods of enquiry.</w:t>
            </w:r>
          </w:p>
        </w:tc>
        <w:tc>
          <w:tcPr>
            <w:tcW w:w="1737"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reasonably detailed and accurate. A good critical understanding of the well-established concepts and principles and the main methods of enquiry, with minor gaps in the selection of material.</w:t>
            </w:r>
          </w:p>
        </w:tc>
        <w:tc>
          <w:tcPr>
            <w:tcW w:w="1738"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reasonably extensive.  Exhibits very competent critical understanding of the well-established concepts and principles of the subject and the main methods of enquiry.  Breadth and depth of knowledge.</w:t>
            </w:r>
          </w:p>
        </w:tc>
        <w:tc>
          <w:tcPr>
            <w:tcW w:w="1735"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Excellent, detailed knowledge and highly critical understanding of the well-established concepts and principles of the subject and the main methods of enquiry.</w:t>
            </w:r>
          </w:p>
        </w:tc>
        <w:tc>
          <w:tcPr>
            <w:tcW w:w="1732" w:type="dxa"/>
            <w:tcBorders>
              <w:lef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Exceptionally detailed knowledge and outstanding critical understanding of the well-established concepts and principles of the subject and the main methods of enquiry. May go beyond established theories.</w:t>
            </w:r>
          </w:p>
        </w:tc>
      </w:tr>
      <w:tr>
        <w:trPr/>
        <w:tc>
          <w:tcPr>
            <w:tcW w:w="1735" w:type="dxa"/>
            <w:tcBorders/>
            <w:shd w:color="auto" w:fill="FF99FF"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(Critical evaluation and analysis of concepts and principles; argument and judgement</w:t>
            </w:r>
            <w:r>
              <w:rPr>
                <w:rFonts w:eastAsia="Arial" w:cs="Arial" w:ascii="Arial" w:hAnsi="Arial"/>
                <w:b/>
                <w:bCs/>
                <w:kern w:val="0"/>
                <w:sz w:val="20"/>
                <w:szCs w:val="20"/>
                <w:lang w:val="en-GB" w:bidi="ar-SA"/>
              </w:rPr>
              <w:t xml:space="preserve">; </w:t>
            </w:r>
            <w:r>
              <w:rPr>
                <w:rFonts w:eastAsia="Arial" w:cs="Arial" w:ascii="Arial" w:hAnsi="Arial"/>
                <w:bCs/>
                <w:kern w:val="0"/>
                <w:sz w:val="18"/>
                <w:szCs w:val="18"/>
                <w:lang w:val="en-GB" w:bidi="ar-SA"/>
              </w:rPr>
              <w:t>the limits of their knowledge, and how this influences their analyses and interpretations.)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critical evaluation and analysis of concepts and principles.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or opinion, made without use of any credible evidence.</w:t>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at critical evaluation and analysis of concepts and principles, tending towards description.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evidence to support arguments and judgements but these may be underdeveloped, with a little inconsistency / mis-interpretation or failure to fully recognise limits of knowledge.</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critical evaluation and analysis of concepts and principles, though descriptive in parts.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emerging awareness the limits of their knowledge and ability to use evidence to support the argument though with some tendency to assert/state opinion rather than argue on the basis of reason and evidence.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valid arguments and logical judgements.</w:t>
            </w:r>
          </w:p>
        </w:tc>
        <w:tc>
          <w:tcPr>
            <w:tcW w:w="1738"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Excellent critical evaluation and analysis of concepts and principles leading to logical, evidence-based, reasoned arguments and judgements. Explicit recognition of other stances and a strong awareness of the limits of their knowledge.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capacity for independent thought and ability to ‘see beyond the question’, suggesting some grasp of the broader field and wider concepts.</w:t>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Outstanding critical evaluation and analysis of concepts and principles.  Uses evidence exceptionally well to connect ideas, and support highly logical and persuasive, arguments and judgements.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trPr/>
        <w:tc>
          <w:tcPr>
            <w:tcW w:w="1735" w:type="dxa"/>
            <w:tcBorders/>
            <w:shd w:color="auto" w:fill="FF99FF"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Practical skills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(Apply underlying concepts and principles more widely outside the context in which they were first studied; use a range of established techniques; propose solutions to problems arising from analysis.)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or no use of 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outside the context in which they were first studied.</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Rudimentary application of established methods, materials, tools and/or techniques but without consideration and competence. Flawed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Weak understanding of the application of theory to practice, with only occasional evidence of making appropriate links between the two. Weak problem-solving skills outside the context in which they were first studied.</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adequate awareness and mostly appropriate application of 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basic solutions outside the context in which they were first studied.</w:t>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good and appropriate application of 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outside the context in which they were first studied.</w:t>
            </w:r>
          </w:p>
        </w:tc>
        <w:tc>
          <w:tcPr>
            <w:tcW w:w="1738"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very good application of a range of 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Consistent, accurate and logical application of theory to practice, making appropriate links between the two. Can identify problems and propose appropriate solutions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outside the context in which they were first studied.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Evidence of some creativity.</w:t>
            </w:r>
          </w:p>
        </w:tc>
        <w:tc>
          <w:tcPr>
            <w:tcW w:w="1735"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advanced application of a range of established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Consistent, accurate and logical application of theory to practice, making well-developed links between the two. Can identify problems and propose excellent, creative solutions outside the context in which they were first studied.</w:t>
            </w:r>
          </w:p>
        </w:tc>
        <w:tc>
          <w:tcPr>
            <w:tcW w:w="1732"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w:t>
            </w:r>
          </w:p>
        </w:tc>
      </w:tr>
      <w:tr>
        <w:trPr/>
        <w:tc>
          <w:tcPr>
            <w:tcW w:w="1735" w:type="dxa"/>
            <w:tcBorders/>
            <w:shd w:color="auto" w:fill="FF99FF"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Transferable skills for life and professional practice</w:t>
            </w:r>
          </w:p>
          <w:p>
            <w:pPr>
              <w:pStyle w:val="Normal"/>
              <w:widowControl/>
              <w:suppressAutoHyphens w:val="true"/>
              <w:spacing w:lineRule="auto" w:line="235" w:before="34" w:after="0"/>
              <w:ind w:left="108" w:right="-54"/>
              <w:jc w:val="left"/>
              <w:rPr>
                <w:rFonts w:ascii="Arial" w:hAnsi="Arial" w:cs="Arial"/>
                <w:sz w:val="18"/>
                <w:szCs w:val="18"/>
              </w:rPr>
            </w:pPr>
            <w:r>
              <w:rPr>
                <w:rFonts w:eastAsia="Times New Roman" w:cs="Arial" w:ascii="Arial" w:hAnsi="Arial"/>
                <w:kern w:val="0"/>
                <w:sz w:val="18"/>
                <w:szCs w:val="18"/>
                <w:lang w:val="en-GB" w:bidi="ar-SA"/>
              </w:rPr>
              <w:t>(Effectively communicate in a variety of forms</w:t>
            </w:r>
          </w:p>
          <w:p>
            <w:pPr>
              <w:pStyle w:val="Normal"/>
              <w:widowControl/>
              <w:suppressAutoHyphens w:val="true"/>
              <w:spacing w:lineRule="auto" w:line="235" w:before="34" w:after="0"/>
              <w:ind w:left="108" w:right="-54"/>
              <w:jc w:val="left"/>
              <w:rPr>
                <w:rFonts w:ascii="Arial" w:hAnsi="Arial" w:cs="Arial"/>
                <w:sz w:val="18"/>
                <w:szCs w:val="18"/>
              </w:rPr>
            </w:pPr>
            <w:r>
              <w:rPr>
                <w:rFonts w:eastAsia="Times New Roman" w:cs="Arial" w:ascii="Arial" w:hAnsi="Arial"/>
                <w:kern w:val="0"/>
                <w:sz w:val="18"/>
                <w:szCs w:val="18"/>
                <w:lang w:val="en-GB" w:bidi="ar-SA"/>
              </w:rPr>
              <w:t>to specialist and non-specialist audiences;  the qualities and transferable skills necessary for employment requiring the exercise of personal responsibility and decision-making.)</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Failure to work effectively as part of a group. Little or no evidence of the skills for employment</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requiring the exercise of personal responsibility and decision-making.</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poorly designed and/or not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in a suitable medium for the audience but with some room for improvement.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basic skills for employment requiring the exercise of personal responsibility and decision-making, with some areas of minor weakness.</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medium for the audience, but may have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coherent, organised work, in a suitable structure and is for the most part clearly expressed. Can work effectively independently and/or as part of a team, with clear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skills for employment requiring the exercise of personal responsibility and decision-making, with some areas of strength and some of minor weakness.</w:t>
            </w:r>
          </w:p>
        </w:tc>
        <w:tc>
          <w:tcPr>
            <w:tcW w:w="1738"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medium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fluent, well-structured and organised. Can work very well autonomously and/or as part of a team, with very good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very good skills for employment requiring the exercise of personal responsibility and decision-making, with just occasional minor weakness.</w:t>
            </w:r>
          </w:p>
        </w:tc>
        <w:tc>
          <w:tcPr>
            <w:tcW w:w="1735"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medium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pPr>
              <w:pStyle w:val="Normal"/>
              <w:widowControl/>
              <w:suppressAutoHyphens w:val="true"/>
              <w:spacing w:before="0" w:after="0"/>
              <w:jc w:val="left"/>
              <w:rPr>
                <w:rFonts w:ascii="Arial" w:hAnsi="Arial" w:cs="Arial"/>
              </w:rPr>
            </w:pPr>
            <w:r>
              <w:rPr>
                <w:rFonts w:cs="Arial" w:ascii="Arial" w:hAnsi="Arial"/>
              </w:rPr>
            </w:r>
          </w:p>
        </w:tc>
        <w:tc>
          <w:tcPr>
            <w:tcW w:w="1732"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with an exceptionally high level of professionalism, highly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exceptionally coherent, very fluent and is presented professionally. Can work exceptionally well within a team, showing leadership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Demonstrates exceptional skills for employment requiring the exercise of personal responsibility and decision-making and an appetite for further development.</w:t>
            </w:r>
          </w:p>
        </w:tc>
      </w:tr>
    </w:tbl>
    <w:p>
      <w:pPr>
        <w:pStyle w:val="Normal"/>
        <w:rPr>
          <w:rFonts w:ascii="Arial" w:hAnsi="Arial" w:cs="Arial"/>
        </w:rPr>
      </w:pPr>
      <w:r>
        <w:rPr>
          <w:rFonts w:cs="Arial" w:ascii="Arial" w:hAnsi="Arial"/>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rPr>
      </w:pPr>
      <w:r>
        <w:rPr>
          <w:rFonts w:cs="Arial" w:ascii="Arial" w:hAnsi="Arial"/>
          <w:b/>
        </w:rPr>
        <w:t>THIS DOCUMENT IS ALSO AVAILABLE IN WELSH</w:t>
      </w:r>
    </w:p>
    <w:sectPr>
      <w:footerReference w:type="default" r:id="rId5"/>
      <w:footerReference w:type="first" r:id="rId6"/>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default"/>
  </w:font>
  <w:font w:name="Arial">
    <w:charset w:val="01"/>
    <w:family w:val="roman"/>
    <w:pitch w:val="default"/>
  </w:font>
  <w:font w:name="Tahoma">
    <w:charset w:val="01"/>
    <w:family w:val="roman"/>
    <w:pitch w:val="default"/>
  </w:font>
  <w:font w:name="Garamond">
    <w:charset w:val="01"/>
    <w:family w:val="roman"/>
    <w:pitch w:val="default"/>
  </w:font>
  <w:font w:name="CG Times (WN)">
    <w:charset w:val="01"/>
    <w:family w:val="roman"/>
    <w:pitch w:val="default"/>
  </w:font>
  <w:font w:name="Verdana">
    <w:charset w:val="01"/>
    <w:family w:val="roman"/>
    <w:pitch w:val="default"/>
  </w:font>
  <w:font w:name="MS Gothic">
    <w:charset w:val="01"/>
    <w:family w:val="roman"/>
    <w:pitch w:val="default"/>
  </w:font>
  <w:font w:name="Symbol">
    <w:charset w:val="01"/>
    <w:family w:val="auto"/>
    <w:pitch w:val="variable"/>
  </w:font>
  <w:font w:name="Courier New">
    <w:charset w:val="01"/>
    <w:family w:val="modern"/>
    <w:pitch w:val="fixed"/>
  </w:font>
  <w:font w:name="Wingding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6</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11</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85"/>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0"/>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contextualSpacing/>
    </w:pPr>
    <w:rPr/>
  </w:style>
  <w:style w:type="paragraph" w:styleId="FrameContents">
    <w:name w:val="Frame Contents"/>
    <w:basedOn w:val="Normal"/>
    <w:qFormat/>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openxmlformats.org/officeDocument/2006/relationships/customXml" Target="../customXml/item3.xml"/><Relationship Id="rId3"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customXml" Target="../customXml/item2.xml"/><Relationship Id="rId2" Type="http://schemas.openxmlformats.org/officeDocument/2006/relationships/image" Target="media/image1.png"/><Relationship Id="rId1" Type="http://schemas.openxmlformats.org/officeDocument/2006/relationships/styles" Target="styles.xml"/><Relationship Id="rId6" Type="http://schemas.openxmlformats.org/officeDocument/2006/relationships/footer" Target="footer4.xml"/><Relationship Id="rId11" Type="http://schemas.openxmlformats.org/officeDocument/2006/relationships/customXml" Target="../customXml/item1.xml"/><Relationship Id="rId5" Type="http://schemas.openxmlformats.org/officeDocument/2006/relationships/footer" Target="footer3.xml"/><Relationship Id="rId10" Type="http://schemas.openxmlformats.org/officeDocument/2006/relationships/theme" Target="theme/theme1.xml"/><Relationship Id="rId4" Type="http://schemas.openxmlformats.org/officeDocument/2006/relationships/footer" Target="footer2.xml"/><Relationship Id="rId9" Type="http://schemas.openxmlformats.org/officeDocument/2006/relationships/settings" Target="settings.xml"/></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0C066D-86DF-4116-A417-BA6946C5E5A6}"/>
</file>

<file path=customXml/itemProps2.xml><?xml version="1.0" encoding="utf-8"?>
<ds:datastoreItem xmlns:ds="http://schemas.openxmlformats.org/officeDocument/2006/customXml" ds:itemID="{3B4F7E0E-B5C3-4DF0-9D4E-D5BBA9F26687}"/>
</file>

<file path=customXml/itemProps3.xml><?xml version="1.0" encoding="utf-8"?>
<ds:datastoreItem xmlns:ds="http://schemas.openxmlformats.org/officeDocument/2006/customXml" ds:itemID="{F7909868-B877-4C49-9A3F-36F125B74E4F}"/>
</file>

<file path=docProps/app.xml><?xml version="1.0" encoding="utf-8"?>
<Properties xmlns="http://schemas.openxmlformats.org/officeDocument/2006/extended-properties" xmlns:vt="http://schemas.openxmlformats.org/officeDocument/2006/docPropsVTypes">
  <Template>AssignFrm</Template>
  <TotalTime>18</TotalTime>
  <Application>LibreOffice/7.6.2.1$MacOSX_AARCH64 LibreOffice_project/56f7684011345957bbf33a7ee678afaf4d2ba333</Application>
  <AppVersion>15.0000</AppVersion>
  <Pages>11</Pages>
  <Words>3421</Words>
  <Characters>20202</Characters>
  <CharactersWithSpaces>23486</CharactersWithSpaces>
  <Paragraphs>210</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dc:description>August 2018</dc:description>
  <cp:lastModifiedBy>KRH</cp:lastModifiedBy>
  <cp:revision>13</cp:revision>
  <cp:lastPrinted>2014-10-10T07:42:00Z</cp:lastPrinted>
  <dcterms:created xsi:type="dcterms:W3CDTF">2018-07-09T16:02:00Z</dcterms:created>
  <dcterms:modified xsi:type="dcterms:W3CDTF">2024-09-10T23:06:48Z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0x010100347A65D36072074F9E667D481AA80FD5</vt:lpwstr>
  </property>
</Properties>
</file>