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1D85C" w14:textId="22ED00E3" w:rsidR="00570E44" w:rsidRDefault="00570E44" w:rsidP="00EF55DD">
      <w:pPr>
        <w:rPr>
          <w:rFonts w:ascii="Bookman Old Style" w:hAnsi="Bookman Old Style"/>
          <w:sz w:val="40"/>
          <w:szCs w:val="40"/>
        </w:rPr>
      </w:pPr>
      <w:r w:rsidRPr="00DC798B">
        <w:rPr>
          <w:rFonts w:ascii="Bookman Old Style" w:hAnsi="Bookman Old Style"/>
          <w:sz w:val="40"/>
          <w:szCs w:val="40"/>
        </w:rPr>
        <w:t>Genocide VS. Ethnic Cleansing</w:t>
      </w:r>
    </w:p>
    <w:p w14:paraId="55F8C87E" w14:textId="77777777" w:rsidR="00EF55DD" w:rsidRPr="00EF55DD" w:rsidRDefault="00EF55DD" w:rsidP="00EF55DD">
      <w:pPr>
        <w:rPr>
          <w:rFonts w:ascii="Bookman Old Style" w:hAnsi="Bookman Old Style"/>
          <w:sz w:val="28"/>
          <w:szCs w:val="28"/>
        </w:rPr>
      </w:pPr>
      <w:r w:rsidRPr="00EF55DD">
        <w:rPr>
          <w:rFonts w:ascii="Bookman Old Style" w:hAnsi="Bookman Old Style"/>
          <w:sz w:val="28"/>
          <w:szCs w:val="28"/>
        </w:rPr>
        <w:t>Was the violence following the fall of the Former Yugoslavia “genocide” or “ethnic cleansing”?</w:t>
      </w:r>
    </w:p>
    <w:p w14:paraId="538FFA5F" w14:textId="58C34346" w:rsidR="00EF55DD" w:rsidRPr="00EF55DD" w:rsidRDefault="00570E44" w:rsidP="00EF55DD">
      <w:pPr>
        <w:rPr>
          <w:rFonts w:ascii="Bookman Old Style" w:hAnsi="Bookman Old Style"/>
          <w:sz w:val="28"/>
          <w:szCs w:val="28"/>
        </w:rPr>
      </w:pPr>
      <w:r w:rsidRPr="00EF55DD">
        <w:rPr>
          <w:rFonts w:ascii="Bookman Old Style" w:hAnsi="Bookman Old Style"/>
          <w:sz w:val="22"/>
          <w:szCs w:val="22"/>
        </w:rPr>
        <w:t xml:space="preserve">Ania d’Abdank Kunicki </w:t>
      </w:r>
    </w:p>
    <w:p w14:paraId="1B0881F5" w14:textId="7947D3A9" w:rsidR="00570E44" w:rsidRPr="00EF55DD" w:rsidRDefault="00570E44" w:rsidP="00EF55DD">
      <w:pPr>
        <w:rPr>
          <w:rFonts w:ascii="Bookman Old Style" w:hAnsi="Bookman Old Style"/>
          <w:sz w:val="22"/>
          <w:szCs w:val="22"/>
        </w:rPr>
      </w:pPr>
      <w:r w:rsidRPr="00EF55DD">
        <w:rPr>
          <w:rFonts w:ascii="Bookman Old Style" w:hAnsi="Bookman Old Style"/>
          <w:sz w:val="22"/>
          <w:szCs w:val="22"/>
        </w:rPr>
        <w:t>(2306132)</w:t>
      </w:r>
    </w:p>
    <w:p w14:paraId="68370654" w14:textId="7014AD76" w:rsidR="00EF55DD" w:rsidRPr="00EF55DD" w:rsidRDefault="00EF55DD" w:rsidP="00EF55DD">
      <w:pPr>
        <w:rPr>
          <w:rFonts w:ascii="Bookman Old Style" w:hAnsi="Bookman Old Style"/>
          <w:sz w:val="22"/>
          <w:szCs w:val="22"/>
        </w:rPr>
      </w:pPr>
      <w:r w:rsidRPr="00EF55DD">
        <w:rPr>
          <w:rFonts w:ascii="Bookman Old Style" w:hAnsi="Bookman Old Style"/>
          <w:sz w:val="22"/>
          <w:szCs w:val="22"/>
        </w:rPr>
        <w:t>HPHI5029</w:t>
      </w:r>
    </w:p>
    <w:p w14:paraId="12F255FB" w14:textId="77777777" w:rsidR="00570E44" w:rsidRPr="00EF55DD" w:rsidRDefault="00570E44" w:rsidP="00570E44">
      <w:pPr>
        <w:jc w:val="center"/>
        <w:rPr>
          <w:rFonts w:ascii="Bookman Old Style" w:hAnsi="Bookman Old Style"/>
          <w:sz w:val="22"/>
          <w:szCs w:val="22"/>
        </w:rPr>
      </w:pPr>
    </w:p>
    <w:p w14:paraId="240477AB" w14:textId="27FA5E27" w:rsidR="00223BE2" w:rsidRPr="00223BE2" w:rsidRDefault="00570E44" w:rsidP="00223BE2">
      <w:pPr>
        <w:spacing w:line="480" w:lineRule="auto"/>
        <w:rPr>
          <w:rFonts w:ascii="Bookman Old Style" w:hAnsi="Bookman Old Style"/>
          <w:sz w:val="22"/>
          <w:szCs w:val="22"/>
        </w:rPr>
      </w:pPr>
      <w:r w:rsidRPr="00223BE2">
        <w:rPr>
          <w:rFonts w:ascii="Bookman Old Style" w:hAnsi="Bookman Old Style"/>
          <w:sz w:val="22"/>
          <w:szCs w:val="22"/>
        </w:rPr>
        <w:tab/>
      </w:r>
      <w:r w:rsidR="00223BE2" w:rsidRPr="00223BE2">
        <w:rPr>
          <w:rFonts w:ascii="Bookman Old Style" w:hAnsi="Bookman Old Style"/>
          <w:sz w:val="22"/>
          <w:szCs w:val="22"/>
        </w:rPr>
        <w:t>The collapse of the Socialist Federal Republic of Yugoslavia (SFRY) in the early 1990s led to a series of devastating conflicts marked by extreme violence, ethnic cleansing, and genocide. As nationalist tensions escalated, the wars in Croatia (1991–1995), Bosnia and Herzegovina (1992–1995), and Kosovo (1998–1999) saw widespread human rights abuses, including mass killings, forced deportations, sexual violence, and the establishment of concentration camps. These atrocities have been the subject of extensive legal and historical debate, particularly regarding the distinction between ethnic cleansing and genocide.</w:t>
      </w:r>
      <w:r w:rsidR="00223BE2">
        <w:rPr>
          <w:rFonts w:ascii="Bookman Old Style" w:hAnsi="Bookman Old Style"/>
          <w:sz w:val="22"/>
          <w:szCs w:val="22"/>
        </w:rPr>
        <w:t xml:space="preserve"> </w:t>
      </w:r>
      <w:r w:rsidR="00223BE2" w:rsidRPr="00223BE2">
        <w:rPr>
          <w:rFonts w:ascii="Bookman Old Style" w:hAnsi="Bookman Old Style"/>
          <w:sz w:val="22"/>
          <w:szCs w:val="22"/>
        </w:rPr>
        <w:t>The International Criminal Tribunal for the Former Yugoslavia (ICTY) and the International Court of Justice (ICJ) have played a crucial role in defining and prosecuting these crimes. While ethnic cleansing involves the forced removal of an ethnic or religious group from a specific area—often through violence and intimidation—genocide is the intentional destruction, in whole or in part, of a national, ethnic, racial, or religious group. The most infamous example of genocide in the Yugoslav wars was the Srebrenica massacre (1995), where over 8,000 Bosniak men and boys were systematically executed by Bosnian Serb forces. However, other atrocities, such as the Prijedor massacres (1992), the siege of Sarajevo (1992–1996), and the ethnic cleansing of Kosovo Albanians (1998–1999), have been classified as crimes against humanity or ethnic cleansing rather than genocide.</w:t>
      </w:r>
      <w:r w:rsidR="00223BE2">
        <w:rPr>
          <w:rFonts w:ascii="Bookman Old Style" w:hAnsi="Bookman Old Style"/>
          <w:sz w:val="22"/>
          <w:szCs w:val="22"/>
        </w:rPr>
        <w:t xml:space="preserve"> This essay shall </w:t>
      </w:r>
      <w:r w:rsidR="00223BE2">
        <w:rPr>
          <w:rFonts w:ascii="Bookman Old Style" w:hAnsi="Bookman Old Style"/>
          <w:sz w:val="22"/>
          <w:szCs w:val="22"/>
        </w:rPr>
        <w:lastRenderedPageBreak/>
        <w:t xml:space="preserve">use these atrocities as examples to determine whether or not these events should be classes as “genocide” or “ethnic cleansing”. </w:t>
      </w:r>
    </w:p>
    <w:p w14:paraId="4DB2285B" w14:textId="156BAF48" w:rsidR="00ED39CF" w:rsidRPr="00EF55DD" w:rsidRDefault="00ED39CF" w:rsidP="00223BE2">
      <w:pPr>
        <w:spacing w:line="480" w:lineRule="auto"/>
        <w:rPr>
          <w:rFonts w:ascii="Bookman Old Style" w:hAnsi="Bookman Old Style"/>
          <w:sz w:val="22"/>
          <w:szCs w:val="22"/>
        </w:rPr>
      </w:pPr>
      <w:r w:rsidRPr="00EF55DD">
        <w:rPr>
          <w:rFonts w:ascii="Bookman Old Style" w:hAnsi="Bookman Old Style"/>
          <w:sz w:val="22"/>
          <w:szCs w:val="22"/>
        </w:rPr>
        <w:tab/>
        <w:t xml:space="preserve">The Bosnian genocide came during the war after the fall of </w:t>
      </w:r>
      <w:r w:rsidR="00501279" w:rsidRPr="00EF55DD">
        <w:rPr>
          <w:rFonts w:ascii="Bookman Old Style" w:hAnsi="Bookman Old Style"/>
          <w:sz w:val="22"/>
          <w:szCs w:val="22"/>
        </w:rPr>
        <w:t>the</w:t>
      </w:r>
      <w:r w:rsidRPr="00EF55DD">
        <w:rPr>
          <w:rFonts w:ascii="Bookman Old Style" w:hAnsi="Bookman Old Style"/>
          <w:sz w:val="22"/>
          <w:szCs w:val="22"/>
        </w:rPr>
        <w:t xml:space="preserve"> Former Yugoslavia when the countries within that former region broke off and became their own nations again including Croatia, Serbia, Bosnia and Herzegovina, Montenegro, Slovenia, and Macedonia.</w:t>
      </w:r>
      <w:r w:rsidR="001B0DE7" w:rsidRPr="00EF55DD">
        <w:rPr>
          <w:rFonts w:ascii="Bookman Old Style" w:hAnsi="Bookman Old Style"/>
          <w:sz w:val="22"/>
          <w:szCs w:val="22"/>
        </w:rPr>
        <w:t xml:space="preserve"> After the former leader of Yugoslavia, Josep Tito, died</w:t>
      </w:r>
      <w:r w:rsidR="00525529">
        <w:rPr>
          <w:rFonts w:ascii="Bookman Old Style" w:hAnsi="Bookman Old Style"/>
          <w:sz w:val="22"/>
          <w:szCs w:val="22"/>
        </w:rPr>
        <w:t>,</w:t>
      </w:r>
      <w:r w:rsidR="001B0DE7" w:rsidRPr="00EF55DD">
        <w:rPr>
          <w:rFonts w:ascii="Bookman Old Style" w:hAnsi="Bookman Old Style"/>
          <w:sz w:val="22"/>
          <w:szCs w:val="22"/>
        </w:rPr>
        <w:t xml:space="preserve"> the iron fist he</w:t>
      </w:r>
      <w:r w:rsidR="00D61B87" w:rsidRPr="00EF55DD">
        <w:rPr>
          <w:rFonts w:ascii="Bookman Old Style" w:hAnsi="Bookman Old Style"/>
          <w:sz w:val="22"/>
          <w:szCs w:val="22"/>
        </w:rPr>
        <w:t xml:space="preserve"> had</w:t>
      </w:r>
      <w:r w:rsidR="001B0DE7" w:rsidRPr="00EF55DD">
        <w:rPr>
          <w:rFonts w:ascii="Bookman Old Style" w:hAnsi="Bookman Old Style"/>
          <w:sz w:val="22"/>
          <w:szCs w:val="22"/>
        </w:rPr>
        <w:t xml:space="preserve"> been ruli</w:t>
      </w:r>
      <w:r w:rsidR="00D61B87" w:rsidRPr="00EF55DD">
        <w:rPr>
          <w:rFonts w:ascii="Bookman Old Style" w:hAnsi="Bookman Old Style"/>
          <w:sz w:val="22"/>
          <w:szCs w:val="22"/>
        </w:rPr>
        <w:t>n</w:t>
      </w:r>
      <w:r w:rsidR="001B0DE7" w:rsidRPr="00EF55DD">
        <w:rPr>
          <w:rFonts w:ascii="Bookman Old Style" w:hAnsi="Bookman Old Style"/>
          <w:sz w:val="22"/>
          <w:szCs w:val="22"/>
        </w:rPr>
        <w:t xml:space="preserve">g with was lost leading to political instability within the region and the rise of nationalism and the </w:t>
      </w:r>
      <w:r w:rsidR="00D61B87" w:rsidRPr="00EF55DD">
        <w:rPr>
          <w:rFonts w:ascii="Bookman Old Style" w:hAnsi="Bookman Old Style"/>
          <w:sz w:val="22"/>
          <w:szCs w:val="22"/>
        </w:rPr>
        <w:t>desire</w:t>
      </w:r>
      <w:r w:rsidR="001B0DE7" w:rsidRPr="00EF55DD">
        <w:rPr>
          <w:rFonts w:ascii="Bookman Old Style" w:hAnsi="Bookman Old Style"/>
          <w:sz w:val="22"/>
          <w:szCs w:val="22"/>
        </w:rPr>
        <w:t xml:space="preserve"> for independence.</w:t>
      </w:r>
      <w:r w:rsidRPr="00EF55DD">
        <w:rPr>
          <w:rFonts w:ascii="Bookman Old Style" w:hAnsi="Bookman Old Style"/>
          <w:sz w:val="22"/>
          <w:szCs w:val="22"/>
        </w:rPr>
        <w:t xml:space="preserve"> </w:t>
      </w:r>
      <w:r w:rsidR="00A41C1D" w:rsidRPr="00EF55DD">
        <w:rPr>
          <w:rFonts w:ascii="Bookman Old Style" w:hAnsi="Bookman Old Style"/>
          <w:sz w:val="22"/>
          <w:szCs w:val="22"/>
        </w:rPr>
        <w:t xml:space="preserve">Violence first started in Slovenia and Croatia as they were the first to become independent in 1991. Their Serbian populations were not in favour of leaving the state of Yugoslavia. There was a level of violence in </w:t>
      </w:r>
      <w:r w:rsidR="00D61B87" w:rsidRPr="00EF55DD">
        <w:rPr>
          <w:rFonts w:ascii="Bookman Old Style" w:hAnsi="Bookman Old Style"/>
          <w:sz w:val="22"/>
          <w:szCs w:val="22"/>
        </w:rPr>
        <w:t>Slovenia,</w:t>
      </w:r>
      <w:r w:rsidR="00A41C1D" w:rsidRPr="00EF55DD">
        <w:rPr>
          <w:rFonts w:ascii="Bookman Old Style" w:hAnsi="Bookman Old Style"/>
          <w:sz w:val="22"/>
          <w:szCs w:val="22"/>
        </w:rPr>
        <w:t xml:space="preserve"> but it was much more prevalent in Croatia where the violence didn’t fully stop until 1995</w:t>
      </w:r>
      <w:r w:rsidRPr="00EF55DD">
        <w:rPr>
          <w:rFonts w:ascii="Bookman Old Style" w:hAnsi="Bookman Old Style"/>
          <w:sz w:val="22"/>
          <w:szCs w:val="22"/>
        </w:rPr>
        <w:t xml:space="preserve"> When </w:t>
      </w:r>
      <w:r w:rsidR="00501279" w:rsidRPr="00EF55DD">
        <w:rPr>
          <w:rFonts w:ascii="Bookman Old Style" w:hAnsi="Bookman Old Style"/>
          <w:sz w:val="22"/>
          <w:szCs w:val="22"/>
        </w:rPr>
        <w:t>Bosnia</w:t>
      </w:r>
      <w:r w:rsidRPr="00EF55DD">
        <w:rPr>
          <w:rFonts w:ascii="Bookman Old Style" w:hAnsi="Bookman Old Style"/>
          <w:sz w:val="22"/>
          <w:szCs w:val="22"/>
        </w:rPr>
        <w:t xml:space="preserve"> voted for independence, Bosnian Serbs boycotted the vote as they wanted to remain as part of Yugoslavia and keep the area under Serbian influence.</w:t>
      </w:r>
      <w:r w:rsidR="00525529">
        <w:rPr>
          <w:rStyle w:val="FootnoteReference"/>
          <w:rFonts w:ascii="Bookman Old Style" w:hAnsi="Bookman Old Style"/>
          <w:sz w:val="22"/>
          <w:szCs w:val="22"/>
        </w:rPr>
        <w:footnoteReference w:id="1"/>
      </w:r>
      <w:r w:rsidRPr="00EF55DD">
        <w:rPr>
          <w:rFonts w:ascii="Bookman Old Style" w:hAnsi="Bookman Old Style"/>
          <w:sz w:val="22"/>
          <w:szCs w:val="22"/>
        </w:rPr>
        <w:t xml:space="preserve"> Yugoslavia had previously been a </w:t>
      </w:r>
      <w:r w:rsidR="00501279" w:rsidRPr="00EF55DD">
        <w:rPr>
          <w:rFonts w:ascii="Bookman Old Style" w:hAnsi="Bookman Old Style"/>
          <w:sz w:val="22"/>
          <w:szCs w:val="22"/>
        </w:rPr>
        <w:t>multiethnic</w:t>
      </w:r>
      <w:r w:rsidRPr="00EF55DD">
        <w:rPr>
          <w:rFonts w:ascii="Bookman Old Style" w:hAnsi="Bookman Old Style"/>
          <w:sz w:val="22"/>
          <w:szCs w:val="22"/>
        </w:rPr>
        <w:t xml:space="preserve"> region and after its collapse, nationalist movements would emerge. Supported by Serbian leaders, </w:t>
      </w:r>
      <w:r w:rsidR="00501279" w:rsidRPr="00EF55DD">
        <w:rPr>
          <w:rFonts w:ascii="Bookman Old Style" w:hAnsi="Bookman Old Style"/>
          <w:sz w:val="22"/>
          <w:szCs w:val="22"/>
        </w:rPr>
        <w:t xml:space="preserve">the Bosnian Serb army led by Radovan Karadžić and Ratko Mladić would carry out atrocities including mass killings, rape, and the siege of Sarajevo. </w:t>
      </w:r>
      <w:r w:rsidR="00741BB8" w:rsidRPr="00EF55DD">
        <w:rPr>
          <w:rFonts w:ascii="Bookman Old Style" w:hAnsi="Bookman Old Style"/>
          <w:sz w:val="22"/>
          <w:szCs w:val="22"/>
        </w:rPr>
        <w:t xml:space="preserve">In 1995 the worst mass killing of the war would take place which is the only event that has been declared as genocide by the UN. The Yugoslav forces which was a predominantly </w:t>
      </w:r>
      <w:r w:rsidR="006D6F4F" w:rsidRPr="00EF55DD">
        <w:rPr>
          <w:rFonts w:ascii="Bookman Old Style" w:hAnsi="Bookman Old Style"/>
          <w:sz w:val="22"/>
          <w:szCs w:val="22"/>
        </w:rPr>
        <w:t>S</w:t>
      </w:r>
      <w:r w:rsidR="00741BB8" w:rsidRPr="00EF55DD">
        <w:rPr>
          <w:rFonts w:ascii="Bookman Old Style" w:hAnsi="Bookman Old Style"/>
          <w:sz w:val="22"/>
          <w:szCs w:val="22"/>
        </w:rPr>
        <w:t xml:space="preserve">erbian army marched into Croatia in 1991 after the country had declared its independence and were there under the pretense of protecting the Serbian minority there. The city of Vukovar would fall and hundreds of Croat men would be killed with </w:t>
      </w:r>
      <w:r w:rsidR="00741BB8" w:rsidRPr="00EF55DD">
        <w:rPr>
          <w:rFonts w:ascii="Bookman Old Style" w:hAnsi="Bookman Old Style"/>
          <w:sz w:val="22"/>
          <w:szCs w:val="22"/>
        </w:rPr>
        <w:lastRenderedPageBreak/>
        <w:t>the army burying them in mass graves.</w:t>
      </w:r>
      <w:r w:rsidR="00741BB8" w:rsidRPr="00EF55DD">
        <w:rPr>
          <w:rStyle w:val="FootnoteReference"/>
          <w:rFonts w:ascii="Bookman Old Style" w:hAnsi="Bookman Old Style"/>
          <w:sz w:val="22"/>
          <w:szCs w:val="22"/>
        </w:rPr>
        <w:footnoteReference w:id="2"/>
      </w:r>
      <w:r w:rsidR="006D6F4F" w:rsidRPr="00EF55DD">
        <w:rPr>
          <w:rFonts w:ascii="Bookman Old Style" w:hAnsi="Bookman Old Style"/>
          <w:sz w:val="22"/>
          <w:szCs w:val="22"/>
        </w:rPr>
        <w:t xml:space="preserve"> They would continue to commit atrocities across Croatia during the time of the Croatian War of Independence against Croatian civilians with the Serb dominated Yugoslav army supporting Serb separatists. There was also the rise in the sense of nationalism with the rise to power of Serbian leader Slobodan Milosevic. His support of Serbian nationalism would further the divide between Serbians and their neighbours, he sowed doubt into their minds to here he convinced them that their Croatian, Bosnian, and Albanian neighbours would threaten their basic rights.</w:t>
      </w:r>
      <w:r w:rsidR="00EF55DD">
        <w:rPr>
          <w:rFonts w:ascii="Bookman Old Style" w:hAnsi="Bookman Old Style"/>
          <w:sz w:val="22"/>
          <w:szCs w:val="22"/>
        </w:rPr>
        <w:t xml:space="preserve"> </w:t>
      </w:r>
      <w:r w:rsidR="000205E5">
        <w:rPr>
          <w:rFonts w:ascii="Bookman Old Style" w:hAnsi="Bookman Old Style"/>
          <w:sz w:val="22"/>
          <w:szCs w:val="22"/>
        </w:rPr>
        <w:t xml:space="preserve">It is a clear example of a leader trying to rally his people into believing that they truly are better than the other and that the area they are in is their true homeland and that it is their time to take their homeland back as has been shown in other nations who have had a genocide happen on their soil. </w:t>
      </w:r>
    </w:p>
    <w:p w14:paraId="0141AA3F" w14:textId="758288A5" w:rsidR="0072203F" w:rsidRDefault="00741BB8" w:rsidP="00ED39CF">
      <w:pPr>
        <w:spacing w:line="480" w:lineRule="auto"/>
        <w:rPr>
          <w:rFonts w:ascii="Bookman Old Style" w:hAnsi="Bookman Old Style"/>
          <w:sz w:val="22"/>
          <w:szCs w:val="22"/>
        </w:rPr>
      </w:pPr>
      <w:r w:rsidRPr="00EF55DD">
        <w:rPr>
          <w:rFonts w:ascii="Bookman Old Style" w:hAnsi="Bookman Old Style"/>
          <w:sz w:val="22"/>
          <w:szCs w:val="22"/>
        </w:rPr>
        <w:tab/>
        <w:t>The act of ethnic cleansing is the forced removal of a certain group/demographic of people from an area to make it ethnically homogenous.</w:t>
      </w:r>
      <w:r w:rsidR="00C37463">
        <w:rPr>
          <w:rFonts w:ascii="Bookman Old Style" w:hAnsi="Bookman Old Style"/>
          <w:sz w:val="22"/>
          <w:szCs w:val="22"/>
        </w:rPr>
        <w:t xml:space="preserve"> It has not been legally defined as a crime however </w:t>
      </w:r>
      <w:r w:rsidR="00E52952">
        <w:rPr>
          <w:rFonts w:ascii="Bookman Old Style" w:hAnsi="Bookman Old Style"/>
          <w:sz w:val="22"/>
          <w:szCs w:val="22"/>
        </w:rPr>
        <w:t>according to</w:t>
      </w:r>
      <w:r w:rsidR="00C37463">
        <w:rPr>
          <w:rFonts w:ascii="Bookman Old Style" w:hAnsi="Bookman Old Style"/>
          <w:sz w:val="22"/>
          <w:szCs w:val="22"/>
        </w:rPr>
        <w:t xml:space="preserve"> the United Nations it is </w:t>
      </w:r>
      <w:r w:rsidR="00C37463" w:rsidRPr="00C37463">
        <w:rPr>
          <w:rFonts w:ascii="Bookman Old Style" w:hAnsi="Bookman Old Style"/>
          <w:sz w:val="22"/>
          <w:szCs w:val="22"/>
        </w:rPr>
        <w:t>"… </w:t>
      </w:r>
      <w:r w:rsidR="00C37463" w:rsidRPr="00C37463">
        <w:rPr>
          <w:rFonts w:ascii="Bookman Old Style" w:hAnsi="Bookman Old Style"/>
          <w:i/>
          <w:iCs/>
          <w:sz w:val="22"/>
          <w:szCs w:val="22"/>
        </w:rPr>
        <w:t>rendering an area ethnically homogeneous by using force or intimidation to remove persons of given groups from the area.</w:t>
      </w:r>
      <w:r w:rsidR="00C37463" w:rsidRPr="00C37463">
        <w:rPr>
          <w:rFonts w:ascii="Bookman Old Style" w:hAnsi="Bookman Old Style"/>
          <w:sz w:val="22"/>
          <w:szCs w:val="22"/>
        </w:rPr>
        <w:t>"</w:t>
      </w:r>
      <w:r w:rsidR="00C37463">
        <w:rPr>
          <w:rStyle w:val="FootnoteReference"/>
          <w:rFonts w:ascii="Bookman Old Style" w:hAnsi="Bookman Old Style"/>
          <w:sz w:val="22"/>
          <w:szCs w:val="22"/>
        </w:rPr>
        <w:footnoteReference w:id="3"/>
      </w:r>
      <w:r w:rsidR="00C37463">
        <w:rPr>
          <w:rFonts w:ascii="Bookman Old Style" w:hAnsi="Bookman Old Style"/>
          <w:sz w:val="22"/>
          <w:szCs w:val="22"/>
        </w:rPr>
        <w:t xml:space="preserve">, which was in an interim report done when looking at the </w:t>
      </w:r>
      <w:r w:rsidR="00D35FEC">
        <w:rPr>
          <w:rFonts w:ascii="Bookman Old Style" w:hAnsi="Bookman Old Style"/>
          <w:sz w:val="22"/>
          <w:szCs w:val="22"/>
        </w:rPr>
        <w:t>humanitarian</w:t>
      </w:r>
      <w:r w:rsidR="00C37463">
        <w:rPr>
          <w:rFonts w:ascii="Bookman Old Style" w:hAnsi="Bookman Old Style"/>
          <w:sz w:val="22"/>
          <w:szCs w:val="22"/>
        </w:rPr>
        <w:t xml:space="preserve"> law violations in Yugoslavia. In the final report the same committee described it as</w:t>
      </w:r>
      <w:r w:rsidR="00D35FEC">
        <w:rPr>
          <w:rFonts w:ascii="Bookman Old Style" w:hAnsi="Bookman Old Style"/>
          <w:sz w:val="22"/>
          <w:szCs w:val="22"/>
        </w:rPr>
        <w:t xml:space="preserve"> </w:t>
      </w:r>
      <w:r w:rsidR="00D35FEC" w:rsidRPr="00D35FEC">
        <w:rPr>
          <w:rFonts w:ascii="Bookman Old Style" w:hAnsi="Bookman Old Style"/>
          <w:sz w:val="22"/>
          <w:szCs w:val="22"/>
        </w:rPr>
        <w:t>“… </w:t>
      </w:r>
      <w:r w:rsidR="00D35FEC" w:rsidRPr="00D35FEC">
        <w:rPr>
          <w:rFonts w:ascii="Bookman Old Style" w:hAnsi="Bookman Old Style"/>
          <w:i/>
          <w:iCs/>
          <w:sz w:val="22"/>
          <w:szCs w:val="22"/>
        </w:rPr>
        <w:t>a purposeful policy designed by one ethnic or religious group to remove by violent and terror-inspiring means the civilian population of another ethnic or religious group from certain geographic areas.</w:t>
      </w:r>
      <w:r w:rsidR="00D35FEC" w:rsidRPr="00D35FEC">
        <w:rPr>
          <w:rFonts w:ascii="Bookman Old Style" w:hAnsi="Bookman Old Style"/>
          <w:sz w:val="22"/>
          <w:szCs w:val="22"/>
        </w:rPr>
        <w:t>”</w:t>
      </w:r>
      <w:r w:rsidR="00D35FEC">
        <w:rPr>
          <w:rStyle w:val="FootnoteReference"/>
          <w:rFonts w:ascii="Bookman Old Style" w:hAnsi="Bookman Old Style"/>
          <w:sz w:val="22"/>
          <w:szCs w:val="22"/>
        </w:rPr>
        <w:footnoteReference w:id="4"/>
      </w:r>
      <w:r w:rsidR="00D35FEC">
        <w:rPr>
          <w:rFonts w:ascii="Bookman Old Style" w:hAnsi="Bookman Old Style"/>
          <w:sz w:val="22"/>
          <w:szCs w:val="22"/>
        </w:rPr>
        <w:t xml:space="preserve"> Ethnic cleansing is different from genocide in the sense that genocide is the intent to exterminate, to kill all </w:t>
      </w:r>
      <w:r w:rsidR="00D35FEC">
        <w:rPr>
          <w:rFonts w:ascii="Bookman Old Style" w:hAnsi="Bookman Old Style"/>
          <w:sz w:val="22"/>
          <w:szCs w:val="22"/>
        </w:rPr>
        <w:lastRenderedPageBreak/>
        <w:t>remaining evidence of this group existing, ethnic cleansing is just the intent to remove them from an area and force them to flee to another.</w:t>
      </w:r>
      <w:r w:rsidRPr="00EF55DD">
        <w:rPr>
          <w:rFonts w:ascii="Bookman Old Style" w:hAnsi="Bookman Old Style"/>
          <w:sz w:val="22"/>
          <w:szCs w:val="22"/>
        </w:rPr>
        <w:t xml:space="preserve"> There are a multitude of examples within the</w:t>
      </w:r>
      <w:r w:rsidR="00EF55DD">
        <w:rPr>
          <w:rFonts w:ascii="Bookman Old Style" w:hAnsi="Bookman Old Style"/>
          <w:sz w:val="22"/>
          <w:szCs w:val="22"/>
        </w:rPr>
        <w:t xml:space="preserve"> Yugoslav wars. The first group that was targeted were the Croatians after their declaration of independence, Slovenia had also declared independence in the same year but did not experience the same level of violence that Croatia, Bosnia, and Kosovo would experience.</w:t>
      </w:r>
      <w:r w:rsidR="00D35FEC">
        <w:rPr>
          <w:rFonts w:ascii="Bookman Old Style" w:hAnsi="Bookman Old Style"/>
          <w:sz w:val="22"/>
          <w:szCs w:val="22"/>
        </w:rPr>
        <w:t xml:space="preserve"> In the Croatian War of independence you could say that ethnic cleansing was perpetrated by both sides with the Yugoslav army and Serbian paramilitary groups targeting civilians and even committing massacres as is seen with the Vukovar massacre in November 1991. </w:t>
      </w:r>
      <w:r w:rsidR="001525EB">
        <w:rPr>
          <w:rFonts w:ascii="Bookman Old Style" w:hAnsi="Bookman Old Style"/>
          <w:sz w:val="22"/>
          <w:szCs w:val="22"/>
        </w:rPr>
        <w:t xml:space="preserve">Croatians would launch Operation Storm in August </w:t>
      </w:r>
      <w:r w:rsidR="00E52952">
        <w:rPr>
          <w:rFonts w:ascii="Bookman Old Style" w:hAnsi="Bookman Old Style"/>
          <w:sz w:val="22"/>
          <w:szCs w:val="22"/>
        </w:rPr>
        <w:t>1995,</w:t>
      </w:r>
      <w:r w:rsidR="001525EB">
        <w:rPr>
          <w:rFonts w:ascii="Bookman Old Style" w:hAnsi="Bookman Old Style"/>
          <w:sz w:val="22"/>
          <w:szCs w:val="22"/>
        </w:rPr>
        <w:t xml:space="preserve"> and it would be the largest land battle in Europe since World War Two.</w:t>
      </w:r>
      <w:r w:rsidR="00525529">
        <w:rPr>
          <w:rStyle w:val="FootnoteReference"/>
          <w:rFonts w:ascii="Bookman Old Style" w:hAnsi="Bookman Old Style"/>
          <w:sz w:val="22"/>
          <w:szCs w:val="22"/>
        </w:rPr>
        <w:footnoteReference w:id="5"/>
      </w:r>
      <w:r w:rsidR="003402DE">
        <w:rPr>
          <w:rFonts w:ascii="Bookman Old Style" w:hAnsi="Bookman Old Style"/>
          <w:sz w:val="22"/>
          <w:szCs w:val="22"/>
        </w:rPr>
        <w:t xml:space="preserve"> Their victory in this battle would be a huge </w:t>
      </w:r>
      <w:r w:rsidR="00E52952">
        <w:rPr>
          <w:rFonts w:ascii="Bookman Old Style" w:hAnsi="Bookman Old Style"/>
          <w:sz w:val="22"/>
          <w:szCs w:val="22"/>
        </w:rPr>
        <w:t>victory</w:t>
      </w:r>
      <w:r w:rsidR="003402DE">
        <w:rPr>
          <w:rFonts w:ascii="Bookman Old Style" w:hAnsi="Bookman Old Style"/>
          <w:sz w:val="22"/>
          <w:szCs w:val="22"/>
        </w:rPr>
        <w:t xml:space="preserve"> for </w:t>
      </w:r>
      <w:r w:rsidR="00E52952">
        <w:rPr>
          <w:rFonts w:ascii="Bookman Old Style" w:hAnsi="Bookman Old Style"/>
          <w:sz w:val="22"/>
          <w:szCs w:val="22"/>
        </w:rPr>
        <w:t>Bosnia</w:t>
      </w:r>
      <w:r w:rsidR="003402DE">
        <w:rPr>
          <w:rFonts w:ascii="Bookman Old Style" w:hAnsi="Bookman Old Style"/>
          <w:sz w:val="22"/>
          <w:szCs w:val="22"/>
        </w:rPr>
        <w:t xml:space="preserve"> as well which would help them in their own war. Many </w:t>
      </w:r>
      <w:r w:rsidR="00E52952">
        <w:rPr>
          <w:rFonts w:ascii="Bookman Old Style" w:hAnsi="Bookman Old Style"/>
          <w:sz w:val="22"/>
          <w:szCs w:val="22"/>
        </w:rPr>
        <w:t>Serbians</w:t>
      </w:r>
      <w:r w:rsidR="003402DE">
        <w:rPr>
          <w:rFonts w:ascii="Bookman Old Style" w:hAnsi="Bookman Old Style"/>
          <w:sz w:val="22"/>
          <w:szCs w:val="22"/>
        </w:rPr>
        <w:t xml:space="preserve"> were forced out of their homes and their villages were destroyed leaving them with no home to return to. While Croatia would experience lots of violence from Serbian forces, the worst of the violence and ethnic cleansing would be felt by Bosnia and Herzegovina. Specifically Bosniaks were targeted who were a Muslim minority within Yugoslavia but were now the majority of the population in Bosnia. Bosnian Serb forces led a campaign that aimed to rid Bosnia of Bosniaks and create a completely Serbian are to name “Greater Serbia”.</w:t>
      </w:r>
      <w:r w:rsidR="00377004">
        <w:rPr>
          <w:rFonts w:ascii="Bookman Old Style" w:hAnsi="Bookman Old Style"/>
          <w:sz w:val="22"/>
          <w:szCs w:val="22"/>
        </w:rPr>
        <w:t xml:space="preserve"> </w:t>
      </w:r>
      <w:r w:rsidR="00785D79">
        <w:rPr>
          <w:rFonts w:ascii="Bookman Old Style" w:hAnsi="Bookman Old Style"/>
          <w:sz w:val="22"/>
          <w:szCs w:val="22"/>
        </w:rPr>
        <w:t xml:space="preserve">The Bosnian Serb forces were led by </w:t>
      </w:r>
      <w:r w:rsidR="00785D79" w:rsidRPr="00785D79">
        <w:rPr>
          <w:rFonts w:ascii="Bookman Old Style" w:hAnsi="Bookman Old Style"/>
          <w:sz w:val="22"/>
          <w:szCs w:val="22"/>
        </w:rPr>
        <w:t>Radovan Karadžić and Ratko Mladić</w:t>
      </w:r>
      <w:r w:rsidR="00785D79">
        <w:rPr>
          <w:rFonts w:ascii="Bookman Old Style" w:hAnsi="Bookman Old Style"/>
          <w:sz w:val="22"/>
          <w:szCs w:val="22"/>
        </w:rPr>
        <w:t xml:space="preserve"> who would later go on trial and be found guilty for the crimes committed during the war including genocide, crimes against humanity, and war crimes. They also had the support of the Serbian leader Slobodan Milosevic. There would be multiple instances of mass killings of Bosniaks as well as forced expulsions. </w:t>
      </w:r>
      <w:r w:rsidR="00785D79">
        <w:rPr>
          <w:rFonts w:ascii="Bookman Old Style" w:hAnsi="Bookman Old Style"/>
          <w:sz w:val="22"/>
          <w:szCs w:val="22"/>
        </w:rPr>
        <w:lastRenderedPageBreak/>
        <w:t xml:space="preserve">Eventually Bosniaks could only be considered “safe” in certain towns and areas within the country. One of the most notable examples would be what happened in the Prijedor. When the Serbian forces took over the region of Prijedor they would make non-Serb citizens wear whit armbands and mark their houses, similar to what the Nazis forced the Jews to do in the beginning and ties into the second stage of genocide which is symbolization. </w:t>
      </w:r>
      <w:r w:rsidR="006516EF">
        <w:rPr>
          <w:rFonts w:ascii="Bookman Old Style" w:hAnsi="Bookman Old Style"/>
          <w:sz w:val="22"/>
          <w:szCs w:val="22"/>
        </w:rPr>
        <w:t>Then there would be mass arrests and mass killings. Bosniaks and Croats were detained and sent to prisons and detention camps where they faced extreme brutality and inhumane conditions and over three thousand people were killed. One of the most notable killings took place in the Kori</w:t>
      </w:r>
      <w:r w:rsidR="00E52952">
        <w:rPr>
          <w:rFonts w:ascii="Bookman Old Style" w:hAnsi="Bookman Old Style"/>
          <w:sz w:val="22"/>
          <w:szCs w:val="22"/>
        </w:rPr>
        <w:t>ć</w:t>
      </w:r>
      <w:r w:rsidR="006516EF">
        <w:rPr>
          <w:rFonts w:ascii="Bookman Old Style" w:hAnsi="Bookman Old Style"/>
          <w:sz w:val="22"/>
          <w:szCs w:val="22"/>
        </w:rPr>
        <w:t xml:space="preserve">ani </w:t>
      </w:r>
      <w:r w:rsidR="0079501E">
        <w:rPr>
          <w:rFonts w:ascii="Bookman Old Style" w:hAnsi="Bookman Old Style"/>
          <w:sz w:val="22"/>
          <w:szCs w:val="22"/>
        </w:rPr>
        <w:t>Cliffs in a detention camp where over 200 Bosniaks and Croats were killed.</w:t>
      </w:r>
    </w:p>
    <w:p w14:paraId="11F63C43" w14:textId="3C1CD945" w:rsidR="00785D79" w:rsidRDefault="0072203F" w:rsidP="00ED39CF">
      <w:pPr>
        <w:spacing w:line="480" w:lineRule="auto"/>
        <w:rPr>
          <w:rFonts w:ascii="Bookman Old Style" w:hAnsi="Bookman Old Style"/>
          <w:sz w:val="22"/>
          <w:szCs w:val="22"/>
        </w:rPr>
      </w:pPr>
      <w:r>
        <w:rPr>
          <w:rFonts w:ascii="Bookman Old Style" w:hAnsi="Bookman Old Style"/>
          <w:sz w:val="22"/>
          <w:szCs w:val="22"/>
        </w:rPr>
        <w:tab/>
        <w:t>Another thing that must be discussed with this conflict is the use of concentration camps within Bosnia. The most notable of these would be Omarska camp which was only in operation for a few months and would be closed a month after the international community learned of it.</w:t>
      </w:r>
      <w:r>
        <w:rPr>
          <w:rStyle w:val="FootnoteReference"/>
          <w:rFonts w:ascii="Bookman Old Style" w:hAnsi="Bookman Old Style"/>
          <w:sz w:val="22"/>
          <w:szCs w:val="22"/>
        </w:rPr>
        <w:footnoteReference w:id="6"/>
      </w:r>
      <w:r w:rsidR="0079501E">
        <w:rPr>
          <w:rFonts w:ascii="Bookman Old Style" w:hAnsi="Bookman Old Style"/>
          <w:sz w:val="22"/>
          <w:szCs w:val="22"/>
        </w:rPr>
        <w:t xml:space="preserve"> </w:t>
      </w:r>
      <w:r>
        <w:rPr>
          <w:rFonts w:ascii="Bookman Old Style" w:hAnsi="Bookman Old Style"/>
          <w:sz w:val="22"/>
          <w:szCs w:val="22"/>
        </w:rPr>
        <w:t xml:space="preserve">Stories were told by the journalists that gained access of </w:t>
      </w:r>
      <w:r w:rsidR="00AB0900">
        <w:rPr>
          <w:rFonts w:ascii="Bookman Old Style" w:hAnsi="Bookman Old Style"/>
          <w:sz w:val="22"/>
          <w:szCs w:val="22"/>
        </w:rPr>
        <w:t>starvation, brutal beatings, execution, and rape. In Omarska there was approximately three thousand detainees of mostly Bosniak and Croat men as well as 36 women. The pictures that came out of this camp as well as other would have people drawing comparisons to the Jews in camps during the Holocaust and caused international outrage after being published in public newspapers for all the world to see.</w:t>
      </w:r>
      <w:r w:rsidR="00AB0900">
        <w:rPr>
          <w:rStyle w:val="FootnoteReference"/>
          <w:rFonts w:ascii="Bookman Old Style" w:hAnsi="Bookman Old Style"/>
          <w:sz w:val="22"/>
          <w:szCs w:val="22"/>
        </w:rPr>
        <w:footnoteReference w:id="7"/>
      </w:r>
    </w:p>
    <w:p w14:paraId="785B7A17" w14:textId="77777777" w:rsidR="006C0B05" w:rsidRDefault="0079501E" w:rsidP="00ED39CF">
      <w:pPr>
        <w:spacing w:line="480" w:lineRule="auto"/>
        <w:rPr>
          <w:rFonts w:ascii="Bookman Old Style" w:hAnsi="Bookman Old Style"/>
          <w:sz w:val="22"/>
          <w:szCs w:val="22"/>
        </w:rPr>
      </w:pPr>
      <w:r>
        <w:rPr>
          <w:rFonts w:ascii="Bookman Old Style" w:hAnsi="Bookman Old Style"/>
          <w:sz w:val="22"/>
          <w:szCs w:val="22"/>
        </w:rPr>
        <w:tab/>
      </w:r>
      <w:r w:rsidR="006C0B05">
        <w:rPr>
          <w:rFonts w:ascii="Bookman Old Style" w:hAnsi="Bookman Old Style"/>
          <w:sz w:val="22"/>
          <w:szCs w:val="22"/>
        </w:rPr>
        <w:t>Genocide is something that is legally defined by the UN as:</w:t>
      </w:r>
    </w:p>
    <w:p w14:paraId="11962E29" w14:textId="77777777" w:rsidR="006C0B05" w:rsidRPr="006C0B05" w:rsidRDefault="006C0B05" w:rsidP="006C0B05">
      <w:pPr>
        <w:spacing w:line="480" w:lineRule="auto"/>
        <w:rPr>
          <w:rFonts w:ascii="Bookman Old Style" w:hAnsi="Bookman Old Style"/>
          <w:sz w:val="22"/>
          <w:szCs w:val="22"/>
        </w:rPr>
      </w:pPr>
      <w:r>
        <w:rPr>
          <w:rFonts w:ascii="Bookman Old Style" w:hAnsi="Bookman Old Style"/>
          <w:sz w:val="22"/>
          <w:szCs w:val="22"/>
        </w:rPr>
        <w:lastRenderedPageBreak/>
        <w:tab/>
      </w:r>
      <w:r w:rsidRPr="006C0B05">
        <w:rPr>
          <w:rFonts w:ascii="Bookman Old Style" w:hAnsi="Bookman Old Style"/>
          <w:i/>
          <w:iCs/>
          <w:sz w:val="22"/>
          <w:szCs w:val="22"/>
        </w:rPr>
        <w:t>In the present Convention, genocide means any of the following acts committed with intent to destroy, in whole or in part, a national, ethnical, racial or religious group, as such:</w:t>
      </w:r>
    </w:p>
    <w:p w14:paraId="4975A05A" w14:textId="77777777" w:rsidR="006C0B05" w:rsidRPr="006C0B05" w:rsidRDefault="006C0B05" w:rsidP="006C0B05">
      <w:pPr>
        <w:numPr>
          <w:ilvl w:val="0"/>
          <w:numId w:val="1"/>
        </w:numPr>
        <w:spacing w:line="480" w:lineRule="auto"/>
        <w:rPr>
          <w:rFonts w:ascii="Bookman Old Style" w:hAnsi="Bookman Old Style"/>
          <w:sz w:val="22"/>
          <w:szCs w:val="22"/>
        </w:rPr>
      </w:pPr>
      <w:r w:rsidRPr="006C0B05">
        <w:rPr>
          <w:rFonts w:ascii="Bookman Old Style" w:hAnsi="Bookman Old Style"/>
          <w:sz w:val="22"/>
          <w:szCs w:val="22"/>
        </w:rPr>
        <w:t>Killing members of the group;</w:t>
      </w:r>
    </w:p>
    <w:p w14:paraId="40958525" w14:textId="77777777" w:rsidR="006C0B05" w:rsidRPr="006C0B05" w:rsidRDefault="006C0B05" w:rsidP="006C0B05">
      <w:pPr>
        <w:numPr>
          <w:ilvl w:val="0"/>
          <w:numId w:val="1"/>
        </w:numPr>
        <w:spacing w:line="480" w:lineRule="auto"/>
        <w:rPr>
          <w:rFonts w:ascii="Bookman Old Style" w:hAnsi="Bookman Old Style"/>
          <w:sz w:val="22"/>
          <w:szCs w:val="22"/>
        </w:rPr>
      </w:pPr>
      <w:r w:rsidRPr="006C0B05">
        <w:rPr>
          <w:rFonts w:ascii="Bookman Old Style" w:hAnsi="Bookman Old Style"/>
          <w:sz w:val="22"/>
          <w:szCs w:val="22"/>
        </w:rPr>
        <w:t>Causing serious bodily or mental harm to members of the group;</w:t>
      </w:r>
    </w:p>
    <w:p w14:paraId="4321BE39" w14:textId="77777777" w:rsidR="006C0B05" w:rsidRPr="006C0B05" w:rsidRDefault="006C0B05" w:rsidP="006C0B05">
      <w:pPr>
        <w:numPr>
          <w:ilvl w:val="0"/>
          <w:numId w:val="1"/>
        </w:numPr>
        <w:spacing w:line="480" w:lineRule="auto"/>
        <w:rPr>
          <w:rFonts w:ascii="Bookman Old Style" w:hAnsi="Bookman Old Style"/>
          <w:sz w:val="22"/>
          <w:szCs w:val="22"/>
        </w:rPr>
      </w:pPr>
      <w:r w:rsidRPr="006C0B05">
        <w:rPr>
          <w:rFonts w:ascii="Bookman Old Style" w:hAnsi="Bookman Old Style"/>
          <w:sz w:val="22"/>
          <w:szCs w:val="22"/>
        </w:rPr>
        <w:t>Deliberately inflicting on the group conditions of life calculated to bring about its physical destruction in whole or in part;</w:t>
      </w:r>
    </w:p>
    <w:p w14:paraId="008B6C20" w14:textId="77777777" w:rsidR="006C0B05" w:rsidRPr="006C0B05" w:rsidRDefault="006C0B05" w:rsidP="006C0B05">
      <w:pPr>
        <w:numPr>
          <w:ilvl w:val="0"/>
          <w:numId w:val="1"/>
        </w:numPr>
        <w:spacing w:line="480" w:lineRule="auto"/>
        <w:rPr>
          <w:rFonts w:ascii="Bookman Old Style" w:hAnsi="Bookman Old Style"/>
          <w:sz w:val="22"/>
          <w:szCs w:val="22"/>
        </w:rPr>
      </w:pPr>
      <w:r w:rsidRPr="006C0B05">
        <w:rPr>
          <w:rFonts w:ascii="Bookman Old Style" w:hAnsi="Bookman Old Style"/>
          <w:sz w:val="22"/>
          <w:szCs w:val="22"/>
        </w:rPr>
        <w:t>Imposing measures intended to prevent births within the group;</w:t>
      </w:r>
    </w:p>
    <w:p w14:paraId="70A18B9F" w14:textId="2FF6325C" w:rsidR="006C0B05" w:rsidRPr="006C0B05" w:rsidRDefault="006C0B05" w:rsidP="00ED39CF">
      <w:pPr>
        <w:numPr>
          <w:ilvl w:val="0"/>
          <w:numId w:val="1"/>
        </w:numPr>
        <w:spacing w:line="480" w:lineRule="auto"/>
        <w:rPr>
          <w:rFonts w:ascii="Bookman Old Style" w:hAnsi="Bookman Old Style"/>
          <w:sz w:val="22"/>
          <w:szCs w:val="22"/>
        </w:rPr>
      </w:pPr>
      <w:r w:rsidRPr="006C0B05">
        <w:rPr>
          <w:rFonts w:ascii="Bookman Old Style" w:hAnsi="Bookman Old Style"/>
          <w:sz w:val="22"/>
          <w:szCs w:val="22"/>
        </w:rPr>
        <w:t>Forcibly transferring children of the group to another group.</w:t>
      </w:r>
      <w:r>
        <w:rPr>
          <w:rStyle w:val="FootnoteReference"/>
          <w:rFonts w:ascii="Bookman Old Style" w:hAnsi="Bookman Old Style"/>
          <w:sz w:val="22"/>
          <w:szCs w:val="22"/>
        </w:rPr>
        <w:footnoteReference w:id="8"/>
      </w:r>
    </w:p>
    <w:p w14:paraId="55347FA4" w14:textId="11AD75D0" w:rsidR="0079501E" w:rsidRDefault="0079501E" w:rsidP="00ED39CF">
      <w:pPr>
        <w:spacing w:line="480" w:lineRule="auto"/>
        <w:rPr>
          <w:rFonts w:ascii="Bookman Old Style" w:hAnsi="Bookman Old Style"/>
          <w:sz w:val="22"/>
          <w:szCs w:val="22"/>
        </w:rPr>
      </w:pPr>
      <w:r>
        <w:rPr>
          <w:rFonts w:ascii="Bookman Old Style" w:hAnsi="Bookman Old Style"/>
          <w:sz w:val="22"/>
          <w:szCs w:val="22"/>
        </w:rPr>
        <w:t xml:space="preserve">The topic of genocide is one where defining an event as genocide can cause controversy. There is only one legally recognised event during the Bosnian war that is called genocide which is the Srebrenica massacre that happened in 1995. The Srebrenica massacre started with shelling in the town of which was one the few places where Bosniaks could live and was close to the Dutch UN </w:t>
      </w:r>
      <w:r w:rsidR="00611600">
        <w:rPr>
          <w:rFonts w:ascii="Bookman Old Style" w:hAnsi="Bookman Old Style"/>
          <w:sz w:val="22"/>
          <w:szCs w:val="22"/>
        </w:rPr>
        <w:t>outpost in Poto</w:t>
      </w:r>
      <w:r w:rsidR="00E52952">
        <w:rPr>
          <w:rFonts w:ascii="Bookman Old Style" w:hAnsi="Bookman Old Style"/>
          <w:sz w:val="22"/>
          <w:szCs w:val="22"/>
        </w:rPr>
        <w:t>č</w:t>
      </w:r>
      <w:r w:rsidR="00611600">
        <w:rPr>
          <w:rFonts w:ascii="Bookman Old Style" w:hAnsi="Bookman Old Style"/>
          <w:sz w:val="22"/>
          <w:szCs w:val="22"/>
        </w:rPr>
        <w:t xml:space="preserve">ari it was meant to be a UN “safe-zone” but that would be proven false. When the shelling started, civilians escaped their homes and ran for </w:t>
      </w:r>
      <w:r w:rsidR="00E52952">
        <w:rPr>
          <w:rFonts w:ascii="Bookman Old Style" w:hAnsi="Bookman Old Style"/>
          <w:sz w:val="22"/>
          <w:szCs w:val="22"/>
        </w:rPr>
        <w:t>the</w:t>
      </w:r>
      <w:r w:rsidR="00611600">
        <w:rPr>
          <w:rFonts w:ascii="Bookman Old Style" w:hAnsi="Bookman Old Style"/>
          <w:sz w:val="22"/>
          <w:szCs w:val="22"/>
        </w:rPr>
        <w:t xml:space="preserve"> woods where they remained for days before heading towards </w:t>
      </w:r>
      <w:r w:rsidR="00E52952">
        <w:rPr>
          <w:rFonts w:ascii="Bookman Old Style" w:hAnsi="Bookman Old Style"/>
          <w:sz w:val="22"/>
          <w:szCs w:val="22"/>
        </w:rPr>
        <w:t>Potočari</w:t>
      </w:r>
      <w:r w:rsidR="00611600">
        <w:rPr>
          <w:rFonts w:ascii="Bookman Old Style" w:hAnsi="Bookman Old Style"/>
          <w:sz w:val="22"/>
          <w:szCs w:val="22"/>
        </w:rPr>
        <w:t>.</w:t>
      </w:r>
      <w:r w:rsidR="00525529">
        <w:rPr>
          <w:rStyle w:val="FootnoteReference"/>
          <w:rFonts w:ascii="Bookman Old Style" w:hAnsi="Bookman Old Style"/>
          <w:sz w:val="22"/>
          <w:szCs w:val="22"/>
        </w:rPr>
        <w:footnoteReference w:id="9"/>
      </w:r>
      <w:r w:rsidR="00611600">
        <w:rPr>
          <w:rFonts w:ascii="Bookman Old Style" w:hAnsi="Bookman Old Style"/>
          <w:sz w:val="22"/>
          <w:szCs w:val="22"/>
        </w:rPr>
        <w:t xml:space="preserve"> </w:t>
      </w:r>
      <w:r w:rsidR="00015E0A">
        <w:rPr>
          <w:rFonts w:ascii="Bookman Old Style" w:hAnsi="Bookman Old Style"/>
          <w:sz w:val="22"/>
          <w:szCs w:val="22"/>
        </w:rPr>
        <w:t xml:space="preserve">When thousands of refugees were gathered in </w:t>
      </w:r>
      <w:r w:rsidR="00E52952">
        <w:rPr>
          <w:rFonts w:ascii="Bookman Old Style" w:hAnsi="Bookman Old Style"/>
          <w:sz w:val="22"/>
          <w:szCs w:val="22"/>
        </w:rPr>
        <w:t>Potočari</w:t>
      </w:r>
      <w:r w:rsidR="00015E0A">
        <w:rPr>
          <w:rFonts w:ascii="Bookman Old Style" w:hAnsi="Bookman Old Style"/>
          <w:sz w:val="22"/>
          <w:szCs w:val="22"/>
        </w:rPr>
        <w:t xml:space="preserve">, </w:t>
      </w:r>
      <w:r w:rsidR="00E52952">
        <w:rPr>
          <w:rFonts w:ascii="Bookman Old Style" w:hAnsi="Bookman Old Style"/>
          <w:sz w:val="22"/>
          <w:szCs w:val="22"/>
        </w:rPr>
        <w:t>Serb</w:t>
      </w:r>
      <w:r w:rsidR="00015E0A">
        <w:rPr>
          <w:rFonts w:ascii="Bookman Old Style" w:hAnsi="Bookman Old Style"/>
          <w:sz w:val="22"/>
          <w:szCs w:val="22"/>
        </w:rPr>
        <w:t xml:space="preserve"> forces started killing people and separating men and boys over the age of fourteen and loading them onto buses while the other refugees were being loaded onto buses to be taken to safe area. The men and boys were taken to building where over eight thousand Bosniak men and boys were </w:t>
      </w:r>
      <w:r w:rsidR="00E52952">
        <w:rPr>
          <w:rFonts w:ascii="Bookman Old Style" w:hAnsi="Bookman Old Style"/>
          <w:sz w:val="22"/>
          <w:szCs w:val="22"/>
        </w:rPr>
        <w:t>executed,</w:t>
      </w:r>
      <w:r w:rsidR="00015E0A">
        <w:rPr>
          <w:rFonts w:ascii="Bookman Old Style" w:hAnsi="Bookman Old Style"/>
          <w:sz w:val="22"/>
          <w:szCs w:val="22"/>
        </w:rPr>
        <w:t xml:space="preserve"> and their bodies </w:t>
      </w:r>
      <w:r w:rsidR="00495FEB">
        <w:rPr>
          <w:rFonts w:ascii="Bookman Old Style" w:hAnsi="Bookman Old Style"/>
          <w:sz w:val="22"/>
          <w:szCs w:val="22"/>
        </w:rPr>
        <w:t xml:space="preserve">were </w:t>
      </w:r>
      <w:r w:rsidR="00495FEB">
        <w:rPr>
          <w:rFonts w:ascii="Bookman Old Style" w:hAnsi="Bookman Old Style"/>
          <w:sz w:val="22"/>
          <w:szCs w:val="22"/>
        </w:rPr>
        <w:lastRenderedPageBreak/>
        <w:t>bulldozed into mass graves</w:t>
      </w:r>
      <w:r w:rsidR="00015E0A">
        <w:rPr>
          <w:rFonts w:ascii="Bookman Old Style" w:hAnsi="Bookman Old Style"/>
          <w:sz w:val="22"/>
          <w:szCs w:val="22"/>
        </w:rPr>
        <w:t xml:space="preserve">. The violence did not stop at the murdering of </w:t>
      </w:r>
      <w:r w:rsidR="00E52952">
        <w:rPr>
          <w:rFonts w:ascii="Bookman Old Style" w:hAnsi="Bookman Old Style"/>
          <w:sz w:val="22"/>
          <w:szCs w:val="22"/>
        </w:rPr>
        <w:t>them but</w:t>
      </w:r>
      <w:r w:rsidR="00015E0A">
        <w:rPr>
          <w:rFonts w:ascii="Bookman Old Style" w:hAnsi="Bookman Old Style"/>
          <w:sz w:val="22"/>
          <w:szCs w:val="22"/>
        </w:rPr>
        <w:t xml:space="preserve"> continued with the women and the children. There was systemic raping of women and even girls. Children were taken from their mothers and killed for seemingly no </w:t>
      </w:r>
      <w:r w:rsidR="00E52952">
        <w:rPr>
          <w:rFonts w:ascii="Bookman Old Style" w:hAnsi="Bookman Old Style"/>
          <w:sz w:val="22"/>
          <w:szCs w:val="22"/>
        </w:rPr>
        <w:t>reason;</w:t>
      </w:r>
      <w:r w:rsidR="00015E0A">
        <w:rPr>
          <w:rFonts w:ascii="Bookman Old Style" w:hAnsi="Bookman Old Style"/>
          <w:sz w:val="22"/>
          <w:szCs w:val="22"/>
        </w:rPr>
        <w:t xml:space="preserve"> women were also killed. Some of the buses that were meant to be taking the refugees to Bosniak controlled territory never made it to safety. </w:t>
      </w:r>
    </w:p>
    <w:p w14:paraId="5E6695FD" w14:textId="370C427D" w:rsidR="00495FEB" w:rsidRDefault="00495FEB" w:rsidP="00ED39CF">
      <w:pPr>
        <w:spacing w:line="480" w:lineRule="auto"/>
        <w:rPr>
          <w:rFonts w:ascii="Bookman Old Style" w:hAnsi="Bookman Old Style"/>
          <w:sz w:val="22"/>
          <w:szCs w:val="22"/>
        </w:rPr>
      </w:pPr>
      <w:r>
        <w:rPr>
          <w:rFonts w:ascii="Bookman Old Style" w:hAnsi="Bookman Old Style"/>
          <w:sz w:val="22"/>
          <w:szCs w:val="22"/>
        </w:rPr>
        <w:tab/>
        <w:t>While Srebrenica is the only event of mass killing that is considered genocide, there were still many Bosnians that were killed during the entire war, such as the Prijedor massacre mentioned earlier. There is also Sarajevo which was besieged for four years and in that time over eleven thousand civilians were killed.</w:t>
      </w:r>
      <w:r w:rsidR="00525529">
        <w:rPr>
          <w:rStyle w:val="FootnoteReference"/>
          <w:rFonts w:ascii="Bookman Old Style" w:hAnsi="Bookman Old Style"/>
          <w:sz w:val="22"/>
          <w:szCs w:val="22"/>
        </w:rPr>
        <w:footnoteReference w:id="10"/>
      </w:r>
      <w:r>
        <w:rPr>
          <w:rFonts w:ascii="Bookman Old Style" w:hAnsi="Bookman Old Style"/>
          <w:sz w:val="22"/>
          <w:szCs w:val="22"/>
        </w:rPr>
        <w:t xml:space="preserve"> There could be an argument made that this isn’t necessarily genocide as there was no direct intention to wipe them all out at once however they were clearly targeted by Serbian forces holding the city. </w:t>
      </w:r>
      <w:r w:rsidR="00E52952">
        <w:rPr>
          <w:rFonts w:ascii="Bookman Old Style" w:hAnsi="Bookman Old Style"/>
          <w:sz w:val="22"/>
          <w:szCs w:val="22"/>
        </w:rPr>
        <w:t xml:space="preserve">There was definitely an intent from the beginning of the </w:t>
      </w:r>
      <w:r w:rsidR="00407626">
        <w:rPr>
          <w:rFonts w:ascii="Bookman Old Style" w:hAnsi="Bookman Old Style"/>
          <w:sz w:val="22"/>
          <w:szCs w:val="22"/>
        </w:rPr>
        <w:t>war</w:t>
      </w:r>
      <w:r w:rsidR="00E52952">
        <w:rPr>
          <w:rFonts w:ascii="Bookman Old Style" w:hAnsi="Bookman Old Style"/>
          <w:sz w:val="22"/>
          <w:szCs w:val="22"/>
        </w:rPr>
        <w:t xml:space="preserve"> to remove Bosniaks from Serbian controlled areas of Bosnia to create the “Greater Serbia” that they wanted. There may not have necessarily always been an intent to exterminate them but in some of the leaders if these massacres there is a clear intent of genocide as that is the only way they could achieve their goals. </w:t>
      </w:r>
      <w:r w:rsidR="00FE29B3">
        <w:rPr>
          <w:rFonts w:ascii="Bookman Old Style" w:hAnsi="Bookman Old Style"/>
          <w:sz w:val="22"/>
          <w:szCs w:val="22"/>
        </w:rPr>
        <w:t xml:space="preserve">The clear difference between Srebrenica and the rest of the massacres is the intent and rapid pace of the killing, within only a few days over eight thousand people were killed in an area that was supposed to be safe for them. </w:t>
      </w:r>
    </w:p>
    <w:p w14:paraId="513CF3DA" w14:textId="41B6A3EF" w:rsidR="00407626" w:rsidRDefault="009E00D5" w:rsidP="00407626">
      <w:pPr>
        <w:spacing w:line="480" w:lineRule="auto"/>
        <w:rPr>
          <w:rFonts w:ascii="Bookman Old Style" w:hAnsi="Bookman Old Style"/>
          <w:sz w:val="22"/>
          <w:szCs w:val="22"/>
        </w:rPr>
      </w:pPr>
      <w:r>
        <w:rPr>
          <w:rFonts w:ascii="Bookman Old Style" w:hAnsi="Bookman Old Style"/>
          <w:sz w:val="22"/>
          <w:szCs w:val="22"/>
        </w:rPr>
        <w:tab/>
        <w:t>While Bosnia is the most obvious form of violence within the Former Yugoslavia there is also the case of Kosovo.</w:t>
      </w:r>
      <w:r w:rsidR="00223BE2">
        <w:rPr>
          <w:rFonts w:ascii="Bookman Old Style" w:hAnsi="Bookman Old Style"/>
          <w:sz w:val="22"/>
          <w:szCs w:val="22"/>
        </w:rPr>
        <w:t xml:space="preserve"> The Kosovo war one of the last and was one of the most intense conflicts following the fall of Yugoslavia.</w:t>
      </w:r>
      <w:r>
        <w:rPr>
          <w:rFonts w:ascii="Bookman Old Style" w:hAnsi="Bookman Old Style"/>
          <w:sz w:val="22"/>
          <w:szCs w:val="22"/>
        </w:rPr>
        <w:t xml:space="preserve"> Kosovo had both a Serbian and an Albanian population, tensions </w:t>
      </w:r>
      <w:r w:rsidR="00407626">
        <w:rPr>
          <w:rFonts w:ascii="Bookman Old Style" w:hAnsi="Bookman Old Style"/>
          <w:sz w:val="22"/>
          <w:szCs w:val="22"/>
        </w:rPr>
        <w:t>rose</w:t>
      </w:r>
      <w:r>
        <w:rPr>
          <w:rFonts w:ascii="Bookman Old Style" w:hAnsi="Bookman Old Style"/>
          <w:sz w:val="22"/>
          <w:szCs w:val="22"/>
        </w:rPr>
        <w:t xml:space="preserve"> between the two following the fall of Yugoslavia. </w:t>
      </w:r>
      <w:r>
        <w:rPr>
          <w:rFonts w:ascii="Bookman Old Style" w:hAnsi="Bookman Old Style"/>
          <w:sz w:val="22"/>
          <w:szCs w:val="22"/>
        </w:rPr>
        <w:lastRenderedPageBreak/>
        <w:t xml:space="preserve">Kosovo had been its own republic within Serbia </w:t>
      </w:r>
      <w:r w:rsidR="00407626">
        <w:rPr>
          <w:rFonts w:ascii="Bookman Old Style" w:hAnsi="Bookman Old Style"/>
          <w:sz w:val="22"/>
          <w:szCs w:val="22"/>
        </w:rPr>
        <w:t>until</w:t>
      </w:r>
      <w:r>
        <w:rPr>
          <w:rFonts w:ascii="Bookman Old Style" w:hAnsi="Bookman Old Style"/>
          <w:sz w:val="22"/>
          <w:szCs w:val="22"/>
        </w:rPr>
        <w:t xml:space="preserve"> Serbia revoked its autonomy leading to increased tensions </w:t>
      </w:r>
      <w:r w:rsidR="00407626">
        <w:rPr>
          <w:rFonts w:ascii="Bookman Old Style" w:hAnsi="Bookman Old Style"/>
          <w:sz w:val="22"/>
          <w:szCs w:val="22"/>
        </w:rPr>
        <w:t xml:space="preserve">and growing resistance from the Kosovo Liberation Army. Their campaign of ethnic cleansing against the Albanians resulted in over eight hundred thousand Albanians having to flee their homes with villages being burned down and massacres occurring as well as mass rapes and the destruction of cultural sites. The most notable of the massacres would be the </w:t>
      </w:r>
      <w:r w:rsidR="00407626" w:rsidRPr="00407626">
        <w:rPr>
          <w:rFonts w:ascii="Bookman Old Style" w:hAnsi="Bookman Old Style"/>
          <w:sz w:val="22"/>
          <w:szCs w:val="22"/>
        </w:rPr>
        <w:t>Račak</w:t>
      </w:r>
      <w:r w:rsidR="00407626" w:rsidRPr="00407626">
        <w:rPr>
          <w:rFonts w:ascii="Bookman Old Style" w:hAnsi="Bookman Old Style"/>
          <w:b/>
          <w:bCs/>
          <w:sz w:val="22"/>
          <w:szCs w:val="22"/>
        </w:rPr>
        <w:t xml:space="preserve"> </w:t>
      </w:r>
      <w:r w:rsidR="00407626" w:rsidRPr="00407626">
        <w:rPr>
          <w:rFonts w:ascii="Bookman Old Style" w:hAnsi="Bookman Old Style"/>
          <w:sz w:val="22"/>
          <w:szCs w:val="22"/>
        </w:rPr>
        <w:t>Massacre</w:t>
      </w:r>
      <w:r w:rsidR="00223BE2">
        <w:rPr>
          <w:rFonts w:ascii="Bookman Old Style" w:hAnsi="Bookman Old Style"/>
          <w:sz w:val="22"/>
          <w:szCs w:val="22"/>
        </w:rPr>
        <w:t xml:space="preserve"> which took place in 1999</w:t>
      </w:r>
      <w:r w:rsidR="00407626">
        <w:rPr>
          <w:rFonts w:ascii="Bookman Old Style" w:hAnsi="Bookman Old Style"/>
          <w:sz w:val="22"/>
          <w:szCs w:val="22"/>
        </w:rPr>
        <w:t>. Serbian forces claimed that KLA activity in the area warranted a military crackdown. Serbian forces ended up killing 45 Albanian citizens which included men, women, the elderly, and one child.</w:t>
      </w:r>
      <w:r w:rsidR="00223BE2">
        <w:rPr>
          <w:rFonts w:ascii="Bookman Old Style" w:hAnsi="Bookman Old Style"/>
          <w:sz w:val="22"/>
          <w:szCs w:val="22"/>
        </w:rPr>
        <w:t xml:space="preserve"> This massacre would be one of the key points in NATO’s decision to start their seventy eight day bombing campaign against Serbian forces to end the ethnic cleansing. The conflict in </w:t>
      </w:r>
      <w:r w:rsidR="00AB0900">
        <w:rPr>
          <w:rFonts w:ascii="Bookman Old Style" w:hAnsi="Bookman Old Style"/>
          <w:sz w:val="22"/>
          <w:szCs w:val="22"/>
        </w:rPr>
        <w:t>Kosovo</w:t>
      </w:r>
      <w:r w:rsidR="00223BE2">
        <w:rPr>
          <w:rFonts w:ascii="Bookman Old Style" w:hAnsi="Bookman Old Style"/>
          <w:sz w:val="22"/>
          <w:szCs w:val="22"/>
        </w:rPr>
        <w:t xml:space="preserve"> would come to an end in 1999 and Kosovo would declare its independence in 2008 although Serbia refuses to recognize it.</w:t>
      </w:r>
      <w:r w:rsidR="00525529">
        <w:rPr>
          <w:rStyle w:val="FootnoteReference"/>
          <w:rFonts w:ascii="Bookman Old Style" w:hAnsi="Bookman Old Style"/>
          <w:sz w:val="22"/>
          <w:szCs w:val="22"/>
        </w:rPr>
        <w:footnoteReference w:id="11"/>
      </w:r>
      <w:r w:rsidR="00407626">
        <w:rPr>
          <w:rFonts w:ascii="Bookman Old Style" w:hAnsi="Bookman Old Style"/>
          <w:sz w:val="22"/>
          <w:szCs w:val="22"/>
        </w:rPr>
        <w:t xml:space="preserve">  </w:t>
      </w:r>
    </w:p>
    <w:p w14:paraId="55527C5A" w14:textId="7ADF1121" w:rsidR="00AB0900" w:rsidRPr="00407626" w:rsidRDefault="00AB0900" w:rsidP="00407626">
      <w:pPr>
        <w:spacing w:line="480" w:lineRule="auto"/>
        <w:rPr>
          <w:rFonts w:ascii="Bookman Old Style" w:hAnsi="Bookman Old Style"/>
          <w:sz w:val="22"/>
          <w:szCs w:val="22"/>
        </w:rPr>
      </w:pPr>
      <w:r>
        <w:rPr>
          <w:rFonts w:ascii="Bookman Old Style" w:hAnsi="Bookman Old Style"/>
          <w:sz w:val="22"/>
          <w:szCs w:val="22"/>
        </w:rPr>
        <w:tab/>
        <w:t xml:space="preserve">The staggering evidence in these cases shows that there was a clear intent of the removal of certain ethnic groups from areas under Serbian control during these wars. </w:t>
      </w:r>
      <w:r w:rsidR="00121D20">
        <w:rPr>
          <w:rFonts w:ascii="Bookman Old Style" w:hAnsi="Bookman Old Style"/>
          <w:sz w:val="22"/>
          <w:szCs w:val="22"/>
        </w:rPr>
        <w:t xml:space="preserve">The Serbian population had experienced dominating the region that was Yugoslavia for decades and when it became time for countries to declare their independence they </w:t>
      </w:r>
      <w:r w:rsidR="000205E5">
        <w:rPr>
          <w:rFonts w:ascii="Bookman Old Style" w:hAnsi="Bookman Old Style"/>
          <w:sz w:val="22"/>
          <w:szCs w:val="22"/>
        </w:rPr>
        <w:t>believed</w:t>
      </w:r>
      <w:r w:rsidR="00121D20">
        <w:rPr>
          <w:rFonts w:ascii="Bookman Old Style" w:hAnsi="Bookman Old Style"/>
          <w:sz w:val="22"/>
          <w:szCs w:val="22"/>
        </w:rPr>
        <w:t xml:space="preserve"> that they should stay as one nation, effectively remaining </w:t>
      </w:r>
      <w:r w:rsidR="000205E5">
        <w:rPr>
          <w:rFonts w:ascii="Bookman Old Style" w:hAnsi="Bookman Old Style"/>
          <w:sz w:val="22"/>
          <w:szCs w:val="22"/>
        </w:rPr>
        <w:t>under</w:t>
      </w:r>
      <w:r w:rsidR="00121D20">
        <w:rPr>
          <w:rFonts w:ascii="Bookman Old Style" w:hAnsi="Bookman Old Style"/>
          <w:sz w:val="22"/>
          <w:szCs w:val="22"/>
        </w:rPr>
        <w:t xml:space="preserve"> Serbian rule and </w:t>
      </w:r>
      <w:r w:rsidR="000205E5">
        <w:rPr>
          <w:rFonts w:ascii="Bookman Old Style" w:hAnsi="Bookman Old Style"/>
          <w:sz w:val="22"/>
          <w:szCs w:val="22"/>
        </w:rPr>
        <w:t>leadership</w:t>
      </w:r>
      <w:r w:rsidR="00121D20">
        <w:rPr>
          <w:rFonts w:ascii="Bookman Old Style" w:hAnsi="Bookman Old Style"/>
          <w:sz w:val="22"/>
          <w:szCs w:val="22"/>
        </w:rPr>
        <w:t xml:space="preserve">. Ethnic cleansing at the minimum is obvious throughout the wars and multiple ethnic groups had to go through those struggles of being forced from their home and then eventually having no home to return to. Giving these </w:t>
      </w:r>
      <w:r w:rsidR="000205E5">
        <w:rPr>
          <w:rFonts w:ascii="Bookman Old Style" w:hAnsi="Bookman Old Style"/>
          <w:sz w:val="22"/>
          <w:szCs w:val="22"/>
        </w:rPr>
        <w:t>atrocities</w:t>
      </w:r>
      <w:r w:rsidR="00121D20">
        <w:rPr>
          <w:rFonts w:ascii="Bookman Old Style" w:hAnsi="Bookman Old Style"/>
          <w:sz w:val="22"/>
          <w:szCs w:val="22"/>
        </w:rPr>
        <w:t xml:space="preserve"> the label of genocide is a much more difficult thing to do. The thing with genocide is there has to be an obvious intention for the extermination of a certain </w:t>
      </w:r>
      <w:r w:rsidR="00121D20">
        <w:rPr>
          <w:rFonts w:ascii="Bookman Old Style" w:hAnsi="Bookman Old Style"/>
          <w:sz w:val="22"/>
          <w:szCs w:val="22"/>
        </w:rPr>
        <w:lastRenderedPageBreak/>
        <w:t xml:space="preserve">ethnic group rather than just the forced removal of that </w:t>
      </w:r>
      <w:r w:rsidR="000205E5">
        <w:rPr>
          <w:rFonts w:ascii="Bookman Old Style" w:hAnsi="Bookman Old Style"/>
          <w:sz w:val="22"/>
          <w:szCs w:val="22"/>
        </w:rPr>
        <w:t>group</w:t>
      </w:r>
      <w:r w:rsidR="00121D20">
        <w:rPr>
          <w:rFonts w:ascii="Bookman Old Style" w:hAnsi="Bookman Old Style"/>
          <w:sz w:val="22"/>
          <w:szCs w:val="22"/>
        </w:rPr>
        <w:t xml:space="preserve">. At this stage, the Srebrenica massacre is the only one that has been officially recognized by the UN as a genocide as there has been an inability to prove the intent of extermination in any of the other cases. ethnic </w:t>
      </w:r>
      <w:r w:rsidR="000205E5">
        <w:rPr>
          <w:rFonts w:ascii="Bookman Old Style" w:hAnsi="Bookman Old Style"/>
          <w:sz w:val="22"/>
          <w:szCs w:val="22"/>
        </w:rPr>
        <w:t>cleansing</w:t>
      </w:r>
      <w:r w:rsidR="00121D20">
        <w:rPr>
          <w:rFonts w:ascii="Bookman Old Style" w:hAnsi="Bookman Old Style"/>
          <w:sz w:val="22"/>
          <w:szCs w:val="22"/>
        </w:rPr>
        <w:t xml:space="preserve"> in this case and in many others is more so the precursor to the genocide, as was seen in the holocaust. Once the Nazis realised </w:t>
      </w:r>
      <w:r w:rsidR="000205E5">
        <w:rPr>
          <w:rFonts w:ascii="Bookman Old Style" w:hAnsi="Bookman Old Style"/>
          <w:sz w:val="22"/>
          <w:szCs w:val="22"/>
        </w:rPr>
        <w:t>they</w:t>
      </w:r>
      <w:r w:rsidR="00121D20">
        <w:rPr>
          <w:rFonts w:ascii="Bookman Old Style" w:hAnsi="Bookman Old Style"/>
          <w:sz w:val="22"/>
          <w:szCs w:val="22"/>
        </w:rPr>
        <w:t xml:space="preserve"> would be unable to simply remove all of the Jewish people they decided the best course of action was to kill them and that is quite possibly what happened in </w:t>
      </w:r>
      <w:r w:rsidR="000205E5">
        <w:rPr>
          <w:rFonts w:ascii="Bookman Old Style" w:hAnsi="Bookman Old Style"/>
          <w:sz w:val="22"/>
          <w:szCs w:val="22"/>
        </w:rPr>
        <w:t>Bosnia</w:t>
      </w:r>
      <w:r w:rsidR="00121D20">
        <w:rPr>
          <w:rFonts w:ascii="Bookman Old Style" w:hAnsi="Bookman Old Style"/>
          <w:sz w:val="22"/>
          <w:szCs w:val="22"/>
        </w:rPr>
        <w:t xml:space="preserve">. Once the oppressor is unable to remove by force, they simply eliminate the “inconvenience” that is stopping them from reaching their goal, an ethnically homogenous state. After looking at all of the facts it is clear that the true definition of </w:t>
      </w:r>
      <w:r w:rsidR="000205E5">
        <w:rPr>
          <w:rFonts w:ascii="Bookman Old Style" w:hAnsi="Bookman Old Style"/>
          <w:sz w:val="22"/>
          <w:szCs w:val="22"/>
        </w:rPr>
        <w:t>what</w:t>
      </w:r>
      <w:r w:rsidR="00121D20">
        <w:rPr>
          <w:rFonts w:ascii="Bookman Old Style" w:hAnsi="Bookman Old Style"/>
          <w:sz w:val="22"/>
          <w:szCs w:val="22"/>
        </w:rPr>
        <w:t xml:space="preserve"> happened during this time period and particularly in Bosnia is a controversial one. I found that </w:t>
      </w:r>
      <w:r w:rsidR="000205E5">
        <w:rPr>
          <w:rFonts w:ascii="Bookman Old Style" w:hAnsi="Bookman Old Style"/>
          <w:sz w:val="22"/>
          <w:szCs w:val="22"/>
        </w:rPr>
        <w:t>while</w:t>
      </w:r>
      <w:r w:rsidR="00121D20">
        <w:rPr>
          <w:rFonts w:ascii="Bookman Old Style" w:hAnsi="Bookman Old Style"/>
          <w:sz w:val="22"/>
          <w:szCs w:val="22"/>
        </w:rPr>
        <w:t xml:space="preserve"> ethnic </w:t>
      </w:r>
      <w:r w:rsidR="000205E5">
        <w:rPr>
          <w:rFonts w:ascii="Bookman Old Style" w:hAnsi="Bookman Old Style"/>
          <w:sz w:val="22"/>
          <w:szCs w:val="22"/>
        </w:rPr>
        <w:t>cleansing</w:t>
      </w:r>
      <w:r w:rsidR="00121D20">
        <w:rPr>
          <w:rFonts w:ascii="Bookman Old Style" w:hAnsi="Bookman Old Style"/>
          <w:sz w:val="22"/>
          <w:szCs w:val="22"/>
        </w:rPr>
        <w:t xml:space="preserve"> may not be genocide within itself they do seem to go hand in hand where if ethnic cleansing is occurring and the oppressor is not stopped, a genocide will follow. </w:t>
      </w:r>
    </w:p>
    <w:p w14:paraId="25E3E54F" w14:textId="2A63D33B" w:rsidR="009E00D5" w:rsidRDefault="009E00D5" w:rsidP="00ED39CF">
      <w:pPr>
        <w:spacing w:line="480" w:lineRule="auto"/>
        <w:rPr>
          <w:rFonts w:ascii="Bookman Old Style" w:hAnsi="Bookman Old Style"/>
          <w:sz w:val="22"/>
          <w:szCs w:val="22"/>
        </w:rPr>
      </w:pPr>
      <w:r>
        <w:rPr>
          <w:rFonts w:ascii="Bookman Old Style" w:hAnsi="Bookman Old Style"/>
          <w:sz w:val="22"/>
          <w:szCs w:val="22"/>
        </w:rPr>
        <w:t xml:space="preserve"> </w:t>
      </w:r>
    </w:p>
    <w:p w14:paraId="2A22B87B" w14:textId="77777777" w:rsidR="007F783F" w:rsidRDefault="007F783F" w:rsidP="00ED39CF">
      <w:pPr>
        <w:spacing w:line="480" w:lineRule="auto"/>
        <w:rPr>
          <w:rFonts w:ascii="Bookman Old Style" w:hAnsi="Bookman Old Style"/>
          <w:sz w:val="22"/>
          <w:szCs w:val="22"/>
        </w:rPr>
      </w:pPr>
    </w:p>
    <w:p w14:paraId="17573CBA" w14:textId="77777777" w:rsidR="007F783F" w:rsidRDefault="007F783F" w:rsidP="00ED39CF">
      <w:pPr>
        <w:spacing w:line="480" w:lineRule="auto"/>
        <w:rPr>
          <w:rFonts w:ascii="Bookman Old Style" w:hAnsi="Bookman Old Style"/>
          <w:sz w:val="22"/>
          <w:szCs w:val="22"/>
        </w:rPr>
      </w:pPr>
    </w:p>
    <w:p w14:paraId="00B25B25" w14:textId="77777777" w:rsidR="007F783F" w:rsidRDefault="007F783F" w:rsidP="00ED39CF">
      <w:pPr>
        <w:spacing w:line="480" w:lineRule="auto"/>
        <w:rPr>
          <w:rFonts w:ascii="Bookman Old Style" w:hAnsi="Bookman Old Style"/>
          <w:sz w:val="22"/>
          <w:szCs w:val="22"/>
        </w:rPr>
      </w:pPr>
    </w:p>
    <w:p w14:paraId="4171423F" w14:textId="77777777" w:rsidR="007F783F" w:rsidRDefault="007F783F" w:rsidP="00ED39CF">
      <w:pPr>
        <w:spacing w:line="480" w:lineRule="auto"/>
        <w:rPr>
          <w:rFonts w:ascii="Bookman Old Style" w:hAnsi="Bookman Old Style"/>
          <w:sz w:val="22"/>
          <w:szCs w:val="22"/>
        </w:rPr>
      </w:pPr>
    </w:p>
    <w:p w14:paraId="7F1822E9" w14:textId="77777777" w:rsidR="007F783F" w:rsidRDefault="007F783F" w:rsidP="00ED39CF">
      <w:pPr>
        <w:spacing w:line="480" w:lineRule="auto"/>
        <w:rPr>
          <w:rFonts w:ascii="Bookman Old Style" w:hAnsi="Bookman Old Style"/>
          <w:sz w:val="22"/>
          <w:szCs w:val="22"/>
        </w:rPr>
      </w:pPr>
    </w:p>
    <w:p w14:paraId="11AE86F6" w14:textId="77777777" w:rsidR="007F783F" w:rsidRDefault="007F783F" w:rsidP="00ED39CF">
      <w:pPr>
        <w:spacing w:line="480" w:lineRule="auto"/>
        <w:rPr>
          <w:rFonts w:ascii="Bookman Old Style" w:hAnsi="Bookman Old Style"/>
          <w:sz w:val="22"/>
          <w:szCs w:val="22"/>
        </w:rPr>
      </w:pPr>
    </w:p>
    <w:p w14:paraId="0D724B69" w14:textId="77777777" w:rsidR="007F783F" w:rsidRDefault="007F783F" w:rsidP="00ED39CF">
      <w:pPr>
        <w:spacing w:line="480" w:lineRule="auto"/>
        <w:rPr>
          <w:rFonts w:ascii="Bookman Old Style" w:hAnsi="Bookman Old Style"/>
          <w:sz w:val="22"/>
          <w:szCs w:val="22"/>
        </w:rPr>
      </w:pPr>
    </w:p>
    <w:p w14:paraId="5CCCC469" w14:textId="54900EA6" w:rsidR="007F783F" w:rsidRDefault="007F783F" w:rsidP="00ED39CF">
      <w:pPr>
        <w:spacing w:line="480" w:lineRule="auto"/>
        <w:rPr>
          <w:rFonts w:ascii="Bookman Old Style" w:hAnsi="Bookman Old Style"/>
          <w:sz w:val="28"/>
          <w:szCs w:val="28"/>
          <w:u w:val="single"/>
        </w:rPr>
      </w:pPr>
      <w:r>
        <w:rPr>
          <w:rFonts w:ascii="Bookman Old Style" w:hAnsi="Bookman Old Style"/>
          <w:sz w:val="28"/>
          <w:szCs w:val="28"/>
          <w:u w:val="single"/>
        </w:rPr>
        <w:lastRenderedPageBreak/>
        <w:t>Bibliography:</w:t>
      </w:r>
    </w:p>
    <w:p w14:paraId="4409B287"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Askin, Kelly , ‘Omarska Camp, Bosnia-Broken Promises of Never Again’, </w:t>
      </w:r>
      <w:r w:rsidRPr="007F783F">
        <w:rPr>
          <w:rFonts w:ascii="Times New Roman" w:eastAsia="Times New Roman" w:hAnsi="Times New Roman" w:cs="Times New Roman"/>
          <w:i/>
          <w:iCs/>
          <w:kern w:val="0"/>
          <w:lang w:eastAsia="en-CA"/>
          <w14:ligatures w14:val="none"/>
        </w:rPr>
        <w:t>Human Rights</w:t>
      </w:r>
      <w:r w:rsidRPr="007F783F">
        <w:rPr>
          <w:rFonts w:ascii="Times New Roman" w:eastAsia="Times New Roman" w:hAnsi="Times New Roman" w:cs="Times New Roman"/>
          <w:kern w:val="0"/>
          <w:lang w:eastAsia="en-CA"/>
          <w14:ligatures w14:val="none"/>
        </w:rPr>
        <w:t>, 30 (2003), 12</w:t>
      </w:r>
    </w:p>
    <w:p w14:paraId="4312CFE4"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proofErr w:type="spellStart"/>
      <w:r w:rsidRPr="007F783F">
        <w:rPr>
          <w:rFonts w:ascii="Times New Roman" w:eastAsia="Times New Roman" w:hAnsi="Times New Roman" w:cs="Times New Roman"/>
          <w:kern w:val="0"/>
          <w:lang w:eastAsia="en-CA"/>
          <w14:ligatures w14:val="none"/>
        </w:rPr>
        <w:t>Bjelajac</w:t>
      </w:r>
      <w:proofErr w:type="spellEnd"/>
      <w:r w:rsidRPr="007F783F">
        <w:rPr>
          <w:rFonts w:ascii="Times New Roman" w:eastAsia="Times New Roman" w:hAnsi="Times New Roman" w:cs="Times New Roman"/>
          <w:kern w:val="0"/>
          <w:lang w:eastAsia="en-CA"/>
          <w14:ligatures w14:val="none"/>
        </w:rPr>
        <w:t xml:space="preserve">, Mile, and </w:t>
      </w:r>
      <w:proofErr w:type="spellStart"/>
      <w:r w:rsidRPr="007F783F">
        <w:rPr>
          <w:rFonts w:ascii="Times New Roman" w:eastAsia="Times New Roman" w:hAnsi="Times New Roman" w:cs="Times New Roman"/>
          <w:kern w:val="0"/>
          <w:lang w:eastAsia="en-CA"/>
          <w14:ligatures w14:val="none"/>
        </w:rPr>
        <w:t>Ozren</w:t>
      </w:r>
      <w:proofErr w:type="spellEnd"/>
      <w:r w:rsidRPr="007F783F">
        <w:rPr>
          <w:rFonts w:ascii="Times New Roman" w:eastAsia="Times New Roman" w:hAnsi="Times New Roman" w:cs="Times New Roman"/>
          <w:kern w:val="0"/>
          <w:lang w:eastAsia="en-CA"/>
          <w14:ligatures w14:val="none"/>
        </w:rPr>
        <w:t xml:space="preserve"> </w:t>
      </w:r>
      <w:proofErr w:type="spellStart"/>
      <w:r w:rsidRPr="007F783F">
        <w:rPr>
          <w:rFonts w:ascii="Times New Roman" w:eastAsia="Times New Roman" w:hAnsi="Times New Roman" w:cs="Times New Roman"/>
          <w:kern w:val="0"/>
          <w:lang w:eastAsia="en-CA"/>
          <w14:ligatures w14:val="none"/>
        </w:rPr>
        <w:t>Žunec</w:t>
      </w:r>
      <w:proofErr w:type="spellEnd"/>
      <w:r w:rsidRPr="007F783F">
        <w:rPr>
          <w:rFonts w:ascii="Times New Roman" w:eastAsia="Times New Roman" w:hAnsi="Times New Roman" w:cs="Times New Roman"/>
          <w:kern w:val="0"/>
          <w:lang w:eastAsia="en-CA"/>
          <w14:ligatures w14:val="none"/>
        </w:rPr>
        <w:t xml:space="preserve">, ‘The War in Croatia, 1991-1995’, </w:t>
      </w:r>
      <w:r w:rsidRPr="007F783F">
        <w:rPr>
          <w:rFonts w:ascii="Times New Roman" w:eastAsia="Times New Roman" w:hAnsi="Times New Roman" w:cs="Times New Roman"/>
          <w:i/>
          <w:iCs/>
          <w:kern w:val="0"/>
          <w:lang w:eastAsia="en-CA"/>
          <w14:ligatures w14:val="none"/>
        </w:rPr>
        <w:t>The Scholars’ Initiative Research Team Seven</w:t>
      </w:r>
      <w:r w:rsidRPr="007F783F">
        <w:rPr>
          <w:rFonts w:ascii="Times New Roman" w:eastAsia="Times New Roman" w:hAnsi="Times New Roman" w:cs="Times New Roman"/>
          <w:kern w:val="0"/>
          <w:lang w:eastAsia="en-CA"/>
          <w14:ligatures w14:val="none"/>
        </w:rPr>
        <w:t>, 2007</w:t>
      </w:r>
    </w:p>
    <w:p w14:paraId="43BE386B"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Booth, Ken, </w:t>
      </w:r>
      <w:r w:rsidRPr="007F783F">
        <w:rPr>
          <w:rFonts w:ascii="Times New Roman" w:eastAsia="Times New Roman" w:hAnsi="Times New Roman" w:cs="Times New Roman"/>
          <w:i/>
          <w:iCs/>
          <w:kern w:val="0"/>
          <w:lang w:eastAsia="en-CA"/>
          <w14:ligatures w14:val="none"/>
        </w:rPr>
        <w:t>The Kosovo Tragedy</w:t>
      </w:r>
      <w:r w:rsidRPr="007F783F">
        <w:rPr>
          <w:rFonts w:ascii="Times New Roman" w:eastAsia="Times New Roman" w:hAnsi="Times New Roman" w:cs="Times New Roman"/>
          <w:kern w:val="0"/>
          <w:lang w:eastAsia="en-CA"/>
          <w14:ligatures w14:val="none"/>
        </w:rPr>
        <w:t xml:space="preserve"> (Routledge, 2012)</w:t>
      </w:r>
    </w:p>
    <w:p w14:paraId="73872B7F"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Campbell, David, ‘Atrocity, Memory, Photography: Imaging the Concentration Camps of Bosnia--the Case of ITN versus Living Marxism , Part 1’, </w:t>
      </w:r>
      <w:r w:rsidRPr="007F783F">
        <w:rPr>
          <w:rFonts w:ascii="Times New Roman" w:eastAsia="Times New Roman" w:hAnsi="Times New Roman" w:cs="Times New Roman"/>
          <w:i/>
          <w:iCs/>
          <w:kern w:val="0"/>
          <w:lang w:eastAsia="en-CA"/>
          <w14:ligatures w14:val="none"/>
        </w:rPr>
        <w:t>Journal of Human Rights</w:t>
      </w:r>
      <w:r w:rsidRPr="007F783F">
        <w:rPr>
          <w:rFonts w:ascii="Times New Roman" w:eastAsia="Times New Roman" w:hAnsi="Times New Roman" w:cs="Times New Roman"/>
          <w:kern w:val="0"/>
          <w:lang w:eastAsia="en-CA"/>
          <w14:ligatures w14:val="none"/>
        </w:rPr>
        <w:t>, 1.1 (2002), 1–33 &lt;https://doi.org/10.1080/14754830110111544&gt;</w:t>
      </w:r>
    </w:p>
    <w:p w14:paraId="239CA40B"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Cushman, Thomas, and </w:t>
      </w:r>
      <w:proofErr w:type="spellStart"/>
      <w:r w:rsidRPr="007F783F">
        <w:rPr>
          <w:rFonts w:ascii="Times New Roman" w:eastAsia="Times New Roman" w:hAnsi="Times New Roman" w:cs="Times New Roman"/>
          <w:kern w:val="0"/>
          <w:lang w:eastAsia="en-CA"/>
          <w14:ligatures w14:val="none"/>
        </w:rPr>
        <w:t>MeštrovićStjepan</w:t>
      </w:r>
      <w:proofErr w:type="spellEnd"/>
      <w:r w:rsidRPr="007F783F">
        <w:rPr>
          <w:rFonts w:ascii="Times New Roman" w:eastAsia="Times New Roman" w:hAnsi="Times New Roman" w:cs="Times New Roman"/>
          <w:kern w:val="0"/>
          <w:lang w:eastAsia="en-CA"/>
          <w14:ligatures w14:val="none"/>
        </w:rPr>
        <w:t xml:space="preserve"> G, </w:t>
      </w:r>
      <w:r w:rsidRPr="007F783F">
        <w:rPr>
          <w:rFonts w:ascii="Times New Roman" w:eastAsia="Times New Roman" w:hAnsi="Times New Roman" w:cs="Times New Roman"/>
          <w:i/>
          <w:iCs/>
          <w:kern w:val="0"/>
          <w:lang w:eastAsia="en-CA"/>
          <w14:ligatures w14:val="none"/>
        </w:rPr>
        <w:t>This Time We Knew : Western Responses to Genocide in Bosnia</w:t>
      </w:r>
      <w:r w:rsidRPr="007F783F">
        <w:rPr>
          <w:rFonts w:ascii="Times New Roman" w:eastAsia="Times New Roman" w:hAnsi="Times New Roman" w:cs="Times New Roman"/>
          <w:kern w:val="0"/>
          <w:lang w:eastAsia="en-CA"/>
          <w14:ligatures w14:val="none"/>
        </w:rPr>
        <w:t xml:space="preserve"> (New York ; London: New York University Press, 1996) &lt;https://www.jstor.org/stable/j.ctt9qfngn&gt; [accessed 30 January 2025]</w:t>
      </w:r>
    </w:p>
    <w:p w14:paraId="4B4E0C0B"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DENICH, BETTE, ‘Dismembering Yugoslavia: Nationalist Ideologies and the Symbolic Revival of Genocide’, </w:t>
      </w:r>
      <w:r w:rsidRPr="007F783F">
        <w:rPr>
          <w:rFonts w:ascii="Times New Roman" w:eastAsia="Times New Roman" w:hAnsi="Times New Roman" w:cs="Times New Roman"/>
          <w:i/>
          <w:iCs/>
          <w:kern w:val="0"/>
          <w:lang w:eastAsia="en-CA"/>
          <w14:ligatures w14:val="none"/>
        </w:rPr>
        <w:t>American Ethnologist</w:t>
      </w:r>
      <w:r w:rsidRPr="007F783F">
        <w:rPr>
          <w:rFonts w:ascii="Times New Roman" w:eastAsia="Times New Roman" w:hAnsi="Times New Roman" w:cs="Times New Roman"/>
          <w:kern w:val="0"/>
          <w:lang w:eastAsia="en-CA"/>
          <w14:ligatures w14:val="none"/>
        </w:rPr>
        <w:t>, 21.2 (1994), 367–90 &lt;https://doi.org/10.1525/ae.1994.21.2.02a00080&gt;</w:t>
      </w:r>
    </w:p>
    <w:p w14:paraId="0C30D7DE"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Hoare, Marko Attila, ‘Genocide in the Former Yugoslavia before and after Communism’, </w:t>
      </w:r>
      <w:r w:rsidRPr="007F783F">
        <w:rPr>
          <w:rFonts w:ascii="Times New Roman" w:eastAsia="Times New Roman" w:hAnsi="Times New Roman" w:cs="Times New Roman"/>
          <w:i/>
          <w:iCs/>
          <w:kern w:val="0"/>
          <w:lang w:eastAsia="en-CA"/>
          <w14:ligatures w14:val="none"/>
        </w:rPr>
        <w:t>Europe-Asia Studies</w:t>
      </w:r>
      <w:r w:rsidRPr="007F783F">
        <w:rPr>
          <w:rFonts w:ascii="Times New Roman" w:eastAsia="Times New Roman" w:hAnsi="Times New Roman" w:cs="Times New Roman"/>
          <w:kern w:val="0"/>
          <w:lang w:eastAsia="en-CA"/>
          <w14:ligatures w14:val="none"/>
        </w:rPr>
        <w:t>, 62.7 (2010), 1193–1214 &lt;https://doi.org/10.1080/09668136.2010.497029&gt;</w:t>
      </w:r>
    </w:p>
    <w:p w14:paraId="48D61945"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King, Curtis , ‘The Siege of Sarajevo 1992-1995’, </w:t>
      </w:r>
      <w:r w:rsidRPr="007F783F">
        <w:rPr>
          <w:rFonts w:ascii="Times New Roman" w:eastAsia="Times New Roman" w:hAnsi="Times New Roman" w:cs="Times New Roman"/>
          <w:i/>
          <w:iCs/>
          <w:kern w:val="0"/>
          <w:lang w:eastAsia="en-CA"/>
          <w14:ligatures w14:val="none"/>
        </w:rPr>
        <w:t>Block by Block: The Challenges of Urban Operations</w:t>
      </w:r>
      <w:r w:rsidRPr="007F783F">
        <w:rPr>
          <w:rFonts w:ascii="Times New Roman" w:eastAsia="Times New Roman" w:hAnsi="Times New Roman" w:cs="Times New Roman"/>
          <w:kern w:val="0"/>
          <w:lang w:eastAsia="en-CA"/>
          <w14:ligatures w14:val="none"/>
        </w:rPr>
        <w:t>, U.S. Army Command and General Staff College Press, 2003, 235–87</w:t>
      </w:r>
    </w:p>
    <w:p w14:paraId="589439B1"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Lindquist, David, ‘Ethnic Cleansing, Yes; Genocide, No: Textbook Coverage of Ethnic Violence in the Former Yugoslavia’, </w:t>
      </w:r>
      <w:r w:rsidRPr="007F783F">
        <w:rPr>
          <w:rFonts w:ascii="Times New Roman" w:eastAsia="Times New Roman" w:hAnsi="Times New Roman" w:cs="Times New Roman"/>
          <w:i/>
          <w:iCs/>
          <w:kern w:val="0"/>
          <w:lang w:eastAsia="en-CA"/>
          <w14:ligatures w14:val="none"/>
        </w:rPr>
        <w:t>The Clearing House: A Journal of Educational Strategies, Issues and Ideas</w:t>
      </w:r>
      <w:r w:rsidRPr="007F783F">
        <w:rPr>
          <w:rFonts w:ascii="Times New Roman" w:eastAsia="Times New Roman" w:hAnsi="Times New Roman" w:cs="Times New Roman"/>
          <w:kern w:val="0"/>
          <w:lang w:eastAsia="en-CA"/>
          <w14:ligatures w14:val="none"/>
        </w:rPr>
        <w:t>, 85.5 (2012), 167–73 &lt;https://doi.org/10.1080/00098655.2012.677074&gt;</w:t>
      </w:r>
    </w:p>
    <w:p w14:paraId="49761C08"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proofErr w:type="spellStart"/>
      <w:r w:rsidRPr="007F783F">
        <w:rPr>
          <w:rFonts w:ascii="Times New Roman" w:eastAsia="Times New Roman" w:hAnsi="Times New Roman" w:cs="Times New Roman"/>
          <w:kern w:val="0"/>
          <w:lang w:eastAsia="en-CA"/>
          <w14:ligatures w14:val="none"/>
        </w:rPr>
        <w:t>Mihailovič</w:t>
      </w:r>
      <w:proofErr w:type="spellEnd"/>
      <w:r w:rsidRPr="007F783F">
        <w:rPr>
          <w:rFonts w:ascii="Times New Roman" w:eastAsia="Times New Roman" w:hAnsi="Times New Roman" w:cs="Times New Roman"/>
          <w:kern w:val="0"/>
          <w:lang w:eastAsia="en-CA"/>
          <w14:ligatures w14:val="none"/>
        </w:rPr>
        <w:t xml:space="preserve"> </w:t>
      </w:r>
      <w:proofErr w:type="spellStart"/>
      <w:r w:rsidRPr="007F783F">
        <w:rPr>
          <w:rFonts w:ascii="Times New Roman" w:eastAsia="Times New Roman" w:hAnsi="Times New Roman" w:cs="Times New Roman"/>
          <w:kern w:val="0"/>
          <w:lang w:eastAsia="en-CA"/>
          <w14:ligatures w14:val="none"/>
        </w:rPr>
        <w:t>Trbovc</w:t>
      </w:r>
      <w:proofErr w:type="spellEnd"/>
      <w:r w:rsidRPr="007F783F">
        <w:rPr>
          <w:rFonts w:ascii="Times New Roman" w:eastAsia="Times New Roman" w:hAnsi="Times New Roman" w:cs="Times New Roman"/>
          <w:kern w:val="0"/>
          <w:lang w:eastAsia="en-CA"/>
          <w14:ligatures w14:val="none"/>
        </w:rPr>
        <w:t xml:space="preserve">, Jovana, ‘Memory after Ethnic Cleansing: Victims’ and Perpetrators’ Narratives in Prijedor’, </w:t>
      </w:r>
      <w:r w:rsidRPr="007F783F">
        <w:rPr>
          <w:rFonts w:ascii="Times New Roman" w:eastAsia="Times New Roman" w:hAnsi="Times New Roman" w:cs="Times New Roman"/>
          <w:i/>
          <w:iCs/>
          <w:kern w:val="0"/>
          <w:lang w:eastAsia="en-CA"/>
          <w14:ligatures w14:val="none"/>
        </w:rPr>
        <w:t>JOURNAL of ETHNIC STUDIES</w:t>
      </w:r>
      <w:r w:rsidRPr="007F783F">
        <w:rPr>
          <w:rFonts w:ascii="Times New Roman" w:eastAsia="Times New Roman" w:hAnsi="Times New Roman" w:cs="Times New Roman"/>
          <w:kern w:val="0"/>
          <w:lang w:eastAsia="en-CA"/>
          <w14:ligatures w14:val="none"/>
        </w:rPr>
        <w:t>, 72 (2014), 25–41</w:t>
      </w:r>
    </w:p>
    <w:p w14:paraId="531E4BDA"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lastRenderedPageBreak/>
        <w:t xml:space="preserve">Power, Samantha, </w:t>
      </w:r>
      <w:r w:rsidRPr="007F783F">
        <w:rPr>
          <w:rFonts w:ascii="Times New Roman" w:eastAsia="Times New Roman" w:hAnsi="Times New Roman" w:cs="Times New Roman"/>
          <w:i/>
          <w:iCs/>
          <w:kern w:val="0"/>
          <w:lang w:eastAsia="en-CA"/>
          <w14:ligatures w14:val="none"/>
        </w:rPr>
        <w:t>‘A Problem from Hell’ : America and the Age of Genocide</w:t>
      </w:r>
      <w:r w:rsidRPr="007F783F">
        <w:rPr>
          <w:rFonts w:ascii="Times New Roman" w:eastAsia="Times New Roman" w:hAnsi="Times New Roman" w:cs="Times New Roman"/>
          <w:kern w:val="0"/>
          <w:lang w:eastAsia="en-CA"/>
          <w14:ligatures w14:val="none"/>
        </w:rPr>
        <w:t xml:space="preserve"> (New York: Basic Books, 2002)</w:t>
      </w:r>
    </w:p>
    <w:p w14:paraId="4C50C814"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United Nations, ‘Definitions of Genocide and Related Crimes | United Nations’, </w:t>
      </w:r>
      <w:r w:rsidRPr="007F783F">
        <w:rPr>
          <w:rFonts w:ascii="Times New Roman" w:eastAsia="Times New Roman" w:hAnsi="Times New Roman" w:cs="Times New Roman"/>
          <w:i/>
          <w:iCs/>
          <w:kern w:val="0"/>
          <w:lang w:eastAsia="en-CA"/>
          <w14:ligatures w14:val="none"/>
        </w:rPr>
        <w:t>United Nations</w:t>
      </w:r>
      <w:r w:rsidRPr="007F783F">
        <w:rPr>
          <w:rFonts w:ascii="Times New Roman" w:eastAsia="Times New Roman" w:hAnsi="Times New Roman" w:cs="Times New Roman"/>
          <w:kern w:val="0"/>
          <w:lang w:eastAsia="en-CA"/>
          <w14:ligatures w14:val="none"/>
        </w:rPr>
        <w:t>, 2022 &lt;https://www.un.org/en/genocide-prevention/definition&gt;</w:t>
      </w:r>
    </w:p>
    <w:p w14:paraId="521897F5"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 ‘Definitions of Genocide and Related Crimes | United Nations’, </w:t>
      </w:r>
      <w:r w:rsidRPr="007F783F">
        <w:rPr>
          <w:rFonts w:ascii="Times New Roman" w:eastAsia="Times New Roman" w:hAnsi="Times New Roman" w:cs="Times New Roman"/>
          <w:i/>
          <w:iCs/>
          <w:kern w:val="0"/>
          <w:lang w:eastAsia="en-CA"/>
          <w14:ligatures w14:val="none"/>
        </w:rPr>
        <w:t>United Nations</w:t>
      </w:r>
      <w:r w:rsidRPr="007F783F">
        <w:rPr>
          <w:rFonts w:ascii="Times New Roman" w:eastAsia="Times New Roman" w:hAnsi="Times New Roman" w:cs="Times New Roman"/>
          <w:kern w:val="0"/>
          <w:lang w:eastAsia="en-CA"/>
          <w14:ligatures w14:val="none"/>
        </w:rPr>
        <w:t>, 2022 &lt;https://www.un.org/en/genocide-prevention/definition&gt;</w:t>
      </w:r>
    </w:p>
    <w:p w14:paraId="148A730A"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United States Holocaust Memorial Museum, ‘Serbian Forces Target Civilians - United States Holocaust Memorial Museum’, </w:t>
      </w:r>
      <w:r w:rsidRPr="007F783F">
        <w:rPr>
          <w:rFonts w:ascii="Times New Roman" w:eastAsia="Times New Roman" w:hAnsi="Times New Roman" w:cs="Times New Roman"/>
          <w:i/>
          <w:iCs/>
          <w:kern w:val="0"/>
          <w:lang w:eastAsia="en-CA"/>
          <w14:ligatures w14:val="none"/>
        </w:rPr>
        <w:t>Www.ushmm.org</w:t>
      </w:r>
      <w:r w:rsidRPr="007F783F">
        <w:rPr>
          <w:rFonts w:ascii="Times New Roman" w:eastAsia="Times New Roman" w:hAnsi="Times New Roman" w:cs="Times New Roman"/>
          <w:kern w:val="0"/>
          <w:lang w:eastAsia="en-CA"/>
          <w14:ligatures w14:val="none"/>
        </w:rPr>
        <w:t>, 2013 &lt;https://www.ushmm.org/genocide-prevention/countries/bosnia-herzegovina/serbian-forces-target-civilians&gt;</w:t>
      </w:r>
    </w:p>
    <w:p w14:paraId="1E6C02BA"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proofErr w:type="spellStart"/>
      <w:r w:rsidRPr="007F783F">
        <w:rPr>
          <w:rFonts w:ascii="Times New Roman" w:eastAsia="Times New Roman" w:hAnsi="Times New Roman" w:cs="Times New Roman"/>
          <w:kern w:val="0"/>
          <w:lang w:eastAsia="en-CA"/>
          <w14:ligatures w14:val="none"/>
        </w:rPr>
        <w:t>Weitsman</w:t>
      </w:r>
      <w:proofErr w:type="spellEnd"/>
      <w:r w:rsidRPr="007F783F">
        <w:rPr>
          <w:rFonts w:ascii="Times New Roman" w:eastAsia="Times New Roman" w:hAnsi="Times New Roman" w:cs="Times New Roman"/>
          <w:kern w:val="0"/>
          <w:lang w:eastAsia="en-CA"/>
          <w14:ligatures w14:val="none"/>
        </w:rPr>
        <w:t xml:space="preserve">, Patricia A., ‘The Politics of Identity and Sexual Violence: A Review of Bosnia and Rwanda’, </w:t>
      </w:r>
      <w:r w:rsidRPr="007F783F">
        <w:rPr>
          <w:rFonts w:ascii="Times New Roman" w:eastAsia="Times New Roman" w:hAnsi="Times New Roman" w:cs="Times New Roman"/>
          <w:i/>
          <w:iCs/>
          <w:kern w:val="0"/>
          <w:lang w:eastAsia="en-CA"/>
          <w14:ligatures w14:val="none"/>
        </w:rPr>
        <w:t>Human Rights Quarterly</w:t>
      </w:r>
      <w:r w:rsidRPr="007F783F">
        <w:rPr>
          <w:rFonts w:ascii="Times New Roman" w:eastAsia="Times New Roman" w:hAnsi="Times New Roman" w:cs="Times New Roman"/>
          <w:kern w:val="0"/>
          <w:lang w:eastAsia="en-CA"/>
          <w14:ligatures w14:val="none"/>
        </w:rPr>
        <w:t>, 30.3 (2008), 561–78 &lt;https://doi.org/10.1353/hrq.0.0024&gt;</w:t>
      </w:r>
    </w:p>
    <w:p w14:paraId="30B166F9" w14:textId="77777777" w:rsidR="007F783F" w:rsidRPr="007F783F" w:rsidRDefault="007F783F" w:rsidP="007F783F">
      <w:pPr>
        <w:spacing w:after="240" w:line="360" w:lineRule="auto"/>
        <w:ind w:hanging="720"/>
        <w:rPr>
          <w:rFonts w:ascii="Times New Roman" w:eastAsia="Times New Roman" w:hAnsi="Times New Roman" w:cs="Times New Roman"/>
          <w:kern w:val="0"/>
          <w:lang w:eastAsia="en-CA"/>
          <w14:ligatures w14:val="none"/>
        </w:rPr>
      </w:pPr>
      <w:r w:rsidRPr="007F783F">
        <w:rPr>
          <w:rFonts w:ascii="Times New Roman" w:eastAsia="Times New Roman" w:hAnsi="Times New Roman" w:cs="Times New Roman"/>
          <w:kern w:val="0"/>
          <w:lang w:eastAsia="en-CA"/>
          <w14:ligatures w14:val="none"/>
        </w:rPr>
        <w:t xml:space="preserve">Weitz, Eric D, </w:t>
      </w:r>
      <w:r w:rsidRPr="007F783F">
        <w:rPr>
          <w:rFonts w:ascii="Times New Roman" w:eastAsia="Times New Roman" w:hAnsi="Times New Roman" w:cs="Times New Roman"/>
          <w:i/>
          <w:iCs/>
          <w:kern w:val="0"/>
          <w:lang w:eastAsia="en-CA"/>
          <w14:ligatures w14:val="none"/>
        </w:rPr>
        <w:t>A Century of Genocide : Utopias of Race and Nation</w:t>
      </w:r>
      <w:r w:rsidRPr="007F783F">
        <w:rPr>
          <w:rFonts w:ascii="Times New Roman" w:eastAsia="Times New Roman" w:hAnsi="Times New Roman" w:cs="Times New Roman"/>
          <w:kern w:val="0"/>
          <w:lang w:eastAsia="en-CA"/>
          <w14:ligatures w14:val="none"/>
        </w:rPr>
        <w:t xml:space="preserve"> (Princeton And Oxford: Princeton University Press, 2015), pp. 190–235 &lt;https://www-vlebooks-com.ezproxy.uwtsd.ac.uk/Product/Index/2053450?page=0&amp;startBookmarkId=-1&gt; [accessed 27 January 2025]</w:t>
      </w:r>
    </w:p>
    <w:p w14:paraId="45241279" w14:textId="77777777" w:rsidR="007F783F" w:rsidRPr="007F783F" w:rsidRDefault="007F783F" w:rsidP="00ED39CF">
      <w:pPr>
        <w:spacing w:line="480" w:lineRule="auto"/>
        <w:rPr>
          <w:rFonts w:ascii="Bookman Old Style" w:hAnsi="Bookman Old Style"/>
          <w:sz w:val="22"/>
          <w:szCs w:val="22"/>
        </w:rPr>
      </w:pPr>
    </w:p>
    <w:p w14:paraId="2125E879" w14:textId="77777777" w:rsidR="00E52952" w:rsidRPr="00EF55DD" w:rsidRDefault="00E52952" w:rsidP="00ED39CF">
      <w:pPr>
        <w:spacing w:line="480" w:lineRule="auto"/>
        <w:rPr>
          <w:rFonts w:ascii="Bookman Old Style" w:hAnsi="Bookman Old Style"/>
          <w:sz w:val="22"/>
          <w:szCs w:val="22"/>
        </w:rPr>
      </w:pPr>
    </w:p>
    <w:sectPr w:rsidR="00E52952" w:rsidRPr="00EF55D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77CB9" w14:textId="77777777" w:rsidR="00FE17CE" w:rsidRDefault="00FE17CE" w:rsidP="00741BB8">
      <w:pPr>
        <w:spacing w:after="0" w:line="240" w:lineRule="auto"/>
      </w:pPr>
      <w:r>
        <w:separator/>
      </w:r>
    </w:p>
  </w:endnote>
  <w:endnote w:type="continuationSeparator" w:id="0">
    <w:p w14:paraId="1B91B705" w14:textId="77777777" w:rsidR="00FE17CE" w:rsidRDefault="00FE17CE" w:rsidP="00741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1C090" w14:textId="77777777" w:rsidR="00FE17CE" w:rsidRDefault="00FE17CE" w:rsidP="00741BB8">
      <w:pPr>
        <w:spacing w:after="0" w:line="240" w:lineRule="auto"/>
      </w:pPr>
      <w:r>
        <w:separator/>
      </w:r>
    </w:p>
  </w:footnote>
  <w:footnote w:type="continuationSeparator" w:id="0">
    <w:p w14:paraId="37D41FA3" w14:textId="77777777" w:rsidR="00FE17CE" w:rsidRDefault="00FE17CE" w:rsidP="00741BB8">
      <w:pPr>
        <w:spacing w:after="0" w:line="240" w:lineRule="auto"/>
      </w:pPr>
      <w:r>
        <w:continuationSeparator/>
      </w:r>
    </w:p>
  </w:footnote>
  <w:footnote w:id="1">
    <w:p w14:paraId="5F301833" w14:textId="134E2BDB" w:rsidR="00525529" w:rsidRPr="00377004" w:rsidRDefault="00525529">
      <w:pPr>
        <w:pStyle w:val="FootnoteText"/>
        <w:rPr>
          <w:rFonts w:ascii="Bookman Old Style" w:hAnsi="Bookman Old Style"/>
          <w:sz w:val="18"/>
          <w:szCs w:val="18"/>
        </w:rPr>
      </w:pPr>
      <w:r w:rsidRPr="00377004">
        <w:rPr>
          <w:rStyle w:val="FootnoteReference"/>
          <w:rFonts w:ascii="Bookman Old Style" w:hAnsi="Bookman Old Style"/>
          <w:sz w:val="18"/>
          <w:szCs w:val="18"/>
        </w:rPr>
        <w:footnoteRef/>
      </w:r>
      <w:r w:rsidRPr="00377004">
        <w:rPr>
          <w:rFonts w:ascii="Bookman Old Style" w:hAnsi="Bookman Old Style"/>
          <w:sz w:val="18"/>
          <w:szCs w:val="18"/>
        </w:rPr>
        <w:t xml:space="preserve"> </w:t>
      </w:r>
      <w:r w:rsidR="00377004" w:rsidRPr="00377004">
        <w:rPr>
          <w:rFonts w:ascii="Bookman Old Style" w:hAnsi="Bookman Old Style"/>
          <w:sz w:val="18"/>
          <w:szCs w:val="18"/>
        </w:rPr>
        <w:t xml:space="preserve">BETTE DENICH, ‘Dismembering Yugoslavia: Nationalist Ideologies and the Symbolic Revival of Genocide’, </w:t>
      </w:r>
      <w:r w:rsidR="00377004" w:rsidRPr="00377004">
        <w:rPr>
          <w:rFonts w:ascii="Bookman Old Style" w:hAnsi="Bookman Old Style"/>
          <w:i/>
          <w:iCs/>
          <w:sz w:val="18"/>
          <w:szCs w:val="18"/>
        </w:rPr>
        <w:t>American Ethnologist</w:t>
      </w:r>
      <w:r w:rsidR="00377004" w:rsidRPr="00377004">
        <w:rPr>
          <w:rFonts w:ascii="Bookman Old Style" w:hAnsi="Bookman Old Style"/>
          <w:sz w:val="18"/>
          <w:szCs w:val="18"/>
        </w:rPr>
        <w:t>, 21.2 (1994), 367–90 &lt;</w:t>
      </w:r>
      <w:hyperlink r:id="rId1" w:history="1">
        <w:r w:rsidR="00377004" w:rsidRPr="00377004">
          <w:rPr>
            <w:rStyle w:val="Hyperlink"/>
            <w:rFonts w:ascii="Bookman Old Style" w:hAnsi="Bookman Old Style"/>
            <w:sz w:val="18"/>
            <w:szCs w:val="18"/>
          </w:rPr>
          <w:t>https://doi.org/10.1525/ae.1994.21.2.02a00080</w:t>
        </w:r>
      </w:hyperlink>
      <w:r w:rsidR="00377004" w:rsidRPr="00377004">
        <w:rPr>
          <w:rFonts w:ascii="Bookman Old Style" w:hAnsi="Bookman Old Style"/>
          <w:sz w:val="18"/>
          <w:szCs w:val="18"/>
        </w:rPr>
        <w:t>&gt;.</w:t>
      </w:r>
    </w:p>
  </w:footnote>
  <w:footnote w:id="2">
    <w:p w14:paraId="477206AD" w14:textId="5F133F8F" w:rsidR="00741BB8" w:rsidRPr="00741BB8" w:rsidRDefault="00741BB8">
      <w:pPr>
        <w:pStyle w:val="FootnoteText"/>
        <w:rPr>
          <w:rFonts w:ascii="Bookman Old Style" w:hAnsi="Bookman Old Style"/>
          <w:sz w:val="18"/>
          <w:szCs w:val="18"/>
        </w:rPr>
      </w:pPr>
      <w:r w:rsidRPr="00741BB8">
        <w:rPr>
          <w:rStyle w:val="FootnoteReference"/>
          <w:rFonts w:ascii="Bookman Old Style" w:hAnsi="Bookman Old Style"/>
          <w:sz w:val="18"/>
          <w:szCs w:val="18"/>
        </w:rPr>
        <w:footnoteRef/>
      </w:r>
      <w:r w:rsidRPr="00741BB8">
        <w:rPr>
          <w:rFonts w:ascii="Bookman Old Style" w:hAnsi="Bookman Old Style"/>
          <w:sz w:val="18"/>
          <w:szCs w:val="18"/>
        </w:rPr>
        <w:t xml:space="preserve"> </w:t>
      </w:r>
      <w:r w:rsidRPr="00741BB8">
        <w:rPr>
          <w:rFonts w:ascii="Bookman Old Style" w:hAnsi="Bookman Old Style"/>
          <w:sz w:val="18"/>
          <w:szCs w:val="18"/>
        </w:rPr>
        <w:t xml:space="preserve">United States Holocaust Memorial Museum, ‘Serbian Forces Target Civilians - United States Holocaust Memorial Museum’, </w:t>
      </w:r>
      <w:r w:rsidRPr="00741BB8">
        <w:rPr>
          <w:rFonts w:ascii="Bookman Old Style" w:hAnsi="Bookman Old Style"/>
          <w:i/>
          <w:iCs/>
          <w:sz w:val="18"/>
          <w:szCs w:val="18"/>
        </w:rPr>
        <w:t>Www.ushmm.org</w:t>
      </w:r>
      <w:r w:rsidRPr="00741BB8">
        <w:rPr>
          <w:rFonts w:ascii="Bookman Old Style" w:hAnsi="Bookman Old Style"/>
          <w:sz w:val="18"/>
          <w:szCs w:val="18"/>
        </w:rPr>
        <w:t>, 2013 &lt;</w:t>
      </w:r>
      <w:hyperlink r:id="rId2" w:history="1">
        <w:r w:rsidRPr="00741BB8">
          <w:rPr>
            <w:rStyle w:val="Hyperlink"/>
            <w:rFonts w:ascii="Bookman Old Style" w:hAnsi="Bookman Old Style"/>
            <w:sz w:val="18"/>
            <w:szCs w:val="18"/>
          </w:rPr>
          <w:t>https://www.ushmm.org/genocide-prevention/countries/bosnia-herzegovina/serbian-forces-target-civilians</w:t>
        </w:r>
      </w:hyperlink>
      <w:r w:rsidRPr="00741BB8">
        <w:rPr>
          <w:rFonts w:ascii="Bookman Old Style" w:hAnsi="Bookman Old Style"/>
          <w:sz w:val="18"/>
          <w:szCs w:val="18"/>
        </w:rPr>
        <w:t>&gt;.</w:t>
      </w:r>
    </w:p>
  </w:footnote>
  <w:footnote w:id="3">
    <w:p w14:paraId="4C80F3AF" w14:textId="4A647A47" w:rsidR="00C37463" w:rsidRPr="00D35FEC" w:rsidRDefault="00C37463">
      <w:pPr>
        <w:pStyle w:val="FootnoteText"/>
        <w:rPr>
          <w:rFonts w:ascii="Bookman Old Style" w:hAnsi="Bookman Old Style"/>
          <w:sz w:val="18"/>
          <w:szCs w:val="18"/>
        </w:rPr>
      </w:pPr>
      <w:r w:rsidRPr="00D35FEC">
        <w:rPr>
          <w:rStyle w:val="FootnoteReference"/>
          <w:rFonts w:ascii="Bookman Old Style" w:hAnsi="Bookman Old Style"/>
          <w:sz w:val="18"/>
          <w:szCs w:val="18"/>
        </w:rPr>
        <w:footnoteRef/>
      </w:r>
      <w:r w:rsidR="00D35FEC" w:rsidRPr="00D35FEC">
        <w:rPr>
          <w:rFonts w:ascii="Bookman Old Style" w:hAnsi="Bookman Old Style"/>
          <w:sz w:val="18"/>
          <w:szCs w:val="18"/>
        </w:rPr>
        <w:t xml:space="preserve"> </w:t>
      </w:r>
      <w:r w:rsidR="00D35FEC" w:rsidRPr="00D35FEC">
        <w:rPr>
          <w:rFonts w:ascii="Bookman Old Style" w:hAnsi="Bookman Old Style"/>
          <w:sz w:val="18"/>
          <w:szCs w:val="18"/>
        </w:rPr>
        <w:t xml:space="preserve">United Nations, ‘Definitions of Genocide and Related Crimes | United Nations’, </w:t>
      </w:r>
      <w:r w:rsidR="00D35FEC" w:rsidRPr="00D35FEC">
        <w:rPr>
          <w:rFonts w:ascii="Bookman Old Style" w:hAnsi="Bookman Old Style"/>
          <w:i/>
          <w:iCs/>
          <w:sz w:val="18"/>
          <w:szCs w:val="18"/>
        </w:rPr>
        <w:t>United Nations</w:t>
      </w:r>
      <w:r w:rsidR="00D35FEC" w:rsidRPr="00D35FEC">
        <w:rPr>
          <w:rFonts w:ascii="Bookman Old Style" w:hAnsi="Bookman Old Style"/>
          <w:sz w:val="18"/>
          <w:szCs w:val="18"/>
        </w:rPr>
        <w:t>, 2022 &lt;</w:t>
      </w:r>
      <w:hyperlink r:id="rId3" w:history="1">
        <w:r w:rsidR="00D35FEC" w:rsidRPr="00D35FEC">
          <w:rPr>
            <w:rStyle w:val="Hyperlink"/>
            <w:rFonts w:ascii="Bookman Old Style" w:hAnsi="Bookman Old Style"/>
            <w:sz w:val="18"/>
            <w:szCs w:val="18"/>
          </w:rPr>
          <w:t>https://www.un.org/en/genocide-prevention/definition</w:t>
        </w:r>
      </w:hyperlink>
      <w:r w:rsidR="00D35FEC" w:rsidRPr="00D35FEC">
        <w:rPr>
          <w:rFonts w:ascii="Bookman Old Style" w:hAnsi="Bookman Old Style"/>
          <w:sz w:val="18"/>
          <w:szCs w:val="18"/>
        </w:rPr>
        <w:t>&gt;.</w:t>
      </w:r>
      <w:r w:rsidRPr="00D35FEC">
        <w:rPr>
          <w:rFonts w:ascii="Bookman Old Style" w:hAnsi="Bookman Old Style"/>
          <w:sz w:val="18"/>
          <w:szCs w:val="18"/>
        </w:rPr>
        <w:t xml:space="preserve"> </w:t>
      </w:r>
    </w:p>
  </w:footnote>
  <w:footnote w:id="4">
    <w:p w14:paraId="38397B7A" w14:textId="5EA26A40" w:rsidR="00D35FEC" w:rsidRPr="00D35FEC" w:rsidRDefault="00D35FEC">
      <w:pPr>
        <w:pStyle w:val="FootnoteText"/>
        <w:rPr>
          <w:rFonts w:ascii="Bookman Old Style" w:hAnsi="Bookman Old Style"/>
          <w:sz w:val="18"/>
          <w:szCs w:val="18"/>
        </w:rPr>
      </w:pPr>
      <w:r w:rsidRPr="00D35FEC">
        <w:rPr>
          <w:rStyle w:val="FootnoteReference"/>
          <w:rFonts w:ascii="Bookman Old Style" w:hAnsi="Bookman Old Style"/>
          <w:sz w:val="18"/>
          <w:szCs w:val="18"/>
        </w:rPr>
        <w:footnoteRef/>
      </w:r>
      <w:r w:rsidRPr="00D35FEC">
        <w:rPr>
          <w:rFonts w:ascii="Bookman Old Style" w:hAnsi="Bookman Old Style"/>
          <w:sz w:val="18"/>
          <w:szCs w:val="18"/>
        </w:rPr>
        <w:t xml:space="preserve"> </w:t>
      </w:r>
      <w:r w:rsidRPr="00D35FEC">
        <w:rPr>
          <w:rFonts w:ascii="Bookman Old Style" w:hAnsi="Bookman Old Style"/>
          <w:sz w:val="18"/>
          <w:szCs w:val="18"/>
        </w:rPr>
        <w:t xml:space="preserve">United Nations, ‘Definitions of Genocide and Related Crimes | United Nations’, </w:t>
      </w:r>
      <w:r w:rsidRPr="00D35FEC">
        <w:rPr>
          <w:rFonts w:ascii="Bookman Old Style" w:hAnsi="Bookman Old Style"/>
          <w:i/>
          <w:iCs/>
          <w:sz w:val="18"/>
          <w:szCs w:val="18"/>
        </w:rPr>
        <w:t>United Nations</w:t>
      </w:r>
      <w:r w:rsidRPr="00D35FEC">
        <w:rPr>
          <w:rFonts w:ascii="Bookman Old Style" w:hAnsi="Bookman Old Style"/>
          <w:sz w:val="18"/>
          <w:szCs w:val="18"/>
        </w:rPr>
        <w:t>, 2022 &lt;</w:t>
      </w:r>
      <w:hyperlink r:id="rId4" w:history="1">
        <w:r w:rsidRPr="00D35FEC">
          <w:rPr>
            <w:rStyle w:val="Hyperlink"/>
            <w:rFonts w:ascii="Bookman Old Style" w:hAnsi="Bookman Old Style"/>
            <w:sz w:val="18"/>
            <w:szCs w:val="18"/>
          </w:rPr>
          <w:t>https://www.un.org/en/genocide-prevention/definition</w:t>
        </w:r>
      </w:hyperlink>
      <w:r w:rsidRPr="00D35FEC">
        <w:rPr>
          <w:rFonts w:ascii="Bookman Old Style" w:hAnsi="Bookman Old Style"/>
          <w:sz w:val="18"/>
          <w:szCs w:val="18"/>
        </w:rPr>
        <w:t>&gt;.</w:t>
      </w:r>
    </w:p>
  </w:footnote>
  <w:footnote w:id="5">
    <w:p w14:paraId="5FF80939" w14:textId="271E6275" w:rsidR="00525529" w:rsidRPr="00377004" w:rsidRDefault="00525529">
      <w:pPr>
        <w:pStyle w:val="FootnoteText"/>
        <w:rPr>
          <w:rFonts w:ascii="Bookman Old Style" w:hAnsi="Bookman Old Style"/>
          <w:sz w:val="18"/>
          <w:szCs w:val="18"/>
        </w:rPr>
      </w:pPr>
      <w:r w:rsidRPr="00377004">
        <w:rPr>
          <w:rStyle w:val="FootnoteReference"/>
          <w:rFonts w:ascii="Bookman Old Style" w:hAnsi="Bookman Old Style"/>
          <w:sz w:val="18"/>
          <w:szCs w:val="18"/>
        </w:rPr>
        <w:footnoteRef/>
      </w:r>
      <w:r w:rsidRPr="00377004">
        <w:rPr>
          <w:rFonts w:ascii="Bookman Old Style" w:hAnsi="Bookman Old Style"/>
          <w:sz w:val="18"/>
          <w:szCs w:val="18"/>
        </w:rPr>
        <w:t xml:space="preserve"> </w:t>
      </w:r>
      <w:r w:rsidR="00377004" w:rsidRPr="00377004">
        <w:rPr>
          <w:rFonts w:ascii="Bookman Old Style" w:hAnsi="Bookman Old Style"/>
          <w:sz w:val="18"/>
          <w:szCs w:val="18"/>
        </w:rPr>
        <w:t xml:space="preserve">Mile </w:t>
      </w:r>
      <w:proofErr w:type="spellStart"/>
      <w:r w:rsidR="00377004" w:rsidRPr="00377004">
        <w:rPr>
          <w:rFonts w:ascii="Bookman Old Style" w:hAnsi="Bookman Old Style"/>
          <w:sz w:val="18"/>
          <w:szCs w:val="18"/>
        </w:rPr>
        <w:t>Bjelajac</w:t>
      </w:r>
      <w:proofErr w:type="spellEnd"/>
      <w:r w:rsidR="00377004" w:rsidRPr="00377004">
        <w:rPr>
          <w:rFonts w:ascii="Bookman Old Style" w:hAnsi="Bookman Old Style"/>
          <w:sz w:val="18"/>
          <w:szCs w:val="18"/>
        </w:rPr>
        <w:t xml:space="preserve"> and </w:t>
      </w:r>
      <w:proofErr w:type="spellStart"/>
      <w:r w:rsidR="00377004" w:rsidRPr="00377004">
        <w:rPr>
          <w:rFonts w:ascii="Bookman Old Style" w:hAnsi="Bookman Old Style"/>
          <w:sz w:val="18"/>
          <w:szCs w:val="18"/>
        </w:rPr>
        <w:t>Ozren</w:t>
      </w:r>
      <w:proofErr w:type="spellEnd"/>
      <w:r w:rsidR="00377004" w:rsidRPr="00377004">
        <w:rPr>
          <w:rFonts w:ascii="Bookman Old Style" w:hAnsi="Bookman Old Style"/>
          <w:sz w:val="18"/>
          <w:szCs w:val="18"/>
        </w:rPr>
        <w:t xml:space="preserve"> </w:t>
      </w:r>
      <w:proofErr w:type="spellStart"/>
      <w:r w:rsidR="00377004" w:rsidRPr="00377004">
        <w:rPr>
          <w:rFonts w:ascii="Bookman Old Style" w:hAnsi="Bookman Old Style"/>
          <w:sz w:val="18"/>
          <w:szCs w:val="18"/>
        </w:rPr>
        <w:t>Žunec</w:t>
      </w:r>
      <w:proofErr w:type="spellEnd"/>
      <w:r w:rsidR="00377004" w:rsidRPr="00377004">
        <w:rPr>
          <w:rFonts w:ascii="Bookman Old Style" w:hAnsi="Bookman Old Style"/>
          <w:sz w:val="18"/>
          <w:szCs w:val="18"/>
        </w:rPr>
        <w:t xml:space="preserve">, ‘The War in Croatia, 1991-1995’, </w:t>
      </w:r>
      <w:r w:rsidR="00377004" w:rsidRPr="00377004">
        <w:rPr>
          <w:rFonts w:ascii="Bookman Old Style" w:hAnsi="Bookman Old Style"/>
          <w:i/>
          <w:iCs/>
          <w:sz w:val="18"/>
          <w:szCs w:val="18"/>
        </w:rPr>
        <w:t>The Scholars’ Initiative Research Team Seven</w:t>
      </w:r>
      <w:r w:rsidR="00377004" w:rsidRPr="00377004">
        <w:rPr>
          <w:rFonts w:ascii="Bookman Old Style" w:hAnsi="Bookman Old Style"/>
          <w:sz w:val="18"/>
          <w:szCs w:val="18"/>
        </w:rPr>
        <w:t>, 2007.</w:t>
      </w:r>
    </w:p>
  </w:footnote>
  <w:footnote w:id="6">
    <w:p w14:paraId="10B14022" w14:textId="4FF4920E" w:rsidR="0072203F" w:rsidRPr="0072203F" w:rsidRDefault="0072203F">
      <w:pPr>
        <w:pStyle w:val="FootnoteText"/>
        <w:rPr>
          <w:rFonts w:ascii="Bookman Old Style" w:hAnsi="Bookman Old Style"/>
          <w:sz w:val="18"/>
          <w:szCs w:val="18"/>
        </w:rPr>
      </w:pPr>
      <w:r w:rsidRPr="0072203F">
        <w:rPr>
          <w:rStyle w:val="FootnoteReference"/>
          <w:rFonts w:ascii="Bookman Old Style" w:hAnsi="Bookman Old Style"/>
          <w:sz w:val="18"/>
          <w:szCs w:val="18"/>
        </w:rPr>
        <w:footnoteRef/>
      </w:r>
      <w:r w:rsidRPr="0072203F">
        <w:rPr>
          <w:rFonts w:ascii="Bookman Old Style" w:hAnsi="Bookman Old Style"/>
          <w:sz w:val="18"/>
          <w:szCs w:val="18"/>
        </w:rPr>
        <w:t xml:space="preserve"> </w:t>
      </w:r>
      <w:r w:rsidRPr="0072203F">
        <w:rPr>
          <w:rFonts w:ascii="Bookman Old Style" w:hAnsi="Bookman Old Style"/>
          <w:sz w:val="18"/>
          <w:szCs w:val="18"/>
        </w:rPr>
        <w:t xml:space="preserve">Kelly Askin, ‘Omarska Camp, Bosnia-Broken Promises of Never Again’, </w:t>
      </w:r>
      <w:r w:rsidRPr="0072203F">
        <w:rPr>
          <w:rFonts w:ascii="Bookman Old Style" w:hAnsi="Bookman Old Style"/>
          <w:i/>
          <w:iCs/>
          <w:sz w:val="18"/>
          <w:szCs w:val="18"/>
        </w:rPr>
        <w:t>Human Rights</w:t>
      </w:r>
      <w:r w:rsidRPr="0072203F">
        <w:rPr>
          <w:rFonts w:ascii="Bookman Old Style" w:hAnsi="Bookman Old Style"/>
          <w:sz w:val="18"/>
          <w:szCs w:val="18"/>
        </w:rPr>
        <w:t>, 30 (2003), 12.</w:t>
      </w:r>
    </w:p>
  </w:footnote>
  <w:footnote w:id="7">
    <w:p w14:paraId="7A720397" w14:textId="77777777" w:rsidR="00AB0900" w:rsidRPr="00AB0900" w:rsidRDefault="00AB0900" w:rsidP="00AB0900">
      <w:pPr>
        <w:pStyle w:val="FootnoteText"/>
        <w:rPr>
          <w:rFonts w:ascii="Bookman Old Style" w:hAnsi="Bookman Old Style"/>
          <w:sz w:val="18"/>
          <w:szCs w:val="18"/>
        </w:rPr>
      </w:pPr>
      <w:r w:rsidRPr="00AB0900">
        <w:rPr>
          <w:rStyle w:val="FootnoteReference"/>
          <w:rFonts w:ascii="Bookman Old Style" w:hAnsi="Bookman Old Style"/>
          <w:sz w:val="18"/>
          <w:szCs w:val="18"/>
        </w:rPr>
        <w:footnoteRef/>
      </w:r>
      <w:r w:rsidRPr="00AB0900">
        <w:rPr>
          <w:rFonts w:ascii="Bookman Old Style" w:hAnsi="Bookman Old Style"/>
          <w:sz w:val="18"/>
          <w:szCs w:val="18"/>
        </w:rPr>
        <w:t xml:space="preserve"> </w:t>
      </w:r>
      <w:r w:rsidRPr="00AB0900">
        <w:rPr>
          <w:rFonts w:ascii="Bookman Old Style" w:hAnsi="Bookman Old Style"/>
          <w:sz w:val="18"/>
          <w:szCs w:val="18"/>
        </w:rPr>
        <w:t xml:space="preserve">David Campbell, ‘Atrocity, Memory, Photography: Imaging the Concentration Camps of Bosnia--the Case of ITN versus Living Marxism , Part 1’, </w:t>
      </w:r>
      <w:r w:rsidRPr="00AB0900">
        <w:rPr>
          <w:rFonts w:ascii="Bookman Old Style" w:hAnsi="Bookman Old Style"/>
          <w:i/>
          <w:iCs/>
          <w:sz w:val="18"/>
          <w:szCs w:val="18"/>
        </w:rPr>
        <w:t>Journal of Human Rights</w:t>
      </w:r>
      <w:r w:rsidRPr="00AB0900">
        <w:rPr>
          <w:rFonts w:ascii="Bookman Old Style" w:hAnsi="Bookman Old Style"/>
          <w:sz w:val="18"/>
          <w:szCs w:val="18"/>
        </w:rPr>
        <w:t>, 1.1 (2002), 1–33 &lt;</w:t>
      </w:r>
      <w:hyperlink r:id="rId5" w:history="1">
        <w:r w:rsidRPr="00AB0900">
          <w:rPr>
            <w:rStyle w:val="Hyperlink"/>
            <w:rFonts w:ascii="Bookman Old Style" w:hAnsi="Bookman Old Style"/>
            <w:sz w:val="18"/>
            <w:szCs w:val="18"/>
          </w:rPr>
          <w:t>https://doi.org/10.1080/14754830110111544</w:t>
        </w:r>
      </w:hyperlink>
      <w:r w:rsidRPr="00AB0900">
        <w:rPr>
          <w:rFonts w:ascii="Bookman Old Style" w:hAnsi="Bookman Old Style"/>
          <w:sz w:val="18"/>
          <w:szCs w:val="18"/>
        </w:rPr>
        <w:t>&gt;.</w:t>
      </w:r>
    </w:p>
    <w:p w14:paraId="76066C0A" w14:textId="0300BBA9" w:rsidR="00AB0900" w:rsidRPr="00AB0900" w:rsidRDefault="00AB0900">
      <w:pPr>
        <w:pStyle w:val="FootnoteText"/>
      </w:pPr>
    </w:p>
  </w:footnote>
  <w:footnote w:id="8">
    <w:p w14:paraId="12F6BA02" w14:textId="53B84173" w:rsidR="006C0B05" w:rsidRPr="006C0B05" w:rsidRDefault="006C0B05">
      <w:pPr>
        <w:pStyle w:val="FootnoteText"/>
        <w:rPr>
          <w:rFonts w:ascii="Bookman Old Style" w:hAnsi="Bookman Old Style"/>
          <w:sz w:val="18"/>
          <w:szCs w:val="18"/>
        </w:rPr>
      </w:pPr>
      <w:r w:rsidRPr="006C0B05">
        <w:rPr>
          <w:rStyle w:val="FootnoteReference"/>
          <w:rFonts w:ascii="Bookman Old Style" w:hAnsi="Bookman Old Style"/>
          <w:sz w:val="18"/>
          <w:szCs w:val="18"/>
        </w:rPr>
        <w:footnoteRef/>
      </w:r>
      <w:r w:rsidRPr="006C0B05">
        <w:rPr>
          <w:rFonts w:ascii="Bookman Old Style" w:hAnsi="Bookman Old Style"/>
          <w:sz w:val="18"/>
          <w:szCs w:val="18"/>
        </w:rPr>
        <w:t xml:space="preserve"> </w:t>
      </w:r>
      <w:r w:rsidRPr="006C0B05">
        <w:rPr>
          <w:rFonts w:ascii="Bookman Old Style" w:hAnsi="Bookman Old Style"/>
          <w:sz w:val="18"/>
          <w:szCs w:val="18"/>
        </w:rPr>
        <w:t xml:space="preserve">United Nations, ‘Definitions of Genocide and Related Crimes | United Nations’, </w:t>
      </w:r>
      <w:r w:rsidRPr="006C0B05">
        <w:rPr>
          <w:rFonts w:ascii="Bookman Old Style" w:hAnsi="Bookman Old Style"/>
          <w:i/>
          <w:iCs/>
          <w:sz w:val="18"/>
          <w:szCs w:val="18"/>
        </w:rPr>
        <w:t>United Nations</w:t>
      </w:r>
      <w:r w:rsidRPr="006C0B05">
        <w:rPr>
          <w:rFonts w:ascii="Bookman Old Style" w:hAnsi="Bookman Old Style"/>
          <w:sz w:val="18"/>
          <w:szCs w:val="18"/>
        </w:rPr>
        <w:t>, 2022 &lt;</w:t>
      </w:r>
      <w:hyperlink r:id="rId6" w:history="1">
        <w:r w:rsidRPr="006C0B05">
          <w:rPr>
            <w:rStyle w:val="Hyperlink"/>
            <w:rFonts w:ascii="Bookman Old Style" w:hAnsi="Bookman Old Style"/>
            <w:sz w:val="18"/>
            <w:szCs w:val="18"/>
          </w:rPr>
          <w:t>https://www.un.org/en/genocide-prevention/definition</w:t>
        </w:r>
      </w:hyperlink>
      <w:r w:rsidRPr="006C0B05">
        <w:rPr>
          <w:rFonts w:ascii="Bookman Old Style" w:hAnsi="Bookman Old Style"/>
          <w:sz w:val="18"/>
          <w:szCs w:val="18"/>
        </w:rPr>
        <w:t>&gt;.</w:t>
      </w:r>
    </w:p>
  </w:footnote>
  <w:footnote w:id="9">
    <w:p w14:paraId="468D6283" w14:textId="37D2885E" w:rsidR="00525529" w:rsidRPr="001D4DFF" w:rsidRDefault="00525529">
      <w:pPr>
        <w:pStyle w:val="FootnoteText"/>
        <w:rPr>
          <w:rFonts w:ascii="Bookman Old Style" w:hAnsi="Bookman Old Style"/>
          <w:sz w:val="18"/>
          <w:szCs w:val="18"/>
          <w:lang w:val="en-US"/>
        </w:rPr>
      </w:pPr>
      <w:r w:rsidRPr="001D4DFF">
        <w:rPr>
          <w:rStyle w:val="FootnoteReference"/>
          <w:rFonts w:ascii="Bookman Old Style" w:hAnsi="Bookman Old Style"/>
          <w:sz w:val="18"/>
          <w:szCs w:val="18"/>
        </w:rPr>
        <w:footnoteRef/>
      </w:r>
      <w:r w:rsidRPr="001D4DFF">
        <w:rPr>
          <w:rFonts w:ascii="Bookman Old Style" w:hAnsi="Bookman Old Style"/>
          <w:sz w:val="18"/>
          <w:szCs w:val="18"/>
        </w:rPr>
        <w:t xml:space="preserve"> </w:t>
      </w:r>
      <w:r w:rsidR="001D4DFF" w:rsidRPr="001D4DFF">
        <w:rPr>
          <w:rFonts w:ascii="Bookman Old Style" w:hAnsi="Bookman Old Style"/>
          <w:sz w:val="18"/>
          <w:szCs w:val="18"/>
        </w:rPr>
        <w:t xml:space="preserve">‘Witness DD | International Criminal Tribunal for the Former Yugoslavia’, </w:t>
      </w:r>
      <w:r w:rsidR="001D4DFF" w:rsidRPr="001D4DFF">
        <w:rPr>
          <w:rFonts w:ascii="Bookman Old Style" w:hAnsi="Bookman Old Style"/>
          <w:i/>
          <w:iCs/>
          <w:sz w:val="18"/>
          <w:szCs w:val="18"/>
        </w:rPr>
        <w:t>Www.icty.org</w:t>
      </w:r>
      <w:r w:rsidR="001D4DFF" w:rsidRPr="001D4DFF">
        <w:rPr>
          <w:rFonts w:ascii="Bookman Old Style" w:hAnsi="Bookman Old Style"/>
          <w:sz w:val="18"/>
          <w:szCs w:val="18"/>
        </w:rPr>
        <w:t xml:space="preserve"> &lt;</w:t>
      </w:r>
      <w:hyperlink r:id="rId7" w:history="1">
        <w:r w:rsidR="001D4DFF" w:rsidRPr="001D4DFF">
          <w:rPr>
            <w:rStyle w:val="Hyperlink"/>
            <w:rFonts w:ascii="Bookman Old Style" w:hAnsi="Bookman Old Style"/>
            <w:sz w:val="18"/>
            <w:szCs w:val="18"/>
          </w:rPr>
          <w:t>https://www.icty.org/en/content/witness-dd</w:t>
        </w:r>
      </w:hyperlink>
      <w:r w:rsidR="001D4DFF" w:rsidRPr="001D4DFF">
        <w:rPr>
          <w:rFonts w:ascii="Bookman Old Style" w:hAnsi="Bookman Old Style"/>
          <w:sz w:val="18"/>
          <w:szCs w:val="18"/>
        </w:rPr>
        <w:t>&gt;.</w:t>
      </w:r>
    </w:p>
  </w:footnote>
  <w:footnote w:id="10">
    <w:p w14:paraId="6C5F8009" w14:textId="79B99D03" w:rsidR="00525529" w:rsidRPr="007F783F" w:rsidRDefault="00525529">
      <w:pPr>
        <w:pStyle w:val="FootnoteText"/>
        <w:rPr>
          <w:rFonts w:ascii="Bookman Old Style" w:hAnsi="Bookman Old Style"/>
          <w:sz w:val="18"/>
          <w:szCs w:val="18"/>
        </w:rPr>
      </w:pPr>
      <w:r w:rsidRPr="007F783F">
        <w:rPr>
          <w:rStyle w:val="FootnoteReference"/>
          <w:rFonts w:ascii="Bookman Old Style" w:hAnsi="Bookman Old Style"/>
          <w:sz w:val="18"/>
          <w:szCs w:val="18"/>
        </w:rPr>
        <w:footnoteRef/>
      </w:r>
      <w:r w:rsidRPr="007F783F">
        <w:rPr>
          <w:rFonts w:ascii="Bookman Old Style" w:hAnsi="Bookman Old Style"/>
          <w:sz w:val="18"/>
          <w:szCs w:val="18"/>
        </w:rPr>
        <w:t xml:space="preserve"> </w:t>
      </w:r>
      <w:r w:rsidR="007F783F" w:rsidRPr="007F783F">
        <w:rPr>
          <w:rFonts w:ascii="Bookman Old Style" w:hAnsi="Bookman Old Style"/>
          <w:sz w:val="18"/>
          <w:szCs w:val="18"/>
        </w:rPr>
        <w:t xml:space="preserve">Curtis King, ‘The Siege of Sarajevo 1992-1995’, </w:t>
      </w:r>
      <w:r w:rsidR="007F783F" w:rsidRPr="007F783F">
        <w:rPr>
          <w:rFonts w:ascii="Bookman Old Style" w:hAnsi="Bookman Old Style"/>
          <w:i/>
          <w:iCs/>
          <w:sz w:val="18"/>
          <w:szCs w:val="18"/>
        </w:rPr>
        <w:t>Block by Block: The Challenges of Urban Operations</w:t>
      </w:r>
      <w:r w:rsidR="007F783F" w:rsidRPr="007F783F">
        <w:rPr>
          <w:rFonts w:ascii="Bookman Old Style" w:hAnsi="Bookman Old Style"/>
          <w:sz w:val="18"/>
          <w:szCs w:val="18"/>
        </w:rPr>
        <w:t>, U.S. Army Command and General Staff College Press, 2003, 235–87.</w:t>
      </w:r>
    </w:p>
  </w:footnote>
  <w:footnote w:id="11">
    <w:p w14:paraId="16BBD574" w14:textId="4ECA546E" w:rsidR="00525529" w:rsidRPr="00377004" w:rsidRDefault="00525529">
      <w:pPr>
        <w:pStyle w:val="FootnoteText"/>
        <w:rPr>
          <w:rFonts w:ascii="Bookman Old Style" w:hAnsi="Bookman Old Style"/>
          <w:sz w:val="18"/>
          <w:szCs w:val="18"/>
        </w:rPr>
      </w:pPr>
      <w:r w:rsidRPr="00377004">
        <w:rPr>
          <w:rStyle w:val="FootnoteReference"/>
          <w:rFonts w:ascii="Bookman Old Style" w:hAnsi="Bookman Old Style"/>
          <w:sz w:val="18"/>
          <w:szCs w:val="18"/>
        </w:rPr>
        <w:footnoteRef/>
      </w:r>
      <w:r w:rsidRPr="00377004">
        <w:rPr>
          <w:rFonts w:ascii="Bookman Old Style" w:hAnsi="Bookman Old Style"/>
          <w:sz w:val="18"/>
          <w:szCs w:val="18"/>
        </w:rPr>
        <w:t xml:space="preserve"> </w:t>
      </w:r>
      <w:r w:rsidR="00377004" w:rsidRPr="00377004">
        <w:rPr>
          <w:rFonts w:ascii="Bookman Old Style" w:hAnsi="Bookman Old Style"/>
          <w:sz w:val="18"/>
          <w:szCs w:val="18"/>
        </w:rPr>
        <w:t xml:space="preserve">Ken Booth, </w:t>
      </w:r>
      <w:r w:rsidR="00377004" w:rsidRPr="00377004">
        <w:rPr>
          <w:rFonts w:ascii="Bookman Old Style" w:hAnsi="Bookman Old Style"/>
          <w:i/>
          <w:iCs/>
          <w:sz w:val="18"/>
          <w:szCs w:val="18"/>
        </w:rPr>
        <w:t>The Kosovo Tragedy</w:t>
      </w:r>
      <w:r w:rsidR="00377004" w:rsidRPr="00377004">
        <w:rPr>
          <w:rFonts w:ascii="Bookman Old Style" w:hAnsi="Bookman Old Style"/>
          <w:sz w:val="18"/>
          <w:szCs w:val="18"/>
        </w:rPr>
        <w:t xml:space="preserve"> (Routledge, 2012).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5860EC"/>
    <w:multiLevelType w:val="multilevel"/>
    <w:tmpl w:val="37A28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5913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E44"/>
    <w:rsid w:val="00015E0A"/>
    <w:rsid w:val="000205E5"/>
    <w:rsid w:val="00121D20"/>
    <w:rsid w:val="001525EB"/>
    <w:rsid w:val="001B0DE7"/>
    <w:rsid w:val="001D4DFF"/>
    <w:rsid w:val="00223BE2"/>
    <w:rsid w:val="00237F3B"/>
    <w:rsid w:val="0027233F"/>
    <w:rsid w:val="0033685E"/>
    <w:rsid w:val="00337DDE"/>
    <w:rsid w:val="003402DE"/>
    <w:rsid w:val="0037079F"/>
    <w:rsid w:val="00377004"/>
    <w:rsid w:val="00407626"/>
    <w:rsid w:val="004545E8"/>
    <w:rsid w:val="00495FEB"/>
    <w:rsid w:val="00501279"/>
    <w:rsid w:val="00501F23"/>
    <w:rsid w:val="00525529"/>
    <w:rsid w:val="00570E44"/>
    <w:rsid w:val="00611600"/>
    <w:rsid w:val="006516EF"/>
    <w:rsid w:val="006C0B05"/>
    <w:rsid w:val="006D6F4F"/>
    <w:rsid w:val="0072203F"/>
    <w:rsid w:val="00741BB8"/>
    <w:rsid w:val="00754BAC"/>
    <w:rsid w:val="00785D79"/>
    <w:rsid w:val="0079501E"/>
    <w:rsid w:val="007F783F"/>
    <w:rsid w:val="008B0611"/>
    <w:rsid w:val="009C7445"/>
    <w:rsid w:val="009E00D5"/>
    <w:rsid w:val="00A41C1D"/>
    <w:rsid w:val="00AB0900"/>
    <w:rsid w:val="00BE568F"/>
    <w:rsid w:val="00C37463"/>
    <w:rsid w:val="00D35FEC"/>
    <w:rsid w:val="00D61B87"/>
    <w:rsid w:val="00DC798B"/>
    <w:rsid w:val="00E15A1C"/>
    <w:rsid w:val="00E52952"/>
    <w:rsid w:val="00ED39CF"/>
    <w:rsid w:val="00ED78E2"/>
    <w:rsid w:val="00EF55DD"/>
    <w:rsid w:val="00FE17CE"/>
    <w:rsid w:val="00FE29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95C1D"/>
  <w15:chartTrackingRefBased/>
  <w15:docId w15:val="{D8661D93-AB38-4311-BAB2-1E2599AEB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E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0E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E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E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E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E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E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E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E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E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0E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E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E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E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E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E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E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E44"/>
    <w:rPr>
      <w:rFonts w:eastAsiaTheme="majorEastAsia" w:cstheme="majorBidi"/>
      <w:color w:val="272727" w:themeColor="text1" w:themeTint="D8"/>
    </w:rPr>
  </w:style>
  <w:style w:type="paragraph" w:styleId="Title">
    <w:name w:val="Title"/>
    <w:basedOn w:val="Normal"/>
    <w:next w:val="Normal"/>
    <w:link w:val="TitleChar"/>
    <w:uiPriority w:val="10"/>
    <w:qFormat/>
    <w:rsid w:val="00570E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E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E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E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E44"/>
    <w:pPr>
      <w:spacing w:before="160"/>
      <w:jc w:val="center"/>
    </w:pPr>
    <w:rPr>
      <w:i/>
      <w:iCs/>
      <w:color w:val="404040" w:themeColor="text1" w:themeTint="BF"/>
    </w:rPr>
  </w:style>
  <w:style w:type="character" w:customStyle="1" w:styleId="QuoteChar">
    <w:name w:val="Quote Char"/>
    <w:basedOn w:val="DefaultParagraphFont"/>
    <w:link w:val="Quote"/>
    <w:uiPriority w:val="29"/>
    <w:rsid w:val="00570E44"/>
    <w:rPr>
      <w:i/>
      <w:iCs/>
      <w:color w:val="404040" w:themeColor="text1" w:themeTint="BF"/>
    </w:rPr>
  </w:style>
  <w:style w:type="paragraph" w:styleId="ListParagraph">
    <w:name w:val="List Paragraph"/>
    <w:basedOn w:val="Normal"/>
    <w:uiPriority w:val="34"/>
    <w:qFormat/>
    <w:rsid w:val="00570E44"/>
    <w:pPr>
      <w:ind w:left="720"/>
      <w:contextualSpacing/>
    </w:pPr>
  </w:style>
  <w:style w:type="character" w:styleId="IntenseEmphasis">
    <w:name w:val="Intense Emphasis"/>
    <w:basedOn w:val="DefaultParagraphFont"/>
    <w:uiPriority w:val="21"/>
    <w:qFormat/>
    <w:rsid w:val="00570E44"/>
    <w:rPr>
      <w:i/>
      <w:iCs/>
      <w:color w:val="0F4761" w:themeColor="accent1" w:themeShade="BF"/>
    </w:rPr>
  </w:style>
  <w:style w:type="paragraph" w:styleId="IntenseQuote">
    <w:name w:val="Intense Quote"/>
    <w:basedOn w:val="Normal"/>
    <w:next w:val="Normal"/>
    <w:link w:val="IntenseQuoteChar"/>
    <w:uiPriority w:val="30"/>
    <w:qFormat/>
    <w:rsid w:val="00570E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E44"/>
    <w:rPr>
      <w:i/>
      <w:iCs/>
      <w:color w:val="0F4761" w:themeColor="accent1" w:themeShade="BF"/>
    </w:rPr>
  </w:style>
  <w:style w:type="character" w:styleId="IntenseReference">
    <w:name w:val="Intense Reference"/>
    <w:basedOn w:val="DefaultParagraphFont"/>
    <w:uiPriority w:val="32"/>
    <w:qFormat/>
    <w:rsid w:val="00570E44"/>
    <w:rPr>
      <w:b/>
      <w:bCs/>
      <w:smallCaps/>
      <w:color w:val="0F4761" w:themeColor="accent1" w:themeShade="BF"/>
      <w:spacing w:val="5"/>
    </w:rPr>
  </w:style>
  <w:style w:type="paragraph" w:styleId="FootnoteText">
    <w:name w:val="footnote text"/>
    <w:basedOn w:val="Normal"/>
    <w:link w:val="FootnoteTextChar"/>
    <w:uiPriority w:val="99"/>
    <w:semiHidden/>
    <w:unhideWhenUsed/>
    <w:rsid w:val="00741B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BB8"/>
    <w:rPr>
      <w:sz w:val="20"/>
      <w:szCs w:val="20"/>
    </w:rPr>
  </w:style>
  <w:style w:type="character" w:styleId="FootnoteReference">
    <w:name w:val="footnote reference"/>
    <w:basedOn w:val="DefaultParagraphFont"/>
    <w:uiPriority w:val="99"/>
    <w:semiHidden/>
    <w:unhideWhenUsed/>
    <w:rsid w:val="00741BB8"/>
    <w:rPr>
      <w:vertAlign w:val="superscript"/>
    </w:rPr>
  </w:style>
  <w:style w:type="character" w:styleId="Hyperlink">
    <w:name w:val="Hyperlink"/>
    <w:basedOn w:val="DefaultParagraphFont"/>
    <w:uiPriority w:val="99"/>
    <w:unhideWhenUsed/>
    <w:rsid w:val="00741BB8"/>
    <w:rPr>
      <w:color w:val="467886" w:themeColor="hyperlink"/>
      <w:u w:val="single"/>
    </w:rPr>
  </w:style>
  <w:style w:type="character" w:styleId="UnresolvedMention">
    <w:name w:val="Unresolved Mention"/>
    <w:basedOn w:val="DefaultParagraphFont"/>
    <w:uiPriority w:val="99"/>
    <w:semiHidden/>
    <w:unhideWhenUsed/>
    <w:rsid w:val="00741BB8"/>
    <w:rPr>
      <w:color w:val="605E5C"/>
      <w:shd w:val="clear" w:color="auto" w:fill="E1DFDD"/>
    </w:rPr>
  </w:style>
  <w:style w:type="paragraph" w:styleId="NormalWeb">
    <w:name w:val="Normal (Web)"/>
    <w:basedOn w:val="Normal"/>
    <w:uiPriority w:val="99"/>
    <w:semiHidden/>
    <w:unhideWhenUsed/>
    <w:rsid w:val="006C0B0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88116">
      <w:bodyDiv w:val="1"/>
      <w:marLeft w:val="0"/>
      <w:marRight w:val="0"/>
      <w:marTop w:val="0"/>
      <w:marBottom w:val="0"/>
      <w:divBdr>
        <w:top w:val="none" w:sz="0" w:space="0" w:color="auto"/>
        <w:left w:val="none" w:sz="0" w:space="0" w:color="auto"/>
        <w:bottom w:val="none" w:sz="0" w:space="0" w:color="auto"/>
        <w:right w:val="none" w:sz="0" w:space="0" w:color="auto"/>
      </w:divBdr>
    </w:div>
    <w:div w:id="213274888">
      <w:bodyDiv w:val="1"/>
      <w:marLeft w:val="0"/>
      <w:marRight w:val="0"/>
      <w:marTop w:val="0"/>
      <w:marBottom w:val="0"/>
      <w:divBdr>
        <w:top w:val="none" w:sz="0" w:space="0" w:color="auto"/>
        <w:left w:val="none" w:sz="0" w:space="0" w:color="auto"/>
        <w:bottom w:val="none" w:sz="0" w:space="0" w:color="auto"/>
        <w:right w:val="none" w:sz="0" w:space="0" w:color="auto"/>
      </w:divBdr>
    </w:div>
    <w:div w:id="239409651">
      <w:bodyDiv w:val="1"/>
      <w:marLeft w:val="0"/>
      <w:marRight w:val="0"/>
      <w:marTop w:val="0"/>
      <w:marBottom w:val="0"/>
      <w:divBdr>
        <w:top w:val="none" w:sz="0" w:space="0" w:color="auto"/>
        <w:left w:val="none" w:sz="0" w:space="0" w:color="auto"/>
        <w:bottom w:val="none" w:sz="0" w:space="0" w:color="auto"/>
        <w:right w:val="none" w:sz="0" w:space="0" w:color="auto"/>
      </w:divBdr>
      <w:divsChild>
        <w:div w:id="2035375965">
          <w:marLeft w:val="-720"/>
          <w:marRight w:val="0"/>
          <w:marTop w:val="0"/>
          <w:marBottom w:val="0"/>
          <w:divBdr>
            <w:top w:val="none" w:sz="0" w:space="0" w:color="auto"/>
            <w:left w:val="none" w:sz="0" w:space="0" w:color="auto"/>
            <w:bottom w:val="none" w:sz="0" w:space="0" w:color="auto"/>
            <w:right w:val="none" w:sz="0" w:space="0" w:color="auto"/>
          </w:divBdr>
        </w:div>
      </w:divsChild>
    </w:div>
    <w:div w:id="347217263">
      <w:bodyDiv w:val="1"/>
      <w:marLeft w:val="0"/>
      <w:marRight w:val="0"/>
      <w:marTop w:val="0"/>
      <w:marBottom w:val="0"/>
      <w:divBdr>
        <w:top w:val="none" w:sz="0" w:space="0" w:color="auto"/>
        <w:left w:val="none" w:sz="0" w:space="0" w:color="auto"/>
        <w:bottom w:val="none" w:sz="0" w:space="0" w:color="auto"/>
        <w:right w:val="none" w:sz="0" w:space="0" w:color="auto"/>
      </w:divBdr>
    </w:div>
    <w:div w:id="423722985">
      <w:bodyDiv w:val="1"/>
      <w:marLeft w:val="0"/>
      <w:marRight w:val="0"/>
      <w:marTop w:val="0"/>
      <w:marBottom w:val="0"/>
      <w:divBdr>
        <w:top w:val="none" w:sz="0" w:space="0" w:color="auto"/>
        <w:left w:val="none" w:sz="0" w:space="0" w:color="auto"/>
        <w:bottom w:val="none" w:sz="0" w:space="0" w:color="auto"/>
        <w:right w:val="none" w:sz="0" w:space="0" w:color="auto"/>
      </w:divBdr>
    </w:div>
    <w:div w:id="442265872">
      <w:bodyDiv w:val="1"/>
      <w:marLeft w:val="0"/>
      <w:marRight w:val="0"/>
      <w:marTop w:val="0"/>
      <w:marBottom w:val="0"/>
      <w:divBdr>
        <w:top w:val="none" w:sz="0" w:space="0" w:color="auto"/>
        <w:left w:val="none" w:sz="0" w:space="0" w:color="auto"/>
        <w:bottom w:val="none" w:sz="0" w:space="0" w:color="auto"/>
        <w:right w:val="none" w:sz="0" w:space="0" w:color="auto"/>
      </w:divBdr>
    </w:div>
    <w:div w:id="529072576">
      <w:bodyDiv w:val="1"/>
      <w:marLeft w:val="0"/>
      <w:marRight w:val="0"/>
      <w:marTop w:val="0"/>
      <w:marBottom w:val="0"/>
      <w:divBdr>
        <w:top w:val="none" w:sz="0" w:space="0" w:color="auto"/>
        <w:left w:val="none" w:sz="0" w:space="0" w:color="auto"/>
        <w:bottom w:val="none" w:sz="0" w:space="0" w:color="auto"/>
        <w:right w:val="none" w:sz="0" w:space="0" w:color="auto"/>
      </w:divBdr>
    </w:div>
    <w:div w:id="579950744">
      <w:bodyDiv w:val="1"/>
      <w:marLeft w:val="0"/>
      <w:marRight w:val="0"/>
      <w:marTop w:val="0"/>
      <w:marBottom w:val="0"/>
      <w:divBdr>
        <w:top w:val="none" w:sz="0" w:space="0" w:color="auto"/>
        <w:left w:val="none" w:sz="0" w:space="0" w:color="auto"/>
        <w:bottom w:val="none" w:sz="0" w:space="0" w:color="auto"/>
        <w:right w:val="none" w:sz="0" w:space="0" w:color="auto"/>
      </w:divBdr>
    </w:div>
    <w:div w:id="845754643">
      <w:bodyDiv w:val="1"/>
      <w:marLeft w:val="0"/>
      <w:marRight w:val="0"/>
      <w:marTop w:val="0"/>
      <w:marBottom w:val="0"/>
      <w:divBdr>
        <w:top w:val="none" w:sz="0" w:space="0" w:color="auto"/>
        <w:left w:val="none" w:sz="0" w:space="0" w:color="auto"/>
        <w:bottom w:val="none" w:sz="0" w:space="0" w:color="auto"/>
        <w:right w:val="none" w:sz="0" w:space="0" w:color="auto"/>
      </w:divBdr>
    </w:div>
    <w:div w:id="1530291584">
      <w:bodyDiv w:val="1"/>
      <w:marLeft w:val="0"/>
      <w:marRight w:val="0"/>
      <w:marTop w:val="0"/>
      <w:marBottom w:val="0"/>
      <w:divBdr>
        <w:top w:val="none" w:sz="0" w:space="0" w:color="auto"/>
        <w:left w:val="none" w:sz="0" w:space="0" w:color="auto"/>
        <w:bottom w:val="none" w:sz="0" w:space="0" w:color="auto"/>
        <w:right w:val="none" w:sz="0" w:space="0" w:color="auto"/>
      </w:divBdr>
    </w:div>
    <w:div w:id="1605727841">
      <w:bodyDiv w:val="1"/>
      <w:marLeft w:val="0"/>
      <w:marRight w:val="0"/>
      <w:marTop w:val="0"/>
      <w:marBottom w:val="0"/>
      <w:divBdr>
        <w:top w:val="none" w:sz="0" w:space="0" w:color="auto"/>
        <w:left w:val="none" w:sz="0" w:space="0" w:color="auto"/>
        <w:bottom w:val="none" w:sz="0" w:space="0" w:color="auto"/>
        <w:right w:val="none" w:sz="0" w:space="0" w:color="auto"/>
      </w:divBdr>
    </w:div>
    <w:div w:id="1708875976">
      <w:bodyDiv w:val="1"/>
      <w:marLeft w:val="0"/>
      <w:marRight w:val="0"/>
      <w:marTop w:val="0"/>
      <w:marBottom w:val="0"/>
      <w:divBdr>
        <w:top w:val="none" w:sz="0" w:space="0" w:color="auto"/>
        <w:left w:val="none" w:sz="0" w:space="0" w:color="auto"/>
        <w:bottom w:val="none" w:sz="0" w:space="0" w:color="auto"/>
        <w:right w:val="none" w:sz="0" w:space="0" w:color="auto"/>
      </w:divBdr>
    </w:div>
    <w:div w:id="1844004935">
      <w:bodyDiv w:val="1"/>
      <w:marLeft w:val="0"/>
      <w:marRight w:val="0"/>
      <w:marTop w:val="0"/>
      <w:marBottom w:val="0"/>
      <w:divBdr>
        <w:top w:val="none" w:sz="0" w:space="0" w:color="auto"/>
        <w:left w:val="none" w:sz="0" w:space="0" w:color="auto"/>
        <w:bottom w:val="none" w:sz="0" w:space="0" w:color="auto"/>
        <w:right w:val="none" w:sz="0" w:space="0" w:color="auto"/>
      </w:divBdr>
    </w:div>
    <w:div w:id="1990598337">
      <w:bodyDiv w:val="1"/>
      <w:marLeft w:val="0"/>
      <w:marRight w:val="0"/>
      <w:marTop w:val="0"/>
      <w:marBottom w:val="0"/>
      <w:divBdr>
        <w:top w:val="none" w:sz="0" w:space="0" w:color="auto"/>
        <w:left w:val="none" w:sz="0" w:space="0" w:color="auto"/>
        <w:bottom w:val="none" w:sz="0" w:space="0" w:color="auto"/>
        <w:right w:val="none" w:sz="0" w:space="0" w:color="auto"/>
      </w:divBdr>
    </w:div>
    <w:div w:id="2004157348">
      <w:bodyDiv w:val="1"/>
      <w:marLeft w:val="0"/>
      <w:marRight w:val="0"/>
      <w:marTop w:val="0"/>
      <w:marBottom w:val="0"/>
      <w:divBdr>
        <w:top w:val="none" w:sz="0" w:space="0" w:color="auto"/>
        <w:left w:val="none" w:sz="0" w:space="0" w:color="auto"/>
        <w:bottom w:val="none" w:sz="0" w:space="0" w:color="auto"/>
        <w:right w:val="none" w:sz="0" w:space="0" w:color="auto"/>
      </w:divBdr>
    </w:div>
    <w:div w:id="2068872321">
      <w:bodyDiv w:val="1"/>
      <w:marLeft w:val="0"/>
      <w:marRight w:val="0"/>
      <w:marTop w:val="0"/>
      <w:marBottom w:val="0"/>
      <w:divBdr>
        <w:top w:val="none" w:sz="0" w:space="0" w:color="auto"/>
        <w:left w:val="none" w:sz="0" w:space="0" w:color="auto"/>
        <w:bottom w:val="none" w:sz="0" w:space="0" w:color="auto"/>
        <w:right w:val="none" w:sz="0" w:space="0" w:color="auto"/>
      </w:divBdr>
    </w:div>
    <w:div w:id="210452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un.org/en/genocide-prevention/definition" TargetMode="External"/><Relationship Id="rId7" Type="http://schemas.openxmlformats.org/officeDocument/2006/relationships/hyperlink" Target="https://www.icty.org/en/content/witness-dd" TargetMode="External"/><Relationship Id="rId2" Type="http://schemas.openxmlformats.org/officeDocument/2006/relationships/hyperlink" Target="https://www.ushmm.org/genocide-prevention/countries/bosnia-herzegovina/serbian-forces-target-civilians" TargetMode="External"/><Relationship Id="rId1" Type="http://schemas.openxmlformats.org/officeDocument/2006/relationships/hyperlink" Target="https://doi.org/10.1525/ae.1994.21.2.02a00080" TargetMode="External"/><Relationship Id="rId6" Type="http://schemas.openxmlformats.org/officeDocument/2006/relationships/hyperlink" Target="https://www.un.org/en/genocide-prevention/definition" TargetMode="External"/><Relationship Id="rId5" Type="http://schemas.openxmlformats.org/officeDocument/2006/relationships/hyperlink" Target="https://doi.org/10.1080/14754830110111544" TargetMode="External"/><Relationship Id="rId4" Type="http://schemas.openxmlformats.org/officeDocument/2006/relationships/hyperlink" Target="https://www.un.org/en/genocide-prevention/defi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1AA87-0AFD-478A-BFB1-0BB960168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11</Pages>
  <Words>2942</Words>
  <Characters>14862</Characters>
  <Application>Microsoft Office Word</Application>
  <DocSecurity>0</DocSecurity>
  <Lines>232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12</cp:revision>
  <dcterms:created xsi:type="dcterms:W3CDTF">2025-02-03T17:28:00Z</dcterms:created>
  <dcterms:modified xsi:type="dcterms:W3CDTF">2025-02-10T00:07:00Z</dcterms:modified>
</cp:coreProperties>
</file>