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16C59" w14:textId="77777777" w:rsidR="00902818" w:rsidRPr="0010515B" w:rsidRDefault="00902818" w:rsidP="00902818">
      <w:pPr>
        <w:jc w:val="center"/>
        <w:rPr>
          <w:rFonts w:ascii="Arial" w:hAnsi="Arial" w:cs="Arial"/>
          <w:lang w:val="en-US"/>
        </w:rPr>
      </w:pPr>
      <w:r w:rsidRPr="0010515B">
        <w:rPr>
          <w:rFonts w:ascii="Arial" w:hAnsi="Arial" w:cs="Arial"/>
          <w:noProof/>
        </w:rPr>
        <w:drawing>
          <wp:inline distT="0" distB="0" distL="0" distR="0" wp14:anchorId="16544F81" wp14:editId="3B7AB57F">
            <wp:extent cx="4006850" cy="1673359"/>
            <wp:effectExtent l="0" t="0" r="0" b="3175"/>
            <wp:docPr id="12654193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5265" cy="1676873"/>
                    </a:xfrm>
                    <a:prstGeom prst="rect">
                      <a:avLst/>
                    </a:prstGeom>
                    <a:noFill/>
                    <a:ln>
                      <a:noFill/>
                    </a:ln>
                  </pic:spPr>
                </pic:pic>
              </a:graphicData>
            </a:graphic>
          </wp:inline>
        </w:drawing>
      </w:r>
    </w:p>
    <w:p w14:paraId="4F966FEB" w14:textId="77777777" w:rsidR="00902818" w:rsidRPr="0010515B" w:rsidRDefault="00902818" w:rsidP="00902818">
      <w:pPr>
        <w:jc w:val="center"/>
        <w:rPr>
          <w:rFonts w:ascii="Arial" w:hAnsi="Arial" w:cs="Arial"/>
          <w:lang w:val="en-US"/>
        </w:rPr>
      </w:pPr>
    </w:p>
    <w:p w14:paraId="59505F30" w14:textId="77777777" w:rsidR="00902818" w:rsidRPr="0010515B" w:rsidRDefault="00902818" w:rsidP="00902818">
      <w:pPr>
        <w:jc w:val="center"/>
        <w:rPr>
          <w:rFonts w:ascii="Arial" w:hAnsi="Arial" w:cs="Arial"/>
          <w:b/>
          <w:bCs/>
          <w:sz w:val="28"/>
          <w:szCs w:val="28"/>
        </w:rPr>
      </w:pPr>
      <w:r w:rsidRPr="0010515B">
        <w:rPr>
          <w:rFonts w:ascii="Arial" w:hAnsi="Arial" w:cs="Arial"/>
          <w:b/>
          <w:bCs/>
          <w:sz w:val="28"/>
          <w:szCs w:val="28"/>
          <w:lang w:val="en-US"/>
        </w:rPr>
        <w:t xml:space="preserve">Research Title: </w:t>
      </w:r>
      <w:r w:rsidRPr="0010515B">
        <w:rPr>
          <w:rFonts w:ascii="Arial" w:hAnsi="Arial" w:cs="Arial"/>
          <w:b/>
          <w:bCs/>
          <w:sz w:val="28"/>
          <w:szCs w:val="28"/>
        </w:rPr>
        <w:t>Quantifying the Influence of Origin Cues on UK Consumers’ Purchase Intentions in the Premium Imported Skincare Market</w:t>
      </w:r>
    </w:p>
    <w:p w14:paraId="7B60A5F3" w14:textId="77777777" w:rsidR="00902818" w:rsidRPr="0010515B" w:rsidRDefault="00902818" w:rsidP="00902818">
      <w:pPr>
        <w:jc w:val="center"/>
        <w:rPr>
          <w:rFonts w:ascii="Arial" w:hAnsi="Arial" w:cs="Arial"/>
          <w:sz w:val="28"/>
          <w:szCs w:val="28"/>
        </w:rPr>
      </w:pPr>
      <w:r w:rsidRPr="0010515B">
        <w:rPr>
          <w:rFonts w:ascii="Arial" w:hAnsi="Arial" w:cs="Arial"/>
          <w:b/>
          <w:bCs/>
          <w:sz w:val="28"/>
          <w:szCs w:val="28"/>
        </w:rPr>
        <w:t>Programme:</w:t>
      </w:r>
      <w:r w:rsidRPr="0010515B">
        <w:rPr>
          <w:rFonts w:ascii="Arial" w:hAnsi="Arial" w:cs="Arial"/>
          <w:sz w:val="28"/>
          <w:szCs w:val="28"/>
        </w:rPr>
        <w:t xml:space="preserve"> Master of Business Administration </w:t>
      </w:r>
    </w:p>
    <w:p w14:paraId="45CB6299" w14:textId="77777777" w:rsidR="00902818" w:rsidRPr="0010515B" w:rsidRDefault="00902818" w:rsidP="00902818">
      <w:pPr>
        <w:jc w:val="center"/>
        <w:rPr>
          <w:rFonts w:ascii="Arial" w:hAnsi="Arial" w:cs="Arial"/>
          <w:sz w:val="28"/>
          <w:szCs w:val="28"/>
        </w:rPr>
      </w:pPr>
      <w:r w:rsidRPr="0010515B">
        <w:rPr>
          <w:rFonts w:ascii="Arial" w:hAnsi="Arial" w:cs="Arial"/>
          <w:b/>
          <w:bCs/>
          <w:sz w:val="28"/>
          <w:szCs w:val="28"/>
        </w:rPr>
        <w:t>Module:</w:t>
      </w:r>
      <w:r w:rsidRPr="0010515B">
        <w:rPr>
          <w:rFonts w:ascii="Arial" w:hAnsi="Arial" w:cs="Arial"/>
          <w:sz w:val="28"/>
          <w:szCs w:val="28"/>
        </w:rPr>
        <w:t xml:space="preserve"> Dissertation</w:t>
      </w:r>
    </w:p>
    <w:p w14:paraId="26926339" w14:textId="77777777" w:rsidR="00902818" w:rsidRPr="0010515B" w:rsidRDefault="00902818" w:rsidP="00902818">
      <w:pPr>
        <w:jc w:val="center"/>
        <w:rPr>
          <w:rFonts w:ascii="Arial" w:hAnsi="Arial" w:cs="Arial"/>
          <w:sz w:val="28"/>
          <w:szCs w:val="28"/>
        </w:rPr>
      </w:pPr>
      <w:r w:rsidRPr="0010515B">
        <w:rPr>
          <w:rFonts w:ascii="Arial" w:hAnsi="Arial" w:cs="Arial"/>
          <w:b/>
          <w:bCs/>
          <w:sz w:val="28"/>
          <w:szCs w:val="28"/>
        </w:rPr>
        <w:t>Module code:</w:t>
      </w:r>
      <w:r w:rsidRPr="0010515B">
        <w:rPr>
          <w:rFonts w:ascii="Arial" w:hAnsi="Arial" w:cs="Arial"/>
          <w:sz w:val="28"/>
          <w:szCs w:val="28"/>
        </w:rPr>
        <w:t xml:space="preserve"> LCMB7035</w:t>
      </w:r>
    </w:p>
    <w:p w14:paraId="58F53ACD" w14:textId="77777777" w:rsidR="00902818" w:rsidRPr="0010515B" w:rsidRDefault="00902818" w:rsidP="00902818">
      <w:pPr>
        <w:jc w:val="center"/>
        <w:rPr>
          <w:rFonts w:ascii="Arial" w:hAnsi="Arial" w:cs="Arial"/>
          <w:sz w:val="28"/>
          <w:szCs w:val="28"/>
        </w:rPr>
      </w:pPr>
      <w:r w:rsidRPr="0010515B">
        <w:rPr>
          <w:rFonts w:ascii="Arial" w:hAnsi="Arial" w:cs="Arial"/>
          <w:b/>
          <w:bCs/>
          <w:sz w:val="28"/>
          <w:szCs w:val="28"/>
        </w:rPr>
        <w:t>Supervisor name:</w:t>
      </w:r>
      <w:r w:rsidRPr="0010515B">
        <w:rPr>
          <w:rFonts w:ascii="Arial" w:hAnsi="Arial" w:cs="Arial"/>
          <w:sz w:val="28"/>
          <w:szCs w:val="28"/>
        </w:rPr>
        <w:t xml:space="preserve"> Ebad Banissi</w:t>
      </w:r>
    </w:p>
    <w:p w14:paraId="52DDB40C" w14:textId="77777777" w:rsidR="00902818" w:rsidRPr="0010515B" w:rsidRDefault="00902818" w:rsidP="00902818">
      <w:pPr>
        <w:jc w:val="center"/>
        <w:rPr>
          <w:rFonts w:ascii="Arial" w:hAnsi="Arial" w:cs="Arial"/>
          <w:b/>
          <w:bCs/>
        </w:rPr>
      </w:pPr>
      <w:r w:rsidRPr="0010515B">
        <w:rPr>
          <w:rFonts w:ascii="Arial" w:hAnsi="Arial" w:cs="Arial"/>
          <w:b/>
          <w:bCs/>
        </w:rPr>
        <w:t>Submitted by:</w:t>
      </w:r>
    </w:p>
    <w:p w14:paraId="1E510794" w14:textId="77777777" w:rsidR="00902818" w:rsidRPr="0010515B" w:rsidRDefault="00902818" w:rsidP="00902818">
      <w:pPr>
        <w:jc w:val="center"/>
        <w:rPr>
          <w:rFonts w:ascii="Arial" w:hAnsi="Arial" w:cs="Arial"/>
          <w:sz w:val="22"/>
          <w:szCs w:val="22"/>
        </w:rPr>
      </w:pPr>
      <w:r w:rsidRPr="0010515B">
        <w:rPr>
          <w:rFonts w:ascii="Arial" w:hAnsi="Arial" w:cs="Arial"/>
          <w:b/>
          <w:bCs/>
          <w:sz w:val="22"/>
          <w:szCs w:val="22"/>
        </w:rPr>
        <w:t>Name:</w:t>
      </w:r>
      <w:r w:rsidRPr="0010515B">
        <w:rPr>
          <w:rFonts w:ascii="Arial" w:hAnsi="Arial" w:cs="Arial"/>
          <w:sz w:val="22"/>
          <w:szCs w:val="22"/>
        </w:rPr>
        <w:t xml:space="preserve"> </w:t>
      </w:r>
      <w:r w:rsidRPr="0010515B">
        <w:rPr>
          <w:rFonts w:ascii="Arial" w:hAnsi="Arial" w:cs="Arial"/>
          <w:color w:val="000000" w:themeColor="text1"/>
          <w:sz w:val="22"/>
          <w:szCs w:val="22"/>
        </w:rPr>
        <w:t xml:space="preserve">Md Lokman Hossain </w:t>
      </w:r>
    </w:p>
    <w:p w14:paraId="259C7CBA" w14:textId="77777777" w:rsidR="00902818" w:rsidRPr="0010515B" w:rsidRDefault="00902818" w:rsidP="00902818">
      <w:pPr>
        <w:jc w:val="center"/>
        <w:rPr>
          <w:rFonts w:ascii="Arial" w:hAnsi="Arial" w:cs="Arial"/>
        </w:rPr>
      </w:pPr>
      <w:r w:rsidRPr="0010515B">
        <w:rPr>
          <w:rFonts w:ascii="Arial" w:hAnsi="Arial" w:cs="Arial"/>
          <w:b/>
          <w:bCs/>
        </w:rPr>
        <w:t>Student ID:</w:t>
      </w:r>
      <w:r w:rsidRPr="0010515B">
        <w:rPr>
          <w:rFonts w:ascii="Arial" w:hAnsi="Arial" w:cs="Arial"/>
        </w:rPr>
        <w:t xml:space="preserve"> 2421688</w:t>
      </w:r>
    </w:p>
    <w:p w14:paraId="7F69BBBD" w14:textId="77777777" w:rsidR="00902818" w:rsidRPr="0010515B" w:rsidRDefault="00902818" w:rsidP="00902818">
      <w:pPr>
        <w:jc w:val="center"/>
        <w:rPr>
          <w:rFonts w:ascii="Arial" w:hAnsi="Arial" w:cs="Arial"/>
        </w:rPr>
      </w:pPr>
    </w:p>
    <w:p w14:paraId="237677BB" w14:textId="77777777" w:rsidR="00C21663" w:rsidRPr="0010515B" w:rsidRDefault="00C21663" w:rsidP="00C21663">
      <w:pPr>
        <w:rPr>
          <w:rFonts w:ascii="Arial" w:hAnsi="Arial" w:cs="Arial"/>
          <w:b/>
          <w:bCs/>
        </w:rPr>
      </w:pPr>
      <w:r w:rsidRPr="0010515B">
        <w:rPr>
          <w:rFonts w:ascii="Arial" w:hAnsi="Arial" w:cs="Arial"/>
          <w:b/>
          <w:bCs/>
        </w:rPr>
        <w:br w:type="page"/>
      </w:r>
    </w:p>
    <w:sdt>
      <w:sdtPr>
        <w:rPr>
          <w:rFonts w:ascii="Arial" w:eastAsiaTheme="minorHAnsi" w:hAnsi="Arial" w:cs="Arial"/>
          <w:color w:val="auto"/>
          <w:sz w:val="24"/>
          <w:szCs w:val="24"/>
          <w:lang w:eastAsia="en-US"/>
          <w14:ligatures w14:val="standardContextual"/>
        </w:rPr>
        <w:id w:val="-2066937938"/>
        <w:docPartObj>
          <w:docPartGallery w:val="Table of Contents"/>
          <w:docPartUnique/>
        </w:docPartObj>
      </w:sdtPr>
      <w:sdtEndPr>
        <w:rPr>
          <w:b/>
          <w:bCs/>
        </w:rPr>
      </w:sdtEndPr>
      <w:sdtContent>
        <w:p w14:paraId="12DC068C" w14:textId="77777777" w:rsidR="00C21663" w:rsidRPr="0010515B" w:rsidRDefault="00C21663" w:rsidP="00510C63">
          <w:pPr>
            <w:pStyle w:val="TOCHeading"/>
            <w:spacing w:line="276" w:lineRule="auto"/>
            <w:jc w:val="center"/>
            <w:rPr>
              <w:rFonts w:ascii="Arial" w:hAnsi="Arial" w:cs="Arial"/>
              <w:b/>
              <w:bCs/>
            </w:rPr>
          </w:pPr>
          <w:r w:rsidRPr="0010515B">
            <w:rPr>
              <w:rFonts w:ascii="Arial" w:hAnsi="Arial" w:cs="Arial"/>
              <w:b/>
              <w:bCs/>
            </w:rPr>
            <w:t>Contents</w:t>
          </w:r>
        </w:p>
        <w:p w14:paraId="5AE36157" w14:textId="62F92083" w:rsidR="00510C63" w:rsidRDefault="00C21663" w:rsidP="00510C63">
          <w:pPr>
            <w:pStyle w:val="TOC1"/>
            <w:tabs>
              <w:tab w:val="right" w:leader="dot" w:pos="9019"/>
            </w:tabs>
            <w:spacing w:line="276" w:lineRule="auto"/>
            <w:rPr>
              <w:rFonts w:asciiTheme="minorHAnsi" w:eastAsiaTheme="minorEastAsia" w:hAnsiTheme="minorHAnsi"/>
              <w:noProof/>
              <w:kern w:val="2"/>
              <w:lang w:eastAsia="en-GB"/>
            </w:rPr>
          </w:pPr>
          <w:r w:rsidRPr="0010515B">
            <w:rPr>
              <w:rFonts w:ascii="Arial" w:hAnsi="Arial" w:cs="Arial"/>
            </w:rPr>
            <w:fldChar w:fldCharType="begin"/>
          </w:r>
          <w:r w:rsidRPr="0010515B">
            <w:rPr>
              <w:rFonts w:ascii="Arial" w:hAnsi="Arial" w:cs="Arial"/>
            </w:rPr>
            <w:instrText xml:space="preserve"> TOC \o "1-3" \h \z \u </w:instrText>
          </w:r>
          <w:r w:rsidRPr="0010515B">
            <w:rPr>
              <w:rFonts w:ascii="Arial" w:hAnsi="Arial" w:cs="Arial"/>
            </w:rPr>
            <w:fldChar w:fldCharType="separate"/>
          </w:r>
          <w:hyperlink w:anchor="_Toc224804791" w:history="1">
            <w:r w:rsidR="00510C63" w:rsidRPr="00656FFC">
              <w:rPr>
                <w:rStyle w:val="Hyperlink"/>
                <w:rFonts w:ascii="Arial" w:hAnsi="Arial" w:cs="Arial"/>
                <w:noProof/>
              </w:rPr>
              <w:t>1. Introduction</w:t>
            </w:r>
            <w:r w:rsidR="00510C63">
              <w:rPr>
                <w:noProof/>
                <w:webHidden/>
              </w:rPr>
              <w:tab/>
            </w:r>
            <w:r w:rsidR="00510C63">
              <w:rPr>
                <w:noProof/>
                <w:webHidden/>
              </w:rPr>
              <w:fldChar w:fldCharType="begin"/>
            </w:r>
            <w:r w:rsidR="00510C63">
              <w:rPr>
                <w:noProof/>
                <w:webHidden/>
              </w:rPr>
              <w:instrText xml:space="preserve"> PAGEREF _Toc224804791 \h </w:instrText>
            </w:r>
            <w:r w:rsidR="00510C63">
              <w:rPr>
                <w:noProof/>
                <w:webHidden/>
              </w:rPr>
            </w:r>
            <w:r w:rsidR="00510C63">
              <w:rPr>
                <w:noProof/>
                <w:webHidden/>
              </w:rPr>
              <w:fldChar w:fldCharType="separate"/>
            </w:r>
            <w:r w:rsidR="00510C63">
              <w:rPr>
                <w:noProof/>
                <w:webHidden/>
              </w:rPr>
              <w:t>1</w:t>
            </w:r>
            <w:r w:rsidR="00510C63">
              <w:rPr>
                <w:noProof/>
                <w:webHidden/>
              </w:rPr>
              <w:fldChar w:fldCharType="end"/>
            </w:r>
          </w:hyperlink>
        </w:p>
        <w:p w14:paraId="601A2670" w14:textId="4CF85F04"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792" w:history="1">
            <w:r w:rsidRPr="00656FFC">
              <w:rPr>
                <w:rStyle w:val="Hyperlink"/>
                <w:rFonts w:ascii="Arial" w:hAnsi="Arial" w:cs="Arial"/>
                <w:noProof/>
              </w:rPr>
              <w:t>1.1 Industry and Research Context</w:t>
            </w:r>
            <w:r>
              <w:rPr>
                <w:noProof/>
                <w:webHidden/>
              </w:rPr>
              <w:tab/>
            </w:r>
            <w:r>
              <w:rPr>
                <w:noProof/>
                <w:webHidden/>
              </w:rPr>
              <w:fldChar w:fldCharType="begin"/>
            </w:r>
            <w:r>
              <w:rPr>
                <w:noProof/>
                <w:webHidden/>
              </w:rPr>
              <w:instrText xml:space="preserve"> PAGEREF _Toc224804792 \h </w:instrText>
            </w:r>
            <w:r>
              <w:rPr>
                <w:noProof/>
                <w:webHidden/>
              </w:rPr>
            </w:r>
            <w:r>
              <w:rPr>
                <w:noProof/>
                <w:webHidden/>
              </w:rPr>
              <w:fldChar w:fldCharType="separate"/>
            </w:r>
            <w:r>
              <w:rPr>
                <w:noProof/>
                <w:webHidden/>
              </w:rPr>
              <w:t>1</w:t>
            </w:r>
            <w:r>
              <w:rPr>
                <w:noProof/>
                <w:webHidden/>
              </w:rPr>
              <w:fldChar w:fldCharType="end"/>
            </w:r>
          </w:hyperlink>
        </w:p>
        <w:p w14:paraId="66417CBD" w14:textId="1E6E732F"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793" w:history="1">
            <w:r w:rsidRPr="00656FFC">
              <w:rPr>
                <w:rStyle w:val="Hyperlink"/>
                <w:rFonts w:ascii="Arial" w:hAnsi="Arial" w:cs="Arial"/>
                <w:noProof/>
              </w:rPr>
              <w:t>1.2 Research Aim</w:t>
            </w:r>
            <w:r>
              <w:rPr>
                <w:noProof/>
                <w:webHidden/>
              </w:rPr>
              <w:tab/>
            </w:r>
            <w:r>
              <w:rPr>
                <w:noProof/>
                <w:webHidden/>
              </w:rPr>
              <w:fldChar w:fldCharType="begin"/>
            </w:r>
            <w:r>
              <w:rPr>
                <w:noProof/>
                <w:webHidden/>
              </w:rPr>
              <w:instrText xml:space="preserve"> PAGEREF _Toc224804793 \h </w:instrText>
            </w:r>
            <w:r>
              <w:rPr>
                <w:noProof/>
                <w:webHidden/>
              </w:rPr>
            </w:r>
            <w:r>
              <w:rPr>
                <w:noProof/>
                <w:webHidden/>
              </w:rPr>
              <w:fldChar w:fldCharType="separate"/>
            </w:r>
            <w:r>
              <w:rPr>
                <w:noProof/>
                <w:webHidden/>
              </w:rPr>
              <w:t>1</w:t>
            </w:r>
            <w:r>
              <w:rPr>
                <w:noProof/>
                <w:webHidden/>
              </w:rPr>
              <w:fldChar w:fldCharType="end"/>
            </w:r>
          </w:hyperlink>
        </w:p>
        <w:p w14:paraId="795B47A2" w14:textId="1FA7DB4A"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794" w:history="1">
            <w:r w:rsidRPr="00656FFC">
              <w:rPr>
                <w:rStyle w:val="Hyperlink"/>
                <w:rFonts w:ascii="Arial" w:hAnsi="Arial" w:cs="Arial"/>
                <w:noProof/>
              </w:rPr>
              <w:t>1.3 Key Research Objectives</w:t>
            </w:r>
            <w:r>
              <w:rPr>
                <w:noProof/>
                <w:webHidden/>
              </w:rPr>
              <w:tab/>
            </w:r>
            <w:r>
              <w:rPr>
                <w:noProof/>
                <w:webHidden/>
              </w:rPr>
              <w:fldChar w:fldCharType="begin"/>
            </w:r>
            <w:r>
              <w:rPr>
                <w:noProof/>
                <w:webHidden/>
              </w:rPr>
              <w:instrText xml:space="preserve"> PAGEREF _Toc224804794 \h </w:instrText>
            </w:r>
            <w:r>
              <w:rPr>
                <w:noProof/>
                <w:webHidden/>
              </w:rPr>
            </w:r>
            <w:r>
              <w:rPr>
                <w:noProof/>
                <w:webHidden/>
              </w:rPr>
              <w:fldChar w:fldCharType="separate"/>
            </w:r>
            <w:r>
              <w:rPr>
                <w:noProof/>
                <w:webHidden/>
              </w:rPr>
              <w:t>1</w:t>
            </w:r>
            <w:r>
              <w:rPr>
                <w:noProof/>
                <w:webHidden/>
              </w:rPr>
              <w:fldChar w:fldCharType="end"/>
            </w:r>
          </w:hyperlink>
        </w:p>
        <w:p w14:paraId="3DD7FE0C" w14:textId="28B05F06"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795" w:history="1">
            <w:r w:rsidRPr="00656FFC">
              <w:rPr>
                <w:rStyle w:val="Hyperlink"/>
                <w:rFonts w:ascii="Arial" w:hAnsi="Arial" w:cs="Arial"/>
                <w:noProof/>
              </w:rPr>
              <w:t>1.4 Key Research Questions</w:t>
            </w:r>
            <w:r>
              <w:rPr>
                <w:noProof/>
                <w:webHidden/>
              </w:rPr>
              <w:tab/>
            </w:r>
            <w:r>
              <w:rPr>
                <w:noProof/>
                <w:webHidden/>
              </w:rPr>
              <w:fldChar w:fldCharType="begin"/>
            </w:r>
            <w:r>
              <w:rPr>
                <w:noProof/>
                <w:webHidden/>
              </w:rPr>
              <w:instrText xml:space="preserve"> PAGEREF _Toc224804795 \h </w:instrText>
            </w:r>
            <w:r>
              <w:rPr>
                <w:noProof/>
                <w:webHidden/>
              </w:rPr>
            </w:r>
            <w:r>
              <w:rPr>
                <w:noProof/>
                <w:webHidden/>
              </w:rPr>
              <w:fldChar w:fldCharType="separate"/>
            </w:r>
            <w:r>
              <w:rPr>
                <w:noProof/>
                <w:webHidden/>
              </w:rPr>
              <w:t>1</w:t>
            </w:r>
            <w:r>
              <w:rPr>
                <w:noProof/>
                <w:webHidden/>
              </w:rPr>
              <w:fldChar w:fldCharType="end"/>
            </w:r>
          </w:hyperlink>
        </w:p>
        <w:p w14:paraId="2239F74A" w14:textId="0210352B" w:rsidR="00510C63" w:rsidRDefault="00510C63" w:rsidP="00510C63">
          <w:pPr>
            <w:pStyle w:val="TOC1"/>
            <w:tabs>
              <w:tab w:val="right" w:leader="dot" w:pos="9019"/>
            </w:tabs>
            <w:spacing w:line="276" w:lineRule="auto"/>
            <w:rPr>
              <w:rFonts w:asciiTheme="minorHAnsi" w:eastAsiaTheme="minorEastAsia" w:hAnsiTheme="minorHAnsi"/>
              <w:noProof/>
              <w:kern w:val="2"/>
              <w:lang w:eastAsia="en-GB"/>
            </w:rPr>
          </w:pPr>
          <w:hyperlink w:anchor="_Toc224804796" w:history="1">
            <w:r w:rsidRPr="00656FFC">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_Toc224804796 \h </w:instrText>
            </w:r>
            <w:r>
              <w:rPr>
                <w:noProof/>
                <w:webHidden/>
              </w:rPr>
            </w:r>
            <w:r>
              <w:rPr>
                <w:noProof/>
                <w:webHidden/>
              </w:rPr>
              <w:fldChar w:fldCharType="separate"/>
            </w:r>
            <w:r>
              <w:rPr>
                <w:noProof/>
                <w:webHidden/>
              </w:rPr>
              <w:t>2</w:t>
            </w:r>
            <w:r>
              <w:rPr>
                <w:noProof/>
                <w:webHidden/>
              </w:rPr>
              <w:fldChar w:fldCharType="end"/>
            </w:r>
          </w:hyperlink>
        </w:p>
        <w:p w14:paraId="24D09F10" w14:textId="6694BED4"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797" w:history="1">
            <w:r w:rsidRPr="00656FFC">
              <w:rPr>
                <w:rStyle w:val="Hyperlink"/>
                <w:rFonts w:ascii="Arial" w:hAnsi="Arial" w:cs="Arial"/>
                <w:noProof/>
              </w:rPr>
              <w:t>2.1 Country-of-Origin (COO) Theory</w:t>
            </w:r>
            <w:r>
              <w:rPr>
                <w:noProof/>
                <w:webHidden/>
              </w:rPr>
              <w:tab/>
            </w:r>
            <w:r>
              <w:rPr>
                <w:noProof/>
                <w:webHidden/>
              </w:rPr>
              <w:fldChar w:fldCharType="begin"/>
            </w:r>
            <w:r>
              <w:rPr>
                <w:noProof/>
                <w:webHidden/>
              </w:rPr>
              <w:instrText xml:space="preserve"> PAGEREF _Toc224804797 \h </w:instrText>
            </w:r>
            <w:r>
              <w:rPr>
                <w:noProof/>
                <w:webHidden/>
              </w:rPr>
            </w:r>
            <w:r>
              <w:rPr>
                <w:noProof/>
                <w:webHidden/>
              </w:rPr>
              <w:fldChar w:fldCharType="separate"/>
            </w:r>
            <w:r>
              <w:rPr>
                <w:noProof/>
                <w:webHidden/>
              </w:rPr>
              <w:t>2</w:t>
            </w:r>
            <w:r>
              <w:rPr>
                <w:noProof/>
                <w:webHidden/>
              </w:rPr>
              <w:fldChar w:fldCharType="end"/>
            </w:r>
          </w:hyperlink>
        </w:p>
        <w:p w14:paraId="7272DFBB" w14:textId="3836881A"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798" w:history="1">
            <w:r w:rsidRPr="00656FFC">
              <w:rPr>
                <w:rStyle w:val="Hyperlink"/>
                <w:rFonts w:ascii="Arial" w:hAnsi="Arial" w:cs="Arial"/>
                <w:noProof/>
              </w:rPr>
              <w:t>2.2 Signalling Theory in Consumer Markets</w:t>
            </w:r>
            <w:r>
              <w:rPr>
                <w:noProof/>
                <w:webHidden/>
              </w:rPr>
              <w:tab/>
            </w:r>
            <w:r>
              <w:rPr>
                <w:noProof/>
                <w:webHidden/>
              </w:rPr>
              <w:fldChar w:fldCharType="begin"/>
            </w:r>
            <w:r>
              <w:rPr>
                <w:noProof/>
                <w:webHidden/>
              </w:rPr>
              <w:instrText xml:space="preserve"> PAGEREF _Toc224804798 \h </w:instrText>
            </w:r>
            <w:r>
              <w:rPr>
                <w:noProof/>
                <w:webHidden/>
              </w:rPr>
            </w:r>
            <w:r>
              <w:rPr>
                <w:noProof/>
                <w:webHidden/>
              </w:rPr>
              <w:fldChar w:fldCharType="separate"/>
            </w:r>
            <w:r>
              <w:rPr>
                <w:noProof/>
                <w:webHidden/>
              </w:rPr>
              <w:t>3</w:t>
            </w:r>
            <w:r>
              <w:rPr>
                <w:noProof/>
                <w:webHidden/>
              </w:rPr>
              <w:fldChar w:fldCharType="end"/>
            </w:r>
          </w:hyperlink>
        </w:p>
        <w:p w14:paraId="3BFE0E9B" w14:textId="466D1379"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799" w:history="1">
            <w:r w:rsidRPr="00656FFC">
              <w:rPr>
                <w:rStyle w:val="Hyperlink"/>
                <w:rFonts w:ascii="Arial" w:hAnsi="Arial" w:cs="Arial"/>
                <w:noProof/>
              </w:rPr>
              <w:t>2.3 Prestige Branding and Perceived Value</w:t>
            </w:r>
            <w:r>
              <w:rPr>
                <w:noProof/>
                <w:webHidden/>
              </w:rPr>
              <w:tab/>
            </w:r>
            <w:r>
              <w:rPr>
                <w:noProof/>
                <w:webHidden/>
              </w:rPr>
              <w:fldChar w:fldCharType="begin"/>
            </w:r>
            <w:r>
              <w:rPr>
                <w:noProof/>
                <w:webHidden/>
              </w:rPr>
              <w:instrText xml:space="preserve"> PAGEREF _Toc224804799 \h </w:instrText>
            </w:r>
            <w:r>
              <w:rPr>
                <w:noProof/>
                <w:webHidden/>
              </w:rPr>
            </w:r>
            <w:r>
              <w:rPr>
                <w:noProof/>
                <w:webHidden/>
              </w:rPr>
              <w:fldChar w:fldCharType="separate"/>
            </w:r>
            <w:r>
              <w:rPr>
                <w:noProof/>
                <w:webHidden/>
              </w:rPr>
              <w:t>3</w:t>
            </w:r>
            <w:r>
              <w:rPr>
                <w:noProof/>
                <w:webHidden/>
              </w:rPr>
              <w:fldChar w:fldCharType="end"/>
            </w:r>
          </w:hyperlink>
        </w:p>
        <w:p w14:paraId="1C832BF3" w14:textId="0D1D4C03"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00" w:history="1">
            <w:r w:rsidRPr="00656FFC">
              <w:rPr>
                <w:rStyle w:val="Hyperlink"/>
                <w:rFonts w:ascii="Arial" w:hAnsi="Arial" w:cs="Arial"/>
                <w:noProof/>
              </w:rPr>
              <w:t>2.4 Consumer Decision-Making in Skincare</w:t>
            </w:r>
            <w:r>
              <w:rPr>
                <w:noProof/>
                <w:webHidden/>
              </w:rPr>
              <w:tab/>
            </w:r>
            <w:r>
              <w:rPr>
                <w:noProof/>
                <w:webHidden/>
              </w:rPr>
              <w:fldChar w:fldCharType="begin"/>
            </w:r>
            <w:r>
              <w:rPr>
                <w:noProof/>
                <w:webHidden/>
              </w:rPr>
              <w:instrText xml:space="preserve"> PAGEREF _Toc224804800 \h </w:instrText>
            </w:r>
            <w:r>
              <w:rPr>
                <w:noProof/>
                <w:webHidden/>
              </w:rPr>
            </w:r>
            <w:r>
              <w:rPr>
                <w:noProof/>
                <w:webHidden/>
              </w:rPr>
              <w:fldChar w:fldCharType="separate"/>
            </w:r>
            <w:r>
              <w:rPr>
                <w:noProof/>
                <w:webHidden/>
              </w:rPr>
              <w:t>4</w:t>
            </w:r>
            <w:r>
              <w:rPr>
                <w:noProof/>
                <w:webHidden/>
              </w:rPr>
              <w:fldChar w:fldCharType="end"/>
            </w:r>
          </w:hyperlink>
        </w:p>
        <w:p w14:paraId="6F39C25F" w14:textId="028A9349"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01" w:history="1">
            <w:r w:rsidRPr="00656FFC">
              <w:rPr>
                <w:rStyle w:val="Hyperlink"/>
                <w:rFonts w:ascii="Arial" w:hAnsi="Arial" w:cs="Arial"/>
                <w:noProof/>
              </w:rPr>
              <w:t>2.5 Models of Purchase Intention</w:t>
            </w:r>
            <w:r>
              <w:rPr>
                <w:noProof/>
                <w:webHidden/>
              </w:rPr>
              <w:tab/>
            </w:r>
            <w:r>
              <w:rPr>
                <w:noProof/>
                <w:webHidden/>
              </w:rPr>
              <w:fldChar w:fldCharType="begin"/>
            </w:r>
            <w:r>
              <w:rPr>
                <w:noProof/>
                <w:webHidden/>
              </w:rPr>
              <w:instrText xml:space="preserve"> PAGEREF _Toc224804801 \h </w:instrText>
            </w:r>
            <w:r>
              <w:rPr>
                <w:noProof/>
                <w:webHidden/>
              </w:rPr>
            </w:r>
            <w:r>
              <w:rPr>
                <w:noProof/>
                <w:webHidden/>
              </w:rPr>
              <w:fldChar w:fldCharType="separate"/>
            </w:r>
            <w:r>
              <w:rPr>
                <w:noProof/>
                <w:webHidden/>
              </w:rPr>
              <w:t>4</w:t>
            </w:r>
            <w:r>
              <w:rPr>
                <w:noProof/>
                <w:webHidden/>
              </w:rPr>
              <w:fldChar w:fldCharType="end"/>
            </w:r>
          </w:hyperlink>
        </w:p>
        <w:p w14:paraId="15E2A017" w14:textId="6DC2FC28"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02" w:history="1">
            <w:r w:rsidRPr="00656FFC">
              <w:rPr>
                <w:rStyle w:val="Hyperlink"/>
                <w:rFonts w:ascii="Arial" w:hAnsi="Arial" w:cs="Arial"/>
                <w:noProof/>
              </w:rPr>
              <w:t>2.6 Identified Literature Gap</w:t>
            </w:r>
            <w:r>
              <w:rPr>
                <w:noProof/>
                <w:webHidden/>
              </w:rPr>
              <w:tab/>
            </w:r>
            <w:r>
              <w:rPr>
                <w:noProof/>
                <w:webHidden/>
              </w:rPr>
              <w:fldChar w:fldCharType="begin"/>
            </w:r>
            <w:r>
              <w:rPr>
                <w:noProof/>
                <w:webHidden/>
              </w:rPr>
              <w:instrText xml:space="preserve"> PAGEREF _Toc224804802 \h </w:instrText>
            </w:r>
            <w:r>
              <w:rPr>
                <w:noProof/>
                <w:webHidden/>
              </w:rPr>
            </w:r>
            <w:r>
              <w:rPr>
                <w:noProof/>
                <w:webHidden/>
              </w:rPr>
              <w:fldChar w:fldCharType="separate"/>
            </w:r>
            <w:r>
              <w:rPr>
                <w:noProof/>
                <w:webHidden/>
              </w:rPr>
              <w:t>4</w:t>
            </w:r>
            <w:r>
              <w:rPr>
                <w:noProof/>
                <w:webHidden/>
              </w:rPr>
              <w:fldChar w:fldCharType="end"/>
            </w:r>
          </w:hyperlink>
        </w:p>
        <w:p w14:paraId="32244349" w14:textId="6585E70B"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03" w:history="1">
            <w:r w:rsidRPr="00656FFC">
              <w:rPr>
                <w:rStyle w:val="Hyperlink"/>
                <w:rFonts w:ascii="Arial" w:hAnsi="Arial" w:cs="Arial"/>
                <w:noProof/>
              </w:rPr>
              <w:t>2.7 Conceptual Framework</w:t>
            </w:r>
            <w:r>
              <w:rPr>
                <w:noProof/>
                <w:webHidden/>
              </w:rPr>
              <w:tab/>
            </w:r>
            <w:r>
              <w:rPr>
                <w:noProof/>
                <w:webHidden/>
              </w:rPr>
              <w:fldChar w:fldCharType="begin"/>
            </w:r>
            <w:r>
              <w:rPr>
                <w:noProof/>
                <w:webHidden/>
              </w:rPr>
              <w:instrText xml:space="preserve"> PAGEREF _Toc224804803 \h </w:instrText>
            </w:r>
            <w:r>
              <w:rPr>
                <w:noProof/>
                <w:webHidden/>
              </w:rPr>
            </w:r>
            <w:r>
              <w:rPr>
                <w:noProof/>
                <w:webHidden/>
              </w:rPr>
              <w:fldChar w:fldCharType="separate"/>
            </w:r>
            <w:r>
              <w:rPr>
                <w:noProof/>
                <w:webHidden/>
              </w:rPr>
              <w:t>5</w:t>
            </w:r>
            <w:r>
              <w:rPr>
                <w:noProof/>
                <w:webHidden/>
              </w:rPr>
              <w:fldChar w:fldCharType="end"/>
            </w:r>
          </w:hyperlink>
        </w:p>
        <w:p w14:paraId="34361273" w14:textId="04EC37E5" w:rsidR="00510C63" w:rsidRDefault="00510C63" w:rsidP="00510C63">
          <w:pPr>
            <w:pStyle w:val="TOC1"/>
            <w:tabs>
              <w:tab w:val="right" w:leader="dot" w:pos="9019"/>
            </w:tabs>
            <w:spacing w:line="276" w:lineRule="auto"/>
            <w:rPr>
              <w:rFonts w:asciiTheme="minorHAnsi" w:eastAsiaTheme="minorEastAsia" w:hAnsiTheme="minorHAnsi"/>
              <w:noProof/>
              <w:kern w:val="2"/>
              <w:lang w:eastAsia="en-GB"/>
            </w:rPr>
          </w:pPr>
          <w:hyperlink w:anchor="_Toc224804804" w:history="1">
            <w:r w:rsidRPr="00656FFC">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_Toc224804804 \h </w:instrText>
            </w:r>
            <w:r>
              <w:rPr>
                <w:noProof/>
                <w:webHidden/>
              </w:rPr>
            </w:r>
            <w:r>
              <w:rPr>
                <w:noProof/>
                <w:webHidden/>
              </w:rPr>
              <w:fldChar w:fldCharType="separate"/>
            </w:r>
            <w:r>
              <w:rPr>
                <w:noProof/>
                <w:webHidden/>
              </w:rPr>
              <w:t>6</w:t>
            </w:r>
            <w:r>
              <w:rPr>
                <w:noProof/>
                <w:webHidden/>
              </w:rPr>
              <w:fldChar w:fldCharType="end"/>
            </w:r>
          </w:hyperlink>
        </w:p>
        <w:p w14:paraId="196E91D5" w14:textId="41E7C927"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05" w:history="1">
            <w:r w:rsidRPr="00656FFC">
              <w:rPr>
                <w:rStyle w:val="Hyperlink"/>
                <w:rFonts w:ascii="Arial" w:hAnsi="Arial" w:cs="Arial"/>
                <w:noProof/>
              </w:rPr>
              <w:t>3.1 Philosophical Positioning</w:t>
            </w:r>
            <w:r>
              <w:rPr>
                <w:noProof/>
                <w:webHidden/>
              </w:rPr>
              <w:tab/>
            </w:r>
            <w:r>
              <w:rPr>
                <w:noProof/>
                <w:webHidden/>
              </w:rPr>
              <w:fldChar w:fldCharType="begin"/>
            </w:r>
            <w:r>
              <w:rPr>
                <w:noProof/>
                <w:webHidden/>
              </w:rPr>
              <w:instrText xml:space="preserve"> PAGEREF _Toc224804805 \h </w:instrText>
            </w:r>
            <w:r>
              <w:rPr>
                <w:noProof/>
                <w:webHidden/>
              </w:rPr>
            </w:r>
            <w:r>
              <w:rPr>
                <w:noProof/>
                <w:webHidden/>
              </w:rPr>
              <w:fldChar w:fldCharType="separate"/>
            </w:r>
            <w:r>
              <w:rPr>
                <w:noProof/>
                <w:webHidden/>
              </w:rPr>
              <w:t>6</w:t>
            </w:r>
            <w:r>
              <w:rPr>
                <w:noProof/>
                <w:webHidden/>
              </w:rPr>
              <w:fldChar w:fldCharType="end"/>
            </w:r>
          </w:hyperlink>
        </w:p>
        <w:p w14:paraId="41DD59DE" w14:textId="0E7D0431"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06" w:history="1">
            <w:r w:rsidRPr="00656FFC">
              <w:rPr>
                <w:rStyle w:val="Hyperlink"/>
                <w:rFonts w:ascii="Arial" w:hAnsi="Arial" w:cs="Arial"/>
                <w:noProof/>
              </w:rPr>
              <w:t>3.2 Approach to Inquiry</w:t>
            </w:r>
            <w:r>
              <w:rPr>
                <w:noProof/>
                <w:webHidden/>
              </w:rPr>
              <w:tab/>
            </w:r>
            <w:r>
              <w:rPr>
                <w:noProof/>
                <w:webHidden/>
              </w:rPr>
              <w:fldChar w:fldCharType="begin"/>
            </w:r>
            <w:r>
              <w:rPr>
                <w:noProof/>
                <w:webHidden/>
              </w:rPr>
              <w:instrText xml:space="preserve"> PAGEREF _Toc224804806 \h </w:instrText>
            </w:r>
            <w:r>
              <w:rPr>
                <w:noProof/>
                <w:webHidden/>
              </w:rPr>
            </w:r>
            <w:r>
              <w:rPr>
                <w:noProof/>
                <w:webHidden/>
              </w:rPr>
              <w:fldChar w:fldCharType="separate"/>
            </w:r>
            <w:r>
              <w:rPr>
                <w:noProof/>
                <w:webHidden/>
              </w:rPr>
              <w:t>6</w:t>
            </w:r>
            <w:r>
              <w:rPr>
                <w:noProof/>
                <w:webHidden/>
              </w:rPr>
              <w:fldChar w:fldCharType="end"/>
            </w:r>
          </w:hyperlink>
        </w:p>
        <w:p w14:paraId="63CD6A0B" w14:textId="15457FA3"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07" w:history="1">
            <w:r w:rsidRPr="00656FFC">
              <w:rPr>
                <w:rStyle w:val="Hyperlink"/>
                <w:rFonts w:ascii="Arial" w:hAnsi="Arial" w:cs="Arial"/>
                <w:noProof/>
              </w:rPr>
              <w:t>3.3 Research Design and Time Frame</w:t>
            </w:r>
            <w:r>
              <w:rPr>
                <w:noProof/>
                <w:webHidden/>
              </w:rPr>
              <w:tab/>
            </w:r>
            <w:r>
              <w:rPr>
                <w:noProof/>
                <w:webHidden/>
              </w:rPr>
              <w:fldChar w:fldCharType="begin"/>
            </w:r>
            <w:r>
              <w:rPr>
                <w:noProof/>
                <w:webHidden/>
              </w:rPr>
              <w:instrText xml:space="preserve"> PAGEREF _Toc224804807 \h </w:instrText>
            </w:r>
            <w:r>
              <w:rPr>
                <w:noProof/>
                <w:webHidden/>
              </w:rPr>
            </w:r>
            <w:r>
              <w:rPr>
                <w:noProof/>
                <w:webHidden/>
              </w:rPr>
              <w:fldChar w:fldCharType="separate"/>
            </w:r>
            <w:r>
              <w:rPr>
                <w:noProof/>
                <w:webHidden/>
              </w:rPr>
              <w:t>6</w:t>
            </w:r>
            <w:r>
              <w:rPr>
                <w:noProof/>
                <w:webHidden/>
              </w:rPr>
              <w:fldChar w:fldCharType="end"/>
            </w:r>
          </w:hyperlink>
        </w:p>
        <w:p w14:paraId="5A6A2460" w14:textId="3FD416A9"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08" w:history="1">
            <w:r w:rsidRPr="00656FFC">
              <w:rPr>
                <w:rStyle w:val="Hyperlink"/>
                <w:rFonts w:ascii="Arial" w:hAnsi="Arial" w:cs="Arial"/>
                <w:noProof/>
              </w:rPr>
              <w:t>3.4 Target Population and Sampling Strategy</w:t>
            </w:r>
            <w:r>
              <w:rPr>
                <w:noProof/>
                <w:webHidden/>
              </w:rPr>
              <w:tab/>
            </w:r>
            <w:r>
              <w:rPr>
                <w:noProof/>
                <w:webHidden/>
              </w:rPr>
              <w:fldChar w:fldCharType="begin"/>
            </w:r>
            <w:r>
              <w:rPr>
                <w:noProof/>
                <w:webHidden/>
              </w:rPr>
              <w:instrText xml:space="preserve"> PAGEREF _Toc224804808 \h </w:instrText>
            </w:r>
            <w:r>
              <w:rPr>
                <w:noProof/>
                <w:webHidden/>
              </w:rPr>
            </w:r>
            <w:r>
              <w:rPr>
                <w:noProof/>
                <w:webHidden/>
              </w:rPr>
              <w:fldChar w:fldCharType="separate"/>
            </w:r>
            <w:r>
              <w:rPr>
                <w:noProof/>
                <w:webHidden/>
              </w:rPr>
              <w:t>7</w:t>
            </w:r>
            <w:r>
              <w:rPr>
                <w:noProof/>
                <w:webHidden/>
              </w:rPr>
              <w:fldChar w:fldCharType="end"/>
            </w:r>
          </w:hyperlink>
        </w:p>
        <w:p w14:paraId="350264CC" w14:textId="3D34BC2E"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09" w:history="1">
            <w:r w:rsidRPr="00656FFC">
              <w:rPr>
                <w:rStyle w:val="Hyperlink"/>
                <w:rFonts w:ascii="Arial" w:hAnsi="Arial" w:cs="Arial"/>
                <w:noProof/>
              </w:rPr>
              <w:t>3.5 Methods of Data Collection</w:t>
            </w:r>
            <w:r>
              <w:rPr>
                <w:noProof/>
                <w:webHidden/>
              </w:rPr>
              <w:tab/>
            </w:r>
            <w:r>
              <w:rPr>
                <w:noProof/>
                <w:webHidden/>
              </w:rPr>
              <w:fldChar w:fldCharType="begin"/>
            </w:r>
            <w:r>
              <w:rPr>
                <w:noProof/>
                <w:webHidden/>
              </w:rPr>
              <w:instrText xml:space="preserve"> PAGEREF _Toc224804809 \h </w:instrText>
            </w:r>
            <w:r>
              <w:rPr>
                <w:noProof/>
                <w:webHidden/>
              </w:rPr>
            </w:r>
            <w:r>
              <w:rPr>
                <w:noProof/>
                <w:webHidden/>
              </w:rPr>
              <w:fldChar w:fldCharType="separate"/>
            </w:r>
            <w:r>
              <w:rPr>
                <w:noProof/>
                <w:webHidden/>
              </w:rPr>
              <w:t>7</w:t>
            </w:r>
            <w:r>
              <w:rPr>
                <w:noProof/>
                <w:webHidden/>
              </w:rPr>
              <w:fldChar w:fldCharType="end"/>
            </w:r>
          </w:hyperlink>
        </w:p>
        <w:p w14:paraId="37E1AB7E" w14:textId="1D1DBE48"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10" w:history="1">
            <w:r w:rsidRPr="00656FFC">
              <w:rPr>
                <w:rStyle w:val="Hyperlink"/>
                <w:rFonts w:ascii="Arial" w:hAnsi="Arial" w:cs="Arial"/>
                <w:noProof/>
              </w:rPr>
              <w:t>3.6 Analytical Techniques</w:t>
            </w:r>
            <w:r>
              <w:rPr>
                <w:noProof/>
                <w:webHidden/>
              </w:rPr>
              <w:tab/>
            </w:r>
            <w:r>
              <w:rPr>
                <w:noProof/>
                <w:webHidden/>
              </w:rPr>
              <w:fldChar w:fldCharType="begin"/>
            </w:r>
            <w:r>
              <w:rPr>
                <w:noProof/>
                <w:webHidden/>
              </w:rPr>
              <w:instrText xml:space="preserve"> PAGEREF _Toc224804810 \h </w:instrText>
            </w:r>
            <w:r>
              <w:rPr>
                <w:noProof/>
                <w:webHidden/>
              </w:rPr>
            </w:r>
            <w:r>
              <w:rPr>
                <w:noProof/>
                <w:webHidden/>
              </w:rPr>
              <w:fldChar w:fldCharType="separate"/>
            </w:r>
            <w:r>
              <w:rPr>
                <w:noProof/>
                <w:webHidden/>
              </w:rPr>
              <w:t>7</w:t>
            </w:r>
            <w:r>
              <w:rPr>
                <w:noProof/>
                <w:webHidden/>
              </w:rPr>
              <w:fldChar w:fldCharType="end"/>
            </w:r>
          </w:hyperlink>
        </w:p>
        <w:p w14:paraId="677CE241" w14:textId="04F25779" w:rsidR="00510C63" w:rsidRDefault="00510C63" w:rsidP="00510C63">
          <w:pPr>
            <w:pStyle w:val="TOC2"/>
            <w:tabs>
              <w:tab w:val="right" w:leader="dot" w:pos="9019"/>
            </w:tabs>
            <w:spacing w:line="276" w:lineRule="auto"/>
            <w:rPr>
              <w:rFonts w:asciiTheme="minorHAnsi" w:eastAsiaTheme="minorEastAsia" w:hAnsiTheme="minorHAnsi"/>
              <w:noProof/>
              <w:kern w:val="2"/>
              <w:lang w:eastAsia="en-GB"/>
            </w:rPr>
          </w:pPr>
          <w:hyperlink w:anchor="_Toc224804811" w:history="1">
            <w:r w:rsidRPr="00656FFC">
              <w:rPr>
                <w:rStyle w:val="Hyperlink"/>
                <w:rFonts w:ascii="Arial" w:hAnsi="Arial" w:cs="Arial"/>
                <w:noProof/>
              </w:rPr>
              <w:t>3.7 Research Ethics</w:t>
            </w:r>
            <w:r>
              <w:rPr>
                <w:noProof/>
                <w:webHidden/>
              </w:rPr>
              <w:tab/>
            </w:r>
            <w:r>
              <w:rPr>
                <w:noProof/>
                <w:webHidden/>
              </w:rPr>
              <w:fldChar w:fldCharType="begin"/>
            </w:r>
            <w:r>
              <w:rPr>
                <w:noProof/>
                <w:webHidden/>
              </w:rPr>
              <w:instrText xml:space="preserve"> PAGEREF _Toc224804811 \h </w:instrText>
            </w:r>
            <w:r>
              <w:rPr>
                <w:noProof/>
                <w:webHidden/>
              </w:rPr>
            </w:r>
            <w:r>
              <w:rPr>
                <w:noProof/>
                <w:webHidden/>
              </w:rPr>
              <w:fldChar w:fldCharType="separate"/>
            </w:r>
            <w:r>
              <w:rPr>
                <w:noProof/>
                <w:webHidden/>
              </w:rPr>
              <w:t>8</w:t>
            </w:r>
            <w:r>
              <w:rPr>
                <w:noProof/>
                <w:webHidden/>
              </w:rPr>
              <w:fldChar w:fldCharType="end"/>
            </w:r>
          </w:hyperlink>
        </w:p>
        <w:p w14:paraId="3D00BD84" w14:textId="3E7BA37B" w:rsidR="00510C63" w:rsidRDefault="00510C63" w:rsidP="00510C63">
          <w:pPr>
            <w:pStyle w:val="TOC1"/>
            <w:tabs>
              <w:tab w:val="right" w:leader="dot" w:pos="9019"/>
            </w:tabs>
            <w:spacing w:line="276" w:lineRule="auto"/>
            <w:rPr>
              <w:rFonts w:asciiTheme="minorHAnsi" w:eastAsiaTheme="minorEastAsia" w:hAnsiTheme="minorHAnsi"/>
              <w:noProof/>
              <w:kern w:val="2"/>
              <w:lang w:eastAsia="en-GB"/>
            </w:rPr>
          </w:pPr>
          <w:hyperlink w:anchor="_Toc224804812" w:history="1">
            <w:r w:rsidRPr="00656FFC">
              <w:rPr>
                <w:rStyle w:val="Hyperlink"/>
                <w:rFonts w:ascii="Arial" w:hAnsi="Arial" w:cs="Arial"/>
                <w:noProof/>
              </w:rPr>
              <w:t>4. Anticipated Findings</w:t>
            </w:r>
            <w:r>
              <w:rPr>
                <w:noProof/>
                <w:webHidden/>
              </w:rPr>
              <w:tab/>
            </w:r>
            <w:r>
              <w:rPr>
                <w:noProof/>
                <w:webHidden/>
              </w:rPr>
              <w:fldChar w:fldCharType="begin"/>
            </w:r>
            <w:r>
              <w:rPr>
                <w:noProof/>
                <w:webHidden/>
              </w:rPr>
              <w:instrText xml:space="preserve"> PAGEREF _Toc224804812 \h </w:instrText>
            </w:r>
            <w:r>
              <w:rPr>
                <w:noProof/>
                <w:webHidden/>
              </w:rPr>
            </w:r>
            <w:r>
              <w:rPr>
                <w:noProof/>
                <w:webHidden/>
              </w:rPr>
              <w:fldChar w:fldCharType="separate"/>
            </w:r>
            <w:r>
              <w:rPr>
                <w:noProof/>
                <w:webHidden/>
              </w:rPr>
              <w:t>8</w:t>
            </w:r>
            <w:r>
              <w:rPr>
                <w:noProof/>
                <w:webHidden/>
              </w:rPr>
              <w:fldChar w:fldCharType="end"/>
            </w:r>
          </w:hyperlink>
        </w:p>
        <w:p w14:paraId="60734BFD" w14:textId="0B0E6695" w:rsidR="00510C63" w:rsidRDefault="00510C63" w:rsidP="00510C63">
          <w:pPr>
            <w:pStyle w:val="TOC1"/>
            <w:tabs>
              <w:tab w:val="right" w:leader="dot" w:pos="9019"/>
            </w:tabs>
            <w:spacing w:line="276" w:lineRule="auto"/>
            <w:rPr>
              <w:rFonts w:asciiTheme="minorHAnsi" w:eastAsiaTheme="minorEastAsia" w:hAnsiTheme="minorHAnsi"/>
              <w:noProof/>
              <w:kern w:val="2"/>
              <w:lang w:eastAsia="en-GB"/>
            </w:rPr>
          </w:pPr>
          <w:hyperlink w:anchor="_Toc224804813" w:history="1">
            <w:r w:rsidRPr="00656FFC">
              <w:rPr>
                <w:rStyle w:val="Hyperlink"/>
                <w:rFonts w:ascii="Arial" w:hAnsi="Arial" w:cs="Arial"/>
                <w:noProof/>
              </w:rPr>
              <w:t>5. Study Limitations</w:t>
            </w:r>
            <w:r>
              <w:rPr>
                <w:noProof/>
                <w:webHidden/>
              </w:rPr>
              <w:tab/>
            </w:r>
            <w:r>
              <w:rPr>
                <w:noProof/>
                <w:webHidden/>
              </w:rPr>
              <w:fldChar w:fldCharType="begin"/>
            </w:r>
            <w:r>
              <w:rPr>
                <w:noProof/>
                <w:webHidden/>
              </w:rPr>
              <w:instrText xml:space="preserve"> PAGEREF _Toc224804813 \h </w:instrText>
            </w:r>
            <w:r>
              <w:rPr>
                <w:noProof/>
                <w:webHidden/>
              </w:rPr>
            </w:r>
            <w:r>
              <w:rPr>
                <w:noProof/>
                <w:webHidden/>
              </w:rPr>
              <w:fldChar w:fldCharType="separate"/>
            </w:r>
            <w:r>
              <w:rPr>
                <w:noProof/>
                <w:webHidden/>
              </w:rPr>
              <w:t>8</w:t>
            </w:r>
            <w:r>
              <w:rPr>
                <w:noProof/>
                <w:webHidden/>
              </w:rPr>
              <w:fldChar w:fldCharType="end"/>
            </w:r>
          </w:hyperlink>
        </w:p>
        <w:p w14:paraId="42371D59" w14:textId="150A9B65" w:rsidR="00510C63" w:rsidRDefault="00510C63" w:rsidP="00510C63">
          <w:pPr>
            <w:pStyle w:val="TOC1"/>
            <w:tabs>
              <w:tab w:val="right" w:leader="dot" w:pos="9019"/>
            </w:tabs>
            <w:spacing w:line="276" w:lineRule="auto"/>
            <w:rPr>
              <w:rFonts w:asciiTheme="minorHAnsi" w:eastAsiaTheme="minorEastAsia" w:hAnsiTheme="minorHAnsi"/>
              <w:noProof/>
              <w:kern w:val="2"/>
              <w:lang w:eastAsia="en-GB"/>
            </w:rPr>
          </w:pPr>
          <w:hyperlink w:anchor="_Toc224804814" w:history="1">
            <w:r w:rsidRPr="00656FFC">
              <w:rPr>
                <w:rStyle w:val="Hyperlink"/>
                <w:rFonts w:ascii="Arial" w:hAnsi="Arial" w:cs="Arial"/>
                <w:noProof/>
              </w:rPr>
              <w:t xml:space="preserve">6. Project Schedule: </w:t>
            </w:r>
            <w:r w:rsidRPr="00656FFC">
              <w:rPr>
                <w:rStyle w:val="Hyperlink"/>
                <w:rFonts w:ascii="Arial" w:hAnsi="Arial" w:cs="Arial"/>
                <w:noProof/>
                <w14:ligatures w14:val="none"/>
              </w:rPr>
              <w:t>Gantt Chart</w:t>
            </w:r>
            <w:r>
              <w:rPr>
                <w:noProof/>
                <w:webHidden/>
              </w:rPr>
              <w:tab/>
            </w:r>
            <w:r>
              <w:rPr>
                <w:noProof/>
                <w:webHidden/>
              </w:rPr>
              <w:fldChar w:fldCharType="begin"/>
            </w:r>
            <w:r>
              <w:rPr>
                <w:noProof/>
                <w:webHidden/>
              </w:rPr>
              <w:instrText xml:space="preserve"> PAGEREF _Toc224804814 \h </w:instrText>
            </w:r>
            <w:r>
              <w:rPr>
                <w:noProof/>
                <w:webHidden/>
              </w:rPr>
            </w:r>
            <w:r>
              <w:rPr>
                <w:noProof/>
                <w:webHidden/>
              </w:rPr>
              <w:fldChar w:fldCharType="separate"/>
            </w:r>
            <w:r>
              <w:rPr>
                <w:noProof/>
                <w:webHidden/>
              </w:rPr>
              <w:t>9</w:t>
            </w:r>
            <w:r>
              <w:rPr>
                <w:noProof/>
                <w:webHidden/>
              </w:rPr>
              <w:fldChar w:fldCharType="end"/>
            </w:r>
          </w:hyperlink>
        </w:p>
        <w:p w14:paraId="576DC383" w14:textId="16E45B35" w:rsidR="00510C63" w:rsidRDefault="00510C63" w:rsidP="00510C63">
          <w:pPr>
            <w:pStyle w:val="TOC1"/>
            <w:tabs>
              <w:tab w:val="right" w:leader="dot" w:pos="9019"/>
            </w:tabs>
            <w:spacing w:line="276" w:lineRule="auto"/>
            <w:rPr>
              <w:rFonts w:asciiTheme="minorHAnsi" w:eastAsiaTheme="minorEastAsia" w:hAnsiTheme="minorHAnsi"/>
              <w:noProof/>
              <w:kern w:val="2"/>
              <w:lang w:eastAsia="en-GB"/>
            </w:rPr>
          </w:pPr>
          <w:hyperlink w:anchor="_Toc224804815" w:history="1">
            <w:r w:rsidRPr="00656FFC">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_Toc224804815 \h </w:instrText>
            </w:r>
            <w:r>
              <w:rPr>
                <w:noProof/>
                <w:webHidden/>
              </w:rPr>
            </w:r>
            <w:r>
              <w:rPr>
                <w:noProof/>
                <w:webHidden/>
              </w:rPr>
              <w:fldChar w:fldCharType="separate"/>
            </w:r>
            <w:r>
              <w:rPr>
                <w:noProof/>
                <w:webHidden/>
              </w:rPr>
              <w:t>9</w:t>
            </w:r>
            <w:r>
              <w:rPr>
                <w:noProof/>
                <w:webHidden/>
              </w:rPr>
              <w:fldChar w:fldCharType="end"/>
            </w:r>
          </w:hyperlink>
        </w:p>
        <w:p w14:paraId="28F24CD0" w14:textId="785554C6" w:rsidR="00510C63" w:rsidRDefault="00510C63" w:rsidP="00510C63">
          <w:pPr>
            <w:pStyle w:val="TOC1"/>
            <w:tabs>
              <w:tab w:val="right" w:leader="dot" w:pos="9019"/>
            </w:tabs>
            <w:spacing w:line="276" w:lineRule="auto"/>
            <w:rPr>
              <w:rFonts w:asciiTheme="minorHAnsi" w:eastAsiaTheme="minorEastAsia" w:hAnsiTheme="minorHAnsi"/>
              <w:noProof/>
              <w:kern w:val="2"/>
              <w:lang w:eastAsia="en-GB"/>
            </w:rPr>
          </w:pPr>
          <w:hyperlink w:anchor="_Toc224804816" w:history="1">
            <w:r w:rsidRPr="00656FF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_Toc224804816 \h </w:instrText>
            </w:r>
            <w:r>
              <w:rPr>
                <w:noProof/>
                <w:webHidden/>
              </w:rPr>
            </w:r>
            <w:r>
              <w:rPr>
                <w:noProof/>
                <w:webHidden/>
              </w:rPr>
              <w:fldChar w:fldCharType="separate"/>
            </w:r>
            <w:r>
              <w:rPr>
                <w:noProof/>
                <w:webHidden/>
              </w:rPr>
              <w:t>10</w:t>
            </w:r>
            <w:r>
              <w:rPr>
                <w:noProof/>
                <w:webHidden/>
              </w:rPr>
              <w:fldChar w:fldCharType="end"/>
            </w:r>
          </w:hyperlink>
        </w:p>
        <w:p w14:paraId="7740A9FA" w14:textId="72798154" w:rsidR="00C21663" w:rsidRPr="0010515B" w:rsidRDefault="00C21663" w:rsidP="00510C63">
          <w:pPr>
            <w:spacing w:line="276" w:lineRule="auto"/>
            <w:rPr>
              <w:rFonts w:ascii="Arial" w:hAnsi="Arial" w:cs="Arial"/>
            </w:rPr>
          </w:pPr>
          <w:r w:rsidRPr="0010515B">
            <w:rPr>
              <w:rFonts w:ascii="Arial" w:hAnsi="Arial" w:cs="Arial"/>
              <w:b/>
              <w:bCs/>
            </w:rPr>
            <w:fldChar w:fldCharType="end"/>
          </w:r>
        </w:p>
      </w:sdtContent>
    </w:sdt>
    <w:p w14:paraId="70372069" w14:textId="77777777" w:rsidR="00510C63" w:rsidRDefault="00510C63">
      <w:pPr>
        <w:rPr>
          <w:rFonts w:ascii="Arial" w:hAnsi="Arial" w:cs="Arial"/>
        </w:rPr>
        <w:sectPr w:rsidR="00510C63" w:rsidSect="001B4420">
          <w:footerReference w:type="default" r:id="rId8"/>
          <w:pgSz w:w="11909" w:h="16834" w:code="9"/>
          <w:pgMar w:top="1440" w:right="1440" w:bottom="1440" w:left="1440" w:header="720" w:footer="720" w:gutter="0"/>
          <w:pgNumType w:start="1"/>
          <w:cols w:space="720"/>
          <w:docGrid w:linePitch="360"/>
        </w:sectPr>
      </w:pPr>
      <w:bookmarkStart w:id="0" w:name="_Toc224804791"/>
      <w:r>
        <w:rPr>
          <w:rFonts w:ascii="Arial" w:hAnsi="Arial" w:cs="Arial"/>
        </w:rPr>
        <w:br w:type="page"/>
      </w:r>
    </w:p>
    <w:p w14:paraId="6B8BD27B" w14:textId="06FBC706" w:rsidR="00C21663" w:rsidRPr="0010515B" w:rsidRDefault="00C21663" w:rsidP="00C21663">
      <w:pPr>
        <w:pStyle w:val="Heading1"/>
        <w:rPr>
          <w:rFonts w:ascii="Arial" w:hAnsi="Arial" w:cs="Arial"/>
        </w:rPr>
      </w:pPr>
      <w:r w:rsidRPr="0010515B">
        <w:rPr>
          <w:rFonts w:ascii="Arial" w:hAnsi="Arial" w:cs="Arial"/>
        </w:rPr>
        <w:t>1. Introduction</w:t>
      </w:r>
      <w:bookmarkEnd w:id="0"/>
    </w:p>
    <w:p w14:paraId="6E16B2D0" w14:textId="5AC3C20D" w:rsidR="00C21663" w:rsidRPr="0010515B" w:rsidRDefault="00C21663" w:rsidP="00C21663">
      <w:pPr>
        <w:pStyle w:val="Heading2"/>
        <w:rPr>
          <w:rFonts w:ascii="Arial" w:hAnsi="Arial" w:cs="Arial"/>
        </w:rPr>
      </w:pPr>
      <w:bookmarkStart w:id="1" w:name="_Toc224804792"/>
      <w:r w:rsidRPr="0010515B">
        <w:rPr>
          <w:rFonts w:ascii="Arial" w:hAnsi="Arial" w:cs="Arial"/>
        </w:rPr>
        <w:t xml:space="preserve">1.1 </w:t>
      </w:r>
      <w:r w:rsidR="001557F4" w:rsidRPr="001557F4">
        <w:rPr>
          <w:rFonts w:ascii="Arial" w:hAnsi="Arial" w:cs="Arial"/>
        </w:rPr>
        <w:t>Industry and Research Context</w:t>
      </w:r>
      <w:bookmarkEnd w:id="1"/>
    </w:p>
    <w:p w14:paraId="47A572C2" w14:textId="77717C54" w:rsidR="00B45BF9" w:rsidRPr="0010515B" w:rsidRDefault="00B45BF9" w:rsidP="00C21663">
      <w:pPr>
        <w:rPr>
          <w:rFonts w:ascii="Arial" w:hAnsi="Arial" w:cs="Arial"/>
        </w:rPr>
      </w:pPr>
      <w:r w:rsidRPr="00B45BF9">
        <w:rPr>
          <w:rFonts w:ascii="Arial" w:hAnsi="Arial" w:cs="Arial"/>
        </w:rPr>
        <w:t xml:space="preserve">The </w:t>
      </w:r>
      <w:r w:rsidR="00AD74E8">
        <w:rPr>
          <w:rFonts w:ascii="Arial" w:hAnsi="Arial" w:cs="Arial"/>
        </w:rPr>
        <w:t xml:space="preserve">United Kingdom's </w:t>
      </w:r>
      <w:r w:rsidRPr="00B45BF9">
        <w:rPr>
          <w:rFonts w:ascii="Arial" w:hAnsi="Arial" w:cs="Arial"/>
        </w:rPr>
        <w:t xml:space="preserve">skin care high-end is in a very visible beauty economy. According to industry reports, the </w:t>
      </w:r>
      <w:r w:rsidR="00AD74E8">
        <w:rPr>
          <w:rFonts w:ascii="Arial" w:hAnsi="Arial" w:cs="Arial"/>
        </w:rPr>
        <w:t>United Kingdom</w:t>
      </w:r>
      <w:r w:rsidR="00AD74E8" w:rsidRPr="0010515B">
        <w:rPr>
          <w:rFonts w:ascii="Arial" w:hAnsi="Arial" w:cs="Arial"/>
        </w:rPr>
        <w:t xml:space="preserve"> </w:t>
      </w:r>
      <w:r w:rsidRPr="00B45BF9">
        <w:rPr>
          <w:rFonts w:ascii="Arial" w:hAnsi="Arial" w:cs="Arial"/>
        </w:rPr>
        <w:t xml:space="preserve">beauty sector will contribute </w:t>
      </w:r>
      <w:r w:rsidR="00AD74E8">
        <w:rPr>
          <w:rFonts w:ascii="Arial" w:hAnsi="Arial" w:cs="Arial"/>
        </w:rPr>
        <w:t xml:space="preserve">about </w:t>
      </w:r>
      <w:r>
        <w:rPr>
          <w:rFonts w:ascii="Arial" w:hAnsi="Arial" w:cs="Arial"/>
        </w:rPr>
        <w:t>£ 30.4</w:t>
      </w:r>
      <w:r w:rsidRPr="00B45BF9">
        <w:rPr>
          <w:rFonts w:ascii="Arial" w:hAnsi="Arial" w:cs="Arial"/>
        </w:rPr>
        <w:t xml:space="preserve"> billion to GDP in 2024 (Warn, 2025b). The UK is said to have higher prestige beauty sales in comparison to all the EU5 (Warn, 2025a), and facial skincare value sales improved by 7.9% in 2024 (Mintel, 2024). In the </w:t>
      </w:r>
      <w:r w:rsidR="00AD74E8">
        <w:rPr>
          <w:rFonts w:ascii="Arial" w:hAnsi="Arial" w:cs="Arial"/>
        </w:rPr>
        <w:t>United Kingdom</w:t>
      </w:r>
      <w:r w:rsidRPr="00B45BF9">
        <w:rPr>
          <w:rFonts w:ascii="Arial" w:hAnsi="Arial" w:cs="Arial"/>
        </w:rPr>
        <w:t xml:space="preserve">, the use of beauty products also has significant import qualities to the tune of circa </w:t>
      </w:r>
      <w:r>
        <w:rPr>
          <w:rFonts w:ascii="Arial" w:hAnsi="Arial" w:cs="Arial"/>
        </w:rPr>
        <w:t xml:space="preserve">£ </w:t>
      </w:r>
      <w:r w:rsidRPr="00B45BF9">
        <w:rPr>
          <w:rFonts w:ascii="Arial" w:hAnsi="Arial" w:cs="Arial"/>
        </w:rPr>
        <w:t>2.93 billion in 2024 (OEC, 2025). Thus, the labels of country of origin and indicators of imports are very prominent at the point of sale. These source cues can influence the quality, safety, prestige, and purchase intention impressions of the UK customers, but there are limited quantitative data on the topic in the UK</w:t>
      </w:r>
      <w:r>
        <w:rPr>
          <w:rFonts w:ascii="Arial" w:hAnsi="Arial" w:cs="Arial"/>
        </w:rPr>
        <w:t xml:space="preserve">, and </w:t>
      </w:r>
      <w:r w:rsidR="00C21663" w:rsidRPr="0010515B">
        <w:rPr>
          <w:rFonts w:ascii="Arial" w:hAnsi="Arial" w:cs="Arial"/>
        </w:rPr>
        <w:t>evidence regarding these effects in the market of premium imported skincare.</w:t>
      </w:r>
    </w:p>
    <w:p w14:paraId="57225A4D" w14:textId="77777777" w:rsidR="00C21663" w:rsidRPr="0010515B" w:rsidRDefault="00C21663" w:rsidP="00C21663">
      <w:pPr>
        <w:pStyle w:val="Heading2"/>
        <w:rPr>
          <w:rFonts w:ascii="Arial" w:hAnsi="Arial" w:cs="Arial"/>
        </w:rPr>
      </w:pPr>
      <w:bookmarkStart w:id="2" w:name="_Toc224804793"/>
      <w:r w:rsidRPr="0010515B">
        <w:rPr>
          <w:rFonts w:ascii="Arial" w:hAnsi="Arial" w:cs="Arial"/>
        </w:rPr>
        <w:t>1.2 Research Aim</w:t>
      </w:r>
      <w:bookmarkEnd w:id="2"/>
    </w:p>
    <w:p w14:paraId="2F26C531" w14:textId="29F42C9A" w:rsidR="00634C24" w:rsidRPr="00634C24" w:rsidRDefault="00634C24" w:rsidP="00E979BE">
      <w:pPr>
        <w:rPr>
          <w:rFonts w:ascii="Arial" w:hAnsi="Arial" w:cs="Arial"/>
        </w:rPr>
      </w:pPr>
      <w:r w:rsidRPr="00634C24">
        <w:rPr>
          <w:rFonts w:ascii="Arial" w:hAnsi="Arial" w:cs="Arial"/>
        </w:rPr>
        <w:t xml:space="preserve">To examine and measure how origin-related cues influence </w:t>
      </w:r>
      <w:r w:rsidR="00AD74E8">
        <w:rPr>
          <w:rFonts w:ascii="Arial" w:hAnsi="Arial" w:cs="Arial"/>
        </w:rPr>
        <w:t>United Kingdom</w:t>
      </w:r>
      <w:r w:rsidR="00AD74E8" w:rsidRPr="0010515B">
        <w:rPr>
          <w:rFonts w:ascii="Arial" w:hAnsi="Arial" w:cs="Arial"/>
        </w:rPr>
        <w:t xml:space="preserve"> </w:t>
      </w:r>
      <w:r w:rsidRPr="00634C24">
        <w:rPr>
          <w:rFonts w:ascii="Arial" w:hAnsi="Arial" w:cs="Arial"/>
        </w:rPr>
        <w:t>consumers’ evaluations and purchas</w:t>
      </w:r>
      <w:r w:rsidR="00B45BF9">
        <w:rPr>
          <w:rFonts w:ascii="Arial" w:hAnsi="Arial" w:cs="Arial"/>
        </w:rPr>
        <w:t>ing</w:t>
      </w:r>
      <w:r w:rsidRPr="00634C24">
        <w:rPr>
          <w:rFonts w:ascii="Arial" w:hAnsi="Arial" w:cs="Arial"/>
        </w:rPr>
        <w:t xml:space="preserve"> decisions regarding </w:t>
      </w:r>
      <w:r w:rsidR="00F83484">
        <w:rPr>
          <w:rFonts w:ascii="Arial" w:hAnsi="Arial" w:cs="Arial"/>
        </w:rPr>
        <w:t>high-end</w:t>
      </w:r>
      <w:r w:rsidRPr="00634C24">
        <w:rPr>
          <w:rFonts w:ascii="Arial" w:hAnsi="Arial" w:cs="Arial"/>
        </w:rPr>
        <w:t xml:space="preserve"> imported skincare products.</w:t>
      </w:r>
    </w:p>
    <w:p w14:paraId="7D5B6749" w14:textId="43D98C63" w:rsidR="00C21663" w:rsidRPr="0010515B" w:rsidRDefault="00C21663" w:rsidP="00C21663">
      <w:pPr>
        <w:pStyle w:val="Heading2"/>
        <w:rPr>
          <w:rFonts w:ascii="Arial" w:hAnsi="Arial" w:cs="Arial"/>
        </w:rPr>
      </w:pPr>
      <w:bookmarkStart w:id="3" w:name="_Toc224804794"/>
      <w:r w:rsidRPr="0010515B">
        <w:rPr>
          <w:rFonts w:ascii="Arial" w:hAnsi="Arial" w:cs="Arial"/>
        </w:rPr>
        <w:t xml:space="preserve">1.3 </w:t>
      </w:r>
      <w:r w:rsidR="00510C63" w:rsidRPr="00510C63">
        <w:rPr>
          <w:rFonts w:ascii="Arial" w:hAnsi="Arial" w:cs="Arial"/>
        </w:rPr>
        <w:t>Key</w:t>
      </w:r>
      <w:r w:rsidR="00510C63">
        <w:rPr>
          <w:rFonts w:ascii="Arial" w:hAnsi="Arial" w:cs="Arial"/>
        </w:rPr>
        <w:t xml:space="preserve"> </w:t>
      </w:r>
      <w:r w:rsidRPr="0010515B">
        <w:rPr>
          <w:rFonts w:ascii="Arial" w:hAnsi="Arial" w:cs="Arial"/>
        </w:rPr>
        <w:t>Research Objectives</w:t>
      </w:r>
      <w:bookmarkEnd w:id="3"/>
    </w:p>
    <w:p w14:paraId="6E8BBD3B" w14:textId="52B26C69" w:rsidR="00E979BE" w:rsidRPr="0010515B" w:rsidRDefault="00E979BE" w:rsidP="00E979BE">
      <w:pPr>
        <w:pStyle w:val="ListParagraph"/>
        <w:numPr>
          <w:ilvl w:val="0"/>
          <w:numId w:val="6"/>
        </w:numPr>
        <w:rPr>
          <w:rFonts w:ascii="Arial" w:hAnsi="Arial" w:cs="Arial"/>
        </w:rPr>
      </w:pPr>
      <w:r w:rsidRPr="0010515B">
        <w:rPr>
          <w:rFonts w:ascii="Arial" w:hAnsi="Arial" w:cs="Arial"/>
        </w:rPr>
        <w:t xml:space="preserve">To </w:t>
      </w:r>
      <w:r w:rsidR="00D151F4" w:rsidRPr="00D151F4">
        <w:rPr>
          <w:rFonts w:ascii="Arial" w:hAnsi="Arial" w:cs="Arial"/>
        </w:rPr>
        <w:t xml:space="preserve">explore </w:t>
      </w:r>
      <w:r w:rsidRPr="0010515B">
        <w:rPr>
          <w:rFonts w:ascii="Arial" w:hAnsi="Arial" w:cs="Arial"/>
        </w:rPr>
        <w:t>the origin-related cues consumers attend to when evaluating premium imported skincare.</w:t>
      </w:r>
    </w:p>
    <w:p w14:paraId="01E76D4F" w14:textId="77777777" w:rsidR="00E979BE" w:rsidRPr="0010515B" w:rsidRDefault="00E979BE" w:rsidP="00E979BE">
      <w:pPr>
        <w:pStyle w:val="ListParagraph"/>
        <w:numPr>
          <w:ilvl w:val="0"/>
          <w:numId w:val="6"/>
        </w:numPr>
        <w:rPr>
          <w:rFonts w:ascii="Arial" w:hAnsi="Arial" w:cs="Arial"/>
        </w:rPr>
      </w:pPr>
      <w:r w:rsidRPr="0010515B">
        <w:rPr>
          <w:rFonts w:ascii="Arial" w:hAnsi="Arial" w:cs="Arial"/>
        </w:rPr>
        <w:t>To analyse how country associations shape perceived quality, safety, and brand prestige.</w:t>
      </w:r>
    </w:p>
    <w:p w14:paraId="26592054" w14:textId="4E93934A" w:rsidR="00E979BE" w:rsidRPr="0010515B" w:rsidRDefault="00E979BE" w:rsidP="00E979BE">
      <w:pPr>
        <w:pStyle w:val="ListParagraph"/>
        <w:numPr>
          <w:ilvl w:val="0"/>
          <w:numId w:val="6"/>
        </w:numPr>
        <w:rPr>
          <w:rFonts w:ascii="Arial" w:hAnsi="Arial" w:cs="Arial"/>
        </w:rPr>
      </w:pPr>
      <w:r w:rsidRPr="0010515B">
        <w:rPr>
          <w:rFonts w:ascii="Arial" w:hAnsi="Arial" w:cs="Arial"/>
        </w:rPr>
        <w:t xml:space="preserve">To test </w:t>
      </w:r>
      <w:r w:rsidR="00D151F4" w:rsidRPr="00D151F4">
        <w:rPr>
          <w:rFonts w:ascii="Arial" w:hAnsi="Arial" w:cs="Arial"/>
        </w:rPr>
        <w:t>how strongly these</w:t>
      </w:r>
      <w:r w:rsidR="00D151F4">
        <w:rPr>
          <w:rFonts w:ascii="Arial" w:hAnsi="Arial" w:cs="Arial"/>
        </w:rPr>
        <w:t xml:space="preserve"> </w:t>
      </w:r>
      <w:r w:rsidRPr="0010515B">
        <w:rPr>
          <w:rFonts w:ascii="Arial" w:hAnsi="Arial" w:cs="Arial"/>
        </w:rPr>
        <w:t xml:space="preserve">perceptions influence purchase </w:t>
      </w:r>
      <w:r w:rsidR="00D151F4">
        <w:rPr>
          <w:rFonts w:ascii="Arial" w:hAnsi="Arial" w:cs="Arial"/>
        </w:rPr>
        <w:t>decisions</w:t>
      </w:r>
      <w:r w:rsidRPr="0010515B">
        <w:rPr>
          <w:rFonts w:ascii="Arial" w:hAnsi="Arial" w:cs="Arial"/>
        </w:rPr>
        <w:t>.</w:t>
      </w:r>
    </w:p>
    <w:p w14:paraId="3E2DB4EB" w14:textId="3FEDD2DE" w:rsidR="004E3021" w:rsidRPr="0010515B" w:rsidRDefault="00E979BE" w:rsidP="00E979BE">
      <w:pPr>
        <w:pStyle w:val="ListParagraph"/>
        <w:numPr>
          <w:ilvl w:val="0"/>
          <w:numId w:val="6"/>
        </w:numPr>
        <w:rPr>
          <w:rFonts w:ascii="Arial" w:hAnsi="Arial" w:cs="Arial"/>
        </w:rPr>
      </w:pPr>
      <w:r w:rsidRPr="0010515B">
        <w:rPr>
          <w:rFonts w:ascii="Arial" w:hAnsi="Arial" w:cs="Arial"/>
        </w:rPr>
        <w:t>To investigate whether these effects differ across consumer segments defined by age, income, skincare involvement, and brand familiarity.</w:t>
      </w:r>
    </w:p>
    <w:p w14:paraId="5894EEF3" w14:textId="35DA6F2A" w:rsidR="00C21663" w:rsidRPr="0010515B" w:rsidRDefault="00C21663" w:rsidP="00C21663">
      <w:pPr>
        <w:pStyle w:val="Heading2"/>
        <w:rPr>
          <w:rFonts w:ascii="Arial" w:hAnsi="Arial" w:cs="Arial"/>
        </w:rPr>
      </w:pPr>
      <w:bookmarkStart w:id="4" w:name="_Toc224804795"/>
      <w:r w:rsidRPr="0010515B">
        <w:rPr>
          <w:rFonts w:ascii="Arial" w:hAnsi="Arial" w:cs="Arial"/>
        </w:rPr>
        <w:t>1.4</w:t>
      </w:r>
      <w:r w:rsidR="00510C63">
        <w:rPr>
          <w:rFonts w:ascii="Arial" w:hAnsi="Arial" w:cs="Arial"/>
        </w:rPr>
        <w:t xml:space="preserve"> </w:t>
      </w:r>
      <w:r w:rsidR="00510C63" w:rsidRPr="00510C63">
        <w:rPr>
          <w:rFonts w:ascii="Arial" w:hAnsi="Arial" w:cs="Arial"/>
        </w:rPr>
        <w:t>Key</w:t>
      </w:r>
      <w:r w:rsidRPr="0010515B">
        <w:rPr>
          <w:rFonts w:ascii="Arial" w:hAnsi="Arial" w:cs="Arial"/>
        </w:rPr>
        <w:t xml:space="preserve"> Research Questions</w:t>
      </w:r>
      <w:bookmarkEnd w:id="4"/>
    </w:p>
    <w:p w14:paraId="6B105C46" w14:textId="4BA65966" w:rsidR="00E979BE" w:rsidRPr="0010515B" w:rsidRDefault="00E979BE" w:rsidP="001B4420">
      <w:pPr>
        <w:pStyle w:val="ListParagraph"/>
        <w:numPr>
          <w:ilvl w:val="0"/>
          <w:numId w:val="7"/>
        </w:numPr>
        <w:rPr>
          <w:rFonts w:ascii="Arial" w:hAnsi="Arial" w:cs="Arial"/>
        </w:rPr>
      </w:pPr>
      <w:r w:rsidRPr="0010515B">
        <w:rPr>
          <w:rFonts w:ascii="Arial" w:hAnsi="Arial" w:cs="Arial"/>
        </w:rPr>
        <w:t xml:space="preserve">What origin-related cues do </w:t>
      </w:r>
      <w:r w:rsidR="00AD74E8">
        <w:rPr>
          <w:rFonts w:ascii="Arial" w:hAnsi="Arial" w:cs="Arial"/>
        </w:rPr>
        <w:t>United Kingdom</w:t>
      </w:r>
      <w:r w:rsidRPr="0010515B">
        <w:rPr>
          <w:rFonts w:ascii="Arial" w:hAnsi="Arial" w:cs="Arial"/>
        </w:rPr>
        <w:t xml:space="preserve"> consumers attend to when evaluating premium imported skincare?</w:t>
      </w:r>
    </w:p>
    <w:p w14:paraId="27D4D5BE" w14:textId="77777777" w:rsidR="00E979BE" w:rsidRPr="0010515B" w:rsidRDefault="00E979BE" w:rsidP="001B4420">
      <w:pPr>
        <w:pStyle w:val="ListParagraph"/>
        <w:numPr>
          <w:ilvl w:val="0"/>
          <w:numId w:val="7"/>
        </w:numPr>
        <w:rPr>
          <w:rFonts w:ascii="Arial" w:hAnsi="Arial" w:cs="Arial"/>
        </w:rPr>
      </w:pPr>
      <w:r w:rsidRPr="0010515B">
        <w:rPr>
          <w:rFonts w:ascii="Arial" w:hAnsi="Arial" w:cs="Arial"/>
        </w:rPr>
        <w:t>How do country associations shape perceived quality, safety, and brand prestige?</w:t>
      </w:r>
    </w:p>
    <w:p w14:paraId="6CFE1F5C" w14:textId="478185EF" w:rsidR="00E979BE" w:rsidRPr="0010515B" w:rsidRDefault="00D151F4" w:rsidP="001B4420">
      <w:pPr>
        <w:pStyle w:val="ListParagraph"/>
        <w:numPr>
          <w:ilvl w:val="0"/>
          <w:numId w:val="7"/>
        </w:numPr>
        <w:rPr>
          <w:rFonts w:ascii="Arial" w:hAnsi="Arial" w:cs="Arial"/>
        </w:rPr>
      </w:pPr>
      <w:r>
        <w:rPr>
          <w:rFonts w:ascii="Arial" w:hAnsi="Arial" w:cs="Arial"/>
        </w:rPr>
        <w:t>H</w:t>
      </w:r>
      <w:r w:rsidRPr="00D151F4">
        <w:rPr>
          <w:rFonts w:ascii="Arial" w:hAnsi="Arial" w:cs="Arial"/>
        </w:rPr>
        <w:t xml:space="preserve">ow strongly </w:t>
      </w:r>
      <w:r w:rsidR="00E979BE" w:rsidRPr="0010515B">
        <w:rPr>
          <w:rFonts w:ascii="Arial" w:hAnsi="Arial" w:cs="Arial"/>
        </w:rPr>
        <w:t>do these perceptions influence purchase intention?</w:t>
      </w:r>
    </w:p>
    <w:p w14:paraId="6BE1D0AA" w14:textId="1E0B189D" w:rsidR="00C42C28" w:rsidRPr="0010515B" w:rsidRDefault="00E979BE" w:rsidP="001B4420">
      <w:pPr>
        <w:pStyle w:val="ListParagraph"/>
        <w:numPr>
          <w:ilvl w:val="0"/>
          <w:numId w:val="7"/>
        </w:numPr>
        <w:rPr>
          <w:rFonts w:ascii="Arial" w:hAnsi="Arial" w:cs="Arial"/>
        </w:rPr>
      </w:pPr>
      <w:r w:rsidRPr="0010515B">
        <w:rPr>
          <w:rFonts w:ascii="Arial" w:hAnsi="Arial" w:cs="Arial"/>
        </w:rPr>
        <w:t>Do these effects differ by age, income, skincare involvement, and brand familiarity?</w:t>
      </w:r>
    </w:p>
    <w:p w14:paraId="398054BA" w14:textId="77777777" w:rsidR="00C42C28" w:rsidRPr="0010515B" w:rsidRDefault="00C42C28" w:rsidP="00C42C28">
      <w:pPr>
        <w:pStyle w:val="Heading1"/>
        <w:rPr>
          <w:rFonts w:ascii="Arial" w:hAnsi="Arial" w:cs="Arial"/>
        </w:rPr>
      </w:pPr>
      <w:bookmarkStart w:id="5" w:name="_Toc224804796"/>
      <w:r w:rsidRPr="0010515B">
        <w:rPr>
          <w:rFonts w:ascii="Arial" w:hAnsi="Arial" w:cs="Arial"/>
        </w:rPr>
        <w:t>2. Literature Review</w:t>
      </w:r>
      <w:bookmarkEnd w:id="5"/>
    </w:p>
    <w:p w14:paraId="0B3F25BD" w14:textId="411C77BD" w:rsidR="00C42C28" w:rsidRPr="0010515B" w:rsidRDefault="00C42C28" w:rsidP="00C42C28">
      <w:pPr>
        <w:rPr>
          <w:rFonts w:ascii="Arial" w:hAnsi="Arial" w:cs="Arial"/>
        </w:rPr>
      </w:pPr>
      <w:r w:rsidRPr="0010515B">
        <w:rPr>
          <w:rFonts w:ascii="Arial" w:hAnsi="Arial" w:cs="Arial"/>
        </w:rPr>
        <w:t xml:space="preserve">The review contributes to the creation of the framework within which the role of origin-related cues is analysed in terms of its </w:t>
      </w:r>
      <w:r w:rsidR="00B45BF9">
        <w:rPr>
          <w:rFonts w:ascii="Arial" w:hAnsi="Arial" w:cs="Arial"/>
        </w:rPr>
        <w:t>impact</w:t>
      </w:r>
      <w:r w:rsidRPr="0010515B">
        <w:rPr>
          <w:rFonts w:ascii="Arial" w:hAnsi="Arial" w:cs="Arial"/>
        </w:rPr>
        <w:t xml:space="preserve"> on the </w:t>
      </w:r>
      <w:r w:rsidR="00B45BF9">
        <w:rPr>
          <w:rFonts w:ascii="Arial" w:hAnsi="Arial" w:cs="Arial"/>
        </w:rPr>
        <w:t>examination</w:t>
      </w:r>
      <w:r w:rsidRPr="0010515B">
        <w:rPr>
          <w:rFonts w:ascii="Arial" w:hAnsi="Arial" w:cs="Arial"/>
        </w:rPr>
        <w:t xml:space="preserve"> and purchas</w:t>
      </w:r>
      <w:r w:rsidR="00B45BF9">
        <w:rPr>
          <w:rFonts w:ascii="Arial" w:hAnsi="Arial" w:cs="Arial"/>
        </w:rPr>
        <w:t>ing</w:t>
      </w:r>
      <w:r w:rsidRPr="0010515B">
        <w:rPr>
          <w:rFonts w:ascii="Arial" w:hAnsi="Arial" w:cs="Arial"/>
        </w:rPr>
        <w:t xml:space="preserve"> </w:t>
      </w:r>
      <w:r w:rsidR="00B45BF9">
        <w:rPr>
          <w:rFonts w:ascii="Arial" w:hAnsi="Arial" w:cs="Arial"/>
        </w:rPr>
        <w:t xml:space="preserve">decisions </w:t>
      </w:r>
      <w:r w:rsidR="00B45BF9" w:rsidRPr="0010515B">
        <w:rPr>
          <w:rFonts w:ascii="Arial" w:hAnsi="Arial" w:cs="Arial"/>
        </w:rPr>
        <w:t>of</w:t>
      </w:r>
      <w:r w:rsidRPr="0010515B">
        <w:rPr>
          <w:rFonts w:ascii="Arial" w:hAnsi="Arial" w:cs="Arial"/>
        </w:rPr>
        <w:t xml:space="preserve"> UK consumers toward the </w:t>
      </w:r>
      <w:r w:rsidR="00B45BF9">
        <w:rPr>
          <w:rFonts w:ascii="Arial" w:hAnsi="Arial" w:cs="Arial"/>
        </w:rPr>
        <w:t>high-end</w:t>
      </w:r>
      <w:r w:rsidRPr="0010515B">
        <w:rPr>
          <w:rFonts w:ascii="Arial" w:hAnsi="Arial" w:cs="Arial"/>
        </w:rPr>
        <w:t xml:space="preserve"> imported skincare. The themes are directly mapped to the research questions and design. The cue salience theory is the theory of COO; the uncertainty reduction theory is signalling theory; the premium branding literature justifies prestige consequently; the skincare decision-making research explains safety, risk, and involvement; and the behavioural models justify purchas</w:t>
      </w:r>
      <w:r w:rsidR="00AD74E8">
        <w:rPr>
          <w:rFonts w:ascii="Arial" w:hAnsi="Arial" w:cs="Arial"/>
        </w:rPr>
        <w:t>ing dicisions</w:t>
      </w:r>
      <w:r w:rsidRPr="0010515B">
        <w:rPr>
          <w:rFonts w:ascii="Arial" w:hAnsi="Arial" w:cs="Arial"/>
        </w:rPr>
        <w:t xml:space="preserve"> as the dependent variable. The combination of these views informs the measurement of cue salience, perceived quality, perceived safety, brand prestige, purchase intent, and segment differences.</w:t>
      </w:r>
    </w:p>
    <w:p w14:paraId="10976B27" w14:textId="77777777" w:rsidR="00C42C28" w:rsidRPr="0010515B" w:rsidRDefault="00C42C28" w:rsidP="00C42C28">
      <w:pPr>
        <w:pStyle w:val="Heading2"/>
        <w:rPr>
          <w:rFonts w:ascii="Arial" w:hAnsi="Arial" w:cs="Arial"/>
        </w:rPr>
      </w:pPr>
      <w:bookmarkStart w:id="6" w:name="_Toc224804797"/>
      <w:r w:rsidRPr="0010515B">
        <w:rPr>
          <w:rFonts w:ascii="Arial" w:hAnsi="Arial" w:cs="Arial"/>
        </w:rPr>
        <w:t>2.1 Country-of-Origin (COO) Theory</w:t>
      </w:r>
      <w:bookmarkEnd w:id="6"/>
    </w:p>
    <w:p w14:paraId="3EEB95E4" w14:textId="64499FB7" w:rsidR="002D7208" w:rsidRPr="0010515B" w:rsidRDefault="002D7208" w:rsidP="00C42C28">
      <w:pPr>
        <w:rPr>
          <w:rFonts w:ascii="Arial" w:hAnsi="Arial" w:cs="Arial"/>
        </w:rPr>
      </w:pPr>
      <w:r w:rsidRPr="0010515B">
        <w:rPr>
          <w:rFonts w:ascii="Arial" w:hAnsi="Arial" w:cs="Arial"/>
        </w:rPr>
        <w:t>In the case when intrinsic attributes cannot be easily evaluated, COO research considers origin as an extrinsic signal. The perceived quality can be influenced by the association of the place of manufacturing in situations where there is limited information (Bilkey and Nes, 1982). Impacts of COO are attitudinal and intentional, though depending on the product type, consumer diagnosticity of knowledge and source (Verlegh and Steenkamp, 1999). This is important in imported skincare, where efficacy and safety cannot easily be checked before they can be utilised. One of the differences is between halo and summary construct effects: a consumer can project some beliefs without experiencing or basing their opinions on product experience (Min, 1989). Therefore, French pharmacy, K-beauty or Japanese skincare can be stereotypical or based on the experience. Countries and stereotypes are multidimensional (Roth and Diamantopoulos, 2009), explicit and implicit aspects influence preferences in different ways, and thus the effect of the COO is automatic and deliberative (Diamantopoulos et al., 2017). COO reacts with the price sensitivity and intention in skincare models (Hsu, Chang and Yansritakul, 2017), whereas in the UK green-cosmetics evidence, the concepts of safety and credibility react (Lin et al., 2018). RQ1 and RQ2 are informed using this theme and used to measure cue salience and country-linked evaluations.</w:t>
      </w:r>
    </w:p>
    <w:p w14:paraId="55D0BFD9" w14:textId="6C407EEB" w:rsidR="00C42C28" w:rsidRPr="0010515B" w:rsidRDefault="00C42C28" w:rsidP="00C42C28">
      <w:pPr>
        <w:pStyle w:val="Heading2"/>
        <w:rPr>
          <w:rFonts w:ascii="Arial" w:hAnsi="Arial" w:cs="Arial"/>
        </w:rPr>
      </w:pPr>
      <w:bookmarkStart w:id="7" w:name="_Toc224804798"/>
      <w:r w:rsidRPr="0010515B">
        <w:rPr>
          <w:rFonts w:ascii="Arial" w:hAnsi="Arial" w:cs="Arial"/>
        </w:rPr>
        <w:t xml:space="preserve">2.2 </w:t>
      </w:r>
      <w:r w:rsidR="00510C63" w:rsidRPr="00510C63">
        <w:rPr>
          <w:rFonts w:ascii="Arial" w:hAnsi="Arial" w:cs="Arial"/>
        </w:rPr>
        <w:t>Signalling Theory in Consumer Markets</w:t>
      </w:r>
      <w:bookmarkEnd w:id="7"/>
    </w:p>
    <w:p w14:paraId="445CC6D7" w14:textId="77777777" w:rsidR="00C42C28" w:rsidRPr="0010515B" w:rsidRDefault="00C42C28" w:rsidP="00C42C28">
      <w:pPr>
        <w:rPr>
          <w:rFonts w:ascii="Arial" w:hAnsi="Arial" w:cs="Arial"/>
        </w:rPr>
      </w:pPr>
      <w:r w:rsidRPr="0010515B">
        <w:rPr>
          <w:rFonts w:ascii="Arial" w:hAnsi="Arial" w:cs="Arial"/>
        </w:rPr>
        <w:t>Signalling theory describes the choices made when there is information asymmetry, with sellers having more knowledge of quality and safety than buyers. Observable indicators are then used as proxies of qualities that are not observable (Spence, 1973). With high-end imported skincare, consumers have no easy way to check the efficacy or quality of formulation or production before they make a purchase. The cues are more convincing when they are difficult to counterfeit or carry reputational effects for the sender (Kirmani and Rao, 2000). Origin-related cues have a chance to act like that because they are associated with national reputations for cosmetic science, dermatology, heritage, or control. Both signal interpretation and receiver knowledge and context are also important, implying that they could be influenced by opportunity, familiarity, and the presence of dependence on origin cues (Connelly et al., 2011). This theme enlightens RQ2 and RQ4 and underscores the predictive nature of origin-related cues as outdated with respect to perceived quality, perceived safety, and brand prestige, but involvement and familiarity as variables of segmentation.</w:t>
      </w:r>
    </w:p>
    <w:p w14:paraId="36450C3C" w14:textId="426F1F83" w:rsidR="00C42C28" w:rsidRPr="0010515B" w:rsidRDefault="00C42C28" w:rsidP="00C42C28">
      <w:pPr>
        <w:pStyle w:val="Heading2"/>
        <w:rPr>
          <w:rFonts w:ascii="Arial" w:hAnsi="Arial" w:cs="Arial"/>
        </w:rPr>
      </w:pPr>
      <w:bookmarkStart w:id="8" w:name="_Toc224804799"/>
      <w:r w:rsidRPr="0010515B">
        <w:rPr>
          <w:rFonts w:ascii="Arial" w:hAnsi="Arial" w:cs="Arial"/>
        </w:rPr>
        <w:t xml:space="preserve">2.3 </w:t>
      </w:r>
      <w:r w:rsidR="00510C63" w:rsidRPr="00510C63">
        <w:rPr>
          <w:rFonts w:ascii="Arial" w:hAnsi="Arial" w:cs="Arial"/>
        </w:rPr>
        <w:t>Prestige Branding and Perceived Value</w:t>
      </w:r>
      <w:bookmarkEnd w:id="8"/>
    </w:p>
    <w:p w14:paraId="11F32361" w14:textId="4D1495D7" w:rsidR="00C42C28" w:rsidRPr="0010515B" w:rsidRDefault="00C42C28" w:rsidP="00C42C28">
      <w:pPr>
        <w:rPr>
          <w:rFonts w:ascii="Arial" w:hAnsi="Arial" w:cs="Arial"/>
        </w:rPr>
      </w:pPr>
      <w:r w:rsidRPr="0010515B">
        <w:rPr>
          <w:rFonts w:ascii="Arial" w:hAnsi="Arial" w:cs="Arial"/>
        </w:rPr>
        <w:t xml:space="preserve">High-end </w:t>
      </w:r>
      <w:r w:rsidR="00B45BF9">
        <w:rPr>
          <w:rFonts w:ascii="Arial" w:hAnsi="Arial" w:cs="Arial"/>
        </w:rPr>
        <w:t>foreign</w:t>
      </w:r>
      <w:r w:rsidRPr="0010515B">
        <w:rPr>
          <w:rFonts w:ascii="Arial" w:hAnsi="Arial" w:cs="Arial"/>
        </w:rPr>
        <w:t xml:space="preserve"> skincare is as much </w:t>
      </w:r>
      <w:r w:rsidR="00B45BF9">
        <w:rPr>
          <w:rFonts w:ascii="Arial" w:hAnsi="Arial" w:cs="Arial"/>
        </w:rPr>
        <w:t>examined</w:t>
      </w:r>
      <w:r w:rsidRPr="0010515B">
        <w:rPr>
          <w:rFonts w:ascii="Arial" w:hAnsi="Arial" w:cs="Arial"/>
        </w:rPr>
        <w:t xml:space="preserve"> </w:t>
      </w:r>
      <w:r w:rsidR="002D7208" w:rsidRPr="0010515B">
        <w:rPr>
          <w:rFonts w:ascii="Arial" w:hAnsi="Arial" w:cs="Arial"/>
        </w:rPr>
        <w:t xml:space="preserve">on functional performance as on symbolic value, </w:t>
      </w:r>
      <w:r w:rsidR="00B45BF9">
        <w:rPr>
          <w:rFonts w:ascii="Arial" w:hAnsi="Arial" w:cs="Arial"/>
        </w:rPr>
        <w:t>prestige</w:t>
      </w:r>
      <w:r w:rsidR="002D7208" w:rsidRPr="0010515B">
        <w:rPr>
          <w:rFonts w:ascii="Arial" w:hAnsi="Arial" w:cs="Arial"/>
        </w:rPr>
        <w:t>,</w:t>
      </w:r>
      <w:r w:rsidRPr="0010515B">
        <w:rPr>
          <w:rFonts w:ascii="Arial" w:hAnsi="Arial" w:cs="Arial"/>
        </w:rPr>
        <w:t xml:space="preserve"> and price-quality </w:t>
      </w:r>
      <w:r w:rsidR="00B45BF9">
        <w:rPr>
          <w:rFonts w:ascii="Arial" w:hAnsi="Arial" w:cs="Arial"/>
        </w:rPr>
        <w:t>reasoning</w:t>
      </w:r>
      <w:r w:rsidRPr="0010515B">
        <w:rPr>
          <w:rFonts w:ascii="Arial" w:hAnsi="Arial" w:cs="Arial"/>
        </w:rPr>
        <w:t xml:space="preserve">. Brand equity theory </w:t>
      </w:r>
      <w:r w:rsidR="002D7208" w:rsidRPr="0010515B">
        <w:rPr>
          <w:rFonts w:ascii="Arial" w:hAnsi="Arial" w:cs="Arial"/>
        </w:rPr>
        <w:t>posits that associations, perceptions of quality, and loyalty influence understanding of extrinsic attributes such as</w:t>
      </w:r>
      <w:r w:rsidRPr="0010515B">
        <w:rPr>
          <w:rFonts w:ascii="Arial" w:hAnsi="Arial" w:cs="Arial"/>
        </w:rPr>
        <w:t xml:space="preserve"> origin (Aaker, 1991). The customer-based approach also indicates that a brand structures a memory and meaning, and therefore brand origin cues can exert an indirect impact on an evaluation by mediating the evaluation process via brand-attached links (Keller, 1993). The luxury and prestige research indicates that the standards of luxurious brands are evaluated in terms of exclusivity, social signalling and symbolic differentiation. The perception of brand luxury work can have a foundation on assessing brand prestige instead of considering it as a broad category (Vigneron and Johnson, 2017). New luxury cosmetics studies identify that attachment and loyalty are enhanced by perceived authenticity, which means that stories of origin can support prestige (Lee, Park and Chen, 2025). In imported skincare, where brand storeys focus on place-based experience and legacy, this theme completes RQ2 and RQ3 and supports brand prestige as a unique avenue.</w:t>
      </w:r>
    </w:p>
    <w:p w14:paraId="37A101F4" w14:textId="77777777" w:rsidR="00C42C28" w:rsidRPr="0010515B" w:rsidRDefault="00C42C28" w:rsidP="00C42C28">
      <w:pPr>
        <w:pStyle w:val="Heading2"/>
        <w:rPr>
          <w:rFonts w:ascii="Arial" w:hAnsi="Arial" w:cs="Arial"/>
        </w:rPr>
      </w:pPr>
      <w:bookmarkStart w:id="9" w:name="_Toc224804800"/>
      <w:r w:rsidRPr="0010515B">
        <w:rPr>
          <w:rFonts w:ascii="Arial" w:hAnsi="Arial" w:cs="Arial"/>
        </w:rPr>
        <w:t>2.4 Consumer Decision-Making in Skincare</w:t>
      </w:r>
      <w:bookmarkEnd w:id="9"/>
    </w:p>
    <w:p w14:paraId="3DA5EF2D" w14:textId="68B49D57" w:rsidR="001170F2" w:rsidRPr="0010515B" w:rsidRDefault="001170F2" w:rsidP="00C42C28">
      <w:pPr>
        <w:rPr>
          <w:rFonts w:ascii="Arial" w:hAnsi="Arial" w:cs="Arial"/>
        </w:rPr>
      </w:pPr>
      <w:r w:rsidRPr="0010515B">
        <w:rPr>
          <w:rFonts w:ascii="Arial" w:hAnsi="Arial" w:cs="Arial"/>
        </w:rPr>
        <w:t>Skincare is a high involvement area where performance is realised in the long term and safety is hard to test before usage. Findings on cosmetics buying behaviour reveal that purchas</w:t>
      </w:r>
      <w:r w:rsidR="00B45BF9">
        <w:rPr>
          <w:rFonts w:ascii="Arial" w:hAnsi="Arial" w:cs="Arial"/>
        </w:rPr>
        <w:t>ing</w:t>
      </w:r>
      <w:r w:rsidRPr="0010515B">
        <w:rPr>
          <w:rFonts w:ascii="Arial" w:hAnsi="Arial" w:cs="Arial"/>
        </w:rPr>
        <w:t xml:space="preserve"> </w:t>
      </w:r>
      <w:r w:rsidR="00B45BF9">
        <w:rPr>
          <w:rFonts w:ascii="Arial" w:hAnsi="Arial" w:cs="Arial"/>
        </w:rPr>
        <w:t>decisions</w:t>
      </w:r>
      <w:r w:rsidRPr="0010515B">
        <w:rPr>
          <w:rFonts w:ascii="Arial" w:hAnsi="Arial" w:cs="Arial"/>
        </w:rPr>
        <w:t xml:space="preserve"> is </w:t>
      </w:r>
      <w:r w:rsidR="00B45BF9">
        <w:rPr>
          <w:rFonts w:ascii="Arial" w:hAnsi="Arial" w:cs="Arial"/>
        </w:rPr>
        <w:t>affected</w:t>
      </w:r>
      <w:r w:rsidRPr="0010515B">
        <w:rPr>
          <w:rFonts w:ascii="Arial" w:hAnsi="Arial" w:cs="Arial"/>
        </w:rPr>
        <w:t xml:space="preserve"> by a </w:t>
      </w:r>
      <w:r w:rsidR="00B45BF9">
        <w:rPr>
          <w:rFonts w:ascii="Arial" w:hAnsi="Arial" w:cs="Arial"/>
        </w:rPr>
        <w:t>thought</w:t>
      </w:r>
      <w:r w:rsidRPr="0010515B">
        <w:rPr>
          <w:rFonts w:ascii="Arial" w:hAnsi="Arial" w:cs="Arial"/>
        </w:rPr>
        <w:t xml:space="preserve"> of safety information, loyalty and perceived value, and safety-related cognition can thus be a significant route linking the cue to behaviour (Choi and Lee, 2019). The </w:t>
      </w:r>
      <w:r w:rsidR="00401FA6">
        <w:rPr>
          <w:rFonts w:ascii="Arial" w:hAnsi="Arial" w:cs="Arial"/>
        </w:rPr>
        <w:t>problem</w:t>
      </w:r>
      <w:r w:rsidRPr="0010515B">
        <w:rPr>
          <w:rFonts w:ascii="Arial" w:hAnsi="Arial" w:cs="Arial"/>
        </w:rPr>
        <w:t xml:space="preserve"> of </w:t>
      </w:r>
      <w:r w:rsidR="00401FA6" w:rsidRPr="00401FA6">
        <w:rPr>
          <w:rFonts w:ascii="Arial" w:hAnsi="Arial" w:cs="Arial"/>
        </w:rPr>
        <w:t>skin-care risk perception and the difficulty of</w:t>
      </w:r>
      <w:r w:rsidR="00401FA6">
        <w:rPr>
          <w:rFonts w:ascii="Arial" w:hAnsi="Arial" w:cs="Arial"/>
        </w:rPr>
        <w:t xml:space="preserve"> </w:t>
      </w:r>
      <w:r w:rsidRPr="0010515B">
        <w:rPr>
          <w:rFonts w:ascii="Arial" w:hAnsi="Arial" w:cs="Arial"/>
        </w:rPr>
        <w:t xml:space="preserve">converting technical risk information into useful </w:t>
      </w:r>
      <w:r w:rsidR="00401FA6">
        <w:rPr>
          <w:rFonts w:ascii="Arial" w:hAnsi="Arial" w:cs="Arial"/>
        </w:rPr>
        <w:t>user</w:t>
      </w:r>
      <w:r w:rsidRPr="0010515B">
        <w:rPr>
          <w:rFonts w:ascii="Arial" w:hAnsi="Arial" w:cs="Arial"/>
        </w:rPr>
        <w:t xml:space="preserve"> knowledge also </w:t>
      </w:r>
      <w:r w:rsidR="00F23E62" w:rsidRPr="0010515B">
        <w:rPr>
          <w:rFonts w:ascii="Arial" w:hAnsi="Arial" w:cs="Arial"/>
        </w:rPr>
        <w:t>serve</w:t>
      </w:r>
      <w:r w:rsidRPr="0010515B">
        <w:rPr>
          <w:rFonts w:ascii="Arial" w:hAnsi="Arial" w:cs="Arial"/>
        </w:rPr>
        <w:t xml:space="preserve"> as the focus of public health-oriented work, which puts more importance on heuristics and extrinsic cues (Diyab et al., 2025). It is revealed that a younger generation, in particular, Millennials and Gen Z, is more concerned with safety, ethicality and sustainability, which makes age and involvement a possibility of influencing interpretations of origin-related claims (Shim et al., 2024). The perceived safety and authenticity are additional evaluative constructs that are encouraged with the help of regulation- and package-based literature and visible indicators of reliability in cosmetics (Vieira et al., 2024; Lee et al., 2019). This theme is informative of RQ2 and RQ4 and contributes to the inclusion of perceived safety and differences between segments.</w:t>
      </w:r>
    </w:p>
    <w:p w14:paraId="11317CB4" w14:textId="55F777E5" w:rsidR="00C42C28" w:rsidRPr="0010515B" w:rsidRDefault="00C42C28" w:rsidP="00C42C28">
      <w:pPr>
        <w:pStyle w:val="Heading2"/>
        <w:rPr>
          <w:rFonts w:ascii="Arial" w:hAnsi="Arial" w:cs="Arial"/>
        </w:rPr>
      </w:pPr>
      <w:bookmarkStart w:id="10" w:name="_Toc224804801"/>
      <w:r w:rsidRPr="0010515B">
        <w:rPr>
          <w:rFonts w:ascii="Arial" w:hAnsi="Arial" w:cs="Arial"/>
        </w:rPr>
        <w:t xml:space="preserve">2.5 </w:t>
      </w:r>
      <w:r w:rsidR="00510C63" w:rsidRPr="00510C63">
        <w:rPr>
          <w:rFonts w:ascii="Arial" w:hAnsi="Arial" w:cs="Arial"/>
        </w:rPr>
        <w:t>Models of Purchase Intention</w:t>
      </w:r>
      <w:bookmarkEnd w:id="10"/>
    </w:p>
    <w:p w14:paraId="3289C036" w14:textId="3B911874" w:rsidR="00C42C28" w:rsidRPr="0010515B" w:rsidRDefault="00C42C28" w:rsidP="00C42C28">
      <w:pPr>
        <w:rPr>
          <w:rFonts w:ascii="Arial" w:hAnsi="Arial" w:cs="Arial"/>
        </w:rPr>
      </w:pPr>
      <w:r w:rsidRPr="0010515B">
        <w:rPr>
          <w:rFonts w:ascii="Arial" w:hAnsi="Arial" w:cs="Arial"/>
        </w:rPr>
        <w:t xml:space="preserve">Purchase intention must have a behavioural basis. The Theory of Planned Behaviour views intention in the context of attitudes, subjective norms and perceived behavioural control (Ajzen, 1985; Ajzen, 1991). TPB in skincare models has been used, in which the prices and sensitivity of COO are used as moderators, which also meets the concern of heterogeneity in this study (Hsu, Chang and Yansritakul, 2017). It is also applicable in luxury consumption settings, and the use of intention modelling can be applied to the high-end segment (Jain, Khan and Mishra, 2017). This theme tells RQ3, and it is used to justify a regression-based design where quality, safety and prestige will be </w:t>
      </w:r>
      <w:r w:rsidR="00401FA6" w:rsidRPr="00401FA6">
        <w:rPr>
          <w:rFonts w:ascii="Arial" w:hAnsi="Arial" w:cs="Arial"/>
        </w:rPr>
        <w:t xml:space="preserve">modelled as </w:t>
      </w:r>
      <w:r w:rsidR="00AD74E8" w:rsidRPr="00AD74E8">
        <w:rPr>
          <w:rFonts w:ascii="Arial" w:hAnsi="Arial" w:cs="Arial"/>
        </w:rPr>
        <w:t>factors</w:t>
      </w:r>
      <w:r w:rsidR="00AD74E8">
        <w:rPr>
          <w:rFonts w:ascii="Arial" w:hAnsi="Arial" w:cs="Arial"/>
        </w:rPr>
        <w:t xml:space="preserve"> </w:t>
      </w:r>
      <w:r w:rsidR="00401FA6" w:rsidRPr="00401FA6">
        <w:rPr>
          <w:rFonts w:ascii="Arial" w:hAnsi="Arial" w:cs="Arial"/>
        </w:rPr>
        <w:t>of</w:t>
      </w:r>
      <w:r w:rsidRPr="0010515B">
        <w:rPr>
          <w:rFonts w:ascii="Arial" w:hAnsi="Arial" w:cs="Arial"/>
        </w:rPr>
        <w:t xml:space="preserve"> purchasing </w:t>
      </w:r>
      <w:r w:rsidR="00AD74E8">
        <w:rPr>
          <w:rFonts w:ascii="Arial" w:hAnsi="Arial" w:cs="Arial"/>
        </w:rPr>
        <w:t>decisions</w:t>
      </w:r>
      <w:r w:rsidRPr="0010515B">
        <w:rPr>
          <w:rFonts w:ascii="Arial" w:hAnsi="Arial" w:cs="Arial"/>
        </w:rPr>
        <w:t>.</w:t>
      </w:r>
    </w:p>
    <w:p w14:paraId="699FA1A5" w14:textId="5B9A7518" w:rsidR="00C42C28" w:rsidRPr="0010515B" w:rsidRDefault="00C42C28" w:rsidP="00C42C28">
      <w:pPr>
        <w:pStyle w:val="Heading2"/>
        <w:rPr>
          <w:rFonts w:ascii="Arial" w:hAnsi="Arial" w:cs="Arial"/>
        </w:rPr>
      </w:pPr>
      <w:bookmarkStart w:id="11" w:name="_Toc224804802"/>
      <w:r w:rsidRPr="0010515B">
        <w:rPr>
          <w:rFonts w:ascii="Arial" w:hAnsi="Arial" w:cs="Arial"/>
        </w:rPr>
        <w:t xml:space="preserve">2.6 </w:t>
      </w:r>
      <w:r w:rsidR="00510C63" w:rsidRPr="00510C63">
        <w:rPr>
          <w:rFonts w:ascii="Arial" w:hAnsi="Arial" w:cs="Arial"/>
        </w:rPr>
        <w:t>Identified Literature Gap</w:t>
      </w:r>
      <w:bookmarkEnd w:id="11"/>
    </w:p>
    <w:p w14:paraId="19D726BF" w14:textId="4DEF3AFE" w:rsidR="00C42C28" w:rsidRPr="0010515B" w:rsidRDefault="00C42C28" w:rsidP="00C42C28">
      <w:pPr>
        <w:rPr>
          <w:rFonts w:ascii="Arial" w:hAnsi="Arial" w:cs="Arial"/>
        </w:rPr>
      </w:pPr>
      <w:r w:rsidRPr="0010515B">
        <w:rPr>
          <w:rFonts w:ascii="Arial" w:hAnsi="Arial" w:cs="Arial"/>
        </w:rPr>
        <w:t xml:space="preserve">Despite the well-known effects of COO, recent evaluations report that narrower theorisation is still required on whether, whom and under what circumstances origin is important (Samiee et al., 2024). The evidence provided by meta-analytics also demonstrates a high degree of variability in the COO-image effects, which means that moderator testing is necessary, as well as the existence of context-dependent boundary parameters (Oduro, Nisco and Petruzzellis, 2023). Recent review literature also emphasises the </w:t>
      </w:r>
      <w:r w:rsidR="002D7208" w:rsidRPr="0010515B">
        <w:rPr>
          <w:rFonts w:ascii="Arial" w:hAnsi="Arial" w:cs="Arial"/>
        </w:rPr>
        <w:t>need for more category-</w:t>
      </w:r>
      <w:r w:rsidRPr="0010515B">
        <w:rPr>
          <w:rFonts w:ascii="Arial" w:hAnsi="Arial" w:cs="Arial"/>
        </w:rPr>
        <w:t xml:space="preserve"> and market-specific quantitative analysis of origin strategies in premium and luxury settings (Ghosh et al., 2025). The gap that is specific to this paper is that there is no market-specific quantitative evidence available on premium imported skincare that struts cue salience, perceived quality, perceived safety, brand prestige and purchase intention all in a single model, and that compares differences in age and income, skincare involvement and brand familiarity. This paper closes this gap by linking its theory, variables and survey design to research questions.</w:t>
      </w:r>
    </w:p>
    <w:p w14:paraId="23BAAA67" w14:textId="6F919877" w:rsidR="001170F2" w:rsidRPr="0010515B" w:rsidRDefault="00F23E62" w:rsidP="00F23E62">
      <w:pPr>
        <w:pStyle w:val="Heading2"/>
        <w:rPr>
          <w:rFonts w:ascii="Arial" w:hAnsi="Arial" w:cs="Arial"/>
        </w:rPr>
      </w:pPr>
      <w:bookmarkStart w:id="12" w:name="_Toc224804803"/>
      <w:r w:rsidRPr="0010515B">
        <w:rPr>
          <w:rFonts w:ascii="Arial" w:hAnsi="Arial" w:cs="Arial"/>
        </w:rPr>
        <w:t>2.7 Conceptual Framework</w:t>
      </w:r>
      <w:bookmarkEnd w:id="12"/>
    </w:p>
    <w:p w14:paraId="6989F983" w14:textId="77777777" w:rsidR="00F23E62" w:rsidRPr="0010515B" w:rsidRDefault="00F23E62" w:rsidP="00F23E62">
      <w:pPr>
        <w:keepNext/>
        <w:rPr>
          <w:rFonts w:ascii="Arial" w:hAnsi="Arial" w:cs="Arial"/>
        </w:rPr>
      </w:pPr>
      <w:r w:rsidRPr="0010515B">
        <w:rPr>
          <w:rFonts w:ascii="Arial" w:hAnsi="Arial" w:cs="Arial"/>
          <w:noProof/>
        </w:rPr>
        <w:drawing>
          <wp:inline distT="0" distB="0" distL="0" distR="0" wp14:anchorId="3418200C" wp14:editId="0A48941E">
            <wp:extent cx="5777230" cy="2458192"/>
            <wp:effectExtent l="0" t="0" r="0" b="0"/>
            <wp:docPr id="4915848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32960" cy="2481905"/>
                    </a:xfrm>
                    <a:prstGeom prst="rect">
                      <a:avLst/>
                    </a:prstGeom>
                    <a:noFill/>
                    <a:ln>
                      <a:noFill/>
                    </a:ln>
                  </pic:spPr>
                </pic:pic>
              </a:graphicData>
            </a:graphic>
          </wp:inline>
        </w:drawing>
      </w:r>
    </w:p>
    <w:p w14:paraId="58ECD4F0" w14:textId="5D8F5FB6" w:rsidR="00F23E62" w:rsidRPr="0010515B" w:rsidRDefault="00F23E62" w:rsidP="00F23E62">
      <w:pPr>
        <w:pStyle w:val="Caption"/>
        <w:jc w:val="center"/>
        <w:rPr>
          <w:rFonts w:ascii="Arial" w:hAnsi="Arial" w:cs="Arial"/>
        </w:rPr>
      </w:pPr>
      <w:r w:rsidRPr="0010515B">
        <w:rPr>
          <w:rFonts w:ascii="Arial" w:hAnsi="Arial" w:cs="Arial"/>
        </w:rPr>
        <w:t xml:space="preserve">Figure </w:t>
      </w:r>
      <w:r w:rsidRPr="0010515B">
        <w:rPr>
          <w:rFonts w:ascii="Arial" w:hAnsi="Arial" w:cs="Arial"/>
        </w:rPr>
        <w:fldChar w:fldCharType="begin"/>
      </w:r>
      <w:r w:rsidRPr="0010515B">
        <w:rPr>
          <w:rFonts w:ascii="Arial" w:hAnsi="Arial" w:cs="Arial"/>
        </w:rPr>
        <w:instrText xml:space="preserve"> SEQ Figure \* ARABIC \s 1 </w:instrText>
      </w:r>
      <w:r w:rsidRPr="0010515B">
        <w:rPr>
          <w:rFonts w:ascii="Arial" w:hAnsi="Arial" w:cs="Arial"/>
        </w:rPr>
        <w:fldChar w:fldCharType="separate"/>
      </w:r>
      <w:r w:rsidRPr="0010515B">
        <w:rPr>
          <w:rFonts w:ascii="Arial" w:hAnsi="Arial" w:cs="Arial"/>
          <w:noProof/>
        </w:rPr>
        <w:t>1</w:t>
      </w:r>
      <w:r w:rsidRPr="0010515B">
        <w:rPr>
          <w:rFonts w:ascii="Arial" w:hAnsi="Arial" w:cs="Arial"/>
          <w:noProof/>
        </w:rPr>
        <w:fldChar w:fldCharType="end"/>
      </w:r>
      <w:r w:rsidRPr="0010515B">
        <w:rPr>
          <w:rFonts w:ascii="Arial" w:hAnsi="Arial" w:cs="Arial"/>
        </w:rPr>
        <w:t>: Proposed Conceptual Framework</w:t>
      </w:r>
    </w:p>
    <w:p w14:paraId="5B30EAF7" w14:textId="40345BF7" w:rsidR="001170F2" w:rsidRPr="0010515B" w:rsidRDefault="001170F2" w:rsidP="00C42C28">
      <w:pPr>
        <w:rPr>
          <w:rFonts w:ascii="Arial" w:hAnsi="Arial" w:cs="Arial"/>
        </w:rPr>
      </w:pPr>
      <w:r w:rsidRPr="0010515B">
        <w:rPr>
          <w:rFonts w:ascii="Arial" w:hAnsi="Arial" w:cs="Arial"/>
        </w:rPr>
        <w:t xml:space="preserve">The country-of-origin theory, signalling theory and behavioural intention theory are listed as the roots of the proposed conceptual framework. It places </w:t>
      </w:r>
      <w:r w:rsidR="00F23E62" w:rsidRPr="0010515B">
        <w:rPr>
          <w:rFonts w:ascii="Arial" w:hAnsi="Arial" w:cs="Arial"/>
        </w:rPr>
        <w:t>origin-related</w:t>
      </w:r>
      <w:r w:rsidRPr="0010515B">
        <w:rPr>
          <w:rFonts w:ascii="Arial" w:hAnsi="Arial" w:cs="Arial"/>
        </w:rPr>
        <w:t xml:space="preserve"> cues as symbols of the outside information that contribute to the perception of quality, perceived safety, </w:t>
      </w:r>
      <w:r w:rsidR="00F23E62" w:rsidRPr="0010515B">
        <w:rPr>
          <w:rFonts w:ascii="Arial" w:hAnsi="Arial" w:cs="Arial"/>
        </w:rPr>
        <w:t xml:space="preserve">and </w:t>
      </w:r>
      <w:r w:rsidRPr="0010515B">
        <w:rPr>
          <w:rFonts w:ascii="Arial" w:hAnsi="Arial" w:cs="Arial"/>
        </w:rPr>
        <w:t>brand prestige that subsequently affect purchase intention (Bilkey and Nes, 1982;</w:t>
      </w:r>
      <w:r w:rsidR="00D151F4">
        <w:rPr>
          <w:rFonts w:ascii="Arial" w:hAnsi="Arial" w:cs="Arial"/>
        </w:rPr>
        <w:t xml:space="preserve"> </w:t>
      </w:r>
      <w:r w:rsidRPr="0010515B">
        <w:rPr>
          <w:rFonts w:ascii="Arial" w:hAnsi="Arial" w:cs="Arial"/>
        </w:rPr>
        <w:t xml:space="preserve">Connelly et al., 2011; Ajzen, </w:t>
      </w:r>
      <w:r w:rsidR="00D151F4" w:rsidRPr="0010515B">
        <w:rPr>
          <w:rFonts w:ascii="Arial" w:hAnsi="Arial" w:cs="Arial"/>
        </w:rPr>
        <w:t>1991</w:t>
      </w:r>
      <w:r w:rsidR="00D151F4">
        <w:rPr>
          <w:rFonts w:ascii="Arial" w:hAnsi="Arial" w:cs="Arial"/>
        </w:rPr>
        <w:t>,</w:t>
      </w:r>
      <w:r w:rsidR="00D151F4" w:rsidRPr="00D151F4">
        <w:rPr>
          <w:rFonts w:ascii="Arial" w:hAnsi="Arial" w:cs="Arial"/>
        </w:rPr>
        <w:t xml:space="preserve"> Verlegh and Steenkamp, 1999</w:t>
      </w:r>
      <w:r w:rsidRPr="0010515B">
        <w:rPr>
          <w:rFonts w:ascii="Arial" w:hAnsi="Arial" w:cs="Arial"/>
        </w:rPr>
        <w:t>).</w:t>
      </w:r>
    </w:p>
    <w:p w14:paraId="3184FB33" w14:textId="77777777" w:rsidR="001170F2" w:rsidRPr="0010515B" w:rsidRDefault="001170F2" w:rsidP="00C42C28">
      <w:pPr>
        <w:rPr>
          <w:rFonts w:ascii="Arial" w:hAnsi="Arial" w:cs="Arial"/>
        </w:rPr>
      </w:pPr>
    </w:p>
    <w:p w14:paraId="0E13864D" w14:textId="77777777" w:rsidR="00C21663" w:rsidRPr="0010515B" w:rsidRDefault="00C21663" w:rsidP="00C21663">
      <w:pPr>
        <w:pStyle w:val="Heading1"/>
        <w:rPr>
          <w:rFonts w:ascii="Arial" w:hAnsi="Arial" w:cs="Arial"/>
        </w:rPr>
      </w:pPr>
      <w:bookmarkStart w:id="13" w:name="_Toc224804804"/>
      <w:r w:rsidRPr="0010515B">
        <w:rPr>
          <w:rFonts w:ascii="Arial" w:hAnsi="Arial" w:cs="Arial"/>
        </w:rPr>
        <w:t>3. Methodology</w:t>
      </w:r>
      <w:bookmarkEnd w:id="13"/>
      <w:r w:rsidRPr="0010515B">
        <w:rPr>
          <w:rFonts w:ascii="Arial" w:hAnsi="Arial" w:cs="Arial"/>
        </w:rPr>
        <w:t xml:space="preserve"> </w:t>
      </w:r>
    </w:p>
    <w:p w14:paraId="1E13E994" w14:textId="16BF1C01" w:rsidR="00C21663" w:rsidRPr="0010515B" w:rsidRDefault="00C21663" w:rsidP="00C21663">
      <w:pPr>
        <w:pStyle w:val="Heading2"/>
        <w:rPr>
          <w:rFonts w:ascii="Arial" w:hAnsi="Arial" w:cs="Arial"/>
        </w:rPr>
      </w:pPr>
      <w:bookmarkStart w:id="14" w:name="_Toc224804805"/>
      <w:r w:rsidRPr="0010515B">
        <w:rPr>
          <w:rFonts w:ascii="Arial" w:hAnsi="Arial" w:cs="Arial"/>
        </w:rPr>
        <w:t xml:space="preserve">3.1 </w:t>
      </w:r>
      <w:r w:rsidR="001557F4" w:rsidRPr="001557F4">
        <w:rPr>
          <w:rFonts w:ascii="Arial" w:hAnsi="Arial" w:cs="Arial"/>
        </w:rPr>
        <w:t>Philosophical Positioning</w:t>
      </w:r>
      <w:bookmarkEnd w:id="14"/>
    </w:p>
    <w:p w14:paraId="55EB8AA5" w14:textId="1C08D704" w:rsidR="00D151F4" w:rsidRPr="0010515B" w:rsidRDefault="00D151F4" w:rsidP="00C21663">
      <w:pPr>
        <w:rPr>
          <w:rFonts w:ascii="Arial" w:hAnsi="Arial" w:cs="Arial"/>
        </w:rPr>
      </w:pPr>
      <w:r w:rsidRPr="00D151F4">
        <w:rPr>
          <w:rFonts w:ascii="Arial" w:hAnsi="Arial" w:cs="Arial"/>
        </w:rPr>
        <w:t xml:space="preserve">The </w:t>
      </w:r>
      <w:r w:rsidR="00EA5445">
        <w:rPr>
          <w:rFonts w:ascii="Arial" w:hAnsi="Arial" w:cs="Arial"/>
        </w:rPr>
        <w:t>work</w:t>
      </w:r>
      <w:r w:rsidRPr="00D151F4">
        <w:rPr>
          <w:rFonts w:ascii="Arial" w:hAnsi="Arial" w:cs="Arial"/>
        </w:rPr>
        <w:t xml:space="preserve"> follows a positivist approach, presuming that perceptions of origin cues and related assessments of quality, safety, and prestige are measurable constructs that can be analysed and tested using statistics (Bryman and Bell, 2015). </w:t>
      </w:r>
      <w:r w:rsidR="00EA5445">
        <w:rPr>
          <w:rFonts w:ascii="Arial" w:hAnsi="Arial" w:cs="Arial"/>
        </w:rPr>
        <w:t>Similar to</w:t>
      </w:r>
      <w:r w:rsidRPr="00D151F4">
        <w:rPr>
          <w:rFonts w:ascii="Arial" w:hAnsi="Arial" w:cs="Arial"/>
        </w:rPr>
        <w:t xml:space="preserve"> existing business </w:t>
      </w:r>
      <w:r w:rsidR="00EA5445">
        <w:rPr>
          <w:rFonts w:ascii="Arial" w:hAnsi="Arial" w:cs="Arial"/>
        </w:rPr>
        <w:t>study</w:t>
      </w:r>
      <w:r w:rsidRPr="00D151F4">
        <w:rPr>
          <w:rFonts w:ascii="Arial" w:hAnsi="Arial" w:cs="Arial"/>
        </w:rPr>
        <w:t xml:space="preserve"> principles that recommend the appropriate fit of theory</w:t>
      </w:r>
      <w:r w:rsidR="00401FA6">
        <w:rPr>
          <w:rFonts w:ascii="Arial" w:hAnsi="Arial" w:cs="Arial"/>
        </w:rPr>
        <w:t xml:space="preserve"> to </w:t>
      </w:r>
      <w:r w:rsidRPr="00D151F4">
        <w:rPr>
          <w:rFonts w:ascii="Arial" w:hAnsi="Arial" w:cs="Arial"/>
        </w:rPr>
        <w:t xml:space="preserve">hypothesis testing as part of a quantitative research </w:t>
      </w:r>
      <w:r w:rsidR="00EA5445">
        <w:rPr>
          <w:rFonts w:ascii="Arial" w:hAnsi="Arial" w:cs="Arial"/>
        </w:rPr>
        <w:t>framework</w:t>
      </w:r>
      <w:r w:rsidRPr="00D151F4">
        <w:rPr>
          <w:rFonts w:ascii="Arial" w:hAnsi="Arial" w:cs="Arial"/>
        </w:rPr>
        <w:t xml:space="preserve"> (Saunders, Lewis and Thornhill, 2019).</w:t>
      </w:r>
    </w:p>
    <w:p w14:paraId="52949972" w14:textId="7FB4EA9E" w:rsidR="00C42C28" w:rsidRPr="0010515B" w:rsidRDefault="00C42C28" w:rsidP="00C42C28">
      <w:pPr>
        <w:pStyle w:val="Heading2"/>
        <w:rPr>
          <w:rFonts w:ascii="Arial" w:hAnsi="Arial" w:cs="Arial"/>
        </w:rPr>
      </w:pPr>
      <w:bookmarkStart w:id="15" w:name="_Toc224804806"/>
      <w:r w:rsidRPr="0010515B">
        <w:rPr>
          <w:rFonts w:ascii="Arial" w:hAnsi="Arial" w:cs="Arial"/>
        </w:rPr>
        <w:t xml:space="preserve">3.2 </w:t>
      </w:r>
      <w:r w:rsidR="001557F4" w:rsidRPr="001557F4">
        <w:rPr>
          <w:rFonts w:ascii="Arial" w:hAnsi="Arial" w:cs="Arial"/>
        </w:rPr>
        <w:t>Approach to Inquiry</w:t>
      </w:r>
      <w:bookmarkEnd w:id="15"/>
    </w:p>
    <w:p w14:paraId="3F67F1EF" w14:textId="23E4B0EA" w:rsidR="00EB2F8B" w:rsidRPr="0010515B" w:rsidRDefault="00EB2F8B" w:rsidP="00C21663">
      <w:pPr>
        <w:rPr>
          <w:rFonts w:ascii="Arial" w:hAnsi="Arial" w:cs="Arial"/>
        </w:rPr>
      </w:pPr>
      <w:r w:rsidRPr="0010515B">
        <w:rPr>
          <w:rFonts w:ascii="Arial" w:hAnsi="Arial" w:cs="Arial"/>
        </w:rPr>
        <w:t xml:space="preserve">This research will follow a quantitative explanatory-descriptive method guided by </w:t>
      </w:r>
      <w:r w:rsidR="002D7208" w:rsidRPr="0010515B">
        <w:rPr>
          <w:rFonts w:ascii="Arial" w:hAnsi="Arial" w:cs="Arial"/>
        </w:rPr>
        <w:t>country-of-origin</w:t>
      </w:r>
      <w:r w:rsidRPr="0010515B">
        <w:rPr>
          <w:rFonts w:ascii="Arial" w:hAnsi="Arial" w:cs="Arial"/>
        </w:rPr>
        <w:t xml:space="preserve"> theory, signalling theory and behavioural intention theory. This descriptive aspect determines the origin cues that UK consumers consider when judging fine imported skincare, and their significance in the making of a buying judgement. The explanatory element compares the associations among the source-related cues, perceived quality, perceived safety, brand prestige, and purchase intention, and analyses the differences among consumer groups. This method is suitable as it describes the observable response patterns, as well as quantifies the relationships between the clearly defined variables by means of structure </w:t>
      </w:r>
      <w:r w:rsidR="00401FA6">
        <w:rPr>
          <w:rFonts w:ascii="Arial" w:hAnsi="Arial" w:cs="Arial"/>
        </w:rPr>
        <w:t xml:space="preserve">calculation </w:t>
      </w:r>
      <w:r w:rsidRPr="0010515B">
        <w:rPr>
          <w:rFonts w:ascii="Arial" w:hAnsi="Arial" w:cs="Arial"/>
        </w:rPr>
        <w:t xml:space="preserve">and statistical </w:t>
      </w:r>
      <w:r w:rsidR="00401FA6">
        <w:rPr>
          <w:rFonts w:ascii="Arial" w:hAnsi="Arial" w:cs="Arial"/>
        </w:rPr>
        <w:t>testing</w:t>
      </w:r>
      <w:r w:rsidRPr="0010515B">
        <w:rPr>
          <w:rFonts w:ascii="Arial" w:hAnsi="Arial" w:cs="Arial"/>
        </w:rPr>
        <w:t xml:space="preserve"> (Saunders, Lewis and Thornhill, 2019; Bryman and Bell, 2015). In particular, the COO theory justifies the quantification of </w:t>
      </w:r>
      <w:r w:rsidR="00EA5445" w:rsidRPr="00EA5445">
        <w:rPr>
          <w:rFonts w:ascii="Arial" w:hAnsi="Arial" w:cs="Arial"/>
        </w:rPr>
        <w:t>genesis</w:t>
      </w:r>
      <w:r w:rsidRPr="0010515B">
        <w:rPr>
          <w:rFonts w:ascii="Arial" w:hAnsi="Arial" w:cs="Arial"/>
        </w:rPr>
        <w:t xml:space="preserve">-related </w:t>
      </w:r>
      <w:r w:rsidR="00EA5445">
        <w:rPr>
          <w:rFonts w:ascii="Arial" w:hAnsi="Arial" w:cs="Arial"/>
        </w:rPr>
        <w:t>indication</w:t>
      </w:r>
      <w:r w:rsidRPr="0010515B">
        <w:rPr>
          <w:rFonts w:ascii="Arial" w:hAnsi="Arial" w:cs="Arial"/>
        </w:rPr>
        <w:t xml:space="preserve"> as extrinsic means of evaluation (Bilkey and Nes, 1982; Verlegh and Steenkamp, 1999), the role of origin-related cues as signs of quality and safety that are otherwise undetectable (Connelly et al., 2011), and the purchase intention </w:t>
      </w:r>
      <w:r w:rsidR="00401FA6">
        <w:rPr>
          <w:rFonts w:ascii="Arial" w:hAnsi="Arial" w:cs="Arial"/>
        </w:rPr>
        <w:t xml:space="preserve">usage </w:t>
      </w:r>
      <w:r w:rsidRPr="0010515B">
        <w:rPr>
          <w:rFonts w:ascii="Arial" w:hAnsi="Arial" w:cs="Arial"/>
        </w:rPr>
        <w:t>as the dependent variable of interest (Ajzen, 1991).</w:t>
      </w:r>
    </w:p>
    <w:p w14:paraId="7C7DC45B" w14:textId="1E5F5A35" w:rsidR="00C21663" w:rsidRPr="0010515B" w:rsidRDefault="00C21663" w:rsidP="00C21663">
      <w:pPr>
        <w:pStyle w:val="Heading2"/>
        <w:rPr>
          <w:rFonts w:ascii="Arial" w:hAnsi="Arial" w:cs="Arial"/>
        </w:rPr>
      </w:pPr>
      <w:bookmarkStart w:id="16" w:name="_Toc224804807"/>
      <w:r w:rsidRPr="0010515B">
        <w:rPr>
          <w:rFonts w:ascii="Arial" w:hAnsi="Arial" w:cs="Arial"/>
        </w:rPr>
        <w:t xml:space="preserve">3.3 </w:t>
      </w:r>
      <w:r w:rsidR="001557F4" w:rsidRPr="001557F4">
        <w:rPr>
          <w:rFonts w:ascii="Arial" w:hAnsi="Arial" w:cs="Arial"/>
        </w:rPr>
        <w:t>Research Design and Time Frame</w:t>
      </w:r>
      <w:bookmarkEnd w:id="16"/>
    </w:p>
    <w:p w14:paraId="0208E0E7" w14:textId="244A942F" w:rsidR="00141DB0" w:rsidRPr="0010515B" w:rsidRDefault="00141DB0" w:rsidP="00C21663">
      <w:pPr>
        <w:rPr>
          <w:rFonts w:ascii="Arial" w:hAnsi="Arial" w:cs="Arial"/>
        </w:rPr>
      </w:pPr>
      <w:r w:rsidRPr="00141DB0">
        <w:rPr>
          <w:rFonts w:ascii="Arial" w:hAnsi="Arial" w:cs="Arial"/>
        </w:rPr>
        <w:t xml:space="preserve">The research will be in </w:t>
      </w:r>
      <w:r>
        <w:rPr>
          <w:rFonts w:ascii="Arial" w:hAnsi="Arial" w:cs="Arial"/>
        </w:rPr>
        <w:t>the</w:t>
      </w:r>
      <w:r w:rsidRPr="00141DB0">
        <w:rPr>
          <w:rFonts w:ascii="Arial" w:hAnsi="Arial" w:cs="Arial"/>
        </w:rPr>
        <w:t xml:space="preserve"> form of </w:t>
      </w:r>
      <w:r>
        <w:rPr>
          <w:rFonts w:ascii="Arial" w:hAnsi="Arial" w:cs="Arial"/>
        </w:rPr>
        <w:t xml:space="preserve">a </w:t>
      </w:r>
      <w:r w:rsidRPr="00141DB0">
        <w:rPr>
          <w:rFonts w:ascii="Arial" w:hAnsi="Arial" w:cs="Arial"/>
        </w:rPr>
        <w:t xml:space="preserve">mono-method online survey and </w:t>
      </w:r>
      <w:r>
        <w:rPr>
          <w:rFonts w:ascii="Arial" w:hAnsi="Arial" w:cs="Arial"/>
        </w:rPr>
        <w:t xml:space="preserve">a </w:t>
      </w:r>
      <w:r w:rsidRPr="00141DB0">
        <w:rPr>
          <w:rFonts w:ascii="Arial" w:hAnsi="Arial" w:cs="Arial"/>
        </w:rPr>
        <w:t xml:space="preserve">cross-sectional period. </w:t>
      </w:r>
      <w:r w:rsidR="00AD74E8">
        <w:rPr>
          <w:rFonts w:ascii="Arial" w:hAnsi="Arial" w:cs="Arial"/>
        </w:rPr>
        <w:t>Internet</w:t>
      </w:r>
      <w:r w:rsidRPr="00141DB0">
        <w:rPr>
          <w:rFonts w:ascii="Arial" w:hAnsi="Arial" w:cs="Arial"/>
        </w:rPr>
        <w:t xml:space="preserve"> surveys offer effective </w:t>
      </w:r>
      <w:r w:rsidR="00AD74E8">
        <w:rPr>
          <w:rFonts w:ascii="Arial" w:hAnsi="Arial" w:cs="Arial"/>
        </w:rPr>
        <w:t>reach</w:t>
      </w:r>
      <w:r w:rsidRPr="00141DB0">
        <w:rPr>
          <w:rFonts w:ascii="Arial" w:hAnsi="Arial" w:cs="Arial"/>
        </w:rPr>
        <w:t xml:space="preserve"> to consumer samples and offer uniform delivery of research instruments (Evans and Mathur, 2005). Cross-sectional </w:t>
      </w:r>
      <w:r w:rsidR="00AD74E8">
        <w:rPr>
          <w:rFonts w:ascii="Arial" w:hAnsi="Arial" w:cs="Arial"/>
        </w:rPr>
        <w:t xml:space="preserve">frameworks </w:t>
      </w:r>
      <w:r w:rsidRPr="00141DB0">
        <w:rPr>
          <w:rFonts w:ascii="Arial" w:hAnsi="Arial" w:cs="Arial"/>
        </w:rPr>
        <w:t>are best applicable to studying relationships between constructs at one point in time (Saunders</w:t>
      </w:r>
      <w:r w:rsidR="00AD74E8">
        <w:rPr>
          <w:rFonts w:ascii="Arial" w:hAnsi="Arial" w:cs="Arial"/>
        </w:rPr>
        <w:t>,</w:t>
      </w:r>
      <w:r w:rsidRPr="00141DB0">
        <w:rPr>
          <w:rFonts w:ascii="Arial" w:hAnsi="Arial" w:cs="Arial"/>
        </w:rPr>
        <w:t xml:space="preserve"> Lewis and Thornhill, 2019</w:t>
      </w:r>
      <w:r w:rsidR="00AD74E8">
        <w:rPr>
          <w:rFonts w:ascii="Arial" w:hAnsi="Arial" w:cs="Arial"/>
        </w:rPr>
        <w:t xml:space="preserve">; </w:t>
      </w:r>
      <w:r w:rsidR="00EA5445" w:rsidRPr="00141DB0">
        <w:rPr>
          <w:rFonts w:ascii="Arial" w:hAnsi="Arial" w:cs="Arial"/>
        </w:rPr>
        <w:t>Bryman and Bell, 2015</w:t>
      </w:r>
      <w:r w:rsidRPr="00141DB0">
        <w:rPr>
          <w:rFonts w:ascii="Arial" w:hAnsi="Arial" w:cs="Arial"/>
        </w:rPr>
        <w:t>).</w:t>
      </w:r>
    </w:p>
    <w:p w14:paraId="3CCAB2B1" w14:textId="6830FAC3" w:rsidR="00C21663" w:rsidRPr="0010515B" w:rsidRDefault="00C21663" w:rsidP="00C21663">
      <w:pPr>
        <w:pStyle w:val="Heading2"/>
        <w:rPr>
          <w:rFonts w:ascii="Arial" w:hAnsi="Arial" w:cs="Arial"/>
        </w:rPr>
      </w:pPr>
      <w:bookmarkStart w:id="17" w:name="_Toc224804808"/>
      <w:r w:rsidRPr="0010515B">
        <w:rPr>
          <w:rFonts w:ascii="Arial" w:hAnsi="Arial" w:cs="Arial"/>
        </w:rPr>
        <w:t xml:space="preserve">3.4 </w:t>
      </w:r>
      <w:r w:rsidR="001557F4" w:rsidRPr="001557F4">
        <w:rPr>
          <w:rFonts w:ascii="Arial" w:hAnsi="Arial" w:cs="Arial"/>
        </w:rPr>
        <w:t>Target Population and Sampling Strategy</w:t>
      </w:r>
      <w:bookmarkEnd w:id="17"/>
    </w:p>
    <w:p w14:paraId="7EEDBBEF" w14:textId="735B9373" w:rsidR="0063485C" w:rsidRPr="0010515B" w:rsidRDefault="00A23624" w:rsidP="0063485C">
      <w:pPr>
        <w:pStyle w:val="ListParagraph"/>
        <w:numPr>
          <w:ilvl w:val="0"/>
          <w:numId w:val="3"/>
        </w:numPr>
        <w:rPr>
          <w:rFonts w:ascii="Arial" w:hAnsi="Arial" w:cs="Arial"/>
        </w:rPr>
      </w:pPr>
      <w:r w:rsidRPr="00A23624">
        <w:rPr>
          <w:rFonts w:ascii="Arial" w:hAnsi="Arial" w:cs="Arial"/>
          <w:b/>
          <w:bCs/>
        </w:rPr>
        <w:t>Study population</w:t>
      </w:r>
      <w:r w:rsidR="0063485C" w:rsidRPr="0010515B">
        <w:rPr>
          <w:rFonts w:ascii="Arial" w:hAnsi="Arial" w:cs="Arial"/>
          <w:b/>
          <w:bCs/>
        </w:rPr>
        <w:t>:</w:t>
      </w:r>
      <w:r w:rsidR="0063485C" w:rsidRPr="0010515B">
        <w:rPr>
          <w:rFonts w:ascii="Arial" w:hAnsi="Arial" w:cs="Arial"/>
        </w:rPr>
        <w:t xml:space="preserve"> </w:t>
      </w:r>
      <w:r w:rsidRPr="00A23624">
        <w:rPr>
          <w:rFonts w:ascii="Arial" w:hAnsi="Arial" w:cs="Arial"/>
        </w:rPr>
        <w:t>UK-based consumers</w:t>
      </w:r>
      <w:r w:rsidR="0063485C" w:rsidRPr="0010515B">
        <w:rPr>
          <w:rFonts w:ascii="Arial" w:hAnsi="Arial" w:cs="Arial"/>
        </w:rPr>
        <w:t xml:space="preserve"> of quality skincare products.</w:t>
      </w:r>
    </w:p>
    <w:p w14:paraId="014FB983" w14:textId="28A083EE" w:rsidR="0063485C" w:rsidRPr="0010515B" w:rsidRDefault="0063485C" w:rsidP="0063485C">
      <w:pPr>
        <w:pStyle w:val="ListParagraph"/>
        <w:numPr>
          <w:ilvl w:val="0"/>
          <w:numId w:val="3"/>
        </w:numPr>
        <w:rPr>
          <w:rFonts w:ascii="Arial" w:hAnsi="Arial" w:cs="Arial"/>
        </w:rPr>
      </w:pPr>
      <w:r w:rsidRPr="0010515B">
        <w:rPr>
          <w:rFonts w:ascii="Arial" w:hAnsi="Arial" w:cs="Arial"/>
          <w:b/>
          <w:bCs/>
        </w:rPr>
        <w:t>Sampling approach:</w:t>
      </w:r>
      <w:r w:rsidRPr="0010515B">
        <w:rPr>
          <w:rFonts w:ascii="Arial" w:hAnsi="Arial" w:cs="Arial"/>
        </w:rPr>
        <w:t xml:space="preserve"> convenience sampling online through a distribution. This suits a situation when a complete sampling frame is not </w:t>
      </w:r>
      <w:r w:rsidR="00141DB0" w:rsidRPr="0010515B">
        <w:rPr>
          <w:rFonts w:ascii="Arial" w:hAnsi="Arial" w:cs="Arial"/>
        </w:rPr>
        <w:t>available but</w:t>
      </w:r>
      <w:r w:rsidRPr="0010515B">
        <w:rPr>
          <w:rFonts w:ascii="Arial" w:hAnsi="Arial" w:cs="Arial"/>
        </w:rPr>
        <w:t xml:space="preserve"> creates representativeness constraints that should be considered (Etikan, Musa and Alkassim, 2016).</w:t>
      </w:r>
    </w:p>
    <w:p w14:paraId="585E8D78" w14:textId="4B0BCFEC" w:rsidR="0063485C" w:rsidRPr="0010515B" w:rsidRDefault="006A40AC" w:rsidP="0063485C">
      <w:pPr>
        <w:pStyle w:val="ListParagraph"/>
        <w:numPr>
          <w:ilvl w:val="0"/>
          <w:numId w:val="3"/>
        </w:numPr>
        <w:rPr>
          <w:rFonts w:ascii="Arial" w:hAnsi="Arial" w:cs="Arial"/>
        </w:rPr>
      </w:pPr>
      <w:r w:rsidRPr="006A40AC">
        <w:rPr>
          <w:rFonts w:ascii="Arial" w:hAnsi="Arial" w:cs="Arial"/>
          <w:b/>
          <w:bCs/>
        </w:rPr>
        <w:t>Planned sample size</w:t>
      </w:r>
      <w:r w:rsidR="0063485C" w:rsidRPr="0010515B">
        <w:rPr>
          <w:rFonts w:ascii="Arial" w:hAnsi="Arial" w:cs="Arial"/>
          <w:b/>
          <w:bCs/>
        </w:rPr>
        <w:t>:</w:t>
      </w:r>
      <w:r w:rsidR="0063485C" w:rsidRPr="0010515B">
        <w:rPr>
          <w:rFonts w:ascii="Arial" w:hAnsi="Arial" w:cs="Arial"/>
        </w:rPr>
        <w:t xml:space="preserve"> 150</w:t>
      </w:r>
      <w:r>
        <w:rPr>
          <w:rFonts w:ascii="Arial" w:hAnsi="Arial" w:cs="Arial"/>
        </w:rPr>
        <w:t xml:space="preserve"> to </w:t>
      </w:r>
      <w:r w:rsidR="0063485C" w:rsidRPr="0010515B">
        <w:rPr>
          <w:rFonts w:ascii="Arial" w:hAnsi="Arial" w:cs="Arial"/>
        </w:rPr>
        <w:t xml:space="preserve">250 respondents. </w:t>
      </w:r>
      <w:r w:rsidRPr="006A40AC">
        <w:rPr>
          <w:rFonts w:ascii="Arial" w:hAnsi="Arial" w:cs="Arial"/>
        </w:rPr>
        <w:t>Multiple regression analysis</w:t>
      </w:r>
      <w:r w:rsidR="0063485C" w:rsidRPr="0010515B">
        <w:rPr>
          <w:rFonts w:ascii="Arial" w:hAnsi="Arial" w:cs="Arial"/>
        </w:rPr>
        <w:t xml:space="preserve"> needs sufficient </w:t>
      </w:r>
      <w:r w:rsidRPr="006A40AC">
        <w:rPr>
          <w:rFonts w:ascii="Arial" w:hAnsi="Arial" w:cs="Arial"/>
        </w:rPr>
        <w:t>responses</w:t>
      </w:r>
      <w:r>
        <w:rPr>
          <w:rFonts w:ascii="Arial" w:hAnsi="Arial" w:cs="Arial"/>
        </w:rPr>
        <w:t xml:space="preserve"> </w:t>
      </w:r>
      <w:r w:rsidRPr="006A40AC">
        <w:rPr>
          <w:rFonts w:ascii="Arial" w:hAnsi="Arial" w:cs="Arial"/>
        </w:rPr>
        <w:t>in relation to the predictors</w:t>
      </w:r>
      <w:r w:rsidR="0063485C" w:rsidRPr="0010515B">
        <w:rPr>
          <w:rFonts w:ascii="Arial" w:hAnsi="Arial" w:cs="Arial"/>
        </w:rPr>
        <w:t xml:space="preserve"> </w:t>
      </w:r>
      <w:r w:rsidRPr="006A40AC">
        <w:rPr>
          <w:rFonts w:ascii="Arial" w:hAnsi="Arial" w:cs="Arial"/>
        </w:rPr>
        <w:t>to ensure reliable estimation</w:t>
      </w:r>
      <w:r w:rsidR="0063485C" w:rsidRPr="0010515B">
        <w:rPr>
          <w:rFonts w:ascii="Arial" w:hAnsi="Arial" w:cs="Arial"/>
        </w:rPr>
        <w:t xml:space="preserve">; there is settled advice that supporting regression sample size planning employs rule-based minimums (Green, 1991). The top-end enhances the stability of models and </w:t>
      </w:r>
      <w:r w:rsidRPr="006A40AC">
        <w:rPr>
          <w:rFonts w:ascii="Arial" w:hAnsi="Arial" w:cs="Arial"/>
        </w:rPr>
        <w:t>group-based</w:t>
      </w:r>
      <w:r w:rsidR="0063485C" w:rsidRPr="0010515B">
        <w:rPr>
          <w:rFonts w:ascii="Arial" w:hAnsi="Arial" w:cs="Arial"/>
        </w:rPr>
        <w:t xml:space="preserve"> comparisons.</w:t>
      </w:r>
    </w:p>
    <w:p w14:paraId="7C6CB890" w14:textId="5A35B4B6" w:rsidR="00C21663" w:rsidRPr="0010515B" w:rsidRDefault="00C21663" w:rsidP="00C21663">
      <w:pPr>
        <w:pStyle w:val="Heading2"/>
        <w:rPr>
          <w:rFonts w:ascii="Arial" w:hAnsi="Arial" w:cs="Arial"/>
        </w:rPr>
      </w:pPr>
      <w:bookmarkStart w:id="18" w:name="_Toc224804809"/>
      <w:r w:rsidRPr="0010515B">
        <w:rPr>
          <w:rFonts w:ascii="Arial" w:hAnsi="Arial" w:cs="Arial"/>
        </w:rPr>
        <w:t xml:space="preserve">3.5 </w:t>
      </w:r>
      <w:r w:rsidR="001557F4" w:rsidRPr="001557F4">
        <w:rPr>
          <w:rFonts w:ascii="Arial" w:hAnsi="Arial" w:cs="Arial"/>
        </w:rPr>
        <w:t>Methods of Data Collection</w:t>
      </w:r>
      <w:bookmarkEnd w:id="18"/>
    </w:p>
    <w:p w14:paraId="3A621327" w14:textId="72458ADD" w:rsidR="00401FA6" w:rsidRPr="0010515B" w:rsidRDefault="00401FA6" w:rsidP="00C21663">
      <w:pPr>
        <w:rPr>
          <w:rFonts w:ascii="Arial" w:hAnsi="Arial" w:cs="Arial"/>
        </w:rPr>
      </w:pPr>
      <w:r w:rsidRPr="00401FA6">
        <w:rPr>
          <w:rFonts w:ascii="Arial" w:hAnsi="Arial" w:cs="Arial"/>
        </w:rPr>
        <w:t xml:space="preserve">The research will use a 5-question online questionnaire </w:t>
      </w:r>
      <w:r w:rsidR="00AD74E8">
        <w:rPr>
          <w:rFonts w:ascii="Arial" w:hAnsi="Arial" w:cs="Arial"/>
        </w:rPr>
        <w:t>(</w:t>
      </w:r>
      <w:r w:rsidRPr="00401FA6">
        <w:rPr>
          <w:rFonts w:ascii="Arial" w:hAnsi="Arial" w:cs="Arial"/>
        </w:rPr>
        <w:t>five-point Likert scale</w:t>
      </w:r>
      <w:r w:rsidR="00AD74E8">
        <w:rPr>
          <w:rFonts w:ascii="Arial" w:hAnsi="Arial" w:cs="Arial"/>
        </w:rPr>
        <w:t>)</w:t>
      </w:r>
      <w:r w:rsidRPr="00401FA6">
        <w:rPr>
          <w:rFonts w:ascii="Arial" w:hAnsi="Arial" w:cs="Arial"/>
        </w:rPr>
        <w:t xml:space="preserve">. It will be measured: (1) presence of </w:t>
      </w:r>
      <w:r w:rsidR="00AD74E8" w:rsidRPr="00AD74E8">
        <w:rPr>
          <w:rFonts w:ascii="Arial" w:hAnsi="Arial" w:cs="Arial"/>
        </w:rPr>
        <w:t>origin-related</w:t>
      </w:r>
      <w:r w:rsidRPr="00401FA6">
        <w:rPr>
          <w:rFonts w:ascii="Arial" w:hAnsi="Arial" w:cs="Arial"/>
        </w:rPr>
        <w:t xml:space="preserve"> information, consisting of: Made in labels, country symbolism, use of foreign language, country narrative, (2) the perceived significance of that information, (3) the quality perception, (4) the safety perception, where applicable, including regulatory trust; (5) </w:t>
      </w:r>
      <w:r w:rsidR="00AD74E8" w:rsidRPr="00AD74E8">
        <w:rPr>
          <w:rFonts w:ascii="Arial" w:hAnsi="Arial" w:cs="Arial"/>
        </w:rPr>
        <w:t>perceptions of brand prestige</w:t>
      </w:r>
      <w:r w:rsidRPr="00401FA6">
        <w:rPr>
          <w:rFonts w:ascii="Arial" w:hAnsi="Arial" w:cs="Arial"/>
        </w:rPr>
        <w:t xml:space="preserve">; (6) </w:t>
      </w:r>
      <w:r w:rsidR="00EA5445" w:rsidRPr="00CA4076">
        <w:rPr>
          <w:rFonts w:ascii="Arial" w:hAnsi="Arial" w:cs="Arial"/>
        </w:rPr>
        <w:t>purchas</w:t>
      </w:r>
      <w:r w:rsidR="00EA5445">
        <w:rPr>
          <w:rFonts w:ascii="Arial" w:hAnsi="Arial" w:cs="Arial"/>
        </w:rPr>
        <w:t>ing</w:t>
      </w:r>
      <w:r w:rsidR="00EA5445" w:rsidRPr="00CA4076">
        <w:rPr>
          <w:rFonts w:ascii="Arial" w:hAnsi="Arial" w:cs="Arial"/>
        </w:rPr>
        <w:t xml:space="preserve"> </w:t>
      </w:r>
      <w:r w:rsidR="00EA5445">
        <w:rPr>
          <w:rFonts w:ascii="Arial" w:hAnsi="Arial" w:cs="Arial"/>
        </w:rPr>
        <w:t>decision</w:t>
      </w:r>
      <w:r w:rsidRPr="00401FA6">
        <w:rPr>
          <w:rFonts w:ascii="Arial" w:hAnsi="Arial" w:cs="Arial"/>
        </w:rPr>
        <w:t>. The control variables will be age, income, presence of skincare and brand familiarity. Standardisation helps to enhance comparability and quantitative evaluation (</w:t>
      </w:r>
      <w:r w:rsidR="00AD74E8" w:rsidRPr="00401FA6">
        <w:rPr>
          <w:rFonts w:ascii="Arial" w:hAnsi="Arial" w:cs="Arial"/>
        </w:rPr>
        <w:t xml:space="preserve"> Bryman and Bell, 2015</w:t>
      </w:r>
      <w:r w:rsidR="00AD74E8">
        <w:rPr>
          <w:rFonts w:ascii="Arial" w:hAnsi="Arial" w:cs="Arial"/>
        </w:rPr>
        <w:t xml:space="preserve">; </w:t>
      </w:r>
      <w:r w:rsidRPr="00401FA6">
        <w:rPr>
          <w:rFonts w:ascii="Arial" w:hAnsi="Arial" w:cs="Arial"/>
        </w:rPr>
        <w:t xml:space="preserve">Saunders, Lewis and Thornhill, 2019), whereas online </w:t>
      </w:r>
      <w:r w:rsidR="00EA5445">
        <w:rPr>
          <w:rFonts w:ascii="Arial" w:hAnsi="Arial" w:cs="Arial"/>
        </w:rPr>
        <w:t>survey</w:t>
      </w:r>
      <w:r w:rsidRPr="00401FA6">
        <w:rPr>
          <w:rFonts w:ascii="Arial" w:hAnsi="Arial" w:cs="Arial"/>
        </w:rPr>
        <w:t xml:space="preserve"> administration indicates the established advantages and weaknesses of surveying over the internet (Evans and Mathur, 2005).</w:t>
      </w:r>
    </w:p>
    <w:p w14:paraId="527E7C7F" w14:textId="038BF832" w:rsidR="00C21663" w:rsidRPr="0010515B" w:rsidRDefault="00C21663" w:rsidP="00C21663">
      <w:pPr>
        <w:pStyle w:val="Heading2"/>
        <w:rPr>
          <w:rFonts w:ascii="Arial" w:hAnsi="Arial" w:cs="Arial"/>
        </w:rPr>
      </w:pPr>
      <w:bookmarkStart w:id="19" w:name="_Toc224804810"/>
      <w:r w:rsidRPr="0010515B">
        <w:rPr>
          <w:rFonts w:ascii="Arial" w:hAnsi="Arial" w:cs="Arial"/>
        </w:rPr>
        <w:t xml:space="preserve">3.6 </w:t>
      </w:r>
      <w:r w:rsidR="001557F4" w:rsidRPr="001557F4">
        <w:rPr>
          <w:rFonts w:ascii="Arial" w:hAnsi="Arial" w:cs="Arial"/>
        </w:rPr>
        <w:t>Analytical Techniques</w:t>
      </w:r>
      <w:bookmarkEnd w:id="19"/>
    </w:p>
    <w:p w14:paraId="6A2349F7" w14:textId="6F4B81B0" w:rsidR="00CA4076" w:rsidRPr="0010515B" w:rsidRDefault="00CA4076" w:rsidP="00C21663">
      <w:pPr>
        <w:rPr>
          <w:rFonts w:ascii="Arial" w:hAnsi="Arial" w:cs="Arial"/>
        </w:rPr>
      </w:pPr>
      <w:r w:rsidRPr="00CA4076">
        <w:rPr>
          <w:rFonts w:ascii="Arial" w:hAnsi="Arial" w:cs="Arial"/>
        </w:rPr>
        <w:t>Statistical software, such as SPSS and Excel</w:t>
      </w:r>
      <w:r w:rsidR="00EA5445">
        <w:rPr>
          <w:rFonts w:ascii="Arial" w:hAnsi="Arial" w:cs="Arial"/>
        </w:rPr>
        <w:t>,</w:t>
      </w:r>
      <w:r w:rsidRPr="00CA4076">
        <w:rPr>
          <w:rFonts w:ascii="Arial" w:hAnsi="Arial" w:cs="Arial"/>
        </w:rPr>
        <w:t xml:space="preserve"> </w:t>
      </w:r>
      <w:r w:rsidR="00EA5445">
        <w:rPr>
          <w:rFonts w:ascii="Arial" w:hAnsi="Arial" w:cs="Arial"/>
        </w:rPr>
        <w:t xml:space="preserve">is </w:t>
      </w:r>
      <w:r w:rsidRPr="00CA4076">
        <w:rPr>
          <w:rFonts w:ascii="Arial" w:hAnsi="Arial" w:cs="Arial"/>
        </w:rPr>
        <w:t xml:space="preserve">used to </w:t>
      </w:r>
      <w:r w:rsidR="00EA5445">
        <w:rPr>
          <w:rFonts w:ascii="Arial" w:hAnsi="Arial" w:cs="Arial"/>
        </w:rPr>
        <w:t>test</w:t>
      </w:r>
      <w:r w:rsidRPr="00CA4076">
        <w:rPr>
          <w:rFonts w:ascii="Arial" w:hAnsi="Arial" w:cs="Arial"/>
        </w:rPr>
        <w:t xml:space="preserve"> the data. The correlation </w:t>
      </w:r>
      <w:r w:rsidR="00EA5445">
        <w:rPr>
          <w:rFonts w:ascii="Arial" w:hAnsi="Arial" w:cs="Arial"/>
        </w:rPr>
        <w:t>testing</w:t>
      </w:r>
      <w:r w:rsidRPr="00CA4076">
        <w:rPr>
          <w:rFonts w:ascii="Arial" w:hAnsi="Arial" w:cs="Arial"/>
        </w:rPr>
        <w:t xml:space="preserve"> and multiple regression will also be employed to determine the </w:t>
      </w:r>
      <w:r w:rsidR="00EA5445">
        <w:rPr>
          <w:rFonts w:ascii="Arial" w:hAnsi="Arial" w:cs="Arial"/>
        </w:rPr>
        <w:t>association</w:t>
      </w:r>
      <w:r w:rsidRPr="00CA4076">
        <w:rPr>
          <w:rFonts w:ascii="Arial" w:hAnsi="Arial" w:cs="Arial"/>
        </w:rPr>
        <w:t xml:space="preserve"> between the significance of origin cues and purchas</w:t>
      </w:r>
      <w:r w:rsidR="00EA5445">
        <w:rPr>
          <w:rFonts w:ascii="Arial" w:hAnsi="Arial" w:cs="Arial"/>
        </w:rPr>
        <w:t>ing</w:t>
      </w:r>
      <w:r w:rsidRPr="00CA4076">
        <w:rPr>
          <w:rFonts w:ascii="Arial" w:hAnsi="Arial" w:cs="Arial"/>
        </w:rPr>
        <w:t xml:space="preserve"> </w:t>
      </w:r>
      <w:r w:rsidR="00EA5445">
        <w:rPr>
          <w:rFonts w:ascii="Arial" w:hAnsi="Arial" w:cs="Arial"/>
        </w:rPr>
        <w:t>decision,</w:t>
      </w:r>
      <w:r w:rsidRPr="00CA4076">
        <w:rPr>
          <w:rFonts w:ascii="Arial" w:hAnsi="Arial" w:cs="Arial"/>
        </w:rPr>
        <w:t xml:space="preserve"> </w:t>
      </w:r>
      <w:r w:rsidR="00EA5445" w:rsidRPr="00CA4076">
        <w:rPr>
          <w:rFonts w:ascii="Arial" w:hAnsi="Arial" w:cs="Arial"/>
        </w:rPr>
        <w:t>considering</w:t>
      </w:r>
      <w:r w:rsidRPr="00CA4076">
        <w:rPr>
          <w:rFonts w:ascii="Arial" w:hAnsi="Arial" w:cs="Arial"/>
        </w:rPr>
        <w:t xml:space="preserve"> the demographic variables and behavioural variables (Bryman and Bell, 2015; Green, 1991). It will be investigated in terms of group-based approaches as to whether these effects depend on age, income, involvement, and familiarity (Saunders, Lewis and Thornhill, 2019). Multi-item scales</w:t>
      </w:r>
      <w:r w:rsidR="00EA5445">
        <w:rPr>
          <w:rFonts w:ascii="Arial" w:hAnsi="Arial" w:cs="Arial"/>
        </w:rPr>
        <w:t xml:space="preserve"> are to be</w:t>
      </w:r>
      <w:r w:rsidRPr="00CA4076">
        <w:rPr>
          <w:rFonts w:ascii="Arial" w:hAnsi="Arial" w:cs="Arial"/>
        </w:rPr>
        <w:t xml:space="preserve"> evaluated using </w:t>
      </w:r>
      <w:r w:rsidR="00EA5445">
        <w:rPr>
          <w:rFonts w:ascii="Arial" w:hAnsi="Arial" w:cs="Arial"/>
        </w:rPr>
        <w:t>Cronbach's</w:t>
      </w:r>
      <w:r w:rsidRPr="00CA4076">
        <w:rPr>
          <w:rFonts w:ascii="Arial" w:hAnsi="Arial" w:cs="Arial"/>
        </w:rPr>
        <w:t xml:space="preserve"> alpha to determine the level of reliability (Tavakol and Dennick, 2011).</w:t>
      </w:r>
    </w:p>
    <w:p w14:paraId="5E52C71C" w14:textId="728C21B6" w:rsidR="00C21663" w:rsidRPr="0010515B" w:rsidRDefault="00C21663" w:rsidP="00C21663">
      <w:pPr>
        <w:pStyle w:val="Heading2"/>
        <w:rPr>
          <w:rFonts w:ascii="Arial" w:hAnsi="Arial" w:cs="Arial"/>
        </w:rPr>
      </w:pPr>
      <w:bookmarkStart w:id="20" w:name="_Toc224804811"/>
      <w:r w:rsidRPr="0010515B">
        <w:rPr>
          <w:rFonts w:ascii="Arial" w:hAnsi="Arial" w:cs="Arial"/>
        </w:rPr>
        <w:t xml:space="preserve">3.7 </w:t>
      </w:r>
      <w:r w:rsidR="001557F4" w:rsidRPr="001557F4">
        <w:rPr>
          <w:rFonts w:ascii="Arial" w:hAnsi="Arial" w:cs="Arial"/>
        </w:rPr>
        <w:t>Research Ethics</w:t>
      </w:r>
      <w:bookmarkEnd w:id="20"/>
    </w:p>
    <w:p w14:paraId="71D85EC6" w14:textId="54ADFC89" w:rsidR="00B45BF9" w:rsidRPr="000C6FB2" w:rsidRDefault="00B45BF9" w:rsidP="00C21663">
      <w:pPr>
        <w:rPr>
          <w:rFonts w:ascii="Arial" w:hAnsi="Arial" w:cs="Arial"/>
        </w:rPr>
      </w:pPr>
      <w:r w:rsidRPr="00B45BF9">
        <w:rPr>
          <w:rFonts w:ascii="Arial" w:hAnsi="Arial" w:cs="Arial"/>
        </w:rPr>
        <w:t xml:space="preserve">The research will be under an </w:t>
      </w:r>
      <w:r w:rsidR="00EA5445">
        <w:rPr>
          <w:rFonts w:ascii="Arial" w:hAnsi="Arial" w:cs="Arial"/>
        </w:rPr>
        <w:t>aware</w:t>
      </w:r>
      <w:r w:rsidRPr="00B45BF9">
        <w:rPr>
          <w:rFonts w:ascii="Arial" w:hAnsi="Arial" w:cs="Arial"/>
        </w:rPr>
        <w:t xml:space="preserve"> consent and completely anonymised, using ethical principles of online research (BPS, 2021). The management of data shall adhere to the UK GDPR on legally processing and data storage (UK Government, 2018), and the project will also adhere to the recognised standards of research integrity on </w:t>
      </w:r>
      <w:r w:rsidR="00EA5445">
        <w:rPr>
          <w:rFonts w:ascii="Arial" w:hAnsi="Arial" w:cs="Arial"/>
        </w:rPr>
        <w:t>clear</w:t>
      </w:r>
      <w:r w:rsidRPr="00B45BF9">
        <w:rPr>
          <w:rFonts w:ascii="Arial" w:hAnsi="Arial" w:cs="Arial"/>
        </w:rPr>
        <w:t xml:space="preserve"> reporting and research </w:t>
      </w:r>
      <w:r w:rsidR="00EA5445">
        <w:rPr>
          <w:rFonts w:ascii="Arial" w:hAnsi="Arial" w:cs="Arial"/>
        </w:rPr>
        <w:t>management</w:t>
      </w:r>
      <w:r w:rsidRPr="00B45BF9">
        <w:rPr>
          <w:rFonts w:ascii="Arial" w:hAnsi="Arial" w:cs="Arial"/>
        </w:rPr>
        <w:t xml:space="preserve"> (UK Research Integrity Office, 2023).</w:t>
      </w:r>
    </w:p>
    <w:p w14:paraId="1D5D1ADA" w14:textId="608722D6" w:rsidR="00C21663" w:rsidRPr="0010515B" w:rsidRDefault="00C21663" w:rsidP="00C21663">
      <w:pPr>
        <w:pStyle w:val="Heading1"/>
        <w:rPr>
          <w:rFonts w:ascii="Arial" w:hAnsi="Arial" w:cs="Arial"/>
        </w:rPr>
      </w:pPr>
      <w:bookmarkStart w:id="21" w:name="_Toc224804812"/>
      <w:r w:rsidRPr="0010515B">
        <w:rPr>
          <w:rFonts w:ascii="Arial" w:hAnsi="Arial" w:cs="Arial"/>
        </w:rPr>
        <w:t xml:space="preserve">4. </w:t>
      </w:r>
      <w:r w:rsidR="001557F4" w:rsidRPr="001557F4">
        <w:rPr>
          <w:rFonts w:ascii="Arial" w:hAnsi="Arial" w:cs="Arial"/>
        </w:rPr>
        <w:t>Anticipated Findings</w:t>
      </w:r>
      <w:bookmarkEnd w:id="21"/>
    </w:p>
    <w:p w14:paraId="5E0AE1D5" w14:textId="05EEBAC6" w:rsidR="00E316C1" w:rsidRPr="0010515B" w:rsidRDefault="00E316C1" w:rsidP="00E316C1">
      <w:pPr>
        <w:rPr>
          <w:rFonts w:ascii="Arial" w:hAnsi="Arial" w:cs="Arial"/>
        </w:rPr>
      </w:pPr>
      <w:r w:rsidRPr="0010515B">
        <w:rPr>
          <w:rFonts w:ascii="Arial" w:hAnsi="Arial" w:cs="Arial"/>
        </w:rPr>
        <w:t>Based on the reviewed literature, the research is likely to unveil whether positive country associations are correlated with the heightened perception of quality, safety, and brand esteem in the high-end imported skincare sector. It is also aimed at establishing whether the origin-related cues are related to purchase intention and whether this is different among consumer groups. Specifically, the impact of age, income, skincare involvement, and brand familiarity on the strength or weakness of the effect of origin-related cues will be analysed. The research does not presuppose a predetermined result but an empirical support of the factual level and direction of these relationships in the United Kingdom market situation.</w:t>
      </w:r>
    </w:p>
    <w:p w14:paraId="66572E5D" w14:textId="0E140972" w:rsidR="00C21663" w:rsidRPr="0010515B" w:rsidRDefault="00C21663" w:rsidP="00C21663">
      <w:pPr>
        <w:pStyle w:val="Heading1"/>
        <w:rPr>
          <w:rFonts w:ascii="Arial" w:hAnsi="Arial" w:cs="Arial"/>
        </w:rPr>
      </w:pPr>
      <w:bookmarkStart w:id="22" w:name="_Toc224804813"/>
      <w:r w:rsidRPr="0010515B">
        <w:rPr>
          <w:rFonts w:ascii="Arial" w:hAnsi="Arial" w:cs="Arial"/>
        </w:rPr>
        <w:t xml:space="preserve">5. </w:t>
      </w:r>
      <w:r w:rsidR="001557F4" w:rsidRPr="001557F4">
        <w:rPr>
          <w:rFonts w:ascii="Arial" w:hAnsi="Arial" w:cs="Arial"/>
        </w:rPr>
        <w:t>Study Limitations</w:t>
      </w:r>
      <w:bookmarkEnd w:id="22"/>
    </w:p>
    <w:p w14:paraId="28F7B539" w14:textId="53127993" w:rsidR="0063485C" w:rsidRPr="0010515B" w:rsidRDefault="00141DB0" w:rsidP="00C21663">
      <w:pPr>
        <w:rPr>
          <w:rFonts w:ascii="Arial" w:hAnsi="Arial" w:cs="Arial"/>
        </w:rPr>
      </w:pPr>
      <w:r w:rsidRPr="00141DB0">
        <w:rPr>
          <w:rFonts w:ascii="Arial" w:hAnsi="Arial" w:cs="Arial"/>
        </w:rPr>
        <w:t>The research is based on survey data that is self-reported and thus the research can be influenced by the bias of responses and differences between the intention expressed and the purchasing behaviour itself. Its cross-sectional structure makes it impossible to interpret causally because it characterises the relationships at one moment, but not across time. Convenience sampling could lower the levels of representativeness and limit generalisability to the overall UK high-end skincare sector. Furthermore, the research is limited to the UK luxury skincare industry, therefore the results might not be applicable to mass-market skincare or in other nations. The limitations will be overcome by paying attention to scale design, construction of surveys and open reporting.</w:t>
      </w:r>
      <w:r w:rsidR="001B4420" w:rsidRPr="0010515B">
        <w:rPr>
          <w:rFonts w:ascii="Arial" w:hAnsi="Arial" w:cs="Arial"/>
        </w:rPr>
        <w:br w:type="page"/>
      </w:r>
    </w:p>
    <w:p w14:paraId="59167D68" w14:textId="73E6AEB6" w:rsidR="00C21663" w:rsidRPr="0010515B" w:rsidRDefault="00C21663" w:rsidP="0063485C">
      <w:pPr>
        <w:pStyle w:val="Heading1"/>
        <w:rPr>
          <w:rFonts w:ascii="Arial" w:hAnsi="Arial" w:cs="Arial"/>
        </w:rPr>
      </w:pPr>
      <w:bookmarkStart w:id="23" w:name="_Toc224804814"/>
      <w:r w:rsidRPr="0010515B">
        <w:rPr>
          <w:rFonts w:ascii="Arial" w:hAnsi="Arial" w:cs="Arial"/>
        </w:rPr>
        <w:t xml:space="preserve">6. </w:t>
      </w:r>
      <w:r w:rsidR="001557F4" w:rsidRPr="001557F4">
        <w:rPr>
          <w:rFonts w:ascii="Arial" w:hAnsi="Arial" w:cs="Arial"/>
        </w:rPr>
        <w:t>Project Schedule</w:t>
      </w:r>
      <w:r w:rsidRPr="0010515B">
        <w:rPr>
          <w:rFonts w:ascii="Arial" w:hAnsi="Arial" w:cs="Arial"/>
        </w:rPr>
        <w:t xml:space="preserve">: </w:t>
      </w:r>
      <w:r w:rsidRPr="0010515B">
        <w:rPr>
          <w:rFonts w:ascii="Arial" w:hAnsi="Arial" w:cs="Arial"/>
          <w14:ligatures w14:val="none"/>
        </w:rPr>
        <w:t>Gantt Chart</w:t>
      </w:r>
      <w:bookmarkEnd w:id="23"/>
    </w:p>
    <w:tbl>
      <w:tblPr>
        <w:tblW w:w="8720" w:type="dxa"/>
        <w:tblLook w:val="04A0" w:firstRow="1" w:lastRow="0" w:firstColumn="1" w:lastColumn="0" w:noHBand="0" w:noVBand="1"/>
      </w:tblPr>
      <w:tblGrid>
        <w:gridCol w:w="1357"/>
        <w:gridCol w:w="356"/>
        <w:gridCol w:w="355"/>
        <w:gridCol w:w="355"/>
        <w:gridCol w:w="355"/>
        <w:gridCol w:w="355"/>
        <w:gridCol w:w="355"/>
        <w:gridCol w:w="355"/>
        <w:gridCol w:w="355"/>
        <w:gridCol w:w="355"/>
        <w:gridCol w:w="406"/>
        <w:gridCol w:w="406"/>
        <w:gridCol w:w="406"/>
        <w:gridCol w:w="406"/>
        <w:gridCol w:w="406"/>
        <w:gridCol w:w="406"/>
        <w:gridCol w:w="406"/>
        <w:gridCol w:w="406"/>
        <w:gridCol w:w="406"/>
        <w:gridCol w:w="406"/>
        <w:gridCol w:w="406"/>
      </w:tblGrid>
      <w:tr w:rsidR="00C21663" w:rsidRPr="0010515B" w14:paraId="6C2FF461" w14:textId="77777777" w:rsidTr="000D50A0">
        <w:trPr>
          <w:trHeight w:val="360"/>
        </w:trPr>
        <w:tc>
          <w:tcPr>
            <w:tcW w:w="1940" w:type="dxa"/>
            <w:tcBorders>
              <w:top w:val="single" w:sz="4" w:space="0" w:color="D0D0D0"/>
              <w:left w:val="single" w:sz="4" w:space="0" w:color="D0D0D0"/>
              <w:bottom w:val="single" w:sz="4" w:space="0" w:color="D0D0D0"/>
              <w:right w:val="single" w:sz="4" w:space="0" w:color="D0D0D0"/>
            </w:tcBorders>
            <w:shd w:val="clear" w:color="000000" w:fill="F2F2F2"/>
            <w:vAlign w:val="center"/>
            <w:hideMark/>
          </w:tcPr>
          <w:p w14:paraId="4ED5E8CE" w14:textId="77777777" w:rsidR="00C21663" w:rsidRPr="0010515B" w:rsidRDefault="00C21663" w:rsidP="000D50A0">
            <w:pPr>
              <w:spacing w:after="0" w:line="240" w:lineRule="auto"/>
              <w:jc w:val="center"/>
              <w:rPr>
                <w:rFonts w:ascii="Arial" w:eastAsia="Times New Roman" w:hAnsi="Arial" w:cs="Arial"/>
                <w:b/>
                <w:bCs/>
                <w:sz w:val="18"/>
                <w:szCs w:val="18"/>
                <w:lang w:eastAsia="en-GB"/>
                <w14:ligatures w14:val="none"/>
              </w:rPr>
            </w:pPr>
            <w:r w:rsidRPr="0010515B">
              <w:rPr>
                <w:rFonts w:ascii="Arial" w:eastAsia="Times New Roman" w:hAnsi="Arial" w:cs="Arial"/>
                <w:b/>
                <w:bCs/>
                <w:sz w:val="18"/>
                <w:szCs w:val="18"/>
                <w:lang w:eastAsia="en-GB"/>
                <w14:ligatures w14:val="none"/>
              </w:rPr>
              <w:t>Phase</w:t>
            </w:r>
          </w:p>
        </w:tc>
        <w:tc>
          <w:tcPr>
            <w:tcW w:w="293" w:type="dxa"/>
            <w:tcBorders>
              <w:top w:val="single" w:sz="4" w:space="0" w:color="D0D0D0"/>
              <w:left w:val="nil"/>
              <w:bottom w:val="single" w:sz="4" w:space="0" w:color="D0D0D0"/>
              <w:right w:val="single" w:sz="4" w:space="0" w:color="D0D0D0"/>
            </w:tcBorders>
            <w:shd w:val="clear" w:color="000000" w:fill="F2F2F2"/>
            <w:vAlign w:val="center"/>
            <w:hideMark/>
          </w:tcPr>
          <w:p w14:paraId="7F51017F"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w:t>
            </w:r>
          </w:p>
        </w:tc>
        <w:tc>
          <w:tcPr>
            <w:tcW w:w="293" w:type="dxa"/>
            <w:tcBorders>
              <w:top w:val="single" w:sz="4" w:space="0" w:color="D0D0D0"/>
              <w:left w:val="nil"/>
              <w:bottom w:val="single" w:sz="4" w:space="0" w:color="D0D0D0"/>
              <w:right w:val="single" w:sz="4" w:space="0" w:color="D0D0D0"/>
            </w:tcBorders>
            <w:shd w:val="clear" w:color="000000" w:fill="F2F2F2"/>
            <w:vAlign w:val="center"/>
            <w:hideMark/>
          </w:tcPr>
          <w:p w14:paraId="61B35D18"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W2</w:t>
            </w:r>
          </w:p>
        </w:tc>
        <w:tc>
          <w:tcPr>
            <w:tcW w:w="294" w:type="dxa"/>
            <w:tcBorders>
              <w:top w:val="single" w:sz="4" w:space="0" w:color="D0D0D0"/>
              <w:left w:val="nil"/>
              <w:bottom w:val="single" w:sz="4" w:space="0" w:color="D0D0D0"/>
              <w:right w:val="single" w:sz="4" w:space="0" w:color="D0D0D0"/>
            </w:tcBorders>
            <w:shd w:val="clear" w:color="000000" w:fill="F2F2F2"/>
            <w:vAlign w:val="center"/>
            <w:hideMark/>
          </w:tcPr>
          <w:p w14:paraId="39075A94"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W3</w:t>
            </w:r>
          </w:p>
        </w:tc>
        <w:tc>
          <w:tcPr>
            <w:tcW w:w="294" w:type="dxa"/>
            <w:tcBorders>
              <w:top w:val="single" w:sz="4" w:space="0" w:color="D0D0D0"/>
              <w:left w:val="nil"/>
              <w:bottom w:val="single" w:sz="4" w:space="0" w:color="D0D0D0"/>
              <w:right w:val="single" w:sz="4" w:space="0" w:color="D0D0D0"/>
            </w:tcBorders>
            <w:shd w:val="clear" w:color="000000" w:fill="F2F2F2"/>
            <w:vAlign w:val="center"/>
            <w:hideMark/>
          </w:tcPr>
          <w:p w14:paraId="6A2AB914"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W4</w:t>
            </w:r>
          </w:p>
        </w:tc>
        <w:tc>
          <w:tcPr>
            <w:tcW w:w="294" w:type="dxa"/>
            <w:tcBorders>
              <w:top w:val="single" w:sz="4" w:space="0" w:color="D0D0D0"/>
              <w:left w:val="nil"/>
              <w:bottom w:val="single" w:sz="4" w:space="0" w:color="D0D0D0"/>
              <w:right w:val="single" w:sz="4" w:space="0" w:color="D0D0D0"/>
            </w:tcBorders>
            <w:shd w:val="clear" w:color="000000" w:fill="F2F2F2"/>
            <w:vAlign w:val="center"/>
            <w:hideMark/>
          </w:tcPr>
          <w:p w14:paraId="040B21E4"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W5</w:t>
            </w:r>
          </w:p>
        </w:tc>
        <w:tc>
          <w:tcPr>
            <w:tcW w:w="294" w:type="dxa"/>
            <w:tcBorders>
              <w:top w:val="single" w:sz="4" w:space="0" w:color="D0D0D0"/>
              <w:left w:val="nil"/>
              <w:bottom w:val="single" w:sz="4" w:space="0" w:color="D0D0D0"/>
              <w:right w:val="single" w:sz="4" w:space="0" w:color="D0D0D0"/>
            </w:tcBorders>
            <w:shd w:val="clear" w:color="000000" w:fill="F2F2F2"/>
            <w:vAlign w:val="center"/>
            <w:hideMark/>
          </w:tcPr>
          <w:p w14:paraId="3A1FD157"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W6</w:t>
            </w:r>
          </w:p>
        </w:tc>
        <w:tc>
          <w:tcPr>
            <w:tcW w:w="294" w:type="dxa"/>
            <w:tcBorders>
              <w:top w:val="single" w:sz="4" w:space="0" w:color="D0D0D0"/>
              <w:left w:val="nil"/>
              <w:bottom w:val="single" w:sz="4" w:space="0" w:color="D0D0D0"/>
              <w:right w:val="single" w:sz="4" w:space="0" w:color="D0D0D0"/>
            </w:tcBorders>
            <w:shd w:val="clear" w:color="000000" w:fill="F2F2F2"/>
            <w:vAlign w:val="center"/>
            <w:hideMark/>
          </w:tcPr>
          <w:p w14:paraId="71AEC235"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W7</w:t>
            </w:r>
          </w:p>
        </w:tc>
        <w:tc>
          <w:tcPr>
            <w:tcW w:w="294" w:type="dxa"/>
            <w:tcBorders>
              <w:top w:val="single" w:sz="4" w:space="0" w:color="D0D0D0"/>
              <w:left w:val="nil"/>
              <w:bottom w:val="single" w:sz="4" w:space="0" w:color="D0D0D0"/>
              <w:right w:val="single" w:sz="4" w:space="0" w:color="D0D0D0"/>
            </w:tcBorders>
            <w:shd w:val="clear" w:color="000000" w:fill="F2F2F2"/>
            <w:vAlign w:val="center"/>
            <w:hideMark/>
          </w:tcPr>
          <w:p w14:paraId="585D4FA8"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W8</w:t>
            </w:r>
          </w:p>
        </w:tc>
        <w:tc>
          <w:tcPr>
            <w:tcW w:w="294" w:type="dxa"/>
            <w:tcBorders>
              <w:top w:val="single" w:sz="4" w:space="0" w:color="D0D0D0"/>
              <w:left w:val="nil"/>
              <w:bottom w:val="single" w:sz="4" w:space="0" w:color="D0D0D0"/>
              <w:right w:val="single" w:sz="4" w:space="0" w:color="D0D0D0"/>
            </w:tcBorders>
            <w:shd w:val="clear" w:color="000000" w:fill="F2F2F2"/>
            <w:vAlign w:val="center"/>
            <w:hideMark/>
          </w:tcPr>
          <w:p w14:paraId="0EC5C929"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W9</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54C2D74D"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W10</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51CA81A8"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W11</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60DCFE51"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W12</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19156609"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W13</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64F81D5E"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W14</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1D8B7E89"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W15</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0B820A04"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W16</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16C6F06E"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W17</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69026F8B"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W18</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1D7E218F"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W19</w:t>
            </w:r>
          </w:p>
        </w:tc>
        <w:tc>
          <w:tcPr>
            <w:tcW w:w="376" w:type="dxa"/>
            <w:tcBorders>
              <w:top w:val="single" w:sz="4" w:space="0" w:color="D0D0D0"/>
              <w:left w:val="nil"/>
              <w:bottom w:val="single" w:sz="4" w:space="0" w:color="D0D0D0"/>
              <w:right w:val="single" w:sz="4" w:space="0" w:color="D0D0D0"/>
            </w:tcBorders>
            <w:shd w:val="clear" w:color="000000" w:fill="F2F2F2"/>
            <w:vAlign w:val="center"/>
            <w:hideMark/>
          </w:tcPr>
          <w:p w14:paraId="0ADA1A4F" w14:textId="77777777" w:rsidR="00C21663" w:rsidRPr="0010515B" w:rsidRDefault="00C21663" w:rsidP="000D50A0">
            <w:pPr>
              <w:spacing w:after="0" w:line="240" w:lineRule="auto"/>
              <w:jc w:val="center"/>
              <w:rPr>
                <w:rFonts w:ascii="Arial" w:eastAsia="Times New Roman" w:hAnsi="Arial" w:cs="Arial"/>
                <w:b/>
                <w:bCs/>
                <w:sz w:val="14"/>
                <w:szCs w:val="14"/>
                <w:lang w:eastAsia="en-GB"/>
                <w14:ligatures w14:val="none"/>
              </w:rPr>
            </w:pPr>
            <w:r w:rsidRPr="0010515B">
              <w:rPr>
                <w:rFonts w:ascii="Arial" w:eastAsia="Times New Roman" w:hAnsi="Arial" w:cs="Arial"/>
                <w:b/>
                <w:bCs/>
                <w:sz w:val="14"/>
                <w:szCs w:val="14"/>
                <w:lang w:eastAsia="en-GB"/>
                <w14:ligatures w14:val="none"/>
              </w:rPr>
              <w:t>W20</w:t>
            </w:r>
          </w:p>
        </w:tc>
      </w:tr>
      <w:tr w:rsidR="00C21663" w:rsidRPr="0010515B" w14:paraId="753545C2" w14:textId="77777777" w:rsidTr="000D50A0">
        <w:trPr>
          <w:trHeight w:val="319"/>
        </w:trPr>
        <w:tc>
          <w:tcPr>
            <w:tcW w:w="1940" w:type="dxa"/>
            <w:tcBorders>
              <w:top w:val="nil"/>
              <w:left w:val="single" w:sz="4" w:space="0" w:color="D0D0D0"/>
              <w:bottom w:val="single" w:sz="4" w:space="0" w:color="D0D0D0"/>
              <w:right w:val="single" w:sz="4" w:space="0" w:color="D0D0D0"/>
            </w:tcBorders>
            <w:shd w:val="clear" w:color="000000" w:fill="FAFAFA"/>
            <w:noWrap/>
            <w:vAlign w:val="center"/>
            <w:hideMark/>
          </w:tcPr>
          <w:p w14:paraId="06BF2979" w14:textId="77777777" w:rsidR="00C21663" w:rsidRPr="0010515B" w:rsidRDefault="00C21663" w:rsidP="000D50A0">
            <w:pPr>
              <w:spacing w:after="0" w:line="240" w:lineRule="auto"/>
              <w:jc w:val="left"/>
              <w:rPr>
                <w:rFonts w:ascii="Arial" w:eastAsia="Times New Roman" w:hAnsi="Arial" w:cs="Arial"/>
                <w:sz w:val="18"/>
                <w:szCs w:val="18"/>
                <w:lang w:eastAsia="en-GB"/>
                <w14:ligatures w14:val="none"/>
              </w:rPr>
            </w:pPr>
            <w:r w:rsidRPr="0010515B">
              <w:rPr>
                <w:rFonts w:ascii="Arial" w:eastAsia="Times New Roman" w:hAnsi="Arial" w:cs="Arial"/>
                <w:sz w:val="18"/>
                <w:szCs w:val="18"/>
                <w:lang w:eastAsia="en-GB"/>
                <w14:ligatures w14:val="none"/>
              </w:rPr>
              <w:t>Proposal Approval</w:t>
            </w:r>
          </w:p>
        </w:tc>
        <w:tc>
          <w:tcPr>
            <w:tcW w:w="293" w:type="dxa"/>
            <w:tcBorders>
              <w:top w:val="nil"/>
              <w:left w:val="nil"/>
              <w:bottom w:val="single" w:sz="4" w:space="0" w:color="D0D0D0"/>
              <w:right w:val="single" w:sz="4" w:space="0" w:color="D0D0D0"/>
            </w:tcBorders>
            <w:shd w:val="clear" w:color="000000" w:fill="1F77B4"/>
            <w:noWrap/>
            <w:vAlign w:val="center"/>
            <w:hideMark/>
          </w:tcPr>
          <w:p w14:paraId="6EA6C0B9"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3" w:type="dxa"/>
            <w:tcBorders>
              <w:top w:val="nil"/>
              <w:left w:val="nil"/>
              <w:bottom w:val="single" w:sz="4" w:space="0" w:color="D0D0D0"/>
              <w:right w:val="single" w:sz="4" w:space="0" w:color="D0D0D0"/>
            </w:tcBorders>
            <w:shd w:val="clear" w:color="000000" w:fill="1F77B4"/>
            <w:noWrap/>
            <w:vAlign w:val="center"/>
            <w:hideMark/>
          </w:tcPr>
          <w:p w14:paraId="0E3C7B23"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414C9FF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33A2A88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0228AB1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6D38A64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315128CD"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119713D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6BE20BD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59EDB317"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EFC4DC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0418027"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BDE0100"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3ED95CF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33D0D45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D6EC83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4E03280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A22F30C"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59D30C2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1085B9C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r>
      <w:tr w:rsidR="00C21663" w:rsidRPr="0010515B" w14:paraId="2A4E7067" w14:textId="77777777" w:rsidTr="000D50A0">
        <w:trPr>
          <w:trHeight w:val="319"/>
        </w:trPr>
        <w:tc>
          <w:tcPr>
            <w:tcW w:w="1940" w:type="dxa"/>
            <w:tcBorders>
              <w:top w:val="nil"/>
              <w:left w:val="single" w:sz="4" w:space="0" w:color="D0D0D0"/>
              <w:bottom w:val="single" w:sz="4" w:space="0" w:color="D0D0D0"/>
              <w:right w:val="single" w:sz="4" w:space="0" w:color="D0D0D0"/>
            </w:tcBorders>
            <w:shd w:val="clear" w:color="000000" w:fill="FAFAFA"/>
            <w:noWrap/>
            <w:vAlign w:val="center"/>
            <w:hideMark/>
          </w:tcPr>
          <w:p w14:paraId="17C21957" w14:textId="77777777" w:rsidR="00C21663" w:rsidRPr="0010515B" w:rsidRDefault="00C21663" w:rsidP="000D50A0">
            <w:pPr>
              <w:spacing w:after="0" w:line="240" w:lineRule="auto"/>
              <w:jc w:val="left"/>
              <w:rPr>
                <w:rFonts w:ascii="Arial" w:eastAsia="Times New Roman" w:hAnsi="Arial" w:cs="Arial"/>
                <w:sz w:val="18"/>
                <w:szCs w:val="18"/>
                <w:lang w:eastAsia="en-GB"/>
                <w14:ligatures w14:val="none"/>
              </w:rPr>
            </w:pPr>
            <w:r w:rsidRPr="0010515B">
              <w:rPr>
                <w:rFonts w:ascii="Arial" w:eastAsia="Times New Roman" w:hAnsi="Arial" w:cs="Arial"/>
                <w:sz w:val="18"/>
                <w:szCs w:val="18"/>
                <w:lang w:eastAsia="en-GB"/>
                <w14:ligatures w14:val="none"/>
              </w:rPr>
              <w:t>Literature Review</w:t>
            </w:r>
          </w:p>
        </w:tc>
        <w:tc>
          <w:tcPr>
            <w:tcW w:w="293" w:type="dxa"/>
            <w:tcBorders>
              <w:top w:val="nil"/>
              <w:left w:val="nil"/>
              <w:bottom w:val="single" w:sz="4" w:space="0" w:color="D0D0D0"/>
              <w:right w:val="single" w:sz="4" w:space="0" w:color="D0D0D0"/>
            </w:tcBorders>
            <w:noWrap/>
            <w:vAlign w:val="center"/>
            <w:hideMark/>
          </w:tcPr>
          <w:p w14:paraId="0C52EDC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3" w:type="dxa"/>
            <w:tcBorders>
              <w:top w:val="nil"/>
              <w:left w:val="nil"/>
              <w:bottom w:val="single" w:sz="4" w:space="0" w:color="D0D0D0"/>
              <w:right w:val="single" w:sz="4" w:space="0" w:color="D0D0D0"/>
            </w:tcBorders>
            <w:noWrap/>
            <w:vAlign w:val="center"/>
            <w:hideMark/>
          </w:tcPr>
          <w:p w14:paraId="6479D173"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shd w:val="clear" w:color="000000" w:fill="2CA02C"/>
            <w:noWrap/>
            <w:vAlign w:val="center"/>
            <w:hideMark/>
          </w:tcPr>
          <w:p w14:paraId="30650BE9"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shd w:val="clear" w:color="000000" w:fill="2CA02C"/>
            <w:noWrap/>
            <w:vAlign w:val="center"/>
            <w:hideMark/>
          </w:tcPr>
          <w:p w14:paraId="2F86A909"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shd w:val="clear" w:color="000000" w:fill="2CA02C"/>
            <w:noWrap/>
            <w:vAlign w:val="center"/>
            <w:hideMark/>
          </w:tcPr>
          <w:p w14:paraId="5C0F8B5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shd w:val="clear" w:color="000000" w:fill="2CA02C"/>
            <w:noWrap/>
            <w:vAlign w:val="center"/>
            <w:hideMark/>
          </w:tcPr>
          <w:p w14:paraId="5B6291D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6F81557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4FB7D1AD"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59F3BCF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76A5A89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4C40DC8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F58174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21810303"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D5D613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3267F7C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5999D4D3"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7D8697B0"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2F763080"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42F7830"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C22B38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r>
      <w:tr w:rsidR="00C21663" w:rsidRPr="0010515B" w14:paraId="4AC3EF96" w14:textId="77777777" w:rsidTr="000D50A0">
        <w:trPr>
          <w:trHeight w:val="319"/>
        </w:trPr>
        <w:tc>
          <w:tcPr>
            <w:tcW w:w="1940" w:type="dxa"/>
            <w:tcBorders>
              <w:top w:val="nil"/>
              <w:left w:val="single" w:sz="4" w:space="0" w:color="D0D0D0"/>
              <w:bottom w:val="single" w:sz="4" w:space="0" w:color="D0D0D0"/>
              <w:right w:val="single" w:sz="4" w:space="0" w:color="D0D0D0"/>
            </w:tcBorders>
            <w:shd w:val="clear" w:color="000000" w:fill="FAFAFA"/>
            <w:noWrap/>
            <w:vAlign w:val="center"/>
            <w:hideMark/>
          </w:tcPr>
          <w:p w14:paraId="1E3AECE5" w14:textId="77777777" w:rsidR="00C21663" w:rsidRPr="0010515B" w:rsidRDefault="00C21663" w:rsidP="000D50A0">
            <w:pPr>
              <w:spacing w:after="0" w:line="240" w:lineRule="auto"/>
              <w:jc w:val="left"/>
              <w:rPr>
                <w:rFonts w:ascii="Arial" w:eastAsia="Times New Roman" w:hAnsi="Arial" w:cs="Arial"/>
                <w:sz w:val="18"/>
                <w:szCs w:val="18"/>
                <w:lang w:eastAsia="en-GB"/>
                <w14:ligatures w14:val="none"/>
              </w:rPr>
            </w:pPr>
            <w:r w:rsidRPr="0010515B">
              <w:rPr>
                <w:rFonts w:ascii="Arial" w:eastAsia="Times New Roman" w:hAnsi="Arial" w:cs="Arial"/>
                <w:sz w:val="18"/>
                <w:szCs w:val="18"/>
                <w:lang w:eastAsia="en-GB"/>
                <w14:ligatures w14:val="none"/>
              </w:rPr>
              <w:t>Questionnaire Design</w:t>
            </w:r>
          </w:p>
        </w:tc>
        <w:tc>
          <w:tcPr>
            <w:tcW w:w="293" w:type="dxa"/>
            <w:tcBorders>
              <w:top w:val="nil"/>
              <w:left w:val="nil"/>
              <w:bottom w:val="single" w:sz="4" w:space="0" w:color="D0D0D0"/>
              <w:right w:val="single" w:sz="4" w:space="0" w:color="D0D0D0"/>
            </w:tcBorders>
            <w:noWrap/>
            <w:vAlign w:val="center"/>
            <w:hideMark/>
          </w:tcPr>
          <w:p w14:paraId="559EDFFC"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3" w:type="dxa"/>
            <w:tcBorders>
              <w:top w:val="nil"/>
              <w:left w:val="nil"/>
              <w:bottom w:val="single" w:sz="4" w:space="0" w:color="D0D0D0"/>
              <w:right w:val="single" w:sz="4" w:space="0" w:color="D0D0D0"/>
            </w:tcBorders>
            <w:noWrap/>
            <w:vAlign w:val="center"/>
            <w:hideMark/>
          </w:tcPr>
          <w:p w14:paraId="4B03BBBC"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6945F86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3C588BB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2BF40F8C"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4D05263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shd w:val="clear" w:color="000000" w:fill="FF7F0E"/>
            <w:noWrap/>
            <w:vAlign w:val="center"/>
            <w:hideMark/>
          </w:tcPr>
          <w:p w14:paraId="5997898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25831A4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31946F7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2684CEE5"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5001F68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765BF3A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40A05B7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2E1A47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56E767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79C29C6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39F6DC9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4E7A0159"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39928168"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447B56F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r>
      <w:tr w:rsidR="00C21663" w:rsidRPr="0010515B" w14:paraId="09720DE6" w14:textId="77777777" w:rsidTr="000D50A0">
        <w:trPr>
          <w:trHeight w:val="319"/>
        </w:trPr>
        <w:tc>
          <w:tcPr>
            <w:tcW w:w="1940" w:type="dxa"/>
            <w:tcBorders>
              <w:top w:val="nil"/>
              <w:left w:val="single" w:sz="4" w:space="0" w:color="D0D0D0"/>
              <w:bottom w:val="single" w:sz="4" w:space="0" w:color="D0D0D0"/>
              <w:right w:val="single" w:sz="4" w:space="0" w:color="D0D0D0"/>
            </w:tcBorders>
            <w:shd w:val="clear" w:color="000000" w:fill="FAFAFA"/>
            <w:noWrap/>
            <w:vAlign w:val="center"/>
            <w:hideMark/>
          </w:tcPr>
          <w:p w14:paraId="59CB2DA0" w14:textId="77777777" w:rsidR="00C21663" w:rsidRPr="0010515B" w:rsidRDefault="00C21663" w:rsidP="000D50A0">
            <w:pPr>
              <w:spacing w:after="0" w:line="240" w:lineRule="auto"/>
              <w:jc w:val="left"/>
              <w:rPr>
                <w:rFonts w:ascii="Arial" w:eastAsia="Times New Roman" w:hAnsi="Arial" w:cs="Arial"/>
                <w:sz w:val="18"/>
                <w:szCs w:val="18"/>
                <w:lang w:eastAsia="en-GB"/>
                <w14:ligatures w14:val="none"/>
              </w:rPr>
            </w:pPr>
            <w:r w:rsidRPr="0010515B">
              <w:rPr>
                <w:rFonts w:ascii="Arial" w:eastAsia="Times New Roman" w:hAnsi="Arial" w:cs="Arial"/>
                <w:sz w:val="18"/>
                <w:szCs w:val="18"/>
                <w:lang w:eastAsia="en-GB"/>
                <w14:ligatures w14:val="none"/>
              </w:rPr>
              <w:t>Pilot Testing</w:t>
            </w:r>
          </w:p>
        </w:tc>
        <w:tc>
          <w:tcPr>
            <w:tcW w:w="293" w:type="dxa"/>
            <w:tcBorders>
              <w:top w:val="nil"/>
              <w:left w:val="nil"/>
              <w:bottom w:val="single" w:sz="4" w:space="0" w:color="D0D0D0"/>
              <w:right w:val="single" w:sz="4" w:space="0" w:color="D0D0D0"/>
            </w:tcBorders>
            <w:noWrap/>
            <w:vAlign w:val="center"/>
            <w:hideMark/>
          </w:tcPr>
          <w:p w14:paraId="62A22EB0"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3" w:type="dxa"/>
            <w:tcBorders>
              <w:top w:val="nil"/>
              <w:left w:val="nil"/>
              <w:bottom w:val="single" w:sz="4" w:space="0" w:color="D0D0D0"/>
              <w:right w:val="single" w:sz="4" w:space="0" w:color="D0D0D0"/>
            </w:tcBorders>
            <w:noWrap/>
            <w:vAlign w:val="center"/>
            <w:hideMark/>
          </w:tcPr>
          <w:p w14:paraId="02E5EE6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49F8B94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65E94917"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41A5D5D7"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120974D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0FD35C5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shd w:val="clear" w:color="000000" w:fill="9467BD"/>
            <w:noWrap/>
            <w:vAlign w:val="center"/>
            <w:hideMark/>
          </w:tcPr>
          <w:p w14:paraId="3A8ACE2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7A135F65"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543F8C7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24FD9FB5"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30E4A5B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4EB72C5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42CAF90"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21581CB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4C52D73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21187743"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42A403F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2939885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1F2FD7A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r>
      <w:tr w:rsidR="00C21663" w:rsidRPr="0010515B" w14:paraId="5D973A8E" w14:textId="77777777" w:rsidTr="000D50A0">
        <w:trPr>
          <w:trHeight w:val="319"/>
        </w:trPr>
        <w:tc>
          <w:tcPr>
            <w:tcW w:w="1940" w:type="dxa"/>
            <w:tcBorders>
              <w:top w:val="nil"/>
              <w:left w:val="single" w:sz="4" w:space="0" w:color="D0D0D0"/>
              <w:bottom w:val="single" w:sz="4" w:space="0" w:color="D0D0D0"/>
              <w:right w:val="single" w:sz="4" w:space="0" w:color="D0D0D0"/>
            </w:tcBorders>
            <w:shd w:val="clear" w:color="000000" w:fill="FAFAFA"/>
            <w:noWrap/>
            <w:vAlign w:val="center"/>
            <w:hideMark/>
          </w:tcPr>
          <w:p w14:paraId="778BE24E" w14:textId="77777777" w:rsidR="00C21663" w:rsidRPr="0010515B" w:rsidRDefault="00C21663" w:rsidP="000D50A0">
            <w:pPr>
              <w:spacing w:after="0" w:line="240" w:lineRule="auto"/>
              <w:jc w:val="left"/>
              <w:rPr>
                <w:rFonts w:ascii="Arial" w:eastAsia="Times New Roman" w:hAnsi="Arial" w:cs="Arial"/>
                <w:sz w:val="18"/>
                <w:szCs w:val="18"/>
                <w:lang w:eastAsia="en-GB"/>
                <w14:ligatures w14:val="none"/>
              </w:rPr>
            </w:pPr>
            <w:r w:rsidRPr="0010515B">
              <w:rPr>
                <w:rFonts w:ascii="Arial" w:eastAsia="Times New Roman" w:hAnsi="Arial" w:cs="Arial"/>
                <w:sz w:val="18"/>
                <w:szCs w:val="18"/>
                <w:lang w:eastAsia="en-GB"/>
                <w14:ligatures w14:val="none"/>
              </w:rPr>
              <w:t>Data Collection</w:t>
            </w:r>
          </w:p>
        </w:tc>
        <w:tc>
          <w:tcPr>
            <w:tcW w:w="293" w:type="dxa"/>
            <w:tcBorders>
              <w:top w:val="nil"/>
              <w:left w:val="nil"/>
              <w:bottom w:val="single" w:sz="4" w:space="0" w:color="D0D0D0"/>
              <w:right w:val="single" w:sz="4" w:space="0" w:color="D0D0D0"/>
            </w:tcBorders>
            <w:noWrap/>
            <w:vAlign w:val="center"/>
            <w:hideMark/>
          </w:tcPr>
          <w:p w14:paraId="4C75BB8D"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3" w:type="dxa"/>
            <w:tcBorders>
              <w:top w:val="nil"/>
              <w:left w:val="nil"/>
              <w:bottom w:val="single" w:sz="4" w:space="0" w:color="D0D0D0"/>
              <w:right w:val="single" w:sz="4" w:space="0" w:color="D0D0D0"/>
            </w:tcBorders>
            <w:noWrap/>
            <w:vAlign w:val="center"/>
            <w:hideMark/>
          </w:tcPr>
          <w:p w14:paraId="5BA8FBB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7CCE9AF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1D1BC1A3"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4CE03DD7"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51B140B7"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180C7DA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323C5877"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shd w:val="clear" w:color="000000" w:fill="D62728"/>
            <w:noWrap/>
            <w:vAlign w:val="center"/>
            <w:hideMark/>
          </w:tcPr>
          <w:p w14:paraId="501A91F0"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D62728"/>
            <w:noWrap/>
            <w:vAlign w:val="center"/>
            <w:hideMark/>
          </w:tcPr>
          <w:p w14:paraId="265D93A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D62728"/>
            <w:noWrap/>
            <w:vAlign w:val="center"/>
            <w:hideMark/>
          </w:tcPr>
          <w:p w14:paraId="6EF75ED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22FE35C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D61B47D"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7855E4C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1237213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802940C"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45F6725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1A8E4A1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5FBDABF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A7C4CB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r>
      <w:tr w:rsidR="00C21663" w:rsidRPr="0010515B" w14:paraId="7620AA22" w14:textId="77777777" w:rsidTr="000D50A0">
        <w:trPr>
          <w:trHeight w:val="319"/>
        </w:trPr>
        <w:tc>
          <w:tcPr>
            <w:tcW w:w="1940" w:type="dxa"/>
            <w:tcBorders>
              <w:top w:val="nil"/>
              <w:left w:val="single" w:sz="4" w:space="0" w:color="D0D0D0"/>
              <w:bottom w:val="single" w:sz="4" w:space="0" w:color="D0D0D0"/>
              <w:right w:val="single" w:sz="4" w:space="0" w:color="D0D0D0"/>
            </w:tcBorders>
            <w:shd w:val="clear" w:color="000000" w:fill="FAFAFA"/>
            <w:noWrap/>
            <w:vAlign w:val="center"/>
            <w:hideMark/>
          </w:tcPr>
          <w:p w14:paraId="0DAE3706" w14:textId="77777777" w:rsidR="00C21663" w:rsidRPr="0010515B" w:rsidRDefault="00C21663" w:rsidP="000D50A0">
            <w:pPr>
              <w:spacing w:after="0" w:line="240" w:lineRule="auto"/>
              <w:jc w:val="left"/>
              <w:rPr>
                <w:rFonts w:ascii="Arial" w:eastAsia="Times New Roman" w:hAnsi="Arial" w:cs="Arial"/>
                <w:sz w:val="18"/>
                <w:szCs w:val="18"/>
                <w:lang w:eastAsia="en-GB"/>
                <w14:ligatures w14:val="none"/>
              </w:rPr>
            </w:pPr>
            <w:r w:rsidRPr="0010515B">
              <w:rPr>
                <w:rFonts w:ascii="Arial" w:eastAsia="Times New Roman" w:hAnsi="Arial" w:cs="Arial"/>
                <w:sz w:val="18"/>
                <w:szCs w:val="18"/>
                <w:lang w:eastAsia="en-GB"/>
                <w14:ligatures w14:val="none"/>
              </w:rPr>
              <w:t>Data Analysis</w:t>
            </w:r>
          </w:p>
        </w:tc>
        <w:tc>
          <w:tcPr>
            <w:tcW w:w="293" w:type="dxa"/>
            <w:tcBorders>
              <w:top w:val="nil"/>
              <w:left w:val="nil"/>
              <w:bottom w:val="single" w:sz="4" w:space="0" w:color="D0D0D0"/>
              <w:right w:val="single" w:sz="4" w:space="0" w:color="D0D0D0"/>
            </w:tcBorders>
            <w:noWrap/>
            <w:vAlign w:val="center"/>
            <w:hideMark/>
          </w:tcPr>
          <w:p w14:paraId="6F81A80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3" w:type="dxa"/>
            <w:tcBorders>
              <w:top w:val="nil"/>
              <w:left w:val="nil"/>
              <w:bottom w:val="single" w:sz="4" w:space="0" w:color="D0D0D0"/>
              <w:right w:val="single" w:sz="4" w:space="0" w:color="D0D0D0"/>
            </w:tcBorders>
            <w:noWrap/>
            <w:vAlign w:val="center"/>
            <w:hideMark/>
          </w:tcPr>
          <w:p w14:paraId="5C194135"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4FE76E89"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7C88674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17EE925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366FF595"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002D2BE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5FF9D71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0EBC9015"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72F01C8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082D83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8C564B"/>
            <w:noWrap/>
            <w:vAlign w:val="center"/>
            <w:hideMark/>
          </w:tcPr>
          <w:p w14:paraId="36AD4498"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8C564B"/>
            <w:noWrap/>
            <w:vAlign w:val="center"/>
            <w:hideMark/>
          </w:tcPr>
          <w:p w14:paraId="302D3EC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8C564B"/>
            <w:noWrap/>
            <w:vAlign w:val="center"/>
            <w:hideMark/>
          </w:tcPr>
          <w:p w14:paraId="52CF43F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74705B5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156CD9F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BF1DB6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5879D02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54329585"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339F021C"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r>
      <w:tr w:rsidR="00C21663" w:rsidRPr="0010515B" w14:paraId="49616370" w14:textId="77777777" w:rsidTr="000D50A0">
        <w:trPr>
          <w:trHeight w:val="319"/>
        </w:trPr>
        <w:tc>
          <w:tcPr>
            <w:tcW w:w="1940" w:type="dxa"/>
            <w:tcBorders>
              <w:top w:val="nil"/>
              <w:left w:val="single" w:sz="4" w:space="0" w:color="D0D0D0"/>
              <w:bottom w:val="single" w:sz="4" w:space="0" w:color="D0D0D0"/>
              <w:right w:val="single" w:sz="4" w:space="0" w:color="D0D0D0"/>
            </w:tcBorders>
            <w:shd w:val="clear" w:color="000000" w:fill="FAFAFA"/>
            <w:noWrap/>
            <w:vAlign w:val="center"/>
            <w:hideMark/>
          </w:tcPr>
          <w:p w14:paraId="5E2BE2DF" w14:textId="77777777" w:rsidR="00C21663" w:rsidRPr="0010515B" w:rsidRDefault="00C21663" w:rsidP="000D50A0">
            <w:pPr>
              <w:spacing w:after="0" w:line="240" w:lineRule="auto"/>
              <w:jc w:val="left"/>
              <w:rPr>
                <w:rFonts w:ascii="Arial" w:eastAsia="Times New Roman" w:hAnsi="Arial" w:cs="Arial"/>
                <w:sz w:val="18"/>
                <w:szCs w:val="18"/>
                <w:lang w:eastAsia="en-GB"/>
                <w14:ligatures w14:val="none"/>
              </w:rPr>
            </w:pPr>
            <w:r w:rsidRPr="0010515B">
              <w:rPr>
                <w:rFonts w:ascii="Arial" w:eastAsia="Times New Roman" w:hAnsi="Arial" w:cs="Arial"/>
                <w:sz w:val="18"/>
                <w:szCs w:val="18"/>
                <w:lang w:eastAsia="en-GB"/>
                <w14:ligatures w14:val="none"/>
              </w:rPr>
              <w:t>Writing &amp; Interpretation</w:t>
            </w:r>
          </w:p>
        </w:tc>
        <w:tc>
          <w:tcPr>
            <w:tcW w:w="293" w:type="dxa"/>
            <w:tcBorders>
              <w:top w:val="nil"/>
              <w:left w:val="nil"/>
              <w:bottom w:val="single" w:sz="4" w:space="0" w:color="D0D0D0"/>
              <w:right w:val="single" w:sz="4" w:space="0" w:color="D0D0D0"/>
            </w:tcBorders>
            <w:noWrap/>
            <w:vAlign w:val="center"/>
            <w:hideMark/>
          </w:tcPr>
          <w:p w14:paraId="54AB5D0D"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3" w:type="dxa"/>
            <w:tcBorders>
              <w:top w:val="nil"/>
              <w:left w:val="nil"/>
              <w:bottom w:val="single" w:sz="4" w:space="0" w:color="D0D0D0"/>
              <w:right w:val="single" w:sz="4" w:space="0" w:color="D0D0D0"/>
            </w:tcBorders>
            <w:noWrap/>
            <w:vAlign w:val="center"/>
            <w:hideMark/>
          </w:tcPr>
          <w:p w14:paraId="4D1DA5F8"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05750AA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7626E0FD"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4C9243D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2240972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22F347B3"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6A126F0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603A209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3100C115"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4FC0B03"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543F376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183D1E9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7BCA8AB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17BECF"/>
            <w:noWrap/>
            <w:vAlign w:val="center"/>
            <w:hideMark/>
          </w:tcPr>
          <w:p w14:paraId="2437CFB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17BECF"/>
            <w:noWrap/>
            <w:vAlign w:val="center"/>
            <w:hideMark/>
          </w:tcPr>
          <w:p w14:paraId="0C278B0D"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17BECF"/>
            <w:noWrap/>
            <w:vAlign w:val="center"/>
            <w:hideMark/>
          </w:tcPr>
          <w:p w14:paraId="640E2BB7"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17BECF"/>
            <w:noWrap/>
            <w:vAlign w:val="center"/>
            <w:hideMark/>
          </w:tcPr>
          <w:p w14:paraId="0EAFFBF3"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10616568"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37C0F3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r>
      <w:tr w:rsidR="00C21663" w:rsidRPr="0010515B" w14:paraId="3109054D" w14:textId="77777777" w:rsidTr="000D50A0">
        <w:trPr>
          <w:trHeight w:val="319"/>
        </w:trPr>
        <w:tc>
          <w:tcPr>
            <w:tcW w:w="1940" w:type="dxa"/>
            <w:tcBorders>
              <w:top w:val="nil"/>
              <w:left w:val="single" w:sz="4" w:space="0" w:color="D0D0D0"/>
              <w:bottom w:val="single" w:sz="4" w:space="0" w:color="D0D0D0"/>
              <w:right w:val="single" w:sz="4" w:space="0" w:color="D0D0D0"/>
            </w:tcBorders>
            <w:shd w:val="clear" w:color="000000" w:fill="FAFAFA"/>
            <w:noWrap/>
            <w:vAlign w:val="center"/>
            <w:hideMark/>
          </w:tcPr>
          <w:p w14:paraId="38309615" w14:textId="77777777" w:rsidR="00C21663" w:rsidRPr="0010515B" w:rsidRDefault="00C21663" w:rsidP="000D50A0">
            <w:pPr>
              <w:spacing w:after="0" w:line="240" w:lineRule="auto"/>
              <w:jc w:val="left"/>
              <w:rPr>
                <w:rFonts w:ascii="Arial" w:eastAsia="Times New Roman" w:hAnsi="Arial" w:cs="Arial"/>
                <w:sz w:val="18"/>
                <w:szCs w:val="18"/>
                <w:lang w:eastAsia="en-GB"/>
                <w14:ligatures w14:val="none"/>
              </w:rPr>
            </w:pPr>
            <w:r w:rsidRPr="0010515B">
              <w:rPr>
                <w:rFonts w:ascii="Arial" w:eastAsia="Times New Roman" w:hAnsi="Arial" w:cs="Arial"/>
                <w:sz w:val="18"/>
                <w:szCs w:val="18"/>
                <w:lang w:eastAsia="en-GB"/>
                <w14:ligatures w14:val="none"/>
              </w:rPr>
              <w:t>Final Editing</w:t>
            </w:r>
          </w:p>
        </w:tc>
        <w:tc>
          <w:tcPr>
            <w:tcW w:w="293" w:type="dxa"/>
            <w:tcBorders>
              <w:top w:val="nil"/>
              <w:left w:val="nil"/>
              <w:bottom w:val="single" w:sz="4" w:space="0" w:color="D0D0D0"/>
              <w:right w:val="single" w:sz="4" w:space="0" w:color="D0D0D0"/>
            </w:tcBorders>
            <w:noWrap/>
            <w:vAlign w:val="center"/>
            <w:hideMark/>
          </w:tcPr>
          <w:p w14:paraId="3AFA67A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3" w:type="dxa"/>
            <w:tcBorders>
              <w:top w:val="nil"/>
              <w:left w:val="nil"/>
              <w:bottom w:val="single" w:sz="4" w:space="0" w:color="D0D0D0"/>
              <w:right w:val="single" w:sz="4" w:space="0" w:color="D0D0D0"/>
            </w:tcBorders>
            <w:noWrap/>
            <w:vAlign w:val="center"/>
            <w:hideMark/>
          </w:tcPr>
          <w:p w14:paraId="3367BBE7"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2DA049E9"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794043F0"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317B354A"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5EB82F53"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5AFC5C0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1E62EFA1"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294" w:type="dxa"/>
            <w:tcBorders>
              <w:top w:val="nil"/>
              <w:left w:val="nil"/>
              <w:bottom w:val="single" w:sz="4" w:space="0" w:color="D0D0D0"/>
              <w:right w:val="single" w:sz="4" w:space="0" w:color="D0D0D0"/>
            </w:tcBorders>
            <w:noWrap/>
            <w:vAlign w:val="center"/>
            <w:hideMark/>
          </w:tcPr>
          <w:p w14:paraId="548FB5B9"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283B69ED"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A5B7C46"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72BB2E5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11EEBB0C"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E8A683F"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ECDE4CB"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6BCF2A8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059F0404"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noWrap/>
            <w:vAlign w:val="center"/>
            <w:hideMark/>
          </w:tcPr>
          <w:p w14:paraId="4069BCE2"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BCBD22"/>
            <w:noWrap/>
            <w:vAlign w:val="center"/>
            <w:hideMark/>
          </w:tcPr>
          <w:p w14:paraId="3380031E"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c>
          <w:tcPr>
            <w:tcW w:w="376" w:type="dxa"/>
            <w:tcBorders>
              <w:top w:val="nil"/>
              <w:left w:val="nil"/>
              <w:bottom w:val="single" w:sz="4" w:space="0" w:color="D0D0D0"/>
              <w:right w:val="single" w:sz="4" w:space="0" w:color="D0D0D0"/>
            </w:tcBorders>
            <w:shd w:val="clear" w:color="000000" w:fill="BCBD22"/>
            <w:noWrap/>
            <w:vAlign w:val="center"/>
            <w:hideMark/>
          </w:tcPr>
          <w:p w14:paraId="510467A5" w14:textId="77777777" w:rsidR="00C21663" w:rsidRPr="0010515B" w:rsidRDefault="00C21663" w:rsidP="000D50A0">
            <w:pPr>
              <w:spacing w:after="0" w:line="240" w:lineRule="auto"/>
              <w:jc w:val="center"/>
              <w:rPr>
                <w:rFonts w:ascii="Arial" w:eastAsia="Times New Roman" w:hAnsi="Arial" w:cs="Arial"/>
                <w:color w:val="000000"/>
                <w:sz w:val="14"/>
                <w:szCs w:val="14"/>
                <w:lang w:eastAsia="en-GB"/>
                <w14:ligatures w14:val="none"/>
              </w:rPr>
            </w:pPr>
            <w:r w:rsidRPr="0010515B">
              <w:rPr>
                <w:rFonts w:ascii="Arial" w:eastAsia="Times New Roman" w:hAnsi="Arial" w:cs="Arial"/>
                <w:color w:val="000000"/>
                <w:sz w:val="14"/>
                <w:szCs w:val="14"/>
                <w:lang w:eastAsia="en-GB"/>
                <w14:ligatures w14:val="none"/>
              </w:rPr>
              <w:t> </w:t>
            </w:r>
          </w:p>
        </w:tc>
      </w:tr>
    </w:tbl>
    <w:p w14:paraId="421D2514" w14:textId="77777777" w:rsidR="00C21663" w:rsidRPr="0010515B" w:rsidRDefault="00C21663" w:rsidP="00C21663">
      <w:pPr>
        <w:rPr>
          <w:rFonts w:ascii="Arial" w:hAnsi="Arial" w:cs="Arial"/>
          <w:b/>
          <w:bCs/>
        </w:rPr>
      </w:pPr>
    </w:p>
    <w:p w14:paraId="73243C64" w14:textId="77777777" w:rsidR="00C21663" w:rsidRPr="0010515B" w:rsidRDefault="00C21663" w:rsidP="00C21663">
      <w:pPr>
        <w:pStyle w:val="Heading1"/>
        <w:rPr>
          <w:rFonts w:ascii="Arial" w:hAnsi="Arial" w:cs="Arial"/>
        </w:rPr>
      </w:pPr>
      <w:bookmarkStart w:id="24" w:name="_Toc224804815"/>
      <w:r w:rsidRPr="0010515B">
        <w:rPr>
          <w:rFonts w:ascii="Arial" w:hAnsi="Arial" w:cs="Arial"/>
        </w:rPr>
        <w:t>7. Conclusion</w:t>
      </w:r>
      <w:bookmarkEnd w:id="24"/>
      <w:r w:rsidRPr="0010515B">
        <w:rPr>
          <w:rFonts w:ascii="Arial" w:hAnsi="Arial" w:cs="Arial"/>
        </w:rPr>
        <w:t xml:space="preserve"> </w:t>
      </w:r>
    </w:p>
    <w:p w14:paraId="505B2A89" w14:textId="4A17265C" w:rsidR="0063485C" w:rsidRPr="0010515B" w:rsidRDefault="001945B3">
      <w:pPr>
        <w:rPr>
          <w:rFonts w:ascii="Arial" w:hAnsi="Arial" w:cs="Arial"/>
        </w:rPr>
      </w:pPr>
      <w:r w:rsidRPr="0010515B">
        <w:rPr>
          <w:rFonts w:ascii="Arial" w:hAnsi="Arial" w:cs="Arial"/>
        </w:rPr>
        <w:t>The proposal will be a positivist and quantitative study of whether origin-related cues influence the evaluation and purchase intentions of UK consumers in the high-end imported skincare market. It uses country-of-origin and signalling viewpoints and combines them to have origin information as an extrinsic cue that modulates the perceived quality, safety and brand prestige in a category where there is a degree of uncertainty of purchase pre-purchase. This study will be done using a cross-sectional online survey and will test the relations among the origin cues and the evaluations</w:t>
      </w:r>
      <w:r w:rsidR="002D7208" w:rsidRPr="0010515B">
        <w:rPr>
          <w:rFonts w:ascii="Arial" w:hAnsi="Arial" w:cs="Arial"/>
        </w:rPr>
        <w:t>,</w:t>
      </w:r>
      <w:r w:rsidRPr="0010515B">
        <w:rPr>
          <w:rFonts w:ascii="Arial" w:hAnsi="Arial" w:cs="Arial"/>
        </w:rPr>
        <w:t xml:space="preserve"> as well as the purchase intention, also testing the variation over age, income, involvement in skincare and familiarity </w:t>
      </w:r>
      <w:r w:rsidR="002D7208" w:rsidRPr="0010515B">
        <w:rPr>
          <w:rFonts w:ascii="Arial" w:hAnsi="Arial" w:cs="Arial"/>
        </w:rPr>
        <w:t>with</w:t>
      </w:r>
      <w:r w:rsidRPr="0010515B">
        <w:rPr>
          <w:rFonts w:ascii="Arial" w:hAnsi="Arial" w:cs="Arial"/>
        </w:rPr>
        <w:t xml:space="preserve"> the brand. It provides the UK-specific quantitative data and provides practical insight </w:t>
      </w:r>
      <w:r w:rsidR="002D7208" w:rsidRPr="0010515B">
        <w:rPr>
          <w:rFonts w:ascii="Arial" w:hAnsi="Arial" w:cs="Arial"/>
        </w:rPr>
        <w:t>into</w:t>
      </w:r>
      <w:r w:rsidRPr="0010515B">
        <w:rPr>
          <w:rFonts w:ascii="Arial" w:hAnsi="Arial" w:cs="Arial"/>
        </w:rPr>
        <w:t xml:space="preserve"> the part of premium brands designing strategies to communicate origin strategically with their importers and retailers.</w:t>
      </w:r>
      <w:r w:rsidR="0063485C" w:rsidRPr="0010515B">
        <w:rPr>
          <w:rFonts w:ascii="Arial" w:hAnsi="Arial" w:cs="Arial"/>
        </w:rPr>
        <w:br w:type="page"/>
      </w:r>
    </w:p>
    <w:p w14:paraId="54E19996" w14:textId="77777777" w:rsidR="0063485C" w:rsidRPr="0010515B" w:rsidRDefault="0063485C" w:rsidP="0063485C">
      <w:pPr>
        <w:pStyle w:val="Heading1"/>
        <w:rPr>
          <w:rFonts w:ascii="Arial" w:hAnsi="Arial" w:cs="Arial"/>
        </w:rPr>
      </w:pPr>
      <w:bookmarkStart w:id="25" w:name="_Toc224804816"/>
      <w:r w:rsidRPr="0010515B">
        <w:rPr>
          <w:rFonts w:ascii="Arial" w:hAnsi="Arial" w:cs="Arial"/>
        </w:rPr>
        <w:t>Reference list</w:t>
      </w:r>
      <w:bookmarkEnd w:id="25"/>
    </w:p>
    <w:p w14:paraId="6DCDEA14" w14:textId="71B614A8" w:rsidR="0063485C" w:rsidRPr="0010515B" w:rsidRDefault="0063485C" w:rsidP="0063485C">
      <w:pPr>
        <w:rPr>
          <w:rFonts w:ascii="Arial" w:hAnsi="Arial" w:cs="Arial"/>
        </w:rPr>
      </w:pPr>
      <w:r w:rsidRPr="0010515B">
        <w:rPr>
          <w:rFonts w:ascii="Arial" w:hAnsi="Arial" w:cs="Arial"/>
        </w:rPr>
        <w:t xml:space="preserve">Aaker, D.A. (1991) ‘Managing Brand Equity: </w:t>
      </w:r>
      <w:r w:rsidR="00F23E62" w:rsidRPr="0010515B">
        <w:rPr>
          <w:rFonts w:ascii="Arial" w:hAnsi="Arial" w:cs="Arial"/>
        </w:rPr>
        <w:t>Capitalising</w:t>
      </w:r>
      <w:r w:rsidRPr="0010515B">
        <w:rPr>
          <w:rFonts w:ascii="Arial" w:hAnsi="Arial" w:cs="Arial"/>
        </w:rPr>
        <w:t xml:space="preserve"> on the Value of a Brand Name’, </w:t>
      </w:r>
      <w:r w:rsidRPr="0010515B">
        <w:rPr>
          <w:rFonts w:ascii="Arial" w:hAnsi="Arial" w:cs="Arial"/>
          <w:i/>
          <w:iCs/>
        </w:rPr>
        <w:t>Journal of Marketing</w:t>
      </w:r>
      <w:r w:rsidRPr="0010515B">
        <w:rPr>
          <w:rFonts w:ascii="Arial" w:hAnsi="Arial" w:cs="Arial"/>
        </w:rPr>
        <w:t xml:space="preserve">, 56(2), p. 125. Available at: </w:t>
      </w:r>
      <w:hyperlink r:id="rId10" w:history="1">
        <w:r w:rsidRPr="0010515B">
          <w:rPr>
            <w:rStyle w:val="Hyperlink"/>
            <w:rFonts w:ascii="Arial" w:hAnsi="Arial" w:cs="Arial"/>
          </w:rPr>
          <w:t>https://doi.org/10.2307/1252048</w:t>
        </w:r>
      </w:hyperlink>
      <w:r w:rsidRPr="0010515B">
        <w:rPr>
          <w:rFonts w:ascii="Arial" w:hAnsi="Arial" w:cs="Arial"/>
        </w:rPr>
        <w:t>.</w:t>
      </w:r>
    </w:p>
    <w:p w14:paraId="0F99F243" w14:textId="77777777" w:rsidR="0063485C" w:rsidRPr="0010515B" w:rsidRDefault="0063485C" w:rsidP="0063485C">
      <w:pPr>
        <w:rPr>
          <w:rFonts w:ascii="Arial" w:hAnsi="Arial" w:cs="Arial"/>
        </w:rPr>
      </w:pPr>
      <w:r w:rsidRPr="0010515B">
        <w:rPr>
          <w:rFonts w:ascii="Arial" w:hAnsi="Arial" w:cs="Arial"/>
        </w:rPr>
        <w:t xml:space="preserve">Ajzen, I. (1985) ‘From intentions to actions: a theory of planned behaviour’, </w:t>
      </w:r>
      <w:r w:rsidRPr="0010515B">
        <w:rPr>
          <w:rFonts w:ascii="Arial" w:hAnsi="Arial" w:cs="Arial"/>
          <w:i/>
          <w:iCs/>
        </w:rPr>
        <w:t>Action Control</w:t>
      </w:r>
      <w:r w:rsidRPr="0010515B">
        <w:rPr>
          <w:rFonts w:ascii="Arial" w:hAnsi="Arial" w:cs="Arial"/>
        </w:rPr>
        <w:t xml:space="preserve">, 1(1), pp. 11–39. Available at: </w:t>
      </w:r>
      <w:hyperlink r:id="rId11" w:history="1">
        <w:r w:rsidRPr="0010515B">
          <w:rPr>
            <w:rStyle w:val="Hyperlink"/>
            <w:rFonts w:ascii="Arial" w:hAnsi="Arial" w:cs="Arial"/>
          </w:rPr>
          <w:t>https://doi.org/10.1007/978-3-642-69746-3_2</w:t>
        </w:r>
      </w:hyperlink>
      <w:r w:rsidRPr="0010515B">
        <w:rPr>
          <w:rFonts w:ascii="Arial" w:hAnsi="Arial" w:cs="Arial"/>
        </w:rPr>
        <w:t>.</w:t>
      </w:r>
    </w:p>
    <w:p w14:paraId="1FEFA485" w14:textId="77777777" w:rsidR="0063485C" w:rsidRPr="0010515B" w:rsidRDefault="0063485C" w:rsidP="0063485C">
      <w:pPr>
        <w:rPr>
          <w:rFonts w:ascii="Arial" w:hAnsi="Arial" w:cs="Arial"/>
        </w:rPr>
      </w:pPr>
      <w:r w:rsidRPr="0010515B">
        <w:rPr>
          <w:rFonts w:ascii="Arial" w:hAnsi="Arial" w:cs="Arial"/>
        </w:rPr>
        <w:t xml:space="preserve">Ajzen, I. (1991) ‘The theory of planned behavior’, </w:t>
      </w:r>
      <w:r w:rsidRPr="0010515B">
        <w:rPr>
          <w:rFonts w:ascii="Arial" w:hAnsi="Arial" w:cs="Arial"/>
          <w:i/>
          <w:iCs/>
        </w:rPr>
        <w:t>Organizational Behavior and Human Decision Processes</w:t>
      </w:r>
      <w:r w:rsidRPr="0010515B">
        <w:rPr>
          <w:rFonts w:ascii="Arial" w:hAnsi="Arial" w:cs="Arial"/>
        </w:rPr>
        <w:t xml:space="preserve">, 50(2), pp. 179–211. Available at: </w:t>
      </w:r>
      <w:hyperlink r:id="rId12" w:history="1">
        <w:r w:rsidRPr="0010515B">
          <w:rPr>
            <w:rStyle w:val="Hyperlink"/>
            <w:rFonts w:ascii="Arial" w:hAnsi="Arial" w:cs="Arial"/>
          </w:rPr>
          <w:t>https://doi.org/10.1016/0749-5978(91)90020-T</w:t>
        </w:r>
      </w:hyperlink>
      <w:r w:rsidRPr="0010515B">
        <w:rPr>
          <w:rFonts w:ascii="Arial" w:hAnsi="Arial" w:cs="Arial"/>
        </w:rPr>
        <w:t>.</w:t>
      </w:r>
    </w:p>
    <w:p w14:paraId="4787544A" w14:textId="77777777" w:rsidR="0063485C" w:rsidRPr="0010515B" w:rsidRDefault="0063485C" w:rsidP="0063485C">
      <w:pPr>
        <w:rPr>
          <w:rFonts w:ascii="Arial" w:hAnsi="Arial" w:cs="Arial"/>
        </w:rPr>
      </w:pPr>
      <w:r w:rsidRPr="0010515B">
        <w:rPr>
          <w:rFonts w:ascii="Arial" w:hAnsi="Arial" w:cs="Arial"/>
        </w:rPr>
        <w:t xml:space="preserve">Bilkey, W.J. and Nes, E. (1982) ‘Country-of-Origin Effects on Product Evaluations’, </w:t>
      </w:r>
      <w:r w:rsidRPr="0010515B">
        <w:rPr>
          <w:rFonts w:ascii="Arial" w:hAnsi="Arial" w:cs="Arial"/>
          <w:i/>
          <w:iCs/>
        </w:rPr>
        <w:t>Journal of International Business Studies</w:t>
      </w:r>
      <w:r w:rsidRPr="0010515B">
        <w:rPr>
          <w:rFonts w:ascii="Arial" w:hAnsi="Arial" w:cs="Arial"/>
        </w:rPr>
        <w:t xml:space="preserve">, 13(1), pp. 89–100. Available at: </w:t>
      </w:r>
      <w:hyperlink r:id="rId13" w:history="1">
        <w:r w:rsidRPr="0010515B">
          <w:rPr>
            <w:rStyle w:val="Hyperlink"/>
            <w:rFonts w:ascii="Arial" w:hAnsi="Arial" w:cs="Arial"/>
          </w:rPr>
          <w:t>https://doi.org/10.1057/palgrave.jibs.8490539</w:t>
        </w:r>
      </w:hyperlink>
      <w:r w:rsidRPr="0010515B">
        <w:rPr>
          <w:rFonts w:ascii="Arial" w:hAnsi="Arial" w:cs="Arial"/>
        </w:rPr>
        <w:t>.</w:t>
      </w:r>
    </w:p>
    <w:p w14:paraId="2DB969C9" w14:textId="77777777" w:rsidR="0063485C" w:rsidRPr="0010515B" w:rsidRDefault="0063485C" w:rsidP="0063485C">
      <w:pPr>
        <w:rPr>
          <w:rFonts w:ascii="Arial" w:hAnsi="Arial" w:cs="Arial"/>
        </w:rPr>
      </w:pPr>
      <w:r w:rsidRPr="0010515B">
        <w:rPr>
          <w:rFonts w:ascii="Arial" w:hAnsi="Arial" w:cs="Arial"/>
        </w:rPr>
        <w:t xml:space="preserve">BPS (2021) </w:t>
      </w:r>
      <w:r w:rsidRPr="0010515B">
        <w:rPr>
          <w:rFonts w:ascii="Arial" w:hAnsi="Arial" w:cs="Arial"/>
          <w:i/>
          <w:iCs/>
        </w:rPr>
        <w:t>Ethics guidelines for internet-mediated research - The British Psychological Society</w:t>
      </w:r>
      <w:r w:rsidRPr="0010515B">
        <w:rPr>
          <w:rFonts w:ascii="Arial" w:hAnsi="Arial" w:cs="Arial"/>
        </w:rPr>
        <w:t xml:space="preserve">, </w:t>
      </w:r>
      <w:r w:rsidRPr="0010515B">
        <w:rPr>
          <w:rFonts w:ascii="Arial" w:hAnsi="Arial" w:cs="Arial"/>
          <w:i/>
          <w:iCs/>
        </w:rPr>
        <w:t>www.bps.org.uk</w:t>
      </w:r>
      <w:r w:rsidRPr="0010515B">
        <w:rPr>
          <w:rFonts w:ascii="Arial" w:hAnsi="Arial" w:cs="Arial"/>
        </w:rPr>
        <w:t xml:space="preserve">. Available at: </w:t>
      </w:r>
      <w:hyperlink r:id="rId14" w:history="1">
        <w:r w:rsidRPr="0010515B">
          <w:rPr>
            <w:rStyle w:val="Hyperlink"/>
            <w:rFonts w:ascii="Arial" w:hAnsi="Arial" w:cs="Arial"/>
          </w:rPr>
          <w:t>https://www.bps.org.uk/guideline/ethics-guidelines-internet-mediated-research</w:t>
        </w:r>
      </w:hyperlink>
      <w:r w:rsidRPr="0010515B">
        <w:rPr>
          <w:rFonts w:ascii="Arial" w:hAnsi="Arial" w:cs="Arial"/>
        </w:rPr>
        <w:t>.</w:t>
      </w:r>
    </w:p>
    <w:p w14:paraId="3D1C01C3" w14:textId="77777777" w:rsidR="0063485C" w:rsidRPr="0010515B" w:rsidRDefault="0063485C" w:rsidP="0063485C">
      <w:pPr>
        <w:rPr>
          <w:rFonts w:ascii="Arial" w:hAnsi="Arial" w:cs="Arial"/>
        </w:rPr>
      </w:pPr>
      <w:r w:rsidRPr="0010515B">
        <w:rPr>
          <w:rFonts w:ascii="Arial" w:hAnsi="Arial" w:cs="Arial"/>
        </w:rPr>
        <w:t xml:space="preserve">Bryman, A. and Bell, E. (2015) </w:t>
      </w:r>
      <w:r w:rsidRPr="0010515B">
        <w:rPr>
          <w:rFonts w:ascii="Arial" w:hAnsi="Arial" w:cs="Arial"/>
          <w:i/>
          <w:iCs/>
        </w:rPr>
        <w:t>Business Research Methods</w:t>
      </w:r>
      <w:r w:rsidRPr="0010515B">
        <w:rPr>
          <w:rFonts w:ascii="Arial" w:hAnsi="Arial" w:cs="Arial"/>
        </w:rPr>
        <w:t>. 5th edn. Oxford University Press.</w:t>
      </w:r>
    </w:p>
    <w:p w14:paraId="767C6317" w14:textId="77777777" w:rsidR="0063485C" w:rsidRPr="0010515B" w:rsidRDefault="0063485C" w:rsidP="0063485C">
      <w:pPr>
        <w:rPr>
          <w:rFonts w:ascii="Arial" w:hAnsi="Arial" w:cs="Arial"/>
        </w:rPr>
      </w:pPr>
      <w:r w:rsidRPr="0010515B">
        <w:rPr>
          <w:rFonts w:ascii="Arial" w:hAnsi="Arial" w:cs="Arial"/>
        </w:rPr>
        <w:t xml:space="preserve">Choi, E. and Lee, K.C. (2019) ‘Effect of Trust in Domain-Specific Information of Safety, Brand Loyalty, and Perceived Value for Cosmetics on Purchase Intentions in Mobile E-Commerce Context’, </w:t>
      </w:r>
      <w:r w:rsidRPr="0010515B">
        <w:rPr>
          <w:rFonts w:ascii="Arial" w:hAnsi="Arial" w:cs="Arial"/>
          <w:i/>
          <w:iCs/>
        </w:rPr>
        <w:t>Sustainability</w:t>
      </w:r>
      <w:r w:rsidRPr="0010515B">
        <w:rPr>
          <w:rFonts w:ascii="Arial" w:hAnsi="Arial" w:cs="Arial"/>
        </w:rPr>
        <w:t xml:space="preserve">, 11(22), p. 6257. Available at: </w:t>
      </w:r>
      <w:hyperlink r:id="rId15" w:history="1">
        <w:r w:rsidRPr="0010515B">
          <w:rPr>
            <w:rStyle w:val="Hyperlink"/>
            <w:rFonts w:ascii="Arial" w:hAnsi="Arial" w:cs="Arial"/>
          </w:rPr>
          <w:t>https://doi.org/10.3390/su11226257</w:t>
        </w:r>
      </w:hyperlink>
      <w:r w:rsidRPr="0010515B">
        <w:rPr>
          <w:rFonts w:ascii="Arial" w:hAnsi="Arial" w:cs="Arial"/>
        </w:rPr>
        <w:t>.</w:t>
      </w:r>
    </w:p>
    <w:p w14:paraId="1CF24D9D" w14:textId="77777777" w:rsidR="0063485C" w:rsidRPr="0010515B" w:rsidRDefault="0063485C" w:rsidP="0063485C">
      <w:pPr>
        <w:rPr>
          <w:rFonts w:ascii="Arial" w:hAnsi="Arial" w:cs="Arial"/>
        </w:rPr>
      </w:pPr>
      <w:r w:rsidRPr="0010515B">
        <w:rPr>
          <w:rFonts w:ascii="Arial" w:hAnsi="Arial" w:cs="Arial"/>
        </w:rPr>
        <w:t xml:space="preserve">Connelly, B.L. </w:t>
      </w:r>
      <w:r w:rsidRPr="0010515B">
        <w:rPr>
          <w:rFonts w:ascii="Arial" w:hAnsi="Arial" w:cs="Arial"/>
          <w:i/>
          <w:iCs/>
        </w:rPr>
        <w:t>et al.</w:t>
      </w:r>
      <w:r w:rsidRPr="0010515B">
        <w:rPr>
          <w:rFonts w:ascii="Arial" w:hAnsi="Arial" w:cs="Arial"/>
        </w:rPr>
        <w:t xml:space="preserve"> (2011) ‘Signaling Theory: a Review and Assessment’, </w:t>
      </w:r>
      <w:r w:rsidRPr="0010515B">
        <w:rPr>
          <w:rFonts w:ascii="Arial" w:hAnsi="Arial" w:cs="Arial"/>
          <w:i/>
          <w:iCs/>
        </w:rPr>
        <w:t>Journal of Management</w:t>
      </w:r>
      <w:r w:rsidRPr="0010515B">
        <w:rPr>
          <w:rFonts w:ascii="Arial" w:hAnsi="Arial" w:cs="Arial"/>
        </w:rPr>
        <w:t>, 37(1), pp. 39–67.</w:t>
      </w:r>
    </w:p>
    <w:p w14:paraId="16983503" w14:textId="77777777" w:rsidR="0063485C" w:rsidRPr="0010515B" w:rsidRDefault="0063485C" w:rsidP="0063485C">
      <w:pPr>
        <w:rPr>
          <w:rFonts w:ascii="Arial" w:hAnsi="Arial" w:cs="Arial"/>
        </w:rPr>
      </w:pPr>
      <w:r w:rsidRPr="0010515B">
        <w:rPr>
          <w:rFonts w:ascii="Arial" w:hAnsi="Arial" w:cs="Arial"/>
        </w:rPr>
        <w:t xml:space="preserve">Diamantopoulos, A. </w:t>
      </w:r>
      <w:r w:rsidRPr="0010515B">
        <w:rPr>
          <w:rFonts w:ascii="Arial" w:hAnsi="Arial" w:cs="Arial"/>
          <w:i/>
          <w:iCs/>
        </w:rPr>
        <w:t>et al.</w:t>
      </w:r>
      <w:r w:rsidRPr="0010515B">
        <w:rPr>
          <w:rFonts w:ascii="Arial" w:hAnsi="Arial" w:cs="Arial"/>
        </w:rPr>
        <w:t xml:space="preserve"> (2017) ‘Explicit versus implicit country stereotypes as predictors of product preferences: Insights from the stereotype content model’, </w:t>
      </w:r>
      <w:r w:rsidRPr="0010515B">
        <w:rPr>
          <w:rFonts w:ascii="Arial" w:hAnsi="Arial" w:cs="Arial"/>
          <w:i/>
          <w:iCs/>
        </w:rPr>
        <w:t>Journal of International Business Studies</w:t>
      </w:r>
      <w:r w:rsidRPr="0010515B">
        <w:rPr>
          <w:rFonts w:ascii="Arial" w:hAnsi="Arial" w:cs="Arial"/>
        </w:rPr>
        <w:t xml:space="preserve">, 48(8), pp. 1023–1036. Available at: </w:t>
      </w:r>
      <w:hyperlink r:id="rId16" w:history="1">
        <w:r w:rsidRPr="0010515B">
          <w:rPr>
            <w:rStyle w:val="Hyperlink"/>
            <w:rFonts w:ascii="Arial" w:hAnsi="Arial" w:cs="Arial"/>
          </w:rPr>
          <w:t>https://doi.org/10.1057/s41267-017-0085-9</w:t>
        </w:r>
      </w:hyperlink>
      <w:r w:rsidRPr="0010515B">
        <w:rPr>
          <w:rFonts w:ascii="Arial" w:hAnsi="Arial" w:cs="Arial"/>
        </w:rPr>
        <w:t>.</w:t>
      </w:r>
    </w:p>
    <w:p w14:paraId="683677AC" w14:textId="77777777" w:rsidR="0063485C" w:rsidRPr="0010515B" w:rsidRDefault="0063485C" w:rsidP="0063485C">
      <w:pPr>
        <w:rPr>
          <w:rFonts w:ascii="Arial" w:hAnsi="Arial" w:cs="Arial"/>
        </w:rPr>
      </w:pPr>
      <w:r w:rsidRPr="0010515B">
        <w:rPr>
          <w:rFonts w:ascii="Arial" w:hAnsi="Arial" w:cs="Arial"/>
        </w:rPr>
        <w:t xml:space="preserve">Diyab, R. </w:t>
      </w:r>
      <w:r w:rsidRPr="0010515B">
        <w:rPr>
          <w:rFonts w:ascii="Arial" w:hAnsi="Arial" w:cs="Arial"/>
          <w:i/>
          <w:iCs/>
        </w:rPr>
        <w:t>et al.</w:t>
      </w:r>
      <w:r w:rsidRPr="0010515B">
        <w:rPr>
          <w:rFonts w:ascii="Arial" w:hAnsi="Arial" w:cs="Arial"/>
        </w:rPr>
        <w:t xml:space="preserve"> (2025) ‘Risk perception of personal care products: A scoping review of knowledge translation strategies in environmental health’, </w:t>
      </w:r>
      <w:r w:rsidRPr="0010515B">
        <w:rPr>
          <w:rFonts w:ascii="Arial" w:hAnsi="Arial" w:cs="Arial"/>
          <w:i/>
          <w:iCs/>
        </w:rPr>
        <w:t>Journal of Public Health Research</w:t>
      </w:r>
      <w:r w:rsidRPr="0010515B">
        <w:rPr>
          <w:rFonts w:ascii="Arial" w:hAnsi="Arial" w:cs="Arial"/>
        </w:rPr>
        <w:t xml:space="preserve">, 14(4). Available at: </w:t>
      </w:r>
      <w:hyperlink r:id="rId17" w:history="1">
        <w:r w:rsidRPr="0010515B">
          <w:rPr>
            <w:rStyle w:val="Hyperlink"/>
            <w:rFonts w:ascii="Arial" w:hAnsi="Arial" w:cs="Arial"/>
          </w:rPr>
          <w:t>https://doi.org/10.1177/22799036251395252</w:t>
        </w:r>
      </w:hyperlink>
      <w:r w:rsidRPr="0010515B">
        <w:rPr>
          <w:rFonts w:ascii="Arial" w:hAnsi="Arial" w:cs="Arial"/>
        </w:rPr>
        <w:t>.</w:t>
      </w:r>
    </w:p>
    <w:p w14:paraId="0C99FB8C" w14:textId="77777777" w:rsidR="0063485C" w:rsidRPr="0010515B" w:rsidRDefault="0063485C" w:rsidP="0063485C">
      <w:pPr>
        <w:rPr>
          <w:rFonts w:ascii="Arial" w:hAnsi="Arial" w:cs="Arial"/>
        </w:rPr>
      </w:pPr>
      <w:r w:rsidRPr="0010515B">
        <w:rPr>
          <w:rFonts w:ascii="Arial" w:hAnsi="Arial" w:cs="Arial"/>
        </w:rPr>
        <w:t xml:space="preserve">Etikan, I., Musa, S.A. and Alkassim, R.S. (2016) ‘Comparison of convenience sampling and purposive sampling’, </w:t>
      </w:r>
      <w:r w:rsidRPr="0010515B">
        <w:rPr>
          <w:rFonts w:ascii="Arial" w:hAnsi="Arial" w:cs="Arial"/>
          <w:i/>
          <w:iCs/>
        </w:rPr>
        <w:t>American Journal of Theoretical and Applied Statistics</w:t>
      </w:r>
      <w:r w:rsidRPr="0010515B">
        <w:rPr>
          <w:rFonts w:ascii="Arial" w:hAnsi="Arial" w:cs="Arial"/>
        </w:rPr>
        <w:t xml:space="preserve">, 5(1), pp. 1–4. Available at: </w:t>
      </w:r>
      <w:hyperlink r:id="rId18" w:history="1">
        <w:r w:rsidRPr="0010515B">
          <w:rPr>
            <w:rStyle w:val="Hyperlink"/>
            <w:rFonts w:ascii="Arial" w:hAnsi="Arial" w:cs="Arial"/>
          </w:rPr>
          <w:t>https://doi.org/10.11648/j.ajtas.20160501.11</w:t>
        </w:r>
      </w:hyperlink>
      <w:r w:rsidRPr="0010515B">
        <w:rPr>
          <w:rFonts w:ascii="Arial" w:hAnsi="Arial" w:cs="Arial"/>
        </w:rPr>
        <w:t>.</w:t>
      </w:r>
    </w:p>
    <w:p w14:paraId="0A53D938" w14:textId="77777777" w:rsidR="0063485C" w:rsidRPr="0010515B" w:rsidRDefault="0063485C" w:rsidP="0063485C">
      <w:pPr>
        <w:rPr>
          <w:rFonts w:ascii="Arial" w:hAnsi="Arial" w:cs="Arial"/>
        </w:rPr>
      </w:pPr>
      <w:r w:rsidRPr="0010515B">
        <w:rPr>
          <w:rFonts w:ascii="Arial" w:hAnsi="Arial" w:cs="Arial"/>
        </w:rPr>
        <w:t xml:space="preserve">Evans, J.R. and Mathur, A. (2005) ‘The value of online surveys’, </w:t>
      </w:r>
      <w:r w:rsidRPr="0010515B">
        <w:rPr>
          <w:rFonts w:ascii="Arial" w:hAnsi="Arial" w:cs="Arial"/>
          <w:i/>
          <w:iCs/>
        </w:rPr>
        <w:t>Internet Research</w:t>
      </w:r>
      <w:r w:rsidRPr="0010515B">
        <w:rPr>
          <w:rFonts w:ascii="Arial" w:hAnsi="Arial" w:cs="Arial"/>
        </w:rPr>
        <w:t xml:space="preserve">, 15(2), pp. 195–219. Available at: </w:t>
      </w:r>
      <w:hyperlink r:id="rId19" w:history="1">
        <w:r w:rsidRPr="0010515B">
          <w:rPr>
            <w:rStyle w:val="Hyperlink"/>
            <w:rFonts w:ascii="Arial" w:hAnsi="Arial" w:cs="Arial"/>
          </w:rPr>
          <w:t>https://doi.org/10.1108/10662240510590360</w:t>
        </w:r>
      </w:hyperlink>
      <w:r w:rsidRPr="0010515B">
        <w:rPr>
          <w:rFonts w:ascii="Arial" w:hAnsi="Arial" w:cs="Arial"/>
        </w:rPr>
        <w:t>.</w:t>
      </w:r>
    </w:p>
    <w:p w14:paraId="4DC0E507" w14:textId="77777777" w:rsidR="0063485C" w:rsidRPr="0010515B" w:rsidRDefault="0063485C" w:rsidP="0063485C">
      <w:pPr>
        <w:rPr>
          <w:rFonts w:ascii="Arial" w:hAnsi="Arial" w:cs="Arial"/>
        </w:rPr>
      </w:pPr>
      <w:r w:rsidRPr="0010515B">
        <w:rPr>
          <w:rFonts w:ascii="Arial" w:hAnsi="Arial" w:cs="Arial"/>
        </w:rPr>
        <w:t xml:space="preserve">Ghosh, T. </w:t>
      </w:r>
      <w:r w:rsidRPr="0010515B">
        <w:rPr>
          <w:rFonts w:ascii="Arial" w:hAnsi="Arial" w:cs="Arial"/>
          <w:i/>
          <w:iCs/>
        </w:rPr>
        <w:t>et al.</w:t>
      </w:r>
      <w:r w:rsidRPr="0010515B">
        <w:rPr>
          <w:rFonts w:ascii="Arial" w:hAnsi="Arial" w:cs="Arial"/>
        </w:rPr>
        <w:t xml:space="preserve"> (2025) ‘International marketing strategies leveraging country-of-origin effects in luxury market: a systematic review and research agenda’, </w:t>
      </w:r>
      <w:r w:rsidRPr="0010515B">
        <w:rPr>
          <w:rFonts w:ascii="Arial" w:hAnsi="Arial" w:cs="Arial"/>
          <w:i/>
          <w:iCs/>
        </w:rPr>
        <w:t>International Marketing Review</w:t>
      </w:r>
      <w:r w:rsidRPr="0010515B">
        <w:rPr>
          <w:rFonts w:ascii="Arial" w:hAnsi="Arial" w:cs="Arial"/>
        </w:rPr>
        <w:t xml:space="preserve">, pp. 1–41. Available at: </w:t>
      </w:r>
      <w:hyperlink r:id="rId20" w:history="1">
        <w:r w:rsidRPr="0010515B">
          <w:rPr>
            <w:rStyle w:val="Hyperlink"/>
            <w:rFonts w:ascii="Arial" w:hAnsi="Arial" w:cs="Arial"/>
          </w:rPr>
          <w:t>https://doi.org/10.1108/imr-01-2025-0016</w:t>
        </w:r>
      </w:hyperlink>
      <w:r w:rsidRPr="0010515B">
        <w:rPr>
          <w:rFonts w:ascii="Arial" w:hAnsi="Arial" w:cs="Arial"/>
        </w:rPr>
        <w:t>.</w:t>
      </w:r>
    </w:p>
    <w:p w14:paraId="7C1F1368" w14:textId="77777777" w:rsidR="0063485C" w:rsidRPr="0010515B" w:rsidRDefault="0063485C" w:rsidP="0063485C">
      <w:pPr>
        <w:rPr>
          <w:rFonts w:ascii="Arial" w:hAnsi="Arial" w:cs="Arial"/>
        </w:rPr>
      </w:pPr>
      <w:r w:rsidRPr="0010515B">
        <w:rPr>
          <w:rFonts w:ascii="Arial" w:hAnsi="Arial" w:cs="Arial"/>
        </w:rPr>
        <w:t xml:space="preserve">Green, S.B. (1991) ‘How Many Subjects Does It Take To Do A Regression Analysis’, </w:t>
      </w:r>
      <w:r w:rsidRPr="0010515B">
        <w:rPr>
          <w:rFonts w:ascii="Arial" w:hAnsi="Arial" w:cs="Arial"/>
          <w:i/>
          <w:iCs/>
        </w:rPr>
        <w:t>Multivariate Behavioral Research</w:t>
      </w:r>
      <w:r w:rsidRPr="0010515B">
        <w:rPr>
          <w:rFonts w:ascii="Arial" w:hAnsi="Arial" w:cs="Arial"/>
        </w:rPr>
        <w:t xml:space="preserve">, 26(3), pp. 499–510. Available at: </w:t>
      </w:r>
      <w:hyperlink r:id="rId21" w:history="1">
        <w:r w:rsidRPr="0010515B">
          <w:rPr>
            <w:rStyle w:val="Hyperlink"/>
            <w:rFonts w:ascii="Arial" w:hAnsi="Arial" w:cs="Arial"/>
          </w:rPr>
          <w:t>https://doi.org/10.1207/s15327906mbr2603_7</w:t>
        </w:r>
      </w:hyperlink>
      <w:r w:rsidRPr="0010515B">
        <w:rPr>
          <w:rFonts w:ascii="Arial" w:hAnsi="Arial" w:cs="Arial"/>
        </w:rPr>
        <w:t>.</w:t>
      </w:r>
    </w:p>
    <w:p w14:paraId="4F388321" w14:textId="77777777" w:rsidR="0063485C" w:rsidRPr="0010515B" w:rsidRDefault="0063485C" w:rsidP="0063485C">
      <w:pPr>
        <w:rPr>
          <w:rFonts w:ascii="Arial" w:hAnsi="Arial" w:cs="Arial"/>
        </w:rPr>
      </w:pPr>
      <w:r w:rsidRPr="0010515B">
        <w:rPr>
          <w:rFonts w:ascii="Arial" w:hAnsi="Arial" w:cs="Arial"/>
        </w:rPr>
        <w:t xml:space="preserve">Hsu, C.-L., Chang, C.-Y. and Yansritakul, C. (2017) ‘Exploring purchase intention of green skincare products using the theory of planned behavior: Testing the moderating effects of country of origin and price sensitivity’, </w:t>
      </w:r>
      <w:r w:rsidRPr="0010515B">
        <w:rPr>
          <w:rFonts w:ascii="Arial" w:hAnsi="Arial" w:cs="Arial"/>
          <w:i/>
          <w:iCs/>
        </w:rPr>
        <w:t>Journal of Retailing and Consumer Services</w:t>
      </w:r>
      <w:r w:rsidRPr="0010515B">
        <w:rPr>
          <w:rFonts w:ascii="Arial" w:hAnsi="Arial" w:cs="Arial"/>
        </w:rPr>
        <w:t xml:space="preserve">, 34(1), pp. 145–152. Available at: </w:t>
      </w:r>
      <w:hyperlink r:id="rId22" w:history="1">
        <w:r w:rsidRPr="0010515B">
          <w:rPr>
            <w:rStyle w:val="Hyperlink"/>
            <w:rFonts w:ascii="Arial" w:hAnsi="Arial" w:cs="Arial"/>
          </w:rPr>
          <w:t>https://doi.org/10.1016/j.jretconser.2016.10.006</w:t>
        </w:r>
      </w:hyperlink>
      <w:r w:rsidRPr="0010515B">
        <w:rPr>
          <w:rFonts w:ascii="Arial" w:hAnsi="Arial" w:cs="Arial"/>
        </w:rPr>
        <w:t>.</w:t>
      </w:r>
    </w:p>
    <w:p w14:paraId="460B56B0" w14:textId="77777777" w:rsidR="0063485C" w:rsidRPr="0010515B" w:rsidRDefault="0063485C" w:rsidP="0063485C">
      <w:pPr>
        <w:rPr>
          <w:rFonts w:ascii="Arial" w:hAnsi="Arial" w:cs="Arial"/>
        </w:rPr>
      </w:pPr>
      <w:r w:rsidRPr="0010515B">
        <w:rPr>
          <w:rFonts w:ascii="Arial" w:hAnsi="Arial" w:cs="Arial"/>
        </w:rPr>
        <w:t xml:space="preserve">Jain, S., Khan, M.N. and Mishra, S. (2017) ‘Understanding consumer behavior regarding luxury fashion goods in India based on the theory of planned behavior’, </w:t>
      </w:r>
      <w:r w:rsidRPr="0010515B">
        <w:rPr>
          <w:rFonts w:ascii="Arial" w:hAnsi="Arial" w:cs="Arial"/>
          <w:i/>
          <w:iCs/>
        </w:rPr>
        <w:t>Journal of Asia Business Studies</w:t>
      </w:r>
      <w:r w:rsidRPr="0010515B">
        <w:rPr>
          <w:rFonts w:ascii="Arial" w:hAnsi="Arial" w:cs="Arial"/>
        </w:rPr>
        <w:t xml:space="preserve">, 11(1), pp. 4–21. Available at: </w:t>
      </w:r>
      <w:hyperlink r:id="rId23" w:history="1">
        <w:r w:rsidRPr="0010515B">
          <w:rPr>
            <w:rStyle w:val="Hyperlink"/>
            <w:rFonts w:ascii="Arial" w:hAnsi="Arial" w:cs="Arial"/>
          </w:rPr>
          <w:t>https://doi.org/10.1108/jabs-08-2015-0118</w:t>
        </w:r>
      </w:hyperlink>
      <w:r w:rsidRPr="0010515B">
        <w:rPr>
          <w:rFonts w:ascii="Arial" w:hAnsi="Arial" w:cs="Arial"/>
        </w:rPr>
        <w:t>.</w:t>
      </w:r>
    </w:p>
    <w:p w14:paraId="3C0985A4" w14:textId="77777777" w:rsidR="0063485C" w:rsidRPr="0010515B" w:rsidRDefault="0063485C" w:rsidP="0063485C">
      <w:pPr>
        <w:rPr>
          <w:rFonts w:ascii="Arial" w:hAnsi="Arial" w:cs="Arial"/>
        </w:rPr>
      </w:pPr>
      <w:r w:rsidRPr="0010515B">
        <w:rPr>
          <w:rFonts w:ascii="Arial" w:hAnsi="Arial" w:cs="Arial"/>
        </w:rPr>
        <w:t xml:space="preserve">Keller, K.L. (1993) ‘Conceptualizing, Measuring, and Managing Customer-Based Brand Equity’, </w:t>
      </w:r>
      <w:r w:rsidRPr="0010515B">
        <w:rPr>
          <w:rFonts w:ascii="Arial" w:hAnsi="Arial" w:cs="Arial"/>
          <w:i/>
          <w:iCs/>
        </w:rPr>
        <w:t>Journal of Marketing</w:t>
      </w:r>
      <w:r w:rsidRPr="0010515B">
        <w:rPr>
          <w:rFonts w:ascii="Arial" w:hAnsi="Arial" w:cs="Arial"/>
        </w:rPr>
        <w:t xml:space="preserve">, 57(1), pp. 1–22. Available at: </w:t>
      </w:r>
      <w:hyperlink r:id="rId24" w:history="1">
        <w:r w:rsidRPr="0010515B">
          <w:rPr>
            <w:rStyle w:val="Hyperlink"/>
            <w:rFonts w:ascii="Arial" w:hAnsi="Arial" w:cs="Arial"/>
          </w:rPr>
          <w:t>https://doi.org/10.1177/002224299305700101</w:t>
        </w:r>
      </w:hyperlink>
      <w:r w:rsidRPr="0010515B">
        <w:rPr>
          <w:rFonts w:ascii="Arial" w:hAnsi="Arial" w:cs="Arial"/>
        </w:rPr>
        <w:t>.</w:t>
      </w:r>
    </w:p>
    <w:p w14:paraId="5458A70A" w14:textId="77777777" w:rsidR="0063485C" w:rsidRPr="0010515B" w:rsidRDefault="0063485C" w:rsidP="0063485C">
      <w:pPr>
        <w:rPr>
          <w:rFonts w:ascii="Arial" w:hAnsi="Arial" w:cs="Arial"/>
        </w:rPr>
      </w:pPr>
      <w:r w:rsidRPr="0010515B">
        <w:rPr>
          <w:rFonts w:ascii="Arial" w:hAnsi="Arial" w:cs="Arial"/>
        </w:rPr>
        <w:t xml:space="preserve">Kirmani, A. and Rao, A.R. (2000) ‘No Pain, No Gain: A Critical Review of the Literature on Signaling Unobservable Product Quality’, </w:t>
      </w:r>
      <w:r w:rsidRPr="0010515B">
        <w:rPr>
          <w:rFonts w:ascii="Arial" w:hAnsi="Arial" w:cs="Arial"/>
          <w:i/>
          <w:iCs/>
        </w:rPr>
        <w:t>Journal of Marketing</w:t>
      </w:r>
      <w:r w:rsidRPr="0010515B">
        <w:rPr>
          <w:rFonts w:ascii="Arial" w:hAnsi="Arial" w:cs="Arial"/>
        </w:rPr>
        <w:t xml:space="preserve">, 64(2), pp. 66–79. Available at: </w:t>
      </w:r>
      <w:hyperlink r:id="rId25" w:history="1">
        <w:r w:rsidRPr="0010515B">
          <w:rPr>
            <w:rStyle w:val="Hyperlink"/>
            <w:rFonts w:ascii="Arial" w:hAnsi="Arial" w:cs="Arial"/>
          </w:rPr>
          <w:t>https://doi.org/10.1509/jmkg.64.2.66.18000</w:t>
        </w:r>
      </w:hyperlink>
      <w:r w:rsidRPr="0010515B">
        <w:rPr>
          <w:rFonts w:ascii="Arial" w:hAnsi="Arial" w:cs="Arial"/>
        </w:rPr>
        <w:t>.</w:t>
      </w:r>
    </w:p>
    <w:p w14:paraId="680D08E4" w14:textId="77777777" w:rsidR="0063485C" w:rsidRPr="0010515B" w:rsidRDefault="0063485C" w:rsidP="0063485C">
      <w:pPr>
        <w:rPr>
          <w:rFonts w:ascii="Arial" w:hAnsi="Arial" w:cs="Arial"/>
        </w:rPr>
      </w:pPr>
      <w:r w:rsidRPr="0010515B">
        <w:rPr>
          <w:rFonts w:ascii="Arial" w:hAnsi="Arial" w:cs="Arial"/>
        </w:rPr>
        <w:t xml:space="preserve">Lee, J.I., Park, J. and Chen, Y. (2025) ‘True beauty lies in authenticity: unveiling the hidden force behind brand loyalty in luxury cosmetics’, </w:t>
      </w:r>
      <w:r w:rsidRPr="0010515B">
        <w:rPr>
          <w:rFonts w:ascii="Arial" w:hAnsi="Arial" w:cs="Arial"/>
          <w:i/>
          <w:iCs/>
        </w:rPr>
        <w:t>Total Quality Management &amp; Business Excellence</w:t>
      </w:r>
      <w:r w:rsidRPr="0010515B">
        <w:rPr>
          <w:rFonts w:ascii="Arial" w:hAnsi="Arial" w:cs="Arial"/>
        </w:rPr>
        <w:t xml:space="preserve">, pp. 1–22. Available at: </w:t>
      </w:r>
      <w:hyperlink r:id="rId26" w:history="1">
        <w:r w:rsidRPr="0010515B">
          <w:rPr>
            <w:rStyle w:val="Hyperlink"/>
            <w:rFonts w:ascii="Arial" w:hAnsi="Arial" w:cs="Arial"/>
          </w:rPr>
          <w:t>https://doi.org/10.1080/14783363.2025.2587023</w:t>
        </w:r>
      </w:hyperlink>
      <w:r w:rsidRPr="0010515B">
        <w:rPr>
          <w:rFonts w:ascii="Arial" w:hAnsi="Arial" w:cs="Arial"/>
        </w:rPr>
        <w:t>.</w:t>
      </w:r>
    </w:p>
    <w:p w14:paraId="571AFFFF" w14:textId="77777777" w:rsidR="0063485C" w:rsidRPr="0010515B" w:rsidRDefault="0063485C" w:rsidP="0063485C">
      <w:pPr>
        <w:rPr>
          <w:rFonts w:ascii="Arial" w:hAnsi="Arial" w:cs="Arial"/>
        </w:rPr>
      </w:pPr>
      <w:r w:rsidRPr="0010515B">
        <w:rPr>
          <w:rFonts w:ascii="Arial" w:hAnsi="Arial" w:cs="Arial"/>
        </w:rPr>
        <w:t xml:space="preserve">Lee, S. </w:t>
      </w:r>
      <w:r w:rsidRPr="0010515B">
        <w:rPr>
          <w:rFonts w:ascii="Arial" w:hAnsi="Arial" w:cs="Arial"/>
          <w:i/>
          <w:iCs/>
        </w:rPr>
        <w:t>et al.</w:t>
      </w:r>
      <w:r w:rsidRPr="0010515B">
        <w:rPr>
          <w:rFonts w:ascii="Arial" w:hAnsi="Arial" w:cs="Arial"/>
        </w:rPr>
        <w:t xml:space="preserve"> (2019) ‘Communicating authenticity in packaging of Korean cosmetics’, </w:t>
      </w:r>
      <w:r w:rsidRPr="0010515B">
        <w:rPr>
          <w:rFonts w:ascii="Arial" w:hAnsi="Arial" w:cs="Arial"/>
          <w:i/>
          <w:iCs/>
        </w:rPr>
        <w:t>Journal of Retailing and Consumer Services</w:t>
      </w:r>
      <w:r w:rsidRPr="0010515B">
        <w:rPr>
          <w:rFonts w:ascii="Arial" w:hAnsi="Arial" w:cs="Arial"/>
        </w:rPr>
        <w:t xml:space="preserve">, 48, pp. 202–214. Available at: </w:t>
      </w:r>
      <w:hyperlink r:id="rId27" w:history="1">
        <w:r w:rsidRPr="0010515B">
          <w:rPr>
            <w:rStyle w:val="Hyperlink"/>
            <w:rFonts w:ascii="Arial" w:hAnsi="Arial" w:cs="Arial"/>
          </w:rPr>
          <w:t>https://doi.org/10.1016/j.jretconser.2019.02.011</w:t>
        </w:r>
      </w:hyperlink>
      <w:r w:rsidRPr="0010515B">
        <w:rPr>
          <w:rFonts w:ascii="Arial" w:hAnsi="Arial" w:cs="Arial"/>
        </w:rPr>
        <w:t>.</w:t>
      </w:r>
    </w:p>
    <w:p w14:paraId="41DBCC6D" w14:textId="77777777" w:rsidR="0063485C" w:rsidRPr="0010515B" w:rsidRDefault="0063485C" w:rsidP="0063485C">
      <w:pPr>
        <w:rPr>
          <w:rFonts w:ascii="Arial" w:hAnsi="Arial" w:cs="Arial"/>
        </w:rPr>
      </w:pPr>
      <w:r w:rsidRPr="0010515B">
        <w:rPr>
          <w:rFonts w:ascii="Arial" w:hAnsi="Arial" w:cs="Arial"/>
        </w:rPr>
        <w:t xml:space="preserve">Lin, Y. </w:t>
      </w:r>
      <w:r w:rsidRPr="0010515B">
        <w:rPr>
          <w:rFonts w:ascii="Arial" w:hAnsi="Arial" w:cs="Arial"/>
          <w:i/>
          <w:iCs/>
        </w:rPr>
        <w:t>et al.</w:t>
      </w:r>
      <w:r w:rsidRPr="0010515B">
        <w:rPr>
          <w:rFonts w:ascii="Arial" w:hAnsi="Arial" w:cs="Arial"/>
        </w:rPr>
        <w:t xml:space="preserve"> (2018) ‘An Exploratory Study of Consumer Attitudes toward Green Cosmetics in the UK Market’, </w:t>
      </w:r>
      <w:r w:rsidRPr="0010515B">
        <w:rPr>
          <w:rFonts w:ascii="Arial" w:hAnsi="Arial" w:cs="Arial"/>
          <w:i/>
          <w:iCs/>
        </w:rPr>
        <w:t>Administrative Sciences</w:t>
      </w:r>
      <w:r w:rsidRPr="0010515B">
        <w:rPr>
          <w:rFonts w:ascii="Arial" w:hAnsi="Arial" w:cs="Arial"/>
        </w:rPr>
        <w:t xml:space="preserve">, 8(4), p. 71. Available at: </w:t>
      </w:r>
      <w:hyperlink r:id="rId28" w:history="1">
        <w:r w:rsidRPr="0010515B">
          <w:rPr>
            <w:rStyle w:val="Hyperlink"/>
            <w:rFonts w:ascii="Arial" w:hAnsi="Arial" w:cs="Arial"/>
          </w:rPr>
          <w:t>https://doi.org/10.3390/admsci8040071</w:t>
        </w:r>
      </w:hyperlink>
      <w:r w:rsidRPr="0010515B">
        <w:rPr>
          <w:rFonts w:ascii="Arial" w:hAnsi="Arial" w:cs="Arial"/>
        </w:rPr>
        <w:t>.</w:t>
      </w:r>
    </w:p>
    <w:p w14:paraId="283E55EE" w14:textId="77777777" w:rsidR="0063485C" w:rsidRPr="0010515B" w:rsidRDefault="0063485C" w:rsidP="0063485C">
      <w:pPr>
        <w:rPr>
          <w:rFonts w:ascii="Arial" w:hAnsi="Arial" w:cs="Arial"/>
        </w:rPr>
      </w:pPr>
      <w:r w:rsidRPr="0010515B">
        <w:rPr>
          <w:rFonts w:ascii="Arial" w:hAnsi="Arial" w:cs="Arial"/>
        </w:rPr>
        <w:t xml:space="preserve">Min, H.C. (1989) ‘Country Image: Halo or Summary Construct?’, </w:t>
      </w:r>
      <w:r w:rsidRPr="0010515B">
        <w:rPr>
          <w:rFonts w:ascii="Arial" w:hAnsi="Arial" w:cs="Arial"/>
          <w:i/>
          <w:iCs/>
        </w:rPr>
        <w:t>Journal of Marketing Research</w:t>
      </w:r>
      <w:r w:rsidRPr="0010515B">
        <w:rPr>
          <w:rFonts w:ascii="Arial" w:hAnsi="Arial" w:cs="Arial"/>
        </w:rPr>
        <w:t xml:space="preserve">, 26(2), pp. 222–229. Available at: </w:t>
      </w:r>
      <w:hyperlink r:id="rId29" w:history="1">
        <w:r w:rsidRPr="0010515B">
          <w:rPr>
            <w:rStyle w:val="Hyperlink"/>
            <w:rFonts w:ascii="Arial" w:hAnsi="Arial" w:cs="Arial"/>
          </w:rPr>
          <w:t>https://doi.org/10.2307/3172608</w:t>
        </w:r>
      </w:hyperlink>
      <w:r w:rsidRPr="0010515B">
        <w:rPr>
          <w:rFonts w:ascii="Arial" w:hAnsi="Arial" w:cs="Arial"/>
        </w:rPr>
        <w:t>.</w:t>
      </w:r>
    </w:p>
    <w:p w14:paraId="7A734740" w14:textId="77777777" w:rsidR="0063485C" w:rsidRPr="0010515B" w:rsidRDefault="0063485C" w:rsidP="0063485C">
      <w:pPr>
        <w:rPr>
          <w:rFonts w:ascii="Arial" w:hAnsi="Arial" w:cs="Arial"/>
        </w:rPr>
      </w:pPr>
      <w:r w:rsidRPr="0010515B">
        <w:rPr>
          <w:rFonts w:ascii="Arial" w:hAnsi="Arial" w:cs="Arial"/>
        </w:rPr>
        <w:t xml:space="preserve">Mintel (2024) </w:t>
      </w:r>
      <w:r w:rsidRPr="0010515B">
        <w:rPr>
          <w:rFonts w:ascii="Arial" w:hAnsi="Arial" w:cs="Arial"/>
          <w:i/>
          <w:iCs/>
        </w:rPr>
        <w:t>UK Facial Skincare Market Report 2024 | Mintel Store</w:t>
      </w:r>
      <w:r w:rsidRPr="0010515B">
        <w:rPr>
          <w:rFonts w:ascii="Arial" w:hAnsi="Arial" w:cs="Arial"/>
        </w:rPr>
        <w:t xml:space="preserve">, </w:t>
      </w:r>
      <w:r w:rsidRPr="0010515B">
        <w:rPr>
          <w:rFonts w:ascii="Arial" w:hAnsi="Arial" w:cs="Arial"/>
          <w:i/>
          <w:iCs/>
        </w:rPr>
        <w:t>store.mintel.com</w:t>
      </w:r>
      <w:r w:rsidRPr="0010515B">
        <w:rPr>
          <w:rFonts w:ascii="Arial" w:hAnsi="Arial" w:cs="Arial"/>
        </w:rPr>
        <w:t xml:space="preserve">. Available at: </w:t>
      </w:r>
      <w:hyperlink r:id="rId30" w:history="1">
        <w:r w:rsidRPr="0010515B">
          <w:rPr>
            <w:rStyle w:val="Hyperlink"/>
            <w:rFonts w:ascii="Arial" w:hAnsi="Arial" w:cs="Arial"/>
          </w:rPr>
          <w:t>https://store.mintel.com/report/uk-facial-skincare-market-report</w:t>
        </w:r>
      </w:hyperlink>
      <w:r w:rsidRPr="0010515B">
        <w:rPr>
          <w:rFonts w:ascii="Arial" w:hAnsi="Arial" w:cs="Arial"/>
        </w:rPr>
        <w:t>.</w:t>
      </w:r>
    </w:p>
    <w:p w14:paraId="33816081" w14:textId="77777777" w:rsidR="0063485C" w:rsidRPr="0010515B" w:rsidRDefault="0063485C" w:rsidP="0063485C">
      <w:pPr>
        <w:rPr>
          <w:rFonts w:ascii="Arial" w:hAnsi="Arial" w:cs="Arial"/>
        </w:rPr>
      </w:pPr>
      <w:r w:rsidRPr="0010515B">
        <w:rPr>
          <w:rFonts w:ascii="Arial" w:hAnsi="Arial" w:cs="Arial"/>
        </w:rPr>
        <w:t xml:space="preserve">Oduro, S., Nisco, A.D. and Petruzzellis, L. (2023) ‘Country-of-origin Image and Consumer Brand evaluation: a meta-analytic Review’, </w:t>
      </w:r>
      <w:r w:rsidRPr="0010515B">
        <w:rPr>
          <w:rFonts w:ascii="Arial" w:hAnsi="Arial" w:cs="Arial"/>
          <w:i/>
          <w:iCs/>
        </w:rPr>
        <w:t>Journal of Product &amp; Brand Management</w:t>
      </w:r>
      <w:r w:rsidRPr="0010515B">
        <w:rPr>
          <w:rFonts w:ascii="Arial" w:hAnsi="Arial" w:cs="Arial"/>
        </w:rPr>
        <w:t xml:space="preserve">, 33(1). Available at: </w:t>
      </w:r>
      <w:hyperlink r:id="rId31" w:history="1">
        <w:r w:rsidRPr="0010515B">
          <w:rPr>
            <w:rStyle w:val="Hyperlink"/>
            <w:rFonts w:ascii="Arial" w:hAnsi="Arial" w:cs="Arial"/>
          </w:rPr>
          <w:t>https://doi.org/10.1108/jpbm-01-2023-4328</w:t>
        </w:r>
      </w:hyperlink>
      <w:r w:rsidRPr="0010515B">
        <w:rPr>
          <w:rFonts w:ascii="Arial" w:hAnsi="Arial" w:cs="Arial"/>
        </w:rPr>
        <w:t>.</w:t>
      </w:r>
    </w:p>
    <w:p w14:paraId="05601141" w14:textId="77777777" w:rsidR="0063485C" w:rsidRPr="0010515B" w:rsidRDefault="0063485C" w:rsidP="0063485C">
      <w:pPr>
        <w:rPr>
          <w:rFonts w:ascii="Arial" w:hAnsi="Arial" w:cs="Arial"/>
        </w:rPr>
      </w:pPr>
      <w:r w:rsidRPr="0010515B">
        <w:rPr>
          <w:rFonts w:ascii="Arial" w:hAnsi="Arial" w:cs="Arial"/>
        </w:rPr>
        <w:t xml:space="preserve">OEC (2025) </w:t>
      </w:r>
      <w:r w:rsidRPr="0010515B">
        <w:rPr>
          <w:rFonts w:ascii="Arial" w:hAnsi="Arial" w:cs="Arial"/>
          <w:i/>
          <w:iCs/>
        </w:rPr>
        <w:t>Beauty Products in United Kingdom | OEC</w:t>
      </w:r>
      <w:r w:rsidRPr="0010515B">
        <w:rPr>
          <w:rFonts w:ascii="Arial" w:hAnsi="Arial" w:cs="Arial"/>
        </w:rPr>
        <w:t xml:space="preserve">, </w:t>
      </w:r>
      <w:r w:rsidRPr="0010515B">
        <w:rPr>
          <w:rFonts w:ascii="Arial" w:hAnsi="Arial" w:cs="Arial"/>
          <w:i/>
          <w:iCs/>
        </w:rPr>
        <w:t>OEC - The Observatory of Economic Complexity</w:t>
      </w:r>
      <w:r w:rsidRPr="0010515B">
        <w:rPr>
          <w:rFonts w:ascii="Arial" w:hAnsi="Arial" w:cs="Arial"/>
        </w:rPr>
        <w:t xml:space="preserve">. Available at: </w:t>
      </w:r>
      <w:hyperlink r:id="rId32" w:history="1">
        <w:r w:rsidRPr="0010515B">
          <w:rPr>
            <w:rStyle w:val="Hyperlink"/>
            <w:rFonts w:ascii="Arial" w:hAnsi="Arial" w:cs="Arial"/>
          </w:rPr>
          <w:t>https://oec.world/en/profile/bilateral-product/beauty-products/reporter/gbr</w:t>
        </w:r>
      </w:hyperlink>
      <w:r w:rsidRPr="0010515B">
        <w:rPr>
          <w:rFonts w:ascii="Arial" w:hAnsi="Arial" w:cs="Arial"/>
        </w:rPr>
        <w:t>.</w:t>
      </w:r>
    </w:p>
    <w:p w14:paraId="51829CAA" w14:textId="77777777" w:rsidR="0063485C" w:rsidRPr="0010515B" w:rsidRDefault="0063485C" w:rsidP="0063485C">
      <w:pPr>
        <w:rPr>
          <w:rFonts w:ascii="Arial" w:hAnsi="Arial" w:cs="Arial"/>
        </w:rPr>
      </w:pPr>
      <w:r w:rsidRPr="0010515B">
        <w:rPr>
          <w:rFonts w:ascii="Arial" w:hAnsi="Arial" w:cs="Arial"/>
        </w:rPr>
        <w:t xml:space="preserve">Roth, K.P. and Diamantopoulos, A. (2009) ‘Advancing the country image construct’, </w:t>
      </w:r>
      <w:r w:rsidRPr="0010515B">
        <w:rPr>
          <w:rFonts w:ascii="Arial" w:hAnsi="Arial" w:cs="Arial"/>
          <w:i/>
          <w:iCs/>
        </w:rPr>
        <w:t>Journal of Business Research</w:t>
      </w:r>
      <w:r w:rsidRPr="0010515B">
        <w:rPr>
          <w:rFonts w:ascii="Arial" w:hAnsi="Arial" w:cs="Arial"/>
        </w:rPr>
        <w:t xml:space="preserve">, 62(7), pp. 726–740. Available at: </w:t>
      </w:r>
      <w:hyperlink r:id="rId33" w:history="1">
        <w:r w:rsidRPr="0010515B">
          <w:rPr>
            <w:rStyle w:val="Hyperlink"/>
            <w:rFonts w:ascii="Arial" w:hAnsi="Arial" w:cs="Arial"/>
          </w:rPr>
          <w:t>https://doi.org/10.1016/j.jbusres.2008.05.014</w:t>
        </w:r>
      </w:hyperlink>
      <w:r w:rsidRPr="0010515B">
        <w:rPr>
          <w:rFonts w:ascii="Arial" w:hAnsi="Arial" w:cs="Arial"/>
        </w:rPr>
        <w:t>.</w:t>
      </w:r>
    </w:p>
    <w:p w14:paraId="1AC10C7D" w14:textId="77777777" w:rsidR="0063485C" w:rsidRPr="0010515B" w:rsidRDefault="0063485C" w:rsidP="0063485C">
      <w:pPr>
        <w:rPr>
          <w:rFonts w:ascii="Arial" w:hAnsi="Arial" w:cs="Arial"/>
        </w:rPr>
      </w:pPr>
      <w:r w:rsidRPr="0010515B">
        <w:rPr>
          <w:rFonts w:ascii="Arial" w:hAnsi="Arial" w:cs="Arial"/>
        </w:rPr>
        <w:t xml:space="preserve">Samiee, S. </w:t>
      </w:r>
      <w:r w:rsidRPr="0010515B">
        <w:rPr>
          <w:rFonts w:ascii="Arial" w:hAnsi="Arial" w:cs="Arial"/>
          <w:i/>
          <w:iCs/>
        </w:rPr>
        <w:t>et al.</w:t>
      </w:r>
      <w:r w:rsidRPr="0010515B">
        <w:rPr>
          <w:rFonts w:ascii="Arial" w:hAnsi="Arial" w:cs="Arial"/>
        </w:rPr>
        <w:t xml:space="preserve"> (2024) ‘Research on country-of-origin perceptions: review, critical assessment, and the path forward’, </w:t>
      </w:r>
      <w:r w:rsidRPr="0010515B">
        <w:rPr>
          <w:rFonts w:ascii="Arial" w:hAnsi="Arial" w:cs="Arial"/>
          <w:i/>
          <w:iCs/>
        </w:rPr>
        <w:t>Journal of International Business Studies</w:t>
      </w:r>
      <w:r w:rsidRPr="0010515B">
        <w:rPr>
          <w:rFonts w:ascii="Arial" w:hAnsi="Arial" w:cs="Arial"/>
        </w:rPr>
        <w:t xml:space="preserve"> [Preprint]. Available at: </w:t>
      </w:r>
      <w:hyperlink r:id="rId34" w:history="1">
        <w:r w:rsidRPr="0010515B">
          <w:rPr>
            <w:rStyle w:val="Hyperlink"/>
            <w:rFonts w:ascii="Arial" w:hAnsi="Arial" w:cs="Arial"/>
          </w:rPr>
          <w:t>https://doi.org/10.1057/s41267-023-00678-z</w:t>
        </w:r>
      </w:hyperlink>
      <w:r w:rsidRPr="0010515B">
        <w:rPr>
          <w:rFonts w:ascii="Arial" w:hAnsi="Arial" w:cs="Arial"/>
        </w:rPr>
        <w:t>.</w:t>
      </w:r>
    </w:p>
    <w:p w14:paraId="7B08CC02" w14:textId="77777777" w:rsidR="0063485C" w:rsidRPr="0010515B" w:rsidRDefault="0063485C" w:rsidP="0063485C">
      <w:pPr>
        <w:rPr>
          <w:rFonts w:ascii="Arial" w:hAnsi="Arial" w:cs="Arial"/>
        </w:rPr>
      </w:pPr>
      <w:r w:rsidRPr="0010515B">
        <w:rPr>
          <w:rFonts w:ascii="Arial" w:hAnsi="Arial" w:cs="Arial"/>
        </w:rPr>
        <w:t xml:space="preserve">Saunders, M., Lewis, P. and Thornhill, A. (2019) </w:t>
      </w:r>
      <w:r w:rsidRPr="0010515B">
        <w:rPr>
          <w:rFonts w:ascii="Arial" w:hAnsi="Arial" w:cs="Arial"/>
          <w:i/>
          <w:iCs/>
        </w:rPr>
        <w:t>Research Methods for Business Students</w:t>
      </w:r>
      <w:r w:rsidRPr="0010515B">
        <w:rPr>
          <w:rFonts w:ascii="Arial" w:hAnsi="Arial" w:cs="Arial"/>
        </w:rPr>
        <w:t>. 8th edn. Pearson.</w:t>
      </w:r>
    </w:p>
    <w:p w14:paraId="1B875633" w14:textId="77777777" w:rsidR="0063485C" w:rsidRPr="0010515B" w:rsidRDefault="0063485C" w:rsidP="0063485C">
      <w:pPr>
        <w:rPr>
          <w:rFonts w:ascii="Arial" w:hAnsi="Arial" w:cs="Arial"/>
        </w:rPr>
      </w:pPr>
      <w:r w:rsidRPr="0010515B">
        <w:rPr>
          <w:rFonts w:ascii="Arial" w:hAnsi="Arial" w:cs="Arial"/>
        </w:rPr>
        <w:t xml:space="preserve">Shim, J. </w:t>
      </w:r>
      <w:r w:rsidRPr="0010515B">
        <w:rPr>
          <w:rFonts w:ascii="Arial" w:hAnsi="Arial" w:cs="Arial"/>
          <w:i/>
          <w:iCs/>
        </w:rPr>
        <w:t>et al.</w:t>
      </w:r>
      <w:r w:rsidRPr="0010515B">
        <w:rPr>
          <w:rFonts w:ascii="Arial" w:hAnsi="Arial" w:cs="Arial"/>
        </w:rPr>
        <w:t xml:space="preserve"> (2024) ‘The clean beauty trend among millennial and generation Z consumers: Assessing the safety, ethicality, and sustainability attributes of cosmetic products’, </w:t>
      </w:r>
      <w:r w:rsidRPr="0010515B">
        <w:rPr>
          <w:rFonts w:ascii="Arial" w:hAnsi="Arial" w:cs="Arial"/>
          <w:i/>
          <w:iCs/>
        </w:rPr>
        <w:t>SAGE open</w:t>
      </w:r>
      <w:r w:rsidRPr="0010515B">
        <w:rPr>
          <w:rFonts w:ascii="Arial" w:hAnsi="Arial" w:cs="Arial"/>
        </w:rPr>
        <w:t xml:space="preserve">, 14(2), pp. 1–18. Available at: </w:t>
      </w:r>
      <w:hyperlink r:id="rId35" w:history="1">
        <w:r w:rsidRPr="0010515B">
          <w:rPr>
            <w:rStyle w:val="Hyperlink"/>
            <w:rFonts w:ascii="Arial" w:hAnsi="Arial" w:cs="Arial"/>
          </w:rPr>
          <w:t>https://doi.org/10.1177/21582440241255430</w:t>
        </w:r>
      </w:hyperlink>
      <w:r w:rsidRPr="0010515B">
        <w:rPr>
          <w:rFonts w:ascii="Arial" w:hAnsi="Arial" w:cs="Arial"/>
        </w:rPr>
        <w:t>.</w:t>
      </w:r>
    </w:p>
    <w:p w14:paraId="3202A48A" w14:textId="77777777" w:rsidR="0063485C" w:rsidRPr="0010515B" w:rsidRDefault="0063485C" w:rsidP="0063485C">
      <w:pPr>
        <w:rPr>
          <w:rFonts w:ascii="Arial" w:hAnsi="Arial" w:cs="Arial"/>
        </w:rPr>
      </w:pPr>
      <w:r w:rsidRPr="0010515B">
        <w:rPr>
          <w:rFonts w:ascii="Arial" w:hAnsi="Arial" w:cs="Arial"/>
        </w:rPr>
        <w:t xml:space="preserve">Spence, M. (1973) ‘Job Market Signaling’, </w:t>
      </w:r>
      <w:r w:rsidRPr="0010515B">
        <w:rPr>
          <w:rFonts w:ascii="Arial" w:hAnsi="Arial" w:cs="Arial"/>
          <w:i/>
          <w:iCs/>
        </w:rPr>
        <w:t>The Quarterly Journal of Economics</w:t>
      </w:r>
      <w:r w:rsidRPr="0010515B">
        <w:rPr>
          <w:rFonts w:ascii="Arial" w:hAnsi="Arial" w:cs="Arial"/>
        </w:rPr>
        <w:t xml:space="preserve">, 87(3), pp. 355–374. Available at: </w:t>
      </w:r>
      <w:hyperlink r:id="rId36" w:history="1">
        <w:r w:rsidRPr="0010515B">
          <w:rPr>
            <w:rStyle w:val="Hyperlink"/>
            <w:rFonts w:ascii="Arial" w:hAnsi="Arial" w:cs="Arial"/>
          </w:rPr>
          <w:t>https://doi.org/10.2307/1882010</w:t>
        </w:r>
      </w:hyperlink>
      <w:r w:rsidRPr="0010515B">
        <w:rPr>
          <w:rFonts w:ascii="Arial" w:hAnsi="Arial" w:cs="Arial"/>
        </w:rPr>
        <w:t>.</w:t>
      </w:r>
    </w:p>
    <w:p w14:paraId="2A6F1CF3" w14:textId="77777777" w:rsidR="0063485C" w:rsidRPr="0010515B" w:rsidRDefault="0063485C" w:rsidP="0063485C">
      <w:pPr>
        <w:rPr>
          <w:rFonts w:ascii="Arial" w:hAnsi="Arial" w:cs="Arial"/>
        </w:rPr>
      </w:pPr>
      <w:r w:rsidRPr="0010515B">
        <w:rPr>
          <w:rFonts w:ascii="Arial" w:hAnsi="Arial" w:cs="Arial"/>
        </w:rPr>
        <w:t xml:space="preserve">Tavakol, M. and Dennick, R. (2011) ‘Making Sense of Cronbach’s Alpha’, </w:t>
      </w:r>
      <w:r w:rsidRPr="0010515B">
        <w:rPr>
          <w:rFonts w:ascii="Arial" w:hAnsi="Arial" w:cs="Arial"/>
          <w:i/>
          <w:iCs/>
        </w:rPr>
        <w:t>International Journal of Medical Education</w:t>
      </w:r>
      <w:r w:rsidRPr="0010515B">
        <w:rPr>
          <w:rFonts w:ascii="Arial" w:hAnsi="Arial" w:cs="Arial"/>
        </w:rPr>
        <w:t xml:space="preserve">, 2(2), pp. 53–55. Available at: </w:t>
      </w:r>
      <w:hyperlink r:id="rId37" w:history="1">
        <w:r w:rsidRPr="0010515B">
          <w:rPr>
            <w:rStyle w:val="Hyperlink"/>
            <w:rFonts w:ascii="Arial" w:hAnsi="Arial" w:cs="Arial"/>
          </w:rPr>
          <w:t>https://doi.org/10.5116/ijme.4dfb.8dfd</w:t>
        </w:r>
      </w:hyperlink>
      <w:r w:rsidRPr="0010515B">
        <w:rPr>
          <w:rFonts w:ascii="Arial" w:hAnsi="Arial" w:cs="Arial"/>
        </w:rPr>
        <w:t>.</w:t>
      </w:r>
    </w:p>
    <w:p w14:paraId="03B64F74" w14:textId="77777777" w:rsidR="0063485C" w:rsidRPr="0010515B" w:rsidRDefault="0063485C" w:rsidP="0063485C">
      <w:pPr>
        <w:rPr>
          <w:rFonts w:ascii="Arial" w:hAnsi="Arial" w:cs="Arial"/>
        </w:rPr>
      </w:pPr>
      <w:r w:rsidRPr="0010515B">
        <w:rPr>
          <w:rFonts w:ascii="Arial" w:hAnsi="Arial" w:cs="Arial"/>
        </w:rPr>
        <w:t xml:space="preserve">UK Government (2018) </w:t>
      </w:r>
      <w:r w:rsidRPr="0010515B">
        <w:rPr>
          <w:rFonts w:ascii="Arial" w:hAnsi="Arial" w:cs="Arial"/>
          <w:i/>
          <w:iCs/>
        </w:rPr>
        <w:t>UK General Data Protection Regulation</w:t>
      </w:r>
      <w:r w:rsidRPr="0010515B">
        <w:rPr>
          <w:rFonts w:ascii="Arial" w:hAnsi="Arial" w:cs="Arial"/>
        </w:rPr>
        <w:t xml:space="preserve">, </w:t>
      </w:r>
      <w:r w:rsidRPr="0010515B">
        <w:rPr>
          <w:rFonts w:ascii="Arial" w:hAnsi="Arial" w:cs="Arial"/>
          <w:i/>
          <w:iCs/>
        </w:rPr>
        <w:t>legislation.gov.uk</w:t>
      </w:r>
      <w:r w:rsidRPr="0010515B">
        <w:rPr>
          <w:rFonts w:ascii="Arial" w:hAnsi="Arial" w:cs="Arial"/>
        </w:rPr>
        <w:t xml:space="preserve">. Available at: </w:t>
      </w:r>
      <w:hyperlink r:id="rId38" w:history="1">
        <w:r w:rsidRPr="0010515B">
          <w:rPr>
            <w:rStyle w:val="Hyperlink"/>
            <w:rFonts w:ascii="Arial" w:hAnsi="Arial" w:cs="Arial"/>
          </w:rPr>
          <w:t>https://www.legislation.gov.uk/eur/2016/679/contents</w:t>
        </w:r>
      </w:hyperlink>
      <w:r w:rsidRPr="0010515B">
        <w:rPr>
          <w:rFonts w:ascii="Arial" w:hAnsi="Arial" w:cs="Arial"/>
        </w:rPr>
        <w:t>.</w:t>
      </w:r>
    </w:p>
    <w:p w14:paraId="0412B8F6" w14:textId="77777777" w:rsidR="0063485C" w:rsidRPr="0010515B" w:rsidRDefault="0063485C" w:rsidP="0063485C">
      <w:pPr>
        <w:rPr>
          <w:rFonts w:ascii="Arial" w:hAnsi="Arial" w:cs="Arial"/>
        </w:rPr>
      </w:pPr>
      <w:r w:rsidRPr="0010515B">
        <w:rPr>
          <w:rFonts w:ascii="Arial" w:hAnsi="Arial" w:cs="Arial"/>
        </w:rPr>
        <w:t xml:space="preserve">UK Research Integrity Office (2023) </w:t>
      </w:r>
      <w:r w:rsidRPr="0010515B">
        <w:rPr>
          <w:rFonts w:ascii="Arial" w:hAnsi="Arial" w:cs="Arial"/>
          <w:i/>
          <w:iCs/>
        </w:rPr>
        <w:t>Code of Practice for Research</w:t>
      </w:r>
      <w:r w:rsidRPr="0010515B">
        <w:rPr>
          <w:rFonts w:ascii="Arial" w:hAnsi="Arial" w:cs="Arial"/>
        </w:rPr>
        <w:t xml:space="preserve">. Available at: </w:t>
      </w:r>
      <w:hyperlink r:id="rId39" w:history="1">
        <w:r w:rsidRPr="0010515B">
          <w:rPr>
            <w:rStyle w:val="Hyperlink"/>
            <w:rFonts w:ascii="Arial" w:hAnsi="Arial" w:cs="Arial"/>
          </w:rPr>
          <w:t>https://ukrio.org/wp-content/uploads/UKRIO-Code-of-Practice-for-Research.pdf</w:t>
        </w:r>
      </w:hyperlink>
      <w:r w:rsidRPr="0010515B">
        <w:rPr>
          <w:rFonts w:ascii="Arial" w:hAnsi="Arial" w:cs="Arial"/>
        </w:rPr>
        <w:t>.</w:t>
      </w:r>
    </w:p>
    <w:p w14:paraId="5D4E6219" w14:textId="77777777" w:rsidR="0063485C" w:rsidRPr="0010515B" w:rsidRDefault="0063485C" w:rsidP="0063485C">
      <w:pPr>
        <w:rPr>
          <w:rFonts w:ascii="Arial" w:hAnsi="Arial" w:cs="Arial"/>
        </w:rPr>
      </w:pPr>
      <w:r w:rsidRPr="0010515B">
        <w:rPr>
          <w:rFonts w:ascii="Arial" w:hAnsi="Arial" w:cs="Arial"/>
        </w:rPr>
        <w:t xml:space="preserve">Verlegh, P.W.J. and Steenkamp, J.-B.E.M. (1999) ‘A review and meta-analysis of country-of-origin research’, </w:t>
      </w:r>
      <w:r w:rsidRPr="0010515B">
        <w:rPr>
          <w:rFonts w:ascii="Arial" w:hAnsi="Arial" w:cs="Arial"/>
          <w:i/>
          <w:iCs/>
        </w:rPr>
        <w:t>Journal of Economic Psychology</w:t>
      </w:r>
      <w:r w:rsidRPr="0010515B">
        <w:rPr>
          <w:rFonts w:ascii="Arial" w:hAnsi="Arial" w:cs="Arial"/>
        </w:rPr>
        <w:t xml:space="preserve">, 20(5), pp. 521–546. Available at: </w:t>
      </w:r>
      <w:hyperlink r:id="rId40" w:history="1">
        <w:r w:rsidRPr="0010515B">
          <w:rPr>
            <w:rStyle w:val="Hyperlink"/>
            <w:rFonts w:ascii="Arial" w:hAnsi="Arial" w:cs="Arial"/>
          </w:rPr>
          <w:t>https://doi.org/10.1016/s0167-4870(99)00023-9</w:t>
        </w:r>
      </w:hyperlink>
      <w:r w:rsidRPr="0010515B">
        <w:rPr>
          <w:rFonts w:ascii="Arial" w:hAnsi="Arial" w:cs="Arial"/>
        </w:rPr>
        <w:t>.</w:t>
      </w:r>
    </w:p>
    <w:p w14:paraId="231643C8" w14:textId="77777777" w:rsidR="0063485C" w:rsidRPr="0010515B" w:rsidRDefault="0063485C" w:rsidP="0063485C">
      <w:pPr>
        <w:rPr>
          <w:rFonts w:ascii="Arial" w:hAnsi="Arial" w:cs="Arial"/>
        </w:rPr>
      </w:pPr>
      <w:r w:rsidRPr="0010515B">
        <w:rPr>
          <w:rFonts w:ascii="Arial" w:hAnsi="Arial" w:cs="Arial"/>
        </w:rPr>
        <w:t xml:space="preserve">Vieira, D. </w:t>
      </w:r>
      <w:r w:rsidRPr="0010515B">
        <w:rPr>
          <w:rFonts w:ascii="Arial" w:hAnsi="Arial" w:cs="Arial"/>
          <w:i/>
          <w:iCs/>
        </w:rPr>
        <w:t>et al.</w:t>
      </w:r>
      <w:r w:rsidRPr="0010515B">
        <w:rPr>
          <w:rFonts w:ascii="Arial" w:hAnsi="Arial" w:cs="Arial"/>
        </w:rPr>
        <w:t xml:space="preserve"> (2024) ‘Regulation and Safety of Cosmetics: Pre- and Post-Market Considerations for Adverse Events and Environmental Impacts’, </w:t>
      </w:r>
      <w:r w:rsidRPr="0010515B">
        <w:rPr>
          <w:rFonts w:ascii="Arial" w:hAnsi="Arial" w:cs="Arial"/>
          <w:i/>
          <w:iCs/>
        </w:rPr>
        <w:t>Cosmetics</w:t>
      </w:r>
      <w:r w:rsidRPr="0010515B">
        <w:rPr>
          <w:rFonts w:ascii="Arial" w:hAnsi="Arial" w:cs="Arial"/>
        </w:rPr>
        <w:t xml:space="preserve">, 11(6), pp. 184–184. Available at: </w:t>
      </w:r>
      <w:hyperlink r:id="rId41" w:history="1">
        <w:r w:rsidRPr="0010515B">
          <w:rPr>
            <w:rStyle w:val="Hyperlink"/>
            <w:rFonts w:ascii="Arial" w:hAnsi="Arial" w:cs="Arial"/>
          </w:rPr>
          <w:t>https://doi.org/10.3390/cosmetics11060184</w:t>
        </w:r>
      </w:hyperlink>
      <w:r w:rsidRPr="0010515B">
        <w:rPr>
          <w:rFonts w:ascii="Arial" w:hAnsi="Arial" w:cs="Arial"/>
        </w:rPr>
        <w:t>.</w:t>
      </w:r>
    </w:p>
    <w:p w14:paraId="28331C4F" w14:textId="77777777" w:rsidR="0063485C" w:rsidRPr="0010515B" w:rsidRDefault="0063485C" w:rsidP="0063485C">
      <w:pPr>
        <w:rPr>
          <w:rFonts w:ascii="Arial" w:hAnsi="Arial" w:cs="Arial"/>
        </w:rPr>
      </w:pPr>
      <w:r w:rsidRPr="0010515B">
        <w:rPr>
          <w:rFonts w:ascii="Arial" w:hAnsi="Arial" w:cs="Arial"/>
        </w:rPr>
        <w:t xml:space="preserve">Vigneron, F. and Johnson, L.W. (2017) ‘Measuring Perceptions of Brand Luxury’, </w:t>
      </w:r>
      <w:r w:rsidRPr="0010515B">
        <w:rPr>
          <w:rFonts w:ascii="Arial" w:hAnsi="Arial" w:cs="Arial"/>
          <w:i/>
          <w:iCs/>
        </w:rPr>
        <w:t>Advances in Luxury Brand Management</w:t>
      </w:r>
      <w:r w:rsidRPr="0010515B">
        <w:rPr>
          <w:rFonts w:ascii="Arial" w:hAnsi="Arial" w:cs="Arial"/>
        </w:rPr>
        <w:t xml:space="preserve">, pp. 199–234. Available at: </w:t>
      </w:r>
      <w:hyperlink r:id="rId42" w:history="1">
        <w:r w:rsidRPr="0010515B">
          <w:rPr>
            <w:rStyle w:val="Hyperlink"/>
            <w:rFonts w:ascii="Arial" w:hAnsi="Arial" w:cs="Arial"/>
          </w:rPr>
          <w:t>https://doi.org/10.1007/978-3-319-51127-6_10</w:t>
        </w:r>
      </w:hyperlink>
      <w:r w:rsidRPr="0010515B">
        <w:rPr>
          <w:rFonts w:ascii="Arial" w:hAnsi="Arial" w:cs="Arial"/>
        </w:rPr>
        <w:t>.</w:t>
      </w:r>
    </w:p>
    <w:p w14:paraId="4BD1D592" w14:textId="77777777" w:rsidR="0063485C" w:rsidRPr="0010515B" w:rsidRDefault="0063485C" w:rsidP="0063485C">
      <w:pPr>
        <w:rPr>
          <w:rFonts w:ascii="Arial" w:hAnsi="Arial" w:cs="Arial"/>
        </w:rPr>
      </w:pPr>
      <w:r w:rsidRPr="0010515B">
        <w:rPr>
          <w:rFonts w:ascii="Arial" w:hAnsi="Arial" w:cs="Arial"/>
        </w:rPr>
        <w:t xml:space="preserve">Warn, G. (2025a) </w:t>
      </w:r>
      <w:r w:rsidRPr="0010515B">
        <w:rPr>
          <w:rFonts w:ascii="Arial" w:hAnsi="Arial" w:cs="Arial"/>
          <w:i/>
          <w:iCs/>
        </w:rPr>
        <w:t>UK records strongest prestige beauty sales compared to rest of EU5 : The British Beauty Council</w:t>
      </w:r>
      <w:r w:rsidRPr="0010515B">
        <w:rPr>
          <w:rFonts w:ascii="Arial" w:hAnsi="Arial" w:cs="Arial"/>
        </w:rPr>
        <w:t xml:space="preserve">, </w:t>
      </w:r>
      <w:r w:rsidRPr="0010515B">
        <w:rPr>
          <w:rFonts w:ascii="Arial" w:hAnsi="Arial" w:cs="Arial"/>
          <w:i/>
          <w:iCs/>
        </w:rPr>
        <w:t>The British Beauty Council</w:t>
      </w:r>
      <w:r w:rsidRPr="0010515B">
        <w:rPr>
          <w:rFonts w:ascii="Arial" w:hAnsi="Arial" w:cs="Arial"/>
        </w:rPr>
        <w:t>. Available at: https://britishbeautycouncil.com/uk-prestige-beauty-sales (Accessed: 23 February 2026).</w:t>
      </w:r>
    </w:p>
    <w:p w14:paraId="4BFB17D5" w14:textId="77777777" w:rsidR="0063485C" w:rsidRPr="0010515B" w:rsidRDefault="0063485C" w:rsidP="0063485C">
      <w:pPr>
        <w:rPr>
          <w:rFonts w:ascii="Arial" w:hAnsi="Arial" w:cs="Arial"/>
        </w:rPr>
      </w:pPr>
      <w:r w:rsidRPr="0010515B">
        <w:rPr>
          <w:rFonts w:ascii="Arial" w:hAnsi="Arial" w:cs="Arial"/>
        </w:rPr>
        <w:t xml:space="preserve">Warn, G. (2025b) </w:t>
      </w:r>
      <w:r w:rsidRPr="0010515B">
        <w:rPr>
          <w:rFonts w:ascii="Arial" w:hAnsi="Arial" w:cs="Arial"/>
          <w:i/>
          <w:iCs/>
        </w:rPr>
        <w:t>Value of Beauty 2025: Beauty sector’s GDP contribution outpaces UK economy but job growth set to slow in 2025 : The British Beauty Council</w:t>
      </w:r>
      <w:r w:rsidRPr="0010515B">
        <w:rPr>
          <w:rFonts w:ascii="Arial" w:hAnsi="Arial" w:cs="Arial"/>
        </w:rPr>
        <w:t xml:space="preserve">, </w:t>
      </w:r>
      <w:r w:rsidRPr="0010515B">
        <w:rPr>
          <w:rFonts w:ascii="Arial" w:hAnsi="Arial" w:cs="Arial"/>
          <w:i/>
          <w:iCs/>
        </w:rPr>
        <w:t>The British Beauty Council</w:t>
      </w:r>
      <w:r w:rsidRPr="0010515B">
        <w:rPr>
          <w:rFonts w:ascii="Arial" w:hAnsi="Arial" w:cs="Arial"/>
        </w:rPr>
        <w:t xml:space="preserve">. Available at: </w:t>
      </w:r>
      <w:hyperlink r:id="rId43" w:history="1">
        <w:r w:rsidRPr="0010515B">
          <w:rPr>
            <w:rStyle w:val="Hyperlink"/>
            <w:rFonts w:ascii="Arial" w:hAnsi="Arial" w:cs="Arial"/>
          </w:rPr>
          <w:t>https://britishbeautycouncil.com/value-of-beauty-2025</w:t>
        </w:r>
      </w:hyperlink>
      <w:r w:rsidRPr="0010515B">
        <w:rPr>
          <w:rFonts w:ascii="Arial" w:hAnsi="Arial" w:cs="Arial"/>
        </w:rPr>
        <w:t>.</w:t>
      </w:r>
    </w:p>
    <w:p w14:paraId="04D7F929" w14:textId="6457D4BE" w:rsidR="00C21663" w:rsidRPr="0010515B" w:rsidRDefault="00C21663" w:rsidP="00C21663">
      <w:pPr>
        <w:rPr>
          <w:rFonts w:ascii="Arial" w:hAnsi="Arial" w:cs="Arial"/>
        </w:rPr>
      </w:pPr>
    </w:p>
    <w:sectPr w:rsidR="00C21663" w:rsidRPr="0010515B" w:rsidSect="001B4420">
      <w:footerReference w:type="default" r:id="rId44"/>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90568" w14:textId="77777777" w:rsidR="004802F2" w:rsidRDefault="004802F2" w:rsidP="001B4420">
      <w:pPr>
        <w:spacing w:after="0" w:line="240" w:lineRule="auto"/>
      </w:pPr>
      <w:r>
        <w:separator/>
      </w:r>
    </w:p>
  </w:endnote>
  <w:endnote w:type="continuationSeparator" w:id="0">
    <w:p w14:paraId="47B3F317" w14:textId="77777777" w:rsidR="004802F2" w:rsidRDefault="004802F2" w:rsidP="001B4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FD083" w14:textId="601DC59A" w:rsidR="001B4420" w:rsidRDefault="001B4420" w:rsidP="00510C63">
    <w:pPr>
      <w:pStyle w:val="Footer"/>
    </w:pPr>
  </w:p>
  <w:p w14:paraId="04BAC142" w14:textId="77777777" w:rsidR="001B4420" w:rsidRDefault="001B44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7098275"/>
      <w:docPartObj>
        <w:docPartGallery w:val="Page Numbers (Bottom of Page)"/>
        <w:docPartUnique/>
      </w:docPartObj>
    </w:sdtPr>
    <w:sdtEndPr/>
    <w:sdtContent>
      <w:p w14:paraId="732E773B" w14:textId="2A7E9128" w:rsidR="00510C63" w:rsidRDefault="00510C63">
        <w:pPr>
          <w:pStyle w:val="Footer"/>
          <w:jc w:val="center"/>
        </w:pPr>
        <w:r>
          <w:fldChar w:fldCharType="begin"/>
        </w:r>
        <w:r>
          <w:instrText>PAGE   \* MERGEFORMAT</w:instrText>
        </w:r>
        <w:r>
          <w:fldChar w:fldCharType="separate"/>
        </w:r>
        <w:r>
          <w:t>2</w:t>
        </w:r>
        <w:r>
          <w:fldChar w:fldCharType="end"/>
        </w:r>
      </w:p>
    </w:sdtContent>
  </w:sdt>
  <w:p w14:paraId="3C197CCA" w14:textId="77777777" w:rsidR="00510C63" w:rsidRDefault="00510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F6F12" w14:textId="77777777" w:rsidR="004802F2" w:rsidRDefault="004802F2" w:rsidP="001B4420">
      <w:pPr>
        <w:spacing w:after="0" w:line="240" w:lineRule="auto"/>
      </w:pPr>
      <w:r>
        <w:separator/>
      </w:r>
    </w:p>
  </w:footnote>
  <w:footnote w:type="continuationSeparator" w:id="0">
    <w:p w14:paraId="6BFD03EA" w14:textId="77777777" w:rsidR="004802F2" w:rsidRDefault="004802F2" w:rsidP="001B44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53E3"/>
    <w:multiLevelType w:val="hybridMultilevel"/>
    <w:tmpl w:val="CE868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63F23"/>
    <w:multiLevelType w:val="hybridMultilevel"/>
    <w:tmpl w:val="B8D8D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940C41"/>
    <w:multiLevelType w:val="multilevel"/>
    <w:tmpl w:val="BC186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994737"/>
    <w:multiLevelType w:val="hybridMultilevel"/>
    <w:tmpl w:val="BEB818F4"/>
    <w:lvl w:ilvl="0" w:tplc="0809000F">
      <w:start w:val="1"/>
      <w:numFmt w:val="decimal"/>
      <w:lvlText w:val="%1."/>
      <w:lvlJc w:val="lef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4" w15:restartNumberingAfterBreak="0">
    <w:nsid w:val="6D496BA3"/>
    <w:multiLevelType w:val="multilevel"/>
    <w:tmpl w:val="12907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461A8C"/>
    <w:multiLevelType w:val="hybridMultilevel"/>
    <w:tmpl w:val="4294A5DC"/>
    <w:lvl w:ilvl="0" w:tplc="0809000F">
      <w:start w:val="1"/>
      <w:numFmt w:val="decimal"/>
      <w:lvlText w:val="%1."/>
      <w:lvlJc w:val="lef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6" w15:restartNumberingAfterBreak="0">
    <w:nsid w:val="7E642757"/>
    <w:multiLevelType w:val="hybridMultilevel"/>
    <w:tmpl w:val="B798D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333460">
    <w:abstractNumId w:val="2"/>
  </w:num>
  <w:num w:numId="2" w16cid:durableId="1158115869">
    <w:abstractNumId w:val="4"/>
  </w:num>
  <w:num w:numId="3" w16cid:durableId="1329207153">
    <w:abstractNumId w:val="6"/>
  </w:num>
  <w:num w:numId="4" w16cid:durableId="1772817505">
    <w:abstractNumId w:val="1"/>
  </w:num>
  <w:num w:numId="5" w16cid:durableId="1307710694">
    <w:abstractNumId w:val="0"/>
  </w:num>
  <w:num w:numId="6" w16cid:durableId="1535385017">
    <w:abstractNumId w:val="5"/>
  </w:num>
  <w:num w:numId="7" w16cid:durableId="3570475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663"/>
    <w:rsid w:val="00016084"/>
    <w:rsid w:val="000329B3"/>
    <w:rsid w:val="0007036A"/>
    <w:rsid w:val="0007065F"/>
    <w:rsid w:val="00083FE4"/>
    <w:rsid w:val="000C6FB2"/>
    <w:rsid w:val="000D5661"/>
    <w:rsid w:val="000D758A"/>
    <w:rsid w:val="0010515B"/>
    <w:rsid w:val="00106672"/>
    <w:rsid w:val="00110F9A"/>
    <w:rsid w:val="001170F2"/>
    <w:rsid w:val="00141DB0"/>
    <w:rsid w:val="0014445D"/>
    <w:rsid w:val="0014773F"/>
    <w:rsid w:val="001557F4"/>
    <w:rsid w:val="00173666"/>
    <w:rsid w:val="001945B3"/>
    <w:rsid w:val="001B4420"/>
    <w:rsid w:val="001D3C86"/>
    <w:rsid w:val="001E01E3"/>
    <w:rsid w:val="001F4A5F"/>
    <w:rsid w:val="002271DB"/>
    <w:rsid w:val="0026532F"/>
    <w:rsid w:val="002702DB"/>
    <w:rsid w:val="002C6468"/>
    <w:rsid w:val="002D7208"/>
    <w:rsid w:val="002E5C4A"/>
    <w:rsid w:val="00306A5A"/>
    <w:rsid w:val="00383B61"/>
    <w:rsid w:val="003905A6"/>
    <w:rsid w:val="003F17C1"/>
    <w:rsid w:val="00401FA6"/>
    <w:rsid w:val="00416C98"/>
    <w:rsid w:val="004802F2"/>
    <w:rsid w:val="004A4D8B"/>
    <w:rsid w:val="004B31D3"/>
    <w:rsid w:val="004C174A"/>
    <w:rsid w:val="004E28DC"/>
    <w:rsid w:val="004E3021"/>
    <w:rsid w:val="00510C63"/>
    <w:rsid w:val="005374A9"/>
    <w:rsid w:val="005521EE"/>
    <w:rsid w:val="005C676D"/>
    <w:rsid w:val="00615C78"/>
    <w:rsid w:val="0063485C"/>
    <w:rsid w:val="00634C24"/>
    <w:rsid w:val="006916C8"/>
    <w:rsid w:val="006A40AC"/>
    <w:rsid w:val="006E21F4"/>
    <w:rsid w:val="006E6380"/>
    <w:rsid w:val="006E792F"/>
    <w:rsid w:val="00751FE0"/>
    <w:rsid w:val="00843247"/>
    <w:rsid w:val="00872B71"/>
    <w:rsid w:val="00902818"/>
    <w:rsid w:val="0096268F"/>
    <w:rsid w:val="00A23624"/>
    <w:rsid w:val="00A44CDC"/>
    <w:rsid w:val="00A612B0"/>
    <w:rsid w:val="00A669B4"/>
    <w:rsid w:val="00AA7194"/>
    <w:rsid w:val="00AD74E8"/>
    <w:rsid w:val="00AE0C3C"/>
    <w:rsid w:val="00B42E9D"/>
    <w:rsid w:val="00B44B5A"/>
    <w:rsid w:val="00B45BF9"/>
    <w:rsid w:val="00B605BE"/>
    <w:rsid w:val="00BF66A6"/>
    <w:rsid w:val="00C11393"/>
    <w:rsid w:val="00C13B9B"/>
    <w:rsid w:val="00C21663"/>
    <w:rsid w:val="00C22C96"/>
    <w:rsid w:val="00C42C28"/>
    <w:rsid w:val="00C67500"/>
    <w:rsid w:val="00C82D50"/>
    <w:rsid w:val="00C97369"/>
    <w:rsid w:val="00CA2F80"/>
    <w:rsid w:val="00CA4076"/>
    <w:rsid w:val="00D05EB5"/>
    <w:rsid w:val="00D151F4"/>
    <w:rsid w:val="00D1768B"/>
    <w:rsid w:val="00D40B40"/>
    <w:rsid w:val="00D50207"/>
    <w:rsid w:val="00D72F13"/>
    <w:rsid w:val="00D75C41"/>
    <w:rsid w:val="00E316C1"/>
    <w:rsid w:val="00E43609"/>
    <w:rsid w:val="00E44F33"/>
    <w:rsid w:val="00E612A3"/>
    <w:rsid w:val="00E81E05"/>
    <w:rsid w:val="00E979BE"/>
    <w:rsid w:val="00EA5445"/>
    <w:rsid w:val="00EB2F8B"/>
    <w:rsid w:val="00F23E62"/>
    <w:rsid w:val="00F341B0"/>
    <w:rsid w:val="00F45B11"/>
    <w:rsid w:val="00F627A9"/>
    <w:rsid w:val="00F81FA6"/>
    <w:rsid w:val="00F8348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1D150"/>
  <w15:chartTrackingRefBased/>
  <w15:docId w15:val="{B920AC44-52CA-46D0-BCE8-D3598CCF2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663"/>
  </w:style>
  <w:style w:type="paragraph" w:styleId="Heading1">
    <w:name w:val="heading 1"/>
    <w:basedOn w:val="Normal"/>
    <w:next w:val="Normal"/>
    <w:link w:val="Heading1Char"/>
    <w:uiPriority w:val="9"/>
    <w:qFormat/>
    <w:rsid w:val="00B42E9D"/>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6E21F4"/>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96268F"/>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C2166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2166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2166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166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166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166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E9D"/>
    <w:rPr>
      <w:rFonts w:eastAsiaTheme="majorEastAsia" w:cstheme="majorBidi"/>
      <w:b/>
      <w:color w:val="0F4761" w:themeColor="accent1" w:themeShade="BF"/>
      <w:sz w:val="28"/>
      <w:szCs w:val="40"/>
    </w:rPr>
  </w:style>
  <w:style w:type="character" w:customStyle="1" w:styleId="Heading2Char">
    <w:name w:val="Heading 2 Char"/>
    <w:basedOn w:val="DefaultParagraphFont"/>
    <w:link w:val="Heading2"/>
    <w:uiPriority w:val="9"/>
    <w:rsid w:val="006E21F4"/>
    <w:rPr>
      <w:rFonts w:eastAsiaTheme="majorEastAsia" w:cstheme="majorBidi"/>
      <w:b/>
      <w:color w:val="0F4761" w:themeColor="accent1" w:themeShade="BF"/>
      <w:szCs w:val="32"/>
    </w:rPr>
  </w:style>
  <w:style w:type="character" w:customStyle="1" w:styleId="Heading3Char">
    <w:name w:val="Heading 3 Char"/>
    <w:basedOn w:val="DefaultParagraphFont"/>
    <w:link w:val="Heading3"/>
    <w:uiPriority w:val="9"/>
    <w:rsid w:val="0096268F"/>
    <w:rPr>
      <w:rFonts w:eastAsiaTheme="majorEastAsia" w:cstheme="majorBidi"/>
      <w:color w:val="0F4761" w:themeColor="accent1" w:themeShade="BF"/>
      <w:szCs w:val="28"/>
    </w:rPr>
  </w:style>
  <w:style w:type="character" w:customStyle="1" w:styleId="Heading4Char">
    <w:name w:val="Heading 4 Char"/>
    <w:basedOn w:val="DefaultParagraphFont"/>
    <w:link w:val="Heading4"/>
    <w:uiPriority w:val="9"/>
    <w:semiHidden/>
    <w:rsid w:val="00C2166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C2166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2166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2166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2166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2166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216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6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66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66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21663"/>
    <w:pPr>
      <w:spacing w:before="160"/>
      <w:jc w:val="center"/>
    </w:pPr>
    <w:rPr>
      <w:i/>
      <w:iCs/>
      <w:color w:val="404040" w:themeColor="text1" w:themeTint="BF"/>
    </w:rPr>
  </w:style>
  <w:style w:type="character" w:customStyle="1" w:styleId="QuoteChar">
    <w:name w:val="Quote Char"/>
    <w:basedOn w:val="DefaultParagraphFont"/>
    <w:link w:val="Quote"/>
    <w:uiPriority w:val="29"/>
    <w:rsid w:val="00C21663"/>
    <w:rPr>
      <w:i/>
      <w:iCs/>
      <w:color w:val="404040" w:themeColor="text1" w:themeTint="BF"/>
    </w:rPr>
  </w:style>
  <w:style w:type="paragraph" w:styleId="ListParagraph">
    <w:name w:val="List Paragraph"/>
    <w:basedOn w:val="Normal"/>
    <w:uiPriority w:val="34"/>
    <w:qFormat/>
    <w:rsid w:val="00C21663"/>
    <w:pPr>
      <w:ind w:left="720"/>
      <w:contextualSpacing/>
    </w:pPr>
  </w:style>
  <w:style w:type="character" w:styleId="IntenseEmphasis">
    <w:name w:val="Intense Emphasis"/>
    <w:basedOn w:val="DefaultParagraphFont"/>
    <w:uiPriority w:val="21"/>
    <w:qFormat/>
    <w:rsid w:val="00C21663"/>
    <w:rPr>
      <w:i/>
      <w:iCs/>
      <w:color w:val="0F4761" w:themeColor="accent1" w:themeShade="BF"/>
    </w:rPr>
  </w:style>
  <w:style w:type="paragraph" w:styleId="IntenseQuote">
    <w:name w:val="Intense Quote"/>
    <w:basedOn w:val="Normal"/>
    <w:next w:val="Normal"/>
    <w:link w:val="IntenseQuoteChar"/>
    <w:uiPriority w:val="30"/>
    <w:qFormat/>
    <w:rsid w:val="00C216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663"/>
    <w:rPr>
      <w:i/>
      <w:iCs/>
      <w:color w:val="0F4761" w:themeColor="accent1" w:themeShade="BF"/>
    </w:rPr>
  </w:style>
  <w:style w:type="character" w:styleId="IntenseReference">
    <w:name w:val="Intense Reference"/>
    <w:basedOn w:val="DefaultParagraphFont"/>
    <w:uiPriority w:val="32"/>
    <w:qFormat/>
    <w:rsid w:val="00C21663"/>
    <w:rPr>
      <w:b/>
      <w:bCs/>
      <w:smallCaps/>
      <w:color w:val="0F4761" w:themeColor="accent1" w:themeShade="BF"/>
      <w:spacing w:val="5"/>
    </w:rPr>
  </w:style>
  <w:style w:type="paragraph" w:styleId="TOCHeading">
    <w:name w:val="TOC Heading"/>
    <w:basedOn w:val="Heading1"/>
    <w:next w:val="Normal"/>
    <w:uiPriority w:val="39"/>
    <w:unhideWhenUsed/>
    <w:qFormat/>
    <w:rsid w:val="00C21663"/>
    <w:pPr>
      <w:spacing w:before="240" w:after="0" w:line="259" w:lineRule="auto"/>
      <w:jc w:val="left"/>
      <w:outlineLvl w:val="9"/>
    </w:pPr>
    <w:rPr>
      <w:rFonts w:asciiTheme="majorHAnsi" w:hAnsiTheme="majorHAnsi"/>
      <w:b w:val="0"/>
      <w:sz w:val="32"/>
      <w:szCs w:val="32"/>
      <w:lang w:eastAsia="en-GB"/>
      <w14:ligatures w14:val="none"/>
    </w:rPr>
  </w:style>
  <w:style w:type="paragraph" w:styleId="TOC1">
    <w:name w:val="toc 1"/>
    <w:basedOn w:val="Normal"/>
    <w:next w:val="Normal"/>
    <w:autoRedefine/>
    <w:uiPriority w:val="39"/>
    <w:unhideWhenUsed/>
    <w:rsid w:val="00C21663"/>
    <w:pPr>
      <w:spacing w:after="100"/>
    </w:pPr>
  </w:style>
  <w:style w:type="paragraph" w:styleId="TOC2">
    <w:name w:val="toc 2"/>
    <w:basedOn w:val="Normal"/>
    <w:next w:val="Normal"/>
    <w:autoRedefine/>
    <w:uiPriority w:val="39"/>
    <w:unhideWhenUsed/>
    <w:rsid w:val="00C21663"/>
    <w:pPr>
      <w:spacing w:after="100"/>
      <w:ind w:left="240"/>
    </w:pPr>
  </w:style>
  <w:style w:type="character" w:styleId="Hyperlink">
    <w:name w:val="Hyperlink"/>
    <w:basedOn w:val="DefaultParagraphFont"/>
    <w:uiPriority w:val="99"/>
    <w:unhideWhenUsed/>
    <w:rsid w:val="00C21663"/>
    <w:rPr>
      <w:color w:val="467886" w:themeColor="hyperlink"/>
      <w:u w:val="single"/>
    </w:rPr>
  </w:style>
  <w:style w:type="character" w:styleId="UnresolvedMention">
    <w:name w:val="Unresolved Mention"/>
    <w:basedOn w:val="DefaultParagraphFont"/>
    <w:uiPriority w:val="99"/>
    <w:semiHidden/>
    <w:unhideWhenUsed/>
    <w:rsid w:val="00C21663"/>
    <w:rPr>
      <w:color w:val="605E5C"/>
      <w:shd w:val="clear" w:color="auto" w:fill="E1DFDD"/>
    </w:rPr>
  </w:style>
  <w:style w:type="character" w:styleId="CommentReference">
    <w:name w:val="annotation reference"/>
    <w:basedOn w:val="DefaultParagraphFont"/>
    <w:uiPriority w:val="99"/>
    <w:semiHidden/>
    <w:unhideWhenUsed/>
    <w:rsid w:val="00AA7194"/>
    <w:rPr>
      <w:sz w:val="16"/>
      <w:szCs w:val="16"/>
    </w:rPr>
  </w:style>
  <w:style w:type="paragraph" w:styleId="CommentText">
    <w:name w:val="annotation text"/>
    <w:basedOn w:val="Normal"/>
    <w:link w:val="CommentTextChar"/>
    <w:uiPriority w:val="99"/>
    <w:unhideWhenUsed/>
    <w:rsid w:val="00AA7194"/>
    <w:pPr>
      <w:spacing w:line="240" w:lineRule="auto"/>
    </w:pPr>
    <w:rPr>
      <w:sz w:val="20"/>
      <w:szCs w:val="20"/>
    </w:rPr>
  </w:style>
  <w:style w:type="character" w:customStyle="1" w:styleId="CommentTextChar">
    <w:name w:val="Comment Text Char"/>
    <w:basedOn w:val="DefaultParagraphFont"/>
    <w:link w:val="CommentText"/>
    <w:uiPriority w:val="99"/>
    <w:rsid w:val="00AA7194"/>
    <w:rPr>
      <w:sz w:val="20"/>
      <w:szCs w:val="20"/>
    </w:rPr>
  </w:style>
  <w:style w:type="paragraph" w:styleId="CommentSubject">
    <w:name w:val="annotation subject"/>
    <w:basedOn w:val="CommentText"/>
    <w:next w:val="CommentText"/>
    <w:link w:val="CommentSubjectChar"/>
    <w:uiPriority w:val="99"/>
    <w:semiHidden/>
    <w:unhideWhenUsed/>
    <w:rsid w:val="00AA7194"/>
    <w:rPr>
      <w:b/>
      <w:bCs/>
    </w:rPr>
  </w:style>
  <w:style w:type="character" w:customStyle="1" w:styleId="CommentSubjectChar">
    <w:name w:val="Comment Subject Char"/>
    <w:basedOn w:val="CommentTextChar"/>
    <w:link w:val="CommentSubject"/>
    <w:uiPriority w:val="99"/>
    <w:semiHidden/>
    <w:rsid w:val="00AA7194"/>
    <w:rPr>
      <w:b/>
      <w:bCs/>
      <w:sz w:val="20"/>
      <w:szCs w:val="20"/>
    </w:rPr>
  </w:style>
  <w:style w:type="paragraph" w:styleId="NormalWeb">
    <w:name w:val="Normal (Web)"/>
    <w:basedOn w:val="Normal"/>
    <w:uiPriority w:val="99"/>
    <w:semiHidden/>
    <w:unhideWhenUsed/>
    <w:rsid w:val="00E979BE"/>
    <w:pPr>
      <w:spacing w:before="100" w:beforeAutospacing="1" w:after="100" w:afterAutospacing="1" w:line="240" w:lineRule="auto"/>
      <w:jc w:val="left"/>
    </w:pPr>
    <w:rPr>
      <w:rFonts w:eastAsia="Times New Roman" w:cs="Times New Roman"/>
      <w:lang w:eastAsia="en-GB"/>
      <w14:ligatures w14:val="none"/>
    </w:rPr>
  </w:style>
  <w:style w:type="paragraph" w:styleId="Header">
    <w:name w:val="header"/>
    <w:basedOn w:val="Normal"/>
    <w:link w:val="HeaderChar"/>
    <w:uiPriority w:val="99"/>
    <w:unhideWhenUsed/>
    <w:rsid w:val="001B44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420"/>
  </w:style>
  <w:style w:type="paragraph" w:styleId="Footer">
    <w:name w:val="footer"/>
    <w:basedOn w:val="Normal"/>
    <w:link w:val="FooterChar"/>
    <w:uiPriority w:val="99"/>
    <w:unhideWhenUsed/>
    <w:rsid w:val="001B44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420"/>
  </w:style>
  <w:style w:type="paragraph" w:styleId="Caption">
    <w:name w:val="caption"/>
    <w:basedOn w:val="Normal"/>
    <w:next w:val="Normal"/>
    <w:uiPriority w:val="35"/>
    <w:unhideWhenUsed/>
    <w:qFormat/>
    <w:rsid w:val="00F23E6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57/palgrave.jibs.8490539" TargetMode="External"/><Relationship Id="rId18" Type="http://schemas.openxmlformats.org/officeDocument/2006/relationships/hyperlink" Target="https://doi.org/10.11648/j.ajtas.20160501.11" TargetMode="External"/><Relationship Id="rId26" Type="http://schemas.openxmlformats.org/officeDocument/2006/relationships/hyperlink" Target="https://doi.org/10.1080/14783363.2025.2587023" TargetMode="External"/><Relationship Id="rId39" Type="http://schemas.openxmlformats.org/officeDocument/2006/relationships/hyperlink" Target="https://ukrio.org/wp-content/uploads/UKRIO-Code-of-Practice-for-Research.pdf" TargetMode="External"/><Relationship Id="rId21" Type="http://schemas.openxmlformats.org/officeDocument/2006/relationships/hyperlink" Target="https://doi.org/10.1207/s15327906mbr2603_7" TargetMode="External"/><Relationship Id="rId34" Type="http://schemas.openxmlformats.org/officeDocument/2006/relationships/hyperlink" Target="https://doi.org/10.1057/s41267-023-00678-z" TargetMode="External"/><Relationship Id="rId42" Type="http://schemas.openxmlformats.org/officeDocument/2006/relationships/hyperlink" Target="https://doi.org/10.1007/978-3-319-51127-6_1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57/s41267-017-0085-9" TargetMode="External"/><Relationship Id="rId29" Type="http://schemas.openxmlformats.org/officeDocument/2006/relationships/hyperlink" Target="https://doi.org/10.2307/317260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3-642-69746-3_2" TargetMode="External"/><Relationship Id="rId24" Type="http://schemas.openxmlformats.org/officeDocument/2006/relationships/hyperlink" Target="https://doi.org/10.1177/002224299305700101" TargetMode="External"/><Relationship Id="rId32" Type="http://schemas.openxmlformats.org/officeDocument/2006/relationships/hyperlink" Target="https://oec.world/en/profile/bilateral-product/beauty-products/reporter/gbr" TargetMode="External"/><Relationship Id="rId37" Type="http://schemas.openxmlformats.org/officeDocument/2006/relationships/hyperlink" Target="https://doi.org/10.5116/ijme.4dfb.8dfd" TargetMode="External"/><Relationship Id="rId40" Type="http://schemas.openxmlformats.org/officeDocument/2006/relationships/hyperlink" Target="https://doi.org/10.1016/s0167-4870(99)00023-9"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3390/su11226257" TargetMode="External"/><Relationship Id="rId23" Type="http://schemas.openxmlformats.org/officeDocument/2006/relationships/hyperlink" Target="https://doi.org/10.1108/jabs-08-2015-0118" TargetMode="External"/><Relationship Id="rId28" Type="http://schemas.openxmlformats.org/officeDocument/2006/relationships/hyperlink" Target="https://doi.org/10.3390/admsci8040071" TargetMode="External"/><Relationship Id="rId36" Type="http://schemas.openxmlformats.org/officeDocument/2006/relationships/hyperlink" Target="https://doi.org/10.2307/1882010" TargetMode="External"/><Relationship Id="rId10" Type="http://schemas.openxmlformats.org/officeDocument/2006/relationships/hyperlink" Target="https://doi.org/10.2307/1252048" TargetMode="External"/><Relationship Id="rId19" Type="http://schemas.openxmlformats.org/officeDocument/2006/relationships/hyperlink" Target="https://doi.org/10.1108/10662240510590360" TargetMode="External"/><Relationship Id="rId31" Type="http://schemas.openxmlformats.org/officeDocument/2006/relationships/hyperlink" Target="https://doi.org/10.1108/jpbm-01-2023-4328"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bps.org.uk/guideline/ethics-guidelines-internet-mediated-research" TargetMode="External"/><Relationship Id="rId22" Type="http://schemas.openxmlformats.org/officeDocument/2006/relationships/hyperlink" Target="https://doi.org/10.1016/j.jretconser.2016.10.006" TargetMode="External"/><Relationship Id="rId27" Type="http://schemas.openxmlformats.org/officeDocument/2006/relationships/hyperlink" Target="https://doi.org/10.1016/j.jretconser.2019.02.011" TargetMode="External"/><Relationship Id="rId30" Type="http://schemas.openxmlformats.org/officeDocument/2006/relationships/hyperlink" Target="https://store.mintel.com/report/uk-facial-skincare-market-report" TargetMode="External"/><Relationship Id="rId35" Type="http://schemas.openxmlformats.org/officeDocument/2006/relationships/hyperlink" Target="https://doi.org/10.1177/21582440241255430" TargetMode="External"/><Relationship Id="rId43" Type="http://schemas.openxmlformats.org/officeDocument/2006/relationships/hyperlink" Target="https://britishbeautycouncil.com/value-of-beauty-2025" TargetMode="Externa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doi.org/10.1016/0749-5978(91)90020-T" TargetMode="External"/><Relationship Id="rId17" Type="http://schemas.openxmlformats.org/officeDocument/2006/relationships/hyperlink" Target="https://doi.org/10.1177/22799036251395252" TargetMode="External"/><Relationship Id="rId25" Type="http://schemas.openxmlformats.org/officeDocument/2006/relationships/hyperlink" Target="https://doi.org/10.1509/jmkg.64.2.66.18000" TargetMode="External"/><Relationship Id="rId33" Type="http://schemas.openxmlformats.org/officeDocument/2006/relationships/hyperlink" Target="https://doi.org/10.1016/j.jbusres.2008.05.014" TargetMode="External"/><Relationship Id="rId38" Type="http://schemas.openxmlformats.org/officeDocument/2006/relationships/hyperlink" Target="https://www.legislation.gov.uk/eur/2016/679/contents" TargetMode="External"/><Relationship Id="rId46" Type="http://schemas.openxmlformats.org/officeDocument/2006/relationships/theme" Target="theme/theme1.xml"/><Relationship Id="rId20" Type="http://schemas.openxmlformats.org/officeDocument/2006/relationships/hyperlink" Target="https://doi.org/10.1108/imr-01-2025-0016" TargetMode="External"/><Relationship Id="rId41" Type="http://schemas.openxmlformats.org/officeDocument/2006/relationships/hyperlink" Target="https://doi.org/10.3390/cosmetics110601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4623</Words>
  <Characters>26356</Characters>
  <Application>Microsoft Office Word</Application>
  <DocSecurity>0</DocSecurity>
  <Lines>219</Lines>
  <Paragraphs>61</Paragraphs>
  <ScaleCrop>false</ScaleCrop>
  <Company/>
  <LinksUpToDate>false</LinksUpToDate>
  <CharactersWithSpaces>30918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lokman hossain</cp:lastModifiedBy>
  <cp:revision>2</cp:revision>
  <dcterms:created xsi:type="dcterms:W3CDTF">2026-03-19T05:23:00Z</dcterms:created>
  <dcterms:modified xsi:type="dcterms:W3CDTF">2026-03-19T05:23:00Z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ac2f7dc2-e0c4-4062-9135-55ec22d5d769</vt:lpwstr>
  </property>
</Properties>
</file>