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C7B26" w14:textId="420BF458" w:rsidR="008334E7" w:rsidRDefault="008334E7">
      <w:r>
        <w:t>Student name: Mohammad Ayyaz</w:t>
      </w:r>
    </w:p>
    <w:p w14:paraId="0A5E3CCF" w14:textId="52021B38" w:rsidR="008334E7" w:rsidRDefault="008334E7">
      <w:r>
        <w:t>Student code: 2329250</w:t>
      </w:r>
    </w:p>
    <w:p w14:paraId="2ECC5ECD" w14:textId="7B4511BC" w:rsidR="008334E7" w:rsidRPr="00437C12" w:rsidRDefault="008334E7">
      <w:r w:rsidRPr="00437C12">
        <w:t>Module name:</w:t>
      </w:r>
      <w:r w:rsidR="00437C12" w:rsidRPr="00437C12">
        <w:rPr>
          <w:rFonts w:ascii="Segoe UI" w:eastAsia="Times New Roman" w:hAnsi="Segoe UI" w:cs="Segoe UI"/>
          <w:color w:val="FFFFFF"/>
          <w:kern w:val="36"/>
          <w:lang w:eastAsia="en-GB"/>
          <w14:ligatures w14:val="none"/>
        </w:rPr>
        <w:t xml:space="preserve"> </w:t>
      </w:r>
      <w:r w:rsidR="00437C12" w:rsidRPr="00437C12">
        <w:rPr>
          <w:rFonts w:ascii="Segoe UI" w:eastAsia="Times New Roman" w:hAnsi="Segoe UI" w:cs="Segoe UI"/>
          <w:color w:val="000000" w:themeColor="text1"/>
          <w:kern w:val="36"/>
          <w:lang w:eastAsia="en-GB"/>
          <w14:ligatures w14:val="none"/>
        </w:rPr>
        <w:t>pr</w:t>
      </w:r>
      <w:r w:rsidR="00437C12" w:rsidRPr="00437C12">
        <w:rPr>
          <w:color w:val="000000" w:themeColor="text1"/>
        </w:rPr>
        <w:t>o</w:t>
      </w:r>
      <w:r w:rsidR="00437C12" w:rsidRPr="00437C12">
        <w:t xml:space="preserve">tecting and Supporting Families in Health and Care </w:t>
      </w:r>
    </w:p>
    <w:p w14:paraId="4D89F57E" w14:textId="0CF3E359" w:rsidR="008334E7" w:rsidRPr="00437C12" w:rsidRDefault="008334E7">
      <w:r w:rsidRPr="00437C12">
        <w:t>Module code:</w:t>
      </w:r>
      <w:r w:rsidR="00437C12" w:rsidRPr="00437C12">
        <w:t xml:space="preserve"> </w:t>
      </w:r>
      <w:r w:rsidR="00437C12" w:rsidRPr="00437C12">
        <w:t>BMHP5021</w:t>
      </w:r>
    </w:p>
    <w:p w14:paraId="6D1A7F70" w14:textId="648806EB" w:rsidR="008334E7" w:rsidRPr="00437C12" w:rsidRDefault="008334E7">
      <w:r w:rsidRPr="00437C12">
        <w:t>Lecturers name: Gillian Weaver</w:t>
      </w:r>
    </w:p>
    <w:p w14:paraId="48A03519" w14:textId="77777777" w:rsidR="008334E7" w:rsidRDefault="008334E7"/>
    <w:p w14:paraId="3F951A31" w14:textId="77777777" w:rsidR="008334E7" w:rsidRDefault="008334E7"/>
    <w:p w14:paraId="54279D3A" w14:textId="77777777" w:rsidR="008334E7" w:rsidRDefault="008334E7"/>
    <w:p w14:paraId="1BB2AA1A" w14:textId="77777777" w:rsidR="008334E7" w:rsidRDefault="008334E7"/>
    <w:p w14:paraId="63CD3EB0" w14:textId="77777777" w:rsidR="008334E7" w:rsidRDefault="008334E7"/>
    <w:p w14:paraId="7401F677" w14:textId="77777777" w:rsidR="008334E7" w:rsidRDefault="008334E7"/>
    <w:p w14:paraId="1964EE87" w14:textId="77777777" w:rsidR="008334E7" w:rsidRDefault="008334E7"/>
    <w:p w14:paraId="6093A626" w14:textId="77777777" w:rsidR="008334E7" w:rsidRDefault="008334E7"/>
    <w:p w14:paraId="63D69FE4" w14:textId="77777777" w:rsidR="008334E7" w:rsidRDefault="008334E7"/>
    <w:p w14:paraId="7261A71F" w14:textId="77777777" w:rsidR="008334E7" w:rsidRDefault="008334E7"/>
    <w:p w14:paraId="0B95BE17" w14:textId="77777777" w:rsidR="008334E7" w:rsidRDefault="008334E7"/>
    <w:p w14:paraId="4076D87D" w14:textId="77777777" w:rsidR="008334E7" w:rsidRDefault="008334E7"/>
    <w:p w14:paraId="2547A686" w14:textId="77777777" w:rsidR="008334E7" w:rsidRDefault="008334E7"/>
    <w:p w14:paraId="5AB6D477" w14:textId="77777777" w:rsidR="008334E7" w:rsidRDefault="008334E7"/>
    <w:p w14:paraId="66C342BB" w14:textId="77777777" w:rsidR="008334E7" w:rsidRDefault="008334E7"/>
    <w:p w14:paraId="213FDA6B" w14:textId="77777777" w:rsidR="008334E7" w:rsidRDefault="008334E7"/>
    <w:p w14:paraId="22B6A242" w14:textId="77777777" w:rsidR="008334E7" w:rsidRDefault="008334E7"/>
    <w:p w14:paraId="43CD2904" w14:textId="77777777" w:rsidR="008334E7" w:rsidRDefault="008334E7"/>
    <w:p w14:paraId="39AEB82D" w14:textId="77777777" w:rsidR="008334E7" w:rsidRDefault="008334E7"/>
    <w:p w14:paraId="684D442E" w14:textId="77777777" w:rsidR="008334E7" w:rsidRDefault="008334E7"/>
    <w:p w14:paraId="0C5D5184" w14:textId="77777777" w:rsidR="008334E7" w:rsidRDefault="008334E7"/>
    <w:p w14:paraId="5456F1F0" w14:textId="77777777" w:rsidR="008334E7" w:rsidRDefault="008334E7"/>
    <w:p w14:paraId="73F9ED73" w14:textId="77777777" w:rsidR="008334E7" w:rsidRDefault="008334E7"/>
    <w:p w14:paraId="526D4D00" w14:textId="77777777" w:rsidR="008334E7" w:rsidRDefault="008334E7"/>
    <w:p w14:paraId="7DC0C485" w14:textId="34008397" w:rsidR="00874055" w:rsidRDefault="00874055">
      <w:r>
        <w:t>References:</w:t>
      </w:r>
    </w:p>
    <w:p w14:paraId="30075BF6" w14:textId="783DB9C2" w:rsidR="00C16D8A" w:rsidRDefault="00C16D8A">
      <w:r w:rsidRPr="00C16D8A">
        <w:t>Peckover, S. and Appleton, J.V., 2019. Health visiting and safeguarding children: A perfect storm?. </w:t>
      </w:r>
      <w:r w:rsidRPr="00C16D8A">
        <w:rPr>
          <w:i/>
          <w:iCs/>
        </w:rPr>
        <w:t>Journal of Health Visiting</w:t>
      </w:r>
      <w:r w:rsidRPr="00C16D8A">
        <w:t>, </w:t>
      </w:r>
      <w:r w:rsidRPr="00C16D8A">
        <w:rPr>
          <w:i/>
          <w:iCs/>
        </w:rPr>
        <w:t>7</w:t>
      </w:r>
      <w:r w:rsidRPr="00C16D8A">
        <w:t>(5), pp.232-238.</w:t>
      </w:r>
    </w:p>
    <w:p w14:paraId="022AC858" w14:textId="53954B14" w:rsidR="00C16D8A" w:rsidRDefault="00093139">
      <w:r w:rsidRPr="00093139">
        <w:t>Morton, A. and Adams, C., 2022. Health visiting in England: the impact of the COVID</w:t>
      </w:r>
      <w:r w:rsidRPr="00093139">
        <w:rPr>
          <w:rFonts w:ascii="Cambria Math" w:hAnsi="Cambria Math" w:cs="Cambria Math"/>
        </w:rPr>
        <w:t>‐</w:t>
      </w:r>
      <w:r w:rsidRPr="00093139">
        <w:t>19 pandemic.</w:t>
      </w:r>
      <w:r w:rsidRPr="00093139">
        <w:rPr>
          <w:rFonts w:ascii="Aptos" w:hAnsi="Aptos" w:cs="Aptos"/>
        </w:rPr>
        <w:t> </w:t>
      </w:r>
      <w:r w:rsidRPr="00093139">
        <w:rPr>
          <w:i/>
          <w:iCs/>
        </w:rPr>
        <w:t>Public Health Nursing</w:t>
      </w:r>
      <w:r w:rsidRPr="00093139">
        <w:t>, </w:t>
      </w:r>
      <w:r w:rsidRPr="00093139">
        <w:rPr>
          <w:i/>
          <w:iCs/>
        </w:rPr>
        <w:t>39</w:t>
      </w:r>
      <w:r w:rsidRPr="00093139">
        <w:t>(4), pp.820-830.</w:t>
      </w:r>
    </w:p>
    <w:p w14:paraId="02ECC6DA" w14:textId="3DB89ABC" w:rsidR="007E02DA" w:rsidRDefault="007E02DA">
      <w:r w:rsidRPr="007E02DA">
        <w:t xml:space="preserve">Ainiti, D.F., </w:t>
      </w:r>
      <w:proofErr w:type="spellStart"/>
      <w:r w:rsidRPr="007E02DA">
        <w:t>Lykeridou</w:t>
      </w:r>
      <w:proofErr w:type="spellEnd"/>
      <w:r w:rsidRPr="007E02DA">
        <w:t xml:space="preserve">, A., Nanou, C. and </w:t>
      </w:r>
      <w:proofErr w:type="spellStart"/>
      <w:r w:rsidRPr="007E02DA">
        <w:t>Deltsidou</w:t>
      </w:r>
      <w:proofErr w:type="spellEnd"/>
      <w:r w:rsidRPr="007E02DA">
        <w:t xml:space="preserve">, A., 2023. Cannabis use during pregnancy and its effect on the </w:t>
      </w:r>
      <w:proofErr w:type="spellStart"/>
      <w:r w:rsidRPr="007E02DA">
        <w:t>fetus</w:t>
      </w:r>
      <w:proofErr w:type="spellEnd"/>
      <w:r w:rsidRPr="007E02DA">
        <w:t>, newborn and later childhood: A systematic review. </w:t>
      </w:r>
      <w:r w:rsidRPr="007E02DA">
        <w:rPr>
          <w:i/>
          <w:iCs/>
        </w:rPr>
        <w:t>European journal of midwifery</w:t>
      </w:r>
      <w:r w:rsidRPr="007E02DA">
        <w:t>, </w:t>
      </w:r>
      <w:r w:rsidRPr="007E02DA">
        <w:rPr>
          <w:i/>
          <w:iCs/>
        </w:rPr>
        <w:t>7</w:t>
      </w:r>
      <w:r w:rsidRPr="007E02DA">
        <w:t>, p.19.</w:t>
      </w:r>
    </w:p>
    <w:p w14:paraId="09AC8994" w14:textId="492D218B" w:rsidR="007E02DA" w:rsidRDefault="00FC37B8">
      <w:r w:rsidRPr="00FC37B8">
        <w:t>Boyle, N. and Taylor, J., 2024. Barriers to health visitors identifying child neglect. </w:t>
      </w:r>
      <w:r w:rsidRPr="00FC37B8">
        <w:rPr>
          <w:i/>
          <w:iCs/>
        </w:rPr>
        <w:t>Journal of Family and Child Health</w:t>
      </w:r>
      <w:r w:rsidRPr="00FC37B8">
        <w:t>, </w:t>
      </w:r>
      <w:r w:rsidRPr="00FC37B8">
        <w:rPr>
          <w:i/>
          <w:iCs/>
        </w:rPr>
        <w:t>1</w:t>
      </w:r>
      <w:r w:rsidRPr="00FC37B8">
        <w:t>(1), pp.20-24.</w:t>
      </w:r>
    </w:p>
    <w:p w14:paraId="4B4BA147" w14:textId="23C672EF" w:rsidR="0086028D" w:rsidRDefault="0086028D">
      <w:r w:rsidRPr="0086028D">
        <w:t>Chambers, D., Cantrell, A. and Booth, A., 2020. Recognition of risk and prevention in safeguarding of children and young people: a mapping review and component analysis of interventions aimed at health and social care professionals.</w:t>
      </w:r>
    </w:p>
    <w:p w14:paraId="30EDB905" w14:textId="4A831DB1" w:rsidR="00AC5311" w:rsidRDefault="00AC5311">
      <w:r w:rsidRPr="00AC5311">
        <w:t>Cowley, S., Whittaker, K., Grigulis, A., Malone, M., Donetto, S., Wood, H., Morrow, E. and Maben, J., 2013. Why health visiting? A review of the literature about key health visitor interventions, processes and outcomes for children and families. </w:t>
      </w:r>
      <w:r w:rsidRPr="00AC5311">
        <w:rPr>
          <w:i/>
          <w:iCs/>
        </w:rPr>
        <w:t>National Nursing Research Unit, King’s College London</w:t>
      </w:r>
      <w:r w:rsidRPr="00AC5311">
        <w:t>.</w:t>
      </w:r>
    </w:p>
    <w:p w14:paraId="06D557AC" w14:textId="15F1ABBA" w:rsidR="00EC6B79" w:rsidRDefault="00EC6B79">
      <w:r w:rsidRPr="00EC6B79">
        <w:t>Akehurst, R., 2015. Child neglect identification: The health visitor's role. </w:t>
      </w:r>
      <w:r w:rsidRPr="00EC6B79">
        <w:rPr>
          <w:i/>
          <w:iCs/>
        </w:rPr>
        <w:t>Community Practitioner</w:t>
      </w:r>
      <w:r w:rsidRPr="00EC6B79">
        <w:t>, </w:t>
      </w:r>
      <w:r w:rsidRPr="00EC6B79">
        <w:rPr>
          <w:i/>
          <w:iCs/>
        </w:rPr>
        <w:t>88</w:t>
      </w:r>
      <w:r w:rsidRPr="00EC6B79">
        <w:t>(11), pp.38-43.</w:t>
      </w:r>
    </w:p>
    <w:p w14:paraId="2D10CA2E" w14:textId="39845FF4" w:rsidR="001777B0" w:rsidRDefault="001777B0">
      <w:r w:rsidRPr="001777B0">
        <w:t>Lewin, D. and Herron, H., 2007. Signs, symptoms and risk factors: health visitors' perspectives of child neglect. </w:t>
      </w:r>
      <w:r w:rsidRPr="001777B0">
        <w:rPr>
          <w:i/>
          <w:iCs/>
        </w:rPr>
        <w:t>Child Abuse Review: Journal of the British Association for the Study and Prevention of Child Abuse and Neglect</w:t>
      </w:r>
      <w:r w:rsidRPr="001777B0">
        <w:t>, </w:t>
      </w:r>
      <w:r w:rsidRPr="001777B0">
        <w:rPr>
          <w:i/>
          <w:iCs/>
        </w:rPr>
        <w:t>16</w:t>
      </w:r>
      <w:r w:rsidRPr="001777B0">
        <w:t>(2), pp.93-107.</w:t>
      </w:r>
    </w:p>
    <w:p w14:paraId="2997F129" w14:textId="0ED8FF3B" w:rsidR="000245FD" w:rsidRDefault="00152489">
      <w:r w:rsidRPr="00152489">
        <w:t>Jenkins, M., 2015. Substance use: The role of the health visitor in supporting families. </w:t>
      </w:r>
      <w:r w:rsidRPr="00152489">
        <w:rPr>
          <w:i/>
          <w:iCs/>
        </w:rPr>
        <w:t>Journal of Health Visiting</w:t>
      </w:r>
      <w:r w:rsidRPr="00152489">
        <w:t>, </w:t>
      </w:r>
      <w:r w:rsidRPr="00152489">
        <w:rPr>
          <w:i/>
          <w:iCs/>
        </w:rPr>
        <w:t>3</w:t>
      </w:r>
      <w:r w:rsidRPr="00152489">
        <w:t>(7), pp.374-380.</w:t>
      </w:r>
    </w:p>
    <w:p w14:paraId="43A21877" w14:textId="1F321922" w:rsidR="007C229D" w:rsidRDefault="007C229D">
      <w:r w:rsidRPr="007C229D">
        <w:t>Herron, H., 2000. Supporting health visitors in child protection cases. </w:t>
      </w:r>
      <w:r w:rsidRPr="007C229D">
        <w:rPr>
          <w:i/>
          <w:iCs/>
        </w:rPr>
        <w:t>Community Practitioner</w:t>
      </w:r>
      <w:r w:rsidRPr="007C229D">
        <w:t>, </w:t>
      </w:r>
      <w:r w:rsidRPr="007C229D">
        <w:rPr>
          <w:i/>
          <w:iCs/>
        </w:rPr>
        <w:t>73</w:t>
      </w:r>
      <w:r w:rsidRPr="007C229D">
        <w:t>(9), p.751.</w:t>
      </w:r>
    </w:p>
    <w:p w14:paraId="4B2245F1" w14:textId="3621954F" w:rsidR="0016471F" w:rsidRDefault="0016471F">
      <w:r w:rsidRPr="0016471F">
        <w:t>Rooke, J., 2015. Exploring the support mechanisms health visitors use in safeguarding and child protection practice. </w:t>
      </w:r>
      <w:r w:rsidRPr="0016471F">
        <w:rPr>
          <w:i/>
          <w:iCs/>
        </w:rPr>
        <w:t>Community Practitioner</w:t>
      </w:r>
      <w:r w:rsidRPr="0016471F">
        <w:t>, </w:t>
      </w:r>
      <w:r w:rsidRPr="0016471F">
        <w:rPr>
          <w:i/>
          <w:iCs/>
        </w:rPr>
        <w:t>88</w:t>
      </w:r>
      <w:r w:rsidRPr="0016471F">
        <w:t>(10).</w:t>
      </w:r>
    </w:p>
    <w:sectPr w:rsidR="00164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9AE"/>
    <w:rsid w:val="000245FD"/>
    <w:rsid w:val="00093139"/>
    <w:rsid w:val="00114CB7"/>
    <w:rsid w:val="00152489"/>
    <w:rsid w:val="0016471F"/>
    <w:rsid w:val="001777B0"/>
    <w:rsid w:val="00437C12"/>
    <w:rsid w:val="0044698C"/>
    <w:rsid w:val="005C0CAD"/>
    <w:rsid w:val="005D79AE"/>
    <w:rsid w:val="007C229D"/>
    <w:rsid w:val="007E02DA"/>
    <w:rsid w:val="008334E7"/>
    <w:rsid w:val="0086028D"/>
    <w:rsid w:val="00874055"/>
    <w:rsid w:val="00AC5311"/>
    <w:rsid w:val="00C16D8A"/>
    <w:rsid w:val="00EC6B79"/>
    <w:rsid w:val="00FC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DF1FF"/>
  <w15:chartTrackingRefBased/>
  <w15:docId w15:val="{DD950B97-A2E6-4735-A9B0-27FFC958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7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7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7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7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7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7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7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9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9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9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9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9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9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7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7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7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7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7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79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79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79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9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79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12" ma:contentTypeDescription="Create a new document." ma:contentTypeScope="" ma:versionID="4b9b2fd3b15a120b610568e216005702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b7e4b464948514af572f94528ff74b56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Props1.xml><?xml version="1.0" encoding="utf-8"?>
<ds:datastoreItem xmlns:ds="http://schemas.openxmlformats.org/officeDocument/2006/customXml" ds:itemID="{7CCB54D1-BE36-4D05-B558-17CB8476BB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9936AB-8E08-46D9-B1A6-1C83B1763A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C16304-1031-483C-BF55-967D099B02FE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d97129d6-5105-44aa-8953-de11b416c376"/>
    <ds:schemaRef ds:uri="http://schemas.microsoft.com/office/2006/documentManagement/typ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Ayyaz (2329250)</dc:creator>
  <cp:keywords/>
  <dc:description/>
  <cp:lastModifiedBy>mohammed ayyaz</cp:lastModifiedBy>
  <cp:revision>2</cp:revision>
  <dcterms:created xsi:type="dcterms:W3CDTF">2025-10-18T21:16:00Z</dcterms:created>
  <dcterms:modified xsi:type="dcterms:W3CDTF">2025-10-18T21:16:00Z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