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4D9F5" w14:textId="77777777" w:rsidR="006F40CC" w:rsidRDefault="005F7FA6"/>
    <w:p w14:paraId="1F4A5297" w14:textId="77777777" w:rsidR="00025139" w:rsidRDefault="00025139"/>
    <w:p w14:paraId="6C408C06" w14:textId="77777777" w:rsidR="006E4CFD" w:rsidRPr="006E4CFD" w:rsidRDefault="006E4CFD" w:rsidP="006E4CFD"/>
    <w:p w14:paraId="0348AF95" w14:textId="77777777" w:rsidR="006E4CFD" w:rsidRPr="006E4CFD" w:rsidRDefault="006E4CFD" w:rsidP="006E4CFD">
      <w:r w:rsidRPr="006E4CFD">
        <w:rPr>
          <w:noProof/>
        </w:rPr>
        <w:drawing>
          <wp:inline distT="0" distB="0" distL="0" distR="0" wp14:anchorId="767CC757" wp14:editId="2BF84D77">
            <wp:extent cx="2887980" cy="1051560"/>
            <wp:effectExtent l="19050" t="19050" r="2667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7980" cy="1051560"/>
                    </a:xfrm>
                    <a:prstGeom prst="rect">
                      <a:avLst/>
                    </a:prstGeom>
                    <a:noFill/>
                    <a:ln w="19050" cmpd="sng">
                      <a:solidFill>
                        <a:srgbClr val="000000"/>
                      </a:solidFill>
                      <a:miter lim="800000"/>
                      <a:headEnd/>
                      <a:tailEnd/>
                    </a:ln>
                    <a:effectLst/>
                  </pic:spPr>
                </pic:pic>
              </a:graphicData>
            </a:graphic>
          </wp:inline>
        </w:drawing>
      </w:r>
    </w:p>
    <w:p w14:paraId="168492D1" w14:textId="77777777" w:rsidR="006E4CFD" w:rsidRPr="006E4CFD" w:rsidRDefault="006E4CFD" w:rsidP="006E4CFD">
      <w:pPr>
        <w:rPr>
          <w:b/>
          <w:bCs/>
          <w:lang w:val="cy-GB"/>
        </w:rPr>
      </w:pPr>
      <w:r w:rsidRPr="006E4CFD">
        <w:rPr>
          <w:b/>
          <w:bCs/>
          <w:lang w:val="cy-GB"/>
        </w:rPr>
        <w:t>Undergraduate assignment feedback form</w:t>
      </w:r>
    </w:p>
    <w:p w14:paraId="77010B6E" w14:textId="77777777" w:rsidR="006E4CFD" w:rsidRPr="006E4CFD" w:rsidRDefault="006E4CFD" w:rsidP="006E4CFD">
      <w:pPr>
        <w:rPr>
          <w:b/>
          <w:lang w:val="cy-GB"/>
        </w:rPr>
      </w:pPr>
      <w:r w:rsidRPr="006E4CFD">
        <w:rPr>
          <w:b/>
          <w:lang w:val="cy-GB"/>
        </w:rPr>
        <w:t>(to be completed by marker)</w:t>
      </w:r>
    </w:p>
    <w:p w14:paraId="3DC03BD6" w14:textId="77777777" w:rsidR="006E4CFD" w:rsidRPr="006E4CFD" w:rsidRDefault="006E4CFD" w:rsidP="006E4CF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E4CFD" w:rsidRPr="006E4CFD" w14:paraId="53A5B17D" w14:textId="77777777" w:rsidTr="00B8695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2C46260" w14:textId="77777777" w:rsidR="006E4CFD" w:rsidRPr="006E4CFD" w:rsidRDefault="006E4CFD" w:rsidP="006E4CFD">
            <w:pPr>
              <w:rPr>
                <w:i/>
              </w:rPr>
            </w:pPr>
            <w:r w:rsidRPr="006E4CFD">
              <w:rPr>
                <w:i/>
              </w:rPr>
              <w:t>Student Name:</w:t>
            </w:r>
          </w:p>
          <w:p w14:paraId="12FECA5B" w14:textId="77777777" w:rsidR="006E4CFD" w:rsidRPr="006E4CFD" w:rsidRDefault="006E4CFD" w:rsidP="006E4CFD">
            <w:pPr>
              <w:rPr>
                <w:i/>
              </w:rPr>
            </w:pPr>
            <w:r w:rsidRPr="006E4CFD">
              <w:rPr>
                <w:i/>
              </w:rPr>
              <w:t xml:space="preserve">Henry Gillson – Gant </w:t>
            </w:r>
          </w:p>
        </w:tc>
      </w:tr>
      <w:tr w:rsidR="006E4CFD" w:rsidRPr="006E4CFD" w14:paraId="21DDD6A2" w14:textId="77777777" w:rsidTr="00B8695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696FD9A" w14:textId="77777777" w:rsidR="006E4CFD" w:rsidRPr="006E4CFD" w:rsidRDefault="006E4CFD" w:rsidP="006E4CFD">
            <w:pPr>
              <w:rPr>
                <w:i/>
              </w:rPr>
            </w:pPr>
            <w:r w:rsidRPr="006E4CFD">
              <w:rPr>
                <w:i/>
              </w:rPr>
              <w:t>Module title:</w:t>
            </w:r>
          </w:p>
          <w:p w14:paraId="398BB3B8" w14:textId="77777777" w:rsidR="006E4CFD" w:rsidRPr="006E4CFD" w:rsidRDefault="006E4CFD" w:rsidP="006E4CFD">
            <w:pPr>
              <w:rPr>
                <w:b/>
                <w:bCs/>
              </w:rPr>
            </w:pPr>
            <w:r w:rsidRPr="006E4CFD">
              <w:rPr>
                <w:i/>
              </w:rPr>
              <w:t>Sparta: An Extraordinary City (CLAH5003)</w:t>
            </w:r>
          </w:p>
        </w:tc>
        <w:tc>
          <w:tcPr>
            <w:tcW w:w="3967" w:type="dxa"/>
            <w:gridSpan w:val="2"/>
            <w:tcBorders>
              <w:top w:val="single" w:sz="4" w:space="0" w:color="auto"/>
              <w:left w:val="single" w:sz="4" w:space="0" w:color="auto"/>
              <w:bottom w:val="single" w:sz="4" w:space="0" w:color="auto"/>
              <w:right w:val="single" w:sz="4" w:space="0" w:color="auto"/>
            </w:tcBorders>
          </w:tcPr>
          <w:p w14:paraId="3F7A6B37" w14:textId="77777777" w:rsidR="006E4CFD" w:rsidRPr="006E4CFD" w:rsidRDefault="006E4CFD" w:rsidP="006E4CFD">
            <w:pPr>
              <w:rPr>
                <w:i/>
              </w:rPr>
            </w:pPr>
            <w:r w:rsidRPr="006E4CFD">
              <w:rPr>
                <w:i/>
              </w:rPr>
              <w:t>Student number:</w:t>
            </w:r>
          </w:p>
          <w:p w14:paraId="567000DC" w14:textId="77777777" w:rsidR="006E4CFD" w:rsidRPr="006E4CFD" w:rsidRDefault="006E4CFD" w:rsidP="006E4CFD">
            <w:r w:rsidRPr="006E4CFD">
              <w:t>1600129</w:t>
            </w:r>
          </w:p>
        </w:tc>
      </w:tr>
      <w:tr w:rsidR="006E4CFD" w:rsidRPr="006E4CFD" w14:paraId="3014AF3E" w14:textId="77777777" w:rsidTr="00B86952">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67FCF1B" w14:textId="77777777" w:rsidR="006E4CFD" w:rsidRPr="006E4CFD" w:rsidRDefault="006E4CFD" w:rsidP="006E4CFD">
            <w:pPr>
              <w:rPr>
                <w:i/>
              </w:rPr>
            </w:pPr>
            <w:r w:rsidRPr="006E4CFD">
              <w:rPr>
                <w:i/>
              </w:rPr>
              <w:t>For completion by marker:</w:t>
            </w:r>
          </w:p>
          <w:p w14:paraId="003918E0" w14:textId="77777777" w:rsidR="006E4CFD" w:rsidRPr="006E4CFD" w:rsidRDefault="006E4CFD" w:rsidP="006E4CFD">
            <w:pPr>
              <w:rPr>
                <w:i/>
              </w:rPr>
            </w:pPr>
            <w:r w:rsidRPr="006E4CFD">
              <w:rPr>
                <w:i/>
              </w:rPr>
              <w:t>Comments:</w:t>
            </w:r>
          </w:p>
          <w:p w14:paraId="297C0997" w14:textId="2176E66D" w:rsidR="006E4CFD" w:rsidRPr="006E4CFD" w:rsidRDefault="006E4CFD" w:rsidP="006E4CFD">
            <w:pPr>
              <w:rPr>
                <w:i/>
              </w:rPr>
            </w:pPr>
            <w:r w:rsidRPr="006E4CFD">
              <w:rPr>
                <w:i/>
              </w:rPr>
              <w:t xml:space="preserve">Word Count: </w:t>
            </w:r>
            <w:r>
              <w:rPr>
                <w:i/>
              </w:rPr>
              <w:t>1</w:t>
            </w:r>
            <w:r w:rsidR="00AC76AB">
              <w:rPr>
                <w:i/>
              </w:rPr>
              <w:t>954</w:t>
            </w:r>
          </w:p>
          <w:p w14:paraId="1688B2E3" w14:textId="77777777" w:rsidR="006E4CFD" w:rsidRPr="006E4CFD" w:rsidRDefault="006E4CFD" w:rsidP="006E4CFD">
            <w:pPr>
              <w:rPr>
                <w:i/>
              </w:rPr>
            </w:pPr>
          </w:p>
          <w:p w14:paraId="154365D7" w14:textId="77777777" w:rsidR="006E4CFD" w:rsidRPr="006E4CFD" w:rsidRDefault="006E4CFD" w:rsidP="006E4CFD">
            <w:pPr>
              <w:rPr>
                <w:i/>
              </w:rPr>
            </w:pPr>
          </w:p>
          <w:p w14:paraId="55A6A57F" w14:textId="77777777" w:rsidR="006E4CFD" w:rsidRPr="006E4CFD" w:rsidRDefault="006E4CFD" w:rsidP="006E4CFD">
            <w:pPr>
              <w:rPr>
                <w:i/>
              </w:rPr>
            </w:pPr>
          </w:p>
          <w:p w14:paraId="7527E268" w14:textId="77777777" w:rsidR="006E4CFD" w:rsidRPr="006E4CFD" w:rsidRDefault="006E4CFD" w:rsidP="006E4CFD">
            <w:pPr>
              <w:rPr>
                <w:i/>
              </w:rPr>
            </w:pPr>
          </w:p>
          <w:p w14:paraId="1625B7DB" w14:textId="77777777" w:rsidR="006E4CFD" w:rsidRPr="006E4CFD" w:rsidRDefault="006E4CFD" w:rsidP="006E4CFD">
            <w:pPr>
              <w:rPr>
                <w:i/>
              </w:rPr>
            </w:pPr>
          </w:p>
          <w:p w14:paraId="400AFAA4" w14:textId="77777777" w:rsidR="006E4CFD" w:rsidRPr="006E4CFD" w:rsidRDefault="006E4CFD" w:rsidP="006E4CFD">
            <w:pPr>
              <w:rPr>
                <w:i/>
              </w:rPr>
            </w:pPr>
          </w:p>
          <w:p w14:paraId="003E3442" w14:textId="77777777" w:rsidR="006E4CFD" w:rsidRPr="006E4CFD" w:rsidRDefault="006E4CFD" w:rsidP="006E4CFD">
            <w:pPr>
              <w:rPr>
                <w:i/>
              </w:rPr>
            </w:pPr>
          </w:p>
          <w:p w14:paraId="6D6770CF" w14:textId="77777777" w:rsidR="006E4CFD" w:rsidRPr="006E4CFD" w:rsidRDefault="006E4CFD" w:rsidP="006E4CFD">
            <w:pPr>
              <w:rPr>
                <w:i/>
              </w:rPr>
            </w:pPr>
          </w:p>
          <w:p w14:paraId="345FB52E" w14:textId="77777777" w:rsidR="006E4CFD" w:rsidRPr="006E4CFD" w:rsidRDefault="006E4CFD" w:rsidP="006E4CFD">
            <w:pPr>
              <w:rPr>
                <w:i/>
              </w:rPr>
            </w:pPr>
          </w:p>
          <w:p w14:paraId="56B670DD" w14:textId="77777777" w:rsidR="006E4CFD" w:rsidRPr="006E4CFD" w:rsidRDefault="006E4CFD" w:rsidP="006E4CFD">
            <w:pPr>
              <w:rPr>
                <w:i/>
              </w:rPr>
            </w:pPr>
          </w:p>
        </w:tc>
      </w:tr>
      <w:tr w:rsidR="006E4CFD" w:rsidRPr="006E4CFD" w14:paraId="359F477D" w14:textId="77777777" w:rsidTr="00B86952">
        <w:trPr>
          <w:trHeight w:val="492"/>
        </w:trPr>
        <w:tc>
          <w:tcPr>
            <w:tcW w:w="6768" w:type="dxa"/>
            <w:gridSpan w:val="2"/>
            <w:tcBorders>
              <w:top w:val="single" w:sz="4" w:space="0" w:color="auto"/>
            </w:tcBorders>
            <w:vAlign w:val="center"/>
          </w:tcPr>
          <w:p w14:paraId="2493B903" w14:textId="77777777" w:rsidR="006E4CFD" w:rsidRPr="006E4CFD" w:rsidRDefault="006E4CFD" w:rsidP="006E4CFD">
            <w:pPr>
              <w:rPr>
                <w:i/>
              </w:rPr>
            </w:pPr>
            <w:r w:rsidRPr="006E4CFD">
              <w:rPr>
                <w:i/>
              </w:rPr>
              <w:t>Marker’s signature:</w:t>
            </w:r>
          </w:p>
        </w:tc>
        <w:tc>
          <w:tcPr>
            <w:tcW w:w="1987" w:type="dxa"/>
            <w:tcBorders>
              <w:top w:val="single" w:sz="4" w:space="0" w:color="auto"/>
            </w:tcBorders>
            <w:vAlign w:val="center"/>
          </w:tcPr>
          <w:p w14:paraId="522D799C" w14:textId="77777777" w:rsidR="006E4CFD" w:rsidRPr="006E4CFD" w:rsidRDefault="006E4CFD" w:rsidP="006E4CFD">
            <w:pPr>
              <w:rPr>
                <w:i/>
              </w:rPr>
            </w:pPr>
            <w:r w:rsidRPr="006E4CFD">
              <w:rPr>
                <w:i/>
              </w:rPr>
              <w:t>Date:</w:t>
            </w:r>
          </w:p>
        </w:tc>
      </w:tr>
      <w:tr w:rsidR="006E4CFD" w:rsidRPr="006E4CFD" w14:paraId="2BC4C20C" w14:textId="77777777" w:rsidTr="00B86952">
        <w:tc>
          <w:tcPr>
            <w:tcW w:w="8755" w:type="dxa"/>
            <w:gridSpan w:val="3"/>
            <w:vAlign w:val="center"/>
          </w:tcPr>
          <w:p w14:paraId="3A865CE1" w14:textId="77777777" w:rsidR="006E4CFD" w:rsidRPr="006E4CFD" w:rsidRDefault="006E4CFD" w:rsidP="006E4CFD">
            <w:pPr>
              <w:rPr>
                <w:i/>
              </w:rPr>
            </w:pPr>
            <w:r w:rsidRPr="006E4CFD">
              <w:rPr>
                <w:i/>
              </w:rPr>
              <w:t xml:space="preserve">Provisional mark: </w:t>
            </w:r>
          </w:p>
          <w:p w14:paraId="4FA5EEBE" w14:textId="77777777" w:rsidR="006E4CFD" w:rsidRPr="006E4CFD" w:rsidRDefault="006E4CFD" w:rsidP="006E4CFD">
            <w:pPr>
              <w:rPr>
                <w:i/>
              </w:rPr>
            </w:pPr>
            <w:r w:rsidRPr="006E4CFD">
              <w:rPr>
                <w:b/>
                <w:i/>
              </w:rPr>
              <w:t>NB.</w:t>
            </w:r>
            <w:r w:rsidRPr="006E4CFD">
              <w:rPr>
                <w:i/>
              </w:rPr>
              <w:t xml:space="preserve">  All marks are provisional until confirmed by the final examination board. </w:t>
            </w:r>
          </w:p>
        </w:tc>
      </w:tr>
    </w:tbl>
    <w:p w14:paraId="365503BA" w14:textId="77777777" w:rsidR="006E4CFD" w:rsidRPr="006E4CFD" w:rsidRDefault="006E4CFD" w:rsidP="006E4CFD">
      <w:pPr>
        <w:rPr>
          <w:u w:val="single"/>
        </w:rPr>
      </w:pPr>
    </w:p>
    <w:p w14:paraId="014F2262" w14:textId="77777777" w:rsidR="00025139" w:rsidRDefault="00025139" w:rsidP="00AC76AB">
      <w:pPr>
        <w:jc w:val="center"/>
      </w:pPr>
    </w:p>
    <w:p w14:paraId="53E6AD91" w14:textId="4B097251" w:rsidR="00025139" w:rsidRDefault="00025139" w:rsidP="00AC76AB">
      <w:pPr>
        <w:jc w:val="center"/>
        <w:rPr>
          <w:u w:val="single"/>
        </w:rPr>
      </w:pPr>
      <w:r>
        <w:rPr>
          <w:u w:val="single"/>
        </w:rPr>
        <w:t>Discuss the relationship between Plutarch’s Works to the Spartan Mirage</w:t>
      </w:r>
    </w:p>
    <w:p w14:paraId="539D74B5" w14:textId="65589929" w:rsidR="00025139" w:rsidRDefault="00025139" w:rsidP="00025139">
      <w:pPr>
        <w:jc w:val="center"/>
        <w:rPr>
          <w:u w:val="single"/>
        </w:rPr>
      </w:pPr>
    </w:p>
    <w:p w14:paraId="12F895C2" w14:textId="2911AA80" w:rsidR="00025139" w:rsidRDefault="00025139" w:rsidP="00025139">
      <w:r>
        <w:t xml:space="preserve">The Mirage, a multi-faceted image that is perceived to be the image of Sparta that has been presented to us both by modern and primary scholarship. This image is of a strong polis, purely built on the foundations of a warrior society, all institutions geared for the making of war. However, in recent years that has been challenged. Scholars are digging deeper and have discovered that there is much more to Sparta than the mirage </w:t>
      </w:r>
      <w:r w:rsidR="00D61EA4">
        <w:t xml:space="preserve">lets on. </w:t>
      </w:r>
      <w:r w:rsidR="009C7170">
        <w:t xml:space="preserve">The mirage in art and preconceived ideas are based on the works of the Greek writer and biographer </w:t>
      </w:r>
      <w:r w:rsidR="008F03E2">
        <w:t xml:space="preserve">Plutarch. The question asks that </w:t>
      </w:r>
      <w:r w:rsidR="00E67EB2">
        <w:t>there</w:t>
      </w:r>
      <w:r w:rsidR="008F03E2">
        <w:t xml:space="preserve"> be an exploration </w:t>
      </w:r>
      <w:r w:rsidR="00995B56">
        <w:t xml:space="preserve">of his work </w:t>
      </w:r>
      <w:r w:rsidR="00C83A46">
        <w:t>and their relationship to the mirage</w:t>
      </w:r>
      <w:r w:rsidR="00D47F52">
        <w:t xml:space="preserve">, their contribution to the creation of a fallacy. </w:t>
      </w:r>
      <w:r w:rsidR="00E67EB2">
        <w:t xml:space="preserve">The focus of this peace will be on his main autobiographical </w:t>
      </w:r>
      <w:r w:rsidR="00596CCF">
        <w:t xml:space="preserve">work, the Lives but also his use of the exploration of morals and how </w:t>
      </w:r>
      <w:r w:rsidR="00917DB9">
        <w:t xml:space="preserve">morals shape the perceptions of men who he </w:t>
      </w:r>
      <w:r w:rsidR="0019065F">
        <w:t xml:space="preserve">has written biographies about within the Lives. </w:t>
      </w:r>
    </w:p>
    <w:p w14:paraId="25C6C086" w14:textId="1B56730F" w:rsidR="00C73CAB" w:rsidRDefault="00C64A8E" w:rsidP="00025139">
      <w:r>
        <w:t xml:space="preserve">Before the exploration the foundation must be set. </w:t>
      </w:r>
      <w:r w:rsidR="00665C16">
        <w:t xml:space="preserve">Just what exactly is the mirage. </w:t>
      </w:r>
      <w:r w:rsidR="000072BE">
        <w:t xml:space="preserve">Paul Rahe </w:t>
      </w:r>
      <w:r w:rsidR="00941759">
        <w:t xml:space="preserve">through his scholarship has identified several components that </w:t>
      </w:r>
      <w:r w:rsidR="00037138">
        <w:t>contribute to the formation to the mirage itself</w:t>
      </w:r>
      <w:r w:rsidR="005031F0">
        <w:rPr>
          <w:rStyle w:val="FootnoteReference"/>
        </w:rPr>
        <w:footnoteReference w:id="1"/>
      </w:r>
      <w:r w:rsidR="00037138">
        <w:t xml:space="preserve">. By </w:t>
      </w:r>
      <w:r w:rsidR="00B3688E">
        <w:t>virtue,</w:t>
      </w:r>
      <w:r w:rsidR="00037138">
        <w:t xml:space="preserve"> the word Mirage described a false image it is worth </w:t>
      </w:r>
      <w:r w:rsidR="00B3688E">
        <w:t>noting therefore that the image of Sparta may be indeed be questioned as false</w:t>
      </w:r>
      <w:r w:rsidR="005031F0">
        <w:rPr>
          <w:rStyle w:val="FootnoteReference"/>
        </w:rPr>
        <w:footnoteReference w:id="2"/>
      </w:r>
      <w:r w:rsidR="00B3688E">
        <w:t xml:space="preserve">. In part Rahe blames the idealisation of Sparta </w:t>
      </w:r>
      <w:r w:rsidR="00D67B9F">
        <w:t>for th</w:t>
      </w:r>
      <w:r w:rsidR="00833737">
        <w:t>e creation as he defines as the Spartan Enigma</w:t>
      </w:r>
      <w:r w:rsidR="005031F0">
        <w:rPr>
          <w:rStyle w:val="FootnoteReference"/>
        </w:rPr>
        <w:footnoteReference w:id="3"/>
      </w:r>
      <w:r w:rsidR="00833737">
        <w:t xml:space="preserve">. </w:t>
      </w:r>
      <w:r w:rsidR="00E331AF">
        <w:t xml:space="preserve">This </w:t>
      </w:r>
      <w:r w:rsidR="00A0646C">
        <w:t xml:space="preserve">is </w:t>
      </w:r>
      <w:r w:rsidR="00E331AF">
        <w:t xml:space="preserve">due however in part to the distinct lack of </w:t>
      </w:r>
      <w:r w:rsidR="00BE6AD8">
        <w:t xml:space="preserve">clarity of Spartan identity within </w:t>
      </w:r>
      <w:r w:rsidR="003606D8">
        <w:t>early and modern scholarship</w:t>
      </w:r>
      <w:r w:rsidR="005031F0">
        <w:rPr>
          <w:rStyle w:val="FootnoteReference"/>
        </w:rPr>
        <w:footnoteReference w:id="4"/>
      </w:r>
      <w:r w:rsidR="003606D8">
        <w:t xml:space="preserve">. </w:t>
      </w:r>
      <w:r w:rsidR="00442F44">
        <w:t xml:space="preserve">Plato in </w:t>
      </w:r>
      <w:r w:rsidR="00442F44" w:rsidRPr="007A1B5A">
        <w:rPr>
          <w:i/>
        </w:rPr>
        <w:t>Laws</w:t>
      </w:r>
      <w:r w:rsidR="00442F44">
        <w:t xml:space="preserve"> describes Sparta as </w:t>
      </w:r>
      <w:r w:rsidR="003F42BA">
        <w:t>a mixed</w:t>
      </w:r>
      <w:r w:rsidR="007A1B5A">
        <w:t xml:space="preserve"> constitution </w:t>
      </w:r>
      <w:r w:rsidR="0099125E">
        <w:t>of monarchy and democracy</w:t>
      </w:r>
      <w:r w:rsidR="0069427C">
        <w:t xml:space="preserve"> yet later Megillus fails to define </w:t>
      </w:r>
      <w:r w:rsidR="00B5491E">
        <w:t>what the regime is, rather nearly calls it a tyranny</w:t>
      </w:r>
      <w:r w:rsidR="005031F0">
        <w:rPr>
          <w:rStyle w:val="FootnoteReference"/>
        </w:rPr>
        <w:footnoteReference w:id="5"/>
      </w:r>
      <w:r w:rsidR="00B5491E">
        <w:t xml:space="preserve">. </w:t>
      </w:r>
      <w:r w:rsidR="003F42BA">
        <w:t xml:space="preserve">Modern thinkers </w:t>
      </w:r>
      <w:r w:rsidR="00462A2A">
        <w:t>later</w:t>
      </w:r>
      <w:r w:rsidR="003F42BA">
        <w:t xml:space="preserve"> post 1</w:t>
      </w:r>
      <w:r w:rsidR="00F4031E">
        <w:t>4</w:t>
      </w:r>
      <w:r w:rsidR="003F42BA">
        <w:t xml:space="preserve">00 failed to define Sparta, </w:t>
      </w:r>
      <w:r w:rsidR="00F4031E">
        <w:t>including Rousseau and Machiavelli</w:t>
      </w:r>
      <w:r w:rsidR="005031F0">
        <w:rPr>
          <w:rStyle w:val="FootnoteReference"/>
        </w:rPr>
        <w:footnoteReference w:id="6"/>
      </w:r>
      <w:r w:rsidR="00F4031E">
        <w:t xml:space="preserve">. </w:t>
      </w:r>
      <w:r w:rsidR="00462A2A">
        <w:t xml:space="preserve">Rahe places the issue firmly with the </w:t>
      </w:r>
      <w:r w:rsidR="003C1C9E">
        <w:t xml:space="preserve">secretive nature of Sparta herself who shrouded herself in a shroud secrecy and </w:t>
      </w:r>
      <w:r w:rsidR="00C2051C">
        <w:t>as it is difficult to judge what information is true and what is not</w:t>
      </w:r>
      <w:r w:rsidR="005031F0">
        <w:rPr>
          <w:rStyle w:val="FootnoteReference"/>
        </w:rPr>
        <w:footnoteReference w:id="7"/>
      </w:r>
      <w:r w:rsidR="00C2051C">
        <w:t xml:space="preserve">. </w:t>
      </w:r>
      <w:r w:rsidR="00356B07">
        <w:t xml:space="preserve">Hume </w:t>
      </w:r>
      <w:r w:rsidR="00881D2E">
        <w:t xml:space="preserve">defines the situation rather well, “Were the testimony </w:t>
      </w:r>
      <w:r w:rsidR="002D3213">
        <w:t xml:space="preserve">of history less positive and circumstantial </w:t>
      </w:r>
      <w:r w:rsidR="00633D87">
        <w:t xml:space="preserve">such </w:t>
      </w:r>
      <w:r w:rsidR="00B00E08">
        <w:t xml:space="preserve">a government would appear a mere </w:t>
      </w:r>
      <w:r w:rsidR="004A3BA2">
        <w:t>philosophical whim of fiction</w:t>
      </w:r>
      <w:r w:rsidR="007D4BBB">
        <w:t>”</w:t>
      </w:r>
      <w:r w:rsidR="005031F0">
        <w:rPr>
          <w:rStyle w:val="FootnoteReference"/>
        </w:rPr>
        <w:footnoteReference w:id="8"/>
      </w:r>
      <w:r w:rsidR="007D4BBB">
        <w:t xml:space="preserve">. As we have very little practical evidence, it very difficult to choose what is correct and what is not, what is the mirage and what is not. </w:t>
      </w:r>
    </w:p>
    <w:p w14:paraId="3F56B465" w14:textId="6B1E6A0F" w:rsidR="007D4BBB" w:rsidRDefault="00334D6D" w:rsidP="00025139">
      <w:r>
        <w:t xml:space="preserve">For Historians Plutarch acts as a foundation that fills some of the gaps we have </w:t>
      </w:r>
      <w:r w:rsidR="00D96AD3">
        <w:t xml:space="preserve">within our knowledge base as he explores Sparta within the </w:t>
      </w:r>
      <w:r w:rsidR="00D96AD3" w:rsidRPr="00433074">
        <w:rPr>
          <w:i/>
        </w:rPr>
        <w:t>Lives</w:t>
      </w:r>
      <w:r w:rsidR="00D96AD3">
        <w:t xml:space="preserve">, his biographies. </w:t>
      </w:r>
      <w:r w:rsidR="006C7644">
        <w:t xml:space="preserve">Through the literary construction of how his accounts are written we get a glimpse </w:t>
      </w:r>
      <w:r w:rsidR="007B7979">
        <w:t xml:space="preserve">into ideals and the ordinary lives of the Spartans. </w:t>
      </w:r>
      <w:r w:rsidR="007F0263">
        <w:t>In an interview</w:t>
      </w:r>
      <w:r w:rsidR="008A3413">
        <w:t xml:space="preserve"> with Peter Mcloughlin </w:t>
      </w:r>
      <w:r w:rsidR="00422AE7">
        <w:t xml:space="preserve">for the University of Nottingham, Judith Mossman identifies the cycle that </w:t>
      </w:r>
      <w:r w:rsidR="00B3466D">
        <w:t xml:space="preserve">Plutarch uses to explore the </w:t>
      </w:r>
      <w:r w:rsidR="00B3466D" w:rsidRPr="007322EE">
        <w:rPr>
          <w:i/>
        </w:rPr>
        <w:t xml:space="preserve">lives </w:t>
      </w:r>
      <w:r w:rsidR="007B378D">
        <w:t>within his bio</w:t>
      </w:r>
      <w:bookmarkStart w:id="1" w:name="_GoBack"/>
      <w:bookmarkEnd w:id="1"/>
      <w:r w:rsidR="007B378D">
        <w:t>graphies</w:t>
      </w:r>
      <w:r w:rsidR="00433074">
        <w:rPr>
          <w:rStyle w:val="FootnoteReference"/>
        </w:rPr>
        <w:footnoteReference w:id="9"/>
      </w:r>
      <w:r w:rsidR="007B378D">
        <w:t xml:space="preserve">. Plutarch </w:t>
      </w:r>
      <w:r w:rsidR="00B04F32">
        <w:t>purposely starts with birth and then discussing their family life and growing up</w:t>
      </w:r>
      <w:r w:rsidR="000C443D">
        <w:t xml:space="preserve"> then through to death</w:t>
      </w:r>
      <w:r w:rsidR="00B46E4F">
        <w:rPr>
          <w:rStyle w:val="FootnoteReference"/>
        </w:rPr>
        <w:footnoteReference w:id="10"/>
      </w:r>
      <w:r w:rsidR="000C443D">
        <w:t xml:space="preserve">. The evidence he uses is anecdotal, so stories that allow us to get to know the person of interest </w:t>
      </w:r>
      <w:r w:rsidR="00D56114">
        <w:t>intricately, and the influence and surroundings they encountered f</w:t>
      </w:r>
      <w:r w:rsidR="0016616D">
        <w:t>ro</w:t>
      </w:r>
      <w:r w:rsidR="00D56114">
        <w:t>m a young age</w:t>
      </w:r>
      <w:r w:rsidR="00B46E4F">
        <w:rPr>
          <w:rStyle w:val="FootnoteReference"/>
        </w:rPr>
        <w:footnoteReference w:id="11"/>
      </w:r>
      <w:r w:rsidR="00D56114">
        <w:t xml:space="preserve">. </w:t>
      </w:r>
      <w:r w:rsidR="0016616D">
        <w:t xml:space="preserve">Plutarch’s are based on how the </w:t>
      </w:r>
      <w:r w:rsidR="0016616D">
        <w:lastRenderedPageBreak/>
        <w:t>life is lead and not on the historical context</w:t>
      </w:r>
      <w:r w:rsidR="00B46E4F">
        <w:rPr>
          <w:rStyle w:val="FootnoteReference"/>
        </w:rPr>
        <w:footnoteReference w:id="12"/>
      </w:r>
      <w:r w:rsidR="0016616D">
        <w:t xml:space="preserve">. </w:t>
      </w:r>
      <w:r w:rsidR="00A55D3D">
        <w:t xml:space="preserve">Each life is </w:t>
      </w:r>
      <w:r w:rsidR="00382906">
        <w:t xml:space="preserve">in a pair and Plutarch at the end compares both lives by how the subjects </w:t>
      </w:r>
      <w:r w:rsidR="002174D9">
        <w:t>lived, and not always favourably</w:t>
      </w:r>
      <w:r w:rsidR="00274566">
        <w:rPr>
          <w:rStyle w:val="FootnoteReference"/>
        </w:rPr>
        <w:footnoteReference w:id="13"/>
      </w:r>
      <w:r w:rsidR="002174D9">
        <w:t>. In the Lives of Numa and Lycurgus</w:t>
      </w:r>
      <w:r w:rsidR="006F7075">
        <w:t>, both the founder of Roman and Spartan institutions respectively</w:t>
      </w:r>
      <w:r w:rsidR="00EE3A44">
        <w:t>, he credits them with the f</w:t>
      </w:r>
      <w:r w:rsidR="00A85532">
        <w:t>ounding</w:t>
      </w:r>
      <w:r w:rsidR="00EE3A44">
        <w:t xml:space="preserve"> of institutions that stand the test of</w:t>
      </w:r>
      <w:r w:rsidR="007F52D9">
        <w:t xml:space="preserve"> time</w:t>
      </w:r>
      <w:r w:rsidR="00AE3CB9">
        <w:rPr>
          <w:rStyle w:val="FootnoteReference"/>
        </w:rPr>
        <w:footnoteReference w:id="14"/>
      </w:r>
      <w:r w:rsidR="00EE3A44">
        <w:t>. Yet he admonishes</w:t>
      </w:r>
      <w:r w:rsidR="007F52D9">
        <w:t xml:space="preserve"> them both for supressing certain aspect of society at the expense of others</w:t>
      </w:r>
      <w:r w:rsidR="00AE3CB9">
        <w:rPr>
          <w:rStyle w:val="FootnoteReference"/>
        </w:rPr>
        <w:footnoteReference w:id="15"/>
      </w:r>
      <w:r w:rsidR="005B7A48">
        <w:t xml:space="preserve">. </w:t>
      </w:r>
      <w:r w:rsidR="00323C8B">
        <w:t xml:space="preserve"> </w:t>
      </w:r>
      <w:r w:rsidR="006F7075">
        <w:t xml:space="preserve"> </w:t>
      </w:r>
    </w:p>
    <w:p w14:paraId="6E7251EF" w14:textId="3EEB74F9" w:rsidR="00F63DB2" w:rsidRDefault="00F63DB2" w:rsidP="00025139">
      <w:r>
        <w:t xml:space="preserve">The exploration of </w:t>
      </w:r>
      <w:r w:rsidR="00B21535">
        <w:t>these</w:t>
      </w:r>
      <w:r>
        <w:t xml:space="preserve"> Lives as mentioned are accomplished fr</w:t>
      </w:r>
      <w:r w:rsidR="00B32175">
        <w:t xml:space="preserve">om Plutarch’s </w:t>
      </w:r>
      <w:r w:rsidR="00310CEA">
        <w:t xml:space="preserve">method of evaluating them by the way they lived rather than historical discourse.  </w:t>
      </w:r>
      <w:r w:rsidR="00B21535">
        <w:t xml:space="preserve">Underpinning this effort Plutarch specifically </w:t>
      </w:r>
      <w:r w:rsidR="002F1324">
        <w:t xml:space="preserve">analyses their morals and character rather than action to </w:t>
      </w:r>
      <w:r w:rsidR="00013A59">
        <w:t>define his opinion and comparison</w:t>
      </w:r>
      <w:r w:rsidR="0008006E">
        <w:rPr>
          <w:rStyle w:val="FootnoteReference"/>
        </w:rPr>
        <w:footnoteReference w:id="16"/>
      </w:r>
      <w:r w:rsidR="00013A59">
        <w:t xml:space="preserve">. </w:t>
      </w:r>
      <w:r w:rsidR="00F92A4C">
        <w:t xml:space="preserve">Christopher Pelling </w:t>
      </w:r>
      <w:r w:rsidR="002F2A1E">
        <w:t xml:space="preserve">of the University of Oxford </w:t>
      </w:r>
      <w:r w:rsidR="0042265A">
        <w:t>defines Plutarch as</w:t>
      </w:r>
      <w:r w:rsidR="00C00111">
        <w:t xml:space="preserve"> “a prolific biographer”</w:t>
      </w:r>
      <w:r w:rsidR="00AD47C3">
        <w:rPr>
          <w:rStyle w:val="FootnoteReference"/>
        </w:rPr>
        <w:footnoteReference w:id="17"/>
      </w:r>
      <w:r w:rsidR="00C00111">
        <w:t xml:space="preserve">. It is his finding that </w:t>
      </w:r>
      <w:r w:rsidR="008D52E5">
        <w:t>by</w:t>
      </w:r>
      <w:r w:rsidR="001246D0">
        <w:t xml:space="preserve"> using Morals to assess those in his biographies, Plutarch </w:t>
      </w:r>
      <w:r w:rsidR="008D52E5">
        <w:t>can</w:t>
      </w:r>
      <w:r w:rsidR="001246D0">
        <w:t xml:space="preserve"> provide us with salient points of their characters</w:t>
      </w:r>
      <w:r w:rsidR="008D52E5">
        <w:t>, that otherwise would be glossed over or in even lost within history</w:t>
      </w:r>
      <w:r w:rsidR="00AD47C3">
        <w:rPr>
          <w:rStyle w:val="FootnoteReference"/>
        </w:rPr>
        <w:footnoteReference w:id="18"/>
      </w:r>
      <w:r w:rsidR="008D52E5">
        <w:t xml:space="preserve">. It is done through what Mossman described </w:t>
      </w:r>
      <w:r w:rsidR="004928D2">
        <w:t xml:space="preserve">as </w:t>
      </w:r>
      <w:r w:rsidR="008D52E5">
        <w:t>anecdotal evidence</w:t>
      </w:r>
      <w:r w:rsidR="004928D2">
        <w:t>, evidence used to describe character rather than historical consequence</w:t>
      </w:r>
      <w:r w:rsidR="00AD47C3">
        <w:rPr>
          <w:rStyle w:val="FootnoteReference"/>
        </w:rPr>
        <w:footnoteReference w:id="19"/>
      </w:r>
      <w:r w:rsidR="004928D2">
        <w:t xml:space="preserve">. </w:t>
      </w:r>
      <w:r w:rsidR="00D654BF">
        <w:t xml:space="preserve">Pelling also argues that by using Morals </w:t>
      </w:r>
      <w:r w:rsidR="00643C60">
        <w:t xml:space="preserve">we can see more sympathetic factors that contribute to </w:t>
      </w:r>
      <w:r w:rsidR="005B15B5">
        <w:t>the image of a subject of a biography</w:t>
      </w:r>
      <w:r w:rsidR="00AD47C3">
        <w:rPr>
          <w:rStyle w:val="FootnoteReference"/>
        </w:rPr>
        <w:footnoteReference w:id="20"/>
      </w:r>
      <w:r w:rsidR="005B15B5">
        <w:t>. How certain factors of their li</w:t>
      </w:r>
      <w:r w:rsidR="003D35C0">
        <w:t xml:space="preserve">fe may </w:t>
      </w:r>
      <w:r w:rsidR="00E11DD7">
        <w:t>put a different light on certain actions contained within these biographies</w:t>
      </w:r>
      <w:r w:rsidR="00615785">
        <w:rPr>
          <w:rStyle w:val="FootnoteReference"/>
        </w:rPr>
        <w:footnoteReference w:id="21"/>
      </w:r>
      <w:r w:rsidR="00E11DD7">
        <w:t xml:space="preserve">. In relation to the Mirage it goes to some way to establish what is true, as we can see the morals that </w:t>
      </w:r>
      <w:r w:rsidR="00FB3CC1">
        <w:t xml:space="preserve">Spartans followed and what influenced their actions, what was part of their identities. </w:t>
      </w:r>
      <w:r w:rsidR="009B60D4">
        <w:t xml:space="preserve">From this their </w:t>
      </w:r>
      <w:r w:rsidR="00271BE3">
        <w:t>can,</w:t>
      </w:r>
      <w:r w:rsidR="009B60D4">
        <w:t xml:space="preserve"> be attempts to bypass the mirage to construct a more realistic identity not </w:t>
      </w:r>
      <w:r w:rsidR="00271BE3">
        <w:t xml:space="preserve">clouded by idealism. </w:t>
      </w:r>
    </w:p>
    <w:p w14:paraId="1EF5B3C0" w14:textId="411CE025" w:rsidR="00271BE3" w:rsidRDefault="00A17300" w:rsidP="00025139">
      <w:r>
        <w:t xml:space="preserve">If Plutarch </w:t>
      </w:r>
      <w:r w:rsidR="000A26A2">
        <w:t xml:space="preserve">then through the Lives </w:t>
      </w:r>
      <w:r w:rsidR="00BC57B4">
        <w:t>can</w:t>
      </w:r>
      <w:r w:rsidR="000A26A2">
        <w:t xml:space="preserve"> inform the scholastic community of a glimpse of the </w:t>
      </w:r>
      <w:r w:rsidR="00BC57B4">
        <w:t>identity</w:t>
      </w:r>
      <w:r w:rsidR="000A26A2">
        <w:t xml:space="preserve"> of Sparta, </w:t>
      </w:r>
      <w:r w:rsidR="00E055C7">
        <w:t xml:space="preserve">then it must be trusted that </w:t>
      </w:r>
      <w:r w:rsidR="007F4E22">
        <w:t xml:space="preserve">Plutarch’s account is historically accurate and can be considered </w:t>
      </w:r>
      <w:r w:rsidR="00A357E8">
        <w:t xml:space="preserve">truthful in terms of provenance. </w:t>
      </w:r>
      <w:r w:rsidR="00BC57B4">
        <w:t xml:space="preserve">In the lives of Cimon and Lucullus </w:t>
      </w:r>
      <w:r w:rsidR="004F32AC">
        <w:t xml:space="preserve">Plutarch uses an analogy of what he is trying to do in his </w:t>
      </w:r>
      <w:r w:rsidR="00026DB7">
        <w:t xml:space="preserve">representation, </w:t>
      </w:r>
    </w:p>
    <w:p w14:paraId="70A9FC34" w14:textId="372A9B9B" w:rsidR="00AB1C25" w:rsidRDefault="00937CA1" w:rsidP="00025139">
      <w:r>
        <w:t>“</w:t>
      </w:r>
      <w:r w:rsidRPr="00937CA1">
        <w:t xml:space="preserve">When painters are creating </w:t>
      </w:r>
      <w:r w:rsidR="00176FAF" w:rsidRPr="00937CA1">
        <w:t>portraits,</w:t>
      </w:r>
      <w:r w:rsidRPr="00937CA1">
        <w:t xml:space="preserve"> which are beautiful and delightful, we ask that they neither completely omit some small displeasing feature, nor present it too precisely. Excessive exactitude makes the sight ugly; and omission destroys the resemblance</w:t>
      </w:r>
      <w:r>
        <w:t>”</w:t>
      </w:r>
      <w:r w:rsidR="00176FAF">
        <w:t xml:space="preserve"> </w:t>
      </w:r>
      <w:r w:rsidR="00841C85" w:rsidRPr="00841C85">
        <w:t>(Cim. 2.3)</w:t>
      </w:r>
      <w:r w:rsidR="004D70A8">
        <w:rPr>
          <w:rStyle w:val="FootnoteReference"/>
        </w:rPr>
        <w:footnoteReference w:id="22"/>
      </w:r>
      <w:r w:rsidR="00841C85" w:rsidRPr="00841C85">
        <w:t>.</w:t>
      </w:r>
    </w:p>
    <w:p w14:paraId="58D21AE1" w14:textId="33783833" w:rsidR="00841C85" w:rsidRDefault="00A10BF4" w:rsidP="00025139">
      <w:r>
        <w:t xml:space="preserve">What Plutarch seeks to do </w:t>
      </w:r>
      <w:r w:rsidR="00326D64">
        <w:t>is to write an as accurate image of both Lucullus and Cimon as possible</w:t>
      </w:r>
      <w:r w:rsidR="00C0520D">
        <w:rPr>
          <w:rStyle w:val="FootnoteReference"/>
        </w:rPr>
        <w:footnoteReference w:id="23"/>
      </w:r>
      <w:r w:rsidR="00326D64">
        <w:t xml:space="preserve">. However importantly he </w:t>
      </w:r>
      <w:r w:rsidR="00E47B61">
        <w:t xml:space="preserve">is willing to make admissions as to the </w:t>
      </w:r>
      <w:r w:rsidR="00F86DC4">
        <w:t>darker side of both subject’s characters</w:t>
      </w:r>
      <w:r w:rsidR="003B09DB">
        <w:rPr>
          <w:rStyle w:val="FootnoteReference"/>
        </w:rPr>
        <w:footnoteReference w:id="24"/>
      </w:r>
      <w:r w:rsidR="00F86DC4">
        <w:t xml:space="preserve">. From this quote, Plutarch </w:t>
      </w:r>
      <w:r w:rsidR="007229FF">
        <w:t xml:space="preserve">seems to want to create a not so perfect </w:t>
      </w:r>
      <w:r w:rsidR="00194DC0">
        <w:t>portrait of Lucullus or Cimon</w:t>
      </w:r>
      <w:r w:rsidR="00C30D58">
        <w:t>, h</w:t>
      </w:r>
      <w:r w:rsidR="006A443F">
        <w:t xml:space="preserve">e does not want to be exact </w:t>
      </w:r>
      <w:r w:rsidR="00130934">
        <w:t xml:space="preserve">as it is almost as if there is no such </w:t>
      </w:r>
      <w:r w:rsidR="00B720F4">
        <w:t>th</w:t>
      </w:r>
      <w:r w:rsidR="00130934">
        <w:t>ing as a perfect sight</w:t>
      </w:r>
      <w:r w:rsidR="00C30D58">
        <w:rPr>
          <w:rStyle w:val="FootnoteReference"/>
        </w:rPr>
        <w:footnoteReference w:id="25"/>
      </w:r>
      <w:r w:rsidR="006F53B9">
        <w:t xml:space="preserve">. </w:t>
      </w:r>
      <w:r w:rsidR="006F53B9">
        <w:lastRenderedPageBreak/>
        <w:t>Plutarch’s main aim is to be provide an accurate representation</w:t>
      </w:r>
      <w:r w:rsidR="003A33A0">
        <w:t xml:space="preserve"> of the subject of his biographies but create </w:t>
      </w:r>
      <w:r w:rsidR="00F5035F">
        <w:t>true images that are not excessive in either success or failure</w:t>
      </w:r>
      <w:r w:rsidR="00EB737C">
        <w:t>,</w:t>
      </w:r>
      <w:r w:rsidR="00A37F4E">
        <w:t xml:space="preserve"> </w:t>
      </w:r>
      <w:r w:rsidR="00EB737C">
        <w:t>i</w:t>
      </w:r>
      <w:r w:rsidR="002B2327">
        <w:t>n other words, balanced</w:t>
      </w:r>
      <w:r w:rsidR="00EB737C">
        <w:rPr>
          <w:rStyle w:val="FootnoteReference"/>
        </w:rPr>
        <w:footnoteReference w:id="26"/>
      </w:r>
      <w:r w:rsidR="00EB737C">
        <w:t xml:space="preserve">. </w:t>
      </w:r>
    </w:p>
    <w:p w14:paraId="05E7D670" w14:textId="156811C5" w:rsidR="002B2327" w:rsidRDefault="00B77FE0" w:rsidP="00025139">
      <w:r>
        <w:t>Rusch</w:t>
      </w:r>
      <w:r w:rsidR="00386936">
        <w:t xml:space="preserve"> </w:t>
      </w:r>
      <w:r w:rsidR="00D20AA9">
        <w:t xml:space="preserve">when addressing </w:t>
      </w:r>
      <w:r w:rsidR="005136D7">
        <w:t xml:space="preserve">the mirage argues that this is a benefit </w:t>
      </w:r>
      <w:r w:rsidR="000B6153">
        <w:t>that Plutarch brings</w:t>
      </w:r>
      <w:r w:rsidR="00EC4B62">
        <w:t xml:space="preserve"> the representation of Spartan leaders to life</w:t>
      </w:r>
      <w:r w:rsidR="00D20AA9">
        <w:rPr>
          <w:rStyle w:val="FootnoteReference"/>
        </w:rPr>
        <w:footnoteReference w:id="27"/>
      </w:r>
      <w:r w:rsidR="00EC4B62">
        <w:t xml:space="preserve">. By exploring their </w:t>
      </w:r>
      <w:r w:rsidR="00AD3884">
        <w:t>morals,</w:t>
      </w:r>
      <w:r w:rsidR="00EC4B62">
        <w:t xml:space="preserve"> we can see what the </w:t>
      </w:r>
      <w:r w:rsidR="00AD3884">
        <w:t>characteristics that make up the Spartan Identity</w:t>
      </w:r>
      <w:r w:rsidR="00C07616">
        <w:rPr>
          <w:rStyle w:val="FootnoteReference"/>
        </w:rPr>
        <w:footnoteReference w:id="28"/>
      </w:r>
      <w:r w:rsidR="00AD3884">
        <w:t>.</w:t>
      </w:r>
      <w:r w:rsidR="00316062">
        <w:t xml:space="preserve"> </w:t>
      </w:r>
      <w:r w:rsidR="00AD3884">
        <w:t xml:space="preserve"> </w:t>
      </w:r>
      <w:r w:rsidR="00586799">
        <w:t xml:space="preserve">Plutarch deliberately places a historical figure alongside someone who is </w:t>
      </w:r>
      <w:r w:rsidR="000A5065">
        <w:t>like</w:t>
      </w:r>
      <w:r w:rsidR="00586799">
        <w:t xml:space="preserve"> them in character</w:t>
      </w:r>
      <w:r w:rsidR="008F71ED">
        <w:t>, be it Greek and Roman or even Macedonian</w:t>
      </w:r>
      <w:r w:rsidR="00316062">
        <w:t>,</w:t>
      </w:r>
      <w:r w:rsidR="008F71ED">
        <w:t xml:space="preserve"> </w:t>
      </w:r>
      <w:r w:rsidR="00316062">
        <w:t>i</w:t>
      </w:r>
      <w:r w:rsidR="000A5065">
        <w:t xml:space="preserve">t allows the separation of Plutarch’s Image of Sparta </w:t>
      </w:r>
      <w:r w:rsidR="00E031FE">
        <w:t>to be brought out and be compared to a contemporary</w:t>
      </w:r>
      <w:r w:rsidR="00316062">
        <w:rPr>
          <w:rStyle w:val="FootnoteReference"/>
        </w:rPr>
        <w:footnoteReference w:id="29"/>
      </w:r>
      <w:r w:rsidR="00E031FE">
        <w:t xml:space="preserve">. In </w:t>
      </w:r>
      <w:r w:rsidR="006D49D6">
        <w:t>short,</w:t>
      </w:r>
      <w:r w:rsidR="00E031FE">
        <w:t xml:space="preserve"> a perfect opportunity </w:t>
      </w:r>
      <w:r w:rsidR="00DB0049">
        <w:t xml:space="preserve">to compare the life and profile of a Spartan to </w:t>
      </w:r>
      <w:r w:rsidR="006D49D6">
        <w:t xml:space="preserve">another member of an Ancient Civilisation. </w:t>
      </w:r>
      <w:r w:rsidR="00E031FE">
        <w:t xml:space="preserve"> </w:t>
      </w:r>
      <w:r w:rsidR="006D49D6">
        <w:t xml:space="preserve">By extension not just providing </w:t>
      </w:r>
      <w:r w:rsidR="00673B47">
        <w:t>us information</w:t>
      </w:r>
      <w:r w:rsidR="006D49D6">
        <w:t xml:space="preserve"> but also</w:t>
      </w:r>
      <w:r w:rsidR="00D0371E">
        <w:t xml:space="preserve"> comparing </w:t>
      </w:r>
      <w:r w:rsidR="003A215E">
        <w:t>of the Spartan way of life and to that of say Rome so we can see the unique culture</w:t>
      </w:r>
      <w:r w:rsidR="00673B47">
        <w:t xml:space="preserve"> this mysterious Greek Polis</w:t>
      </w:r>
      <w:r w:rsidR="00416397">
        <w:rPr>
          <w:rStyle w:val="FootnoteReference"/>
        </w:rPr>
        <w:footnoteReference w:id="30"/>
      </w:r>
      <w:r w:rsidR="00673B47">
        <w:t xml:space="preserve">. </w:t>
      </w:r>
      <w:r w:rsidR="00D173C8">
        <w:t xml:space="preserve"> </w:t>
      </w:r>
      <w:r w:rsidR="00777161">
        <w:t xml:space="preserve">For the </w:t>
      </w:r>
      <w:r w:rsidR="002A7422">
        <w:t>Mirage it permits us to identify what may be considered fact or fiction. Plutarch writes about various Spartan leaders and at least form a correlative point of view it is possible to form a history</w:t>
      </w:r>
      <w:r w:rsidR="00CB00F0">
        <w:t>, s</w:t>
      </w:r>
      <w:r w:rsidR="002A7422">
        <w:t xml:space="preserve">omething similar in the Spartan lives </w:t>
      </w:r>
      <w:r w:rsidR="00CC21C8">
        <w:t xml:space="preserve">that is seen throughout can be considered truth </w:t>
      </w:r>
      <w:r w:rsidR="00EB69C0">
        <w:t xml:space="preserve">and therefore exists, and starts the process of building on the mirage, </w:t>
      </w:r>
      <w:r w:rsidR="000569CF">
        <w:t>and moving into the realm of fact rather than idealism</w:t>
      </w:r>
      <w:r w:rsidR="00CB00F0">
        <w:rPr>
          <w:rStyle w:val="FootnoteReference"/>
        </w:rPr>
        <w:footnoteReference w:id="31"/>
      </w:r>
      <w:r w:rsidR="000569CF">
        <w:t xml:space="preserve">. </w:t>
      </w:r>
    </w:p>
    <w:p w14:paraId="6B0C493B" w14:textId="7A36324D" w:rsidR="000569CF" w:rsidRDefault="00847051" w:rsidP="00025139">
      <w:r>
        <w:t xml:space="preserve">So far it has been established that that Plutarch’s </w:t>
      </w:r>
      <w:r w:rsidR="00661F44">
        <w:rPr>
          <w:i/>
        </w:rPr>
        <w:t xml:space="preserve">Lives </w:t>
      </w:r>
      <w:r w:rsidR="00661F44">
        <w:t>contribute something the disestablishment of the mirage as they give a purview</w:t>
      </w:r>
      <w:r w:rsidR="006B6FD3">
        <w:t xml:space="preserve"> of the character and morality, safe to say that we can establish </w:t>
      </w:r>
      <w:r w:rsidR="00650B2F">
        <w:t xml:space="preserve">the values that Sparta upheld, yet it is the moralisation of the </w:t>
      </w:r>
      <w:r w:rsidR="00650B2F">
        <w:rPr>
          <w:i/>
        </w:rPr>
        <w:t xml:space="preserve">Lives </w:t>
      </w:r>
      <w:r w:rsidR="00650B2F">
        <w:t xml:space="preserve">that </w:t>
      </w:r>
      <w:r w:rsidR="009E2C70">
        <w:t xml:space="preserve">rather strengthens the mirage rather than disestablish it. The </w:t>
      </w:r>
      <w:r w:rsidR="009E2C70">
        <w:rPr>
          <w:i/>
        </w:rPr>
        <w:t xml:space="preserve">Lives </w:t>
      </w:r>
      <w:r w:rsidR="009E2C70">
        <w:t>are written as biographies</w:t>
      </w:r>
      <w:r w:rsidR="00400E88">
        <w:t xml:space="preserve">, stories of how Spartans led their lives and Plutarch’s observations </w:t>
      </w:r>
      <w:r w:rsidR="00C15C08">
        <w:t>on their morality</w:t>
      </w:r>
      <w:r w:rsidR="00BD424F">
        <w:rPr>
          <w:rStyle w:val="FootnoteReference"/>
        </w:rPr>
        <w:footnoteReference w:id="32"/>
      </w:r>
      <w:r w:rsidR="00C15C08">
        <w:t xml:space="preserve">. </w:t>
      </w:r>
      <w:r w:rsidR="00142D5A">
        <w:t>However,</w:t>
      </w:r>
      <w:r w:rsidR="00C15C08">
        <w:t xml:space="preserve"> Plutarch’s narrative of History is not conducive to that of a modern historical </w:t>
      </w:r>
      <w:r w:rsidR="00122BC6">
        <w:t xml:space="preserve">tradition. </w:t>
      </w:r>
      <w:r w:rsidR="00142D5A">
        <w:t xml:space="preserve">Plutarch solely reflects on morality and character, not other </w:t>
      </w:r>
      <w:r w:rsidR="006D2BCD">
        <w:t>historical and external events</w:t>
      </w:r>
      <w:r w:rsidR="00EC2FA5">
        <w:t xml:space="preserve"> during his discourses</w:t>
      </w:r>
      <w:r w:rsidR="00977ABF">
        <w:rPr>
          <w:rStyle w:val="FootnoteReference"/>
        </w:rPr>
        <w:footnoteReference w:id="33"/>
      </w:r>
      <w:r w:rsidR="00EC2FA5">
        <w:t xml:space="preserve">. </w:t>
      </w:r>
      <w:r w:rsidR="00473C7B">
        <w:t>Those major players in world events are merely relegated to a foot note to show character</w:t>
      </w:r>
      <w:r w:rsidR="00BD424F">
        <w:rPr>
          <w:rStyle w:val="FootnoteReference"/>
        </w:rPr>
        <w:footnoteReference w:id="34"/>
      </w:r>
      <w:r w:rsidR="00473C7B">
        <w:t xml:space="preserve">. </w:t>
      </w:r>
      <w:r w:rsidR="00D83374">
        <w:t xml:space="preserve">In the Life of Lycurgus Plutarch makes great </w:t>
      </w:r>
      <w:r w:rsidR="000B16E1">
        <w:t xml:space="preserve">efforts </w:t>
      </w:r>
      <w:r w:rsidR="00D83374">
        <w:t xml:space="preserve">to explain the influences that lead to reform but does not really address the </w:t>
      </w:r>
      <w:r w:rsidR="004D1B72">
        <w:t xml:space="preserve">wider historical impact other than the influence </w:t>
      </w:r>
      <w:r w:rsidR="007853F2">
        <w:t>on Sparta</w:t>
      </w:r>
      <w:r w:rsidR="00DB016C">
        <w:rPr>
          <w:rStyle w:val="FootnoteReference"/>
        </w:rPr>
        <w:footnoteReference w:id="35"/>
      </w:r>
      <w:r w:rsidR="007853F2">
        <w:t xml:space="preserve">. He mentions that there was descent and that it was </w:t>
      </w:r>
      <w:r w:rsidR="00620DF2">
        <w:t>destroyed but</w:t>
      </w:r>
      <w:r w:rsidR="007853F2">
        <w:t xml:space="preserve"> does not expand </w:t>
      </w:r>
      <w:r w:rsidR="00620DF2">
        <w:t>who lead it</w:t>
      </w:r>
      <w:r w:rsidR="008310C7">
        <w:rPr>
          <w:rStyle w:val="FootnoteReference"/>
        </w:rPr>
        <w:footnoteReference w:id="36"/>
      </w:r>
      <w:r w:rsidR="00620DF2">
        <w:t xml:space="preserve">. We know it happened but what </w:t>
      </w:r>
      <w:r w:rsidR="00875E91">
        <w:t>who</w:t>
      </w:r>
      <w:r w:rsidR="00620DF2">
        <w:t xml:space="preserve"> involved we do not. </w:t>
      </w:r>
      <w:r w:rsidR="009213EC">
        <w:t xml:space="preserve">As we do not get much historical evidence </w:t>
      </w:r>
      <w:r w:rsidR="007005DA">
        <w:t xml:space="preserve">from the </w:t>
      </w:r>
      <w:r w:rsidR="007005DA">
        <w:rPr>
          <w:i/>
        </w:rPr>
        <w:t xml:space="preserve">Lives </w:t>
      </w:r>
      <w:r w:rsidR="007005DA">
        <w:t xml:space="preserve">it is hard to build a wider picture than that portrayed within a life. </w:t>
      </w:r>
    </w:p>
    <w:p w14:paraId="166236ED" w14:textId="19FC2A17" w:rsidR="00E109B0" w:rsidRDefault="00026F30" w:rsidP="00025139">
      <w:r>
        <w:t xml:space="preserve">The </w:t>
      </w:r>
      <w:r w:rsidR="008C6DEA">
        <w:rPr>
          <w:i/>
        </w:rPr>
        <w:t xml:space="preserve">Lives </w:t>
      </w:r>
      <w:r w:rsidR="008C6DEA">
        <w:t xml:space="preserve">are written as a means of the readers self-improvement. By </w:t>
      </w:r>
      <w:r w:rsidR="00E50E30">
        <w:t xml:space="preserve">measuring themselves according to the </w:t>
      </w:r>
      <w:r w:rsidR="00E50E30">
        <w:rPr>
          <w:i/>
        </w:rPr>
        <w:t xml:space="preserve">Lives </w:t>
      </w:r>
      <w:r w:rsidR="00E50E30">
        <w:t xml:space="preserve">Plutarch hoped </w:t>
      </w:r>
      <w:r w:rsidR="00E34162">
        <w:t xml:space="preserve">that his readership </w:t>
      </w:r>
      <w:r w:rsidR="00B3240A">
        <w:t>would strived for self-improvement and to</w:t>
      </w:r>
      <w:r w:rsidR="00CA1022">
        <w:t xml:space="preserve"> better themselves and their morals</w:t>
      </w:r>
      <w:r w:rsidR="003750D3">
        <w:rPr>
          <w:rStyle w:val="FootnoteReference"/>
        </w:rPr>
        <w:footnoteReference w:id="37"/>
      </w:r>
      <w:r w:rsidR="00CA1022">
        <w:t xml:space="preserve">. This of course </w:t>
      </w:r>
      <w:r w:rsidR="003A3335">
        <w:t>relies on idealism rather than evidence. If we return to the start of this piece</w:t>
      </w:r>
      <w:r w:rsidR="007C2A4E">
        <w:t xml:space="preserve">, it was discussed that part of the problem </w:t>
      </w:r>
      <w:r w:rsidR="00453FC5">
        <w:t xml:space="preserve">with the mirage is that it is based on idealism. </w:t>
      </w:r>
      <w:r w:rsidR="00317BAB">
        <w:t xml:space="preserve">If Plutarch deliberately wrote the </w:t>
      </w:r>
      <w:r w:rsidR="00317BAB">
        <w:rPr>
          <w:i/>
        </w:rPr>
        <w:t xml:space="preserve">Lives </w:t>
      </w:r>
      <w:r w:rsidR="00317BAB">
        <w:t xml:space="preserve">to be thought </w:t>
      </w:r>
      <w:r w:rsidR="005B67F8">
        <w:t>provoking,</w:t>
      </w:r>
      <w:r w:rsidR="00317BAB">
        <w:t xml:space="preserve"> </w:t>
      </w:r>
      <w:r w:rsidR="0055436D">
        <w:t xml:space="preserve">then it can be argued that he is hoping to provoke </w:t>
      </w:r>
      <w:r w:rsidR="005B67F8">
        <w:t xml:space="preserve">idealism. Yes, Plutarch aimed to create a realistic image of those </w:t>
      </w:r>
      <w:r w:rsidR="005B67F8">
        <w:lastRenderedPageBreak/>
        <w:t xml:space="preserve">he portrayed in the </w:t>
      </w:r>
      <w:r w:rsidR="005B67F8">
        <w:rPr>
          <w:i/>
        </w:rPr>
        <w:t xml:space="preserve">Lives </w:t>
      </w:r>
      <w:r w:rsidR="00022701">
        <w:t>but to provoke thought and idealism</w:t>
      </w:r>
      <w:r w:rsidR="00E71949">
        <w:rPr>
          <w:rStyle w:val="FootnoteReference"/>
        </w:rPr>
        <w:footnoteReference w:id="38"/>
      </w:r>
      <w:r w:rsidR="00022701">
        <w:t xml:space="preserve">. </w:t>
      </w:r>
      <w:r w:rsidR="00AC3E6C">
        <w:t xml:space="preserve">In effect, it promotes one of the very things that Rahe states promotes the </w:t>
      </w:r>
      <w:r w:rsidR="009B2171">
        <w:t xml:space="preserve">Mirage, idealism. </w:t>
      </w:r>
      <w:r w:rsidR="00CD474E">
        <w:t xml:space="preserve">With that and the lack </w:t>
      </w:r>
      <w:r w:rsidR="00216E6F">
        <w:t xml:space="preserve">of evidence </w:t>
      </w:r>
      <w:r w:rsidR="0091348E">
        <w:t xml:space="preserve">most of what Plutarch suggests happened </w:t>
      </w:r>
      <w:r w:rsidR="00896007">
        <w:t xml:space="preserve">is mere speculation, </w:t>
      </w:r>
      <w:r w:rsidR="005E3731">
        <w:t>evidence</w:t>
      </w:r>
      <w:r w:rsidR="00896007">
        <w:t xml:space="preserve"> suggests It may very well be tru</w:t>
      </w:r>
      <w:r w:rsidR="00BC6E08">
        <w:t>e</w:t>
      </w:r>
      <w:r w:rsidR="00896007">
        <w:t xml:space="preserve">, but we cannot be absolutely </w:t>
      </w:r>
      <w:r w:rsidR="005E3731">
        <w:t>shore</w:t>
      </w:r>
      <w:r w:rsidR="005A77D0">
        <w:rPr>
          <w:rStyle w:val="FootnoteReference"/>
        </w:rPr>
        <w:footnoteReference w:id="39"/>
      </w:r>
      <w:r w:rsidR="005E3731">
        <w:t xml:space="preserve">. </w:t>
      </w:r>
      <w:r w:rsidR="00BC6E08">
        <w:t xml:space="preserve">This </w:t>
      </w:r>
      <w:r w:rsidR="00C80149">
        <w:t>ever-dangling</w:t>
      </w:r>
      <w:r w:rsidR="009873D1">
        <w:t xml:space="preserve"> sense of idealism really resonates with what Hume </w:t>
      </w:r>
      <w:r w:rsidR="002D4A4A">
        <w:t xml:space="preserve">has to say, that if something is based upon </w:t>
      </w:r>
      <w:r w:rsidR="00DC59F9">
        <w:t xml:space="preserve">philosophy </w:t>
      </w:r>
      <w:r w:rsidR="00E37C3D">
        <w:t xml:space="preserve">it could very well just be whimsical.   </w:t>
      </w:r>
    </w:p>
    <w:p w14:paraId="6F2966A0" w14:textId="02D35C89" w:rsidR="0082559D" w:rsidRPr="00EE62DD" w:rsidRDefault="0056424E" w:rsidP="00025139">
      <w:r>
        <w:t xml:space="preserve">In conclusion to this piece </w:t>
      </w:r>
      <w:r w:rsidR="00AF6881">
        <w:t xml:space="preserve">the relationship between the works of Plutarch specifically </w:t>
      </w:r>
      <w:r w:rsidR="00485092">
        <w:t xml:space="preserve">the </w:t>
      </w:r>
      <w:r w:rsidR="00485092">
        <w:rPr>
          <w:i/>
        </w:rPr>
        <w:t xml:space="preserve">Lives </w:t>
      </w:r>
      <w:r w:rsidR="00485092">
        <w:t xml:space="preserve">with the Mirage is </w:t>
      </w:r>
      <w:r w:rsidR="00E644FF">
        <w:t xml:space="preserve">outwardly linked particularly at the basis </w:t>
      </w:r>
      <w:r w:rsidR="00570E6D">
        <w:t>of the mirage. Plutarch is used to fill the gaps in knowledg</w:t>
      </w:r>
      <w:r w:rsidR="00261EBD">
        <w:t xml:space="preserve">e in terms of fact that is </w:t>
      </w:r>
      <w:r w:rsidR="008A158E">
        <w:t xml:space="preserve">not available die to the mirage and a lack of evidence </w:t>
      </w:r>
      <w:r w:rsidR="004B31C6">
        <w:t>generally due to the shroud of secrecy that surrounds Sparta. Nor Is</w:t>
      </w:r>
      <w:r w:rsidR="000F3B6B">
        <w:t xml:space="preserve"> there an</w:t>
      </w:r>
      <w:r w:rsidR="004B31C6">
        <w:t xml:space="preserve"> agreed point of view </w:t>
      </w:r>
      <w:r w:rsidR="000F3B6B">
        <w:t xml:space="preserve">within Ancient Scholarship but also Modern Scholarship. Plutarch through his analysis </w:t>
      </w:r>
      <w:r w:rsidR="00EE62DD">
        <w:t xml:space="preserve">of the Spartan subjects of his </w:t>
      </w:r>
      <w:r w:rsidR="00EE62DD">
        <w:rPr>
          <w:i/>
        </w:rPr>
        <w:t xml:space="preserve">Lives </w:t>
      </w:r>
      <w:r w:rsidR="006B4871">
        <w:t xml:space="preserve">allows a glimpse into the Spartan way of life and their values. </w:t>
      </w:r>
      <w:r w:rsidR="001D4CD3">
        <w:t>However,</w:t>
      </w:r>
      <w:r w:rsidR="006B4871">
        <w:t xml:space="preserve"> </w:t>
      </w:r>
      <w:r w:rsidR="00D316F9">
        <w:t xml:space="preserve">it does not provide facts of the wider world other than that are relevant to the life story that is being told. </w:t>
      </w:r>
      <w:r w:rsidR="001D4CD3">
        <w:t xml:space="preserve">As a result, we do not get the full contextual </w:t>
      </w:r>
      <w:r w:rsidR="00275201">
        <w:t>history of why the actions described occur. Other players in the scenario related to the foo</w:t>
      </w:r>
      <w:r w:rsidR="00D40B45">
        <w:t xml:space="preserve">tnotes of history. </w:t>
      </w:r>
      <w:r w:rsidR="003330AB">
        <w:t xml:space="preserve">The </w:t>
      </w:r>
      <w:r w:rsidR="003330AB">
        <w:rPr>
          <w:i/>
        </w:rPr>
        <w:t xml:space="preserve">Lives </w:t>
      </w:r>
      <w:r w:rsidR="003330AB">
        <w:t xml:space="preserve">are </w:t>
      </w:r>
      <w:r w:rsidR="004307B7">
        <w:t xml:space="preserve">written as </w:t>
      </w:r>
      <w:r w:rsidR="004374EA">
        <w:t xml:space="preserve">tales of morality, the intention is not to tell the story of history rather it is to force the readers to question themselves </w:t>
      </w:r>
      <w:r w:rsidR="005031F0">
        <w:t xml:space="preserve">and to self-improve which </w:t>
      </w:r>
      <w:proofErr w:type="gramStart"/>
      <w:r w:rsidR="0008006E">
        <w:t>in regard to</w:t>
      </w:r>
      <w:proofErr w:type="gramEnd"/>
      <w:r w:rsidR="005031F0">
        <w:t xml:space="preserve"> Sparta resonate the stereotypical values that are associated with the Spartan Mirage.    </w:t>
      </w:r>
      <w:r w:rsidR="001D4CD3">
        <w:t xml:space="preserve"> </w:t>
      </w:r>
    </w:p>
    <w:p w14:paraId="44627E27" w14:textId="77777777" w:rsidR="00E37C3D" w:rsidRPr="005B67F8" w:rsidRDefault="00E37C3D" w:rsidP="00025139"/>
    <w:p w14:paraId="2AC5C4B9" w14:textId="1B00C4DF" w:rsidR="00A37F4E" w:rsidRPr="00086E28" w:rsidRDefault="00311E4B" w:rsidP="00025139">
      <w:pPr>
        <w:rPr>
          <w:b/>
        </w:rPr>
      </w:pPr>
      <w:r w:rsidRPr="00086E28">
        <w:rPr>
          <w:b/>
        </w:rPr>
        <w:t xml:space="preserve">Bibliography: </w:t>
      </w:r>
    </w:p>
    <w:p w14:paraId="1F84254B" w14:textId="1CF69033" w:rsidR="00311E4B" w:rsidRPr="00086E28" w:rsidRDefault="00311E4B" w:rsidP="00025139">
      <w:pPr>
        <w:rPr>
          <w:b/>
        </w:rPr>
      </w:pPr>
      <w:r w:rsidRPr="00086E28">
        <w:rPr>
          <w:b/>
        </w:rPr>
        <w:t xml:space="preserve">Ancient Sources: </w:t>
      </w:r>
    </w:p>
    <w:p w14:paraId="3A06B976" w14:textId="734C7285" w:rsidR="00310559" w:rsidRDefault="00310559" w:rsidP="00025139">
      <w:r w:rsidRPr="00310559">
        <w:t>Plato, Laws, Trevor Saunders (trans). 1970, Penguin Books: Harmondsworth</w:t>
      </w:r>
    </w:p>
    <w:p w14:paraId="36EFB823" w14:textId="52F5D92F" w:rsidR="00F747F6" w:rsidRDefault="00F747F6" w:rsidP="00025139">
      <w:r w:rsidRPr="00F747F6">
        <w:t>Plutarch, Parallel Lives, Perrin, B (trans). 1955, Cambridge: Harvard University Press</w:t>
      </w:r>
      <w:r w:rsidR="00D378DC">
        <w:t xml:space="preserve"> </w:t>
      </w:r>
    </w:p>
    <w:p w14:paraId="3C279254" w14:textId="4E2301D0" w:rsidR="00311E4B" w:rsidRDefault="00311E4B" w:rsidP="00025139">
      <w:pPr>
        <w:rPr>
          <w:b/>
        </w:rPr>
      </w:pPr>
      <w:r w:rsidRPr="00086E28">
        <w:rPr>
          <w:b/>
        </w:rPr>
        <w:t xml:space="preserve">Modern Sources: </w:t>
      </w:r>
    </w:p>
    <w:p w14:paraId="30095644" w14:textId="5F2AE009" w:rsidR="00E02406" w:rsidRDefault="005E694B" w:rsidP="00025139">
      <w:pPr>
        <w:rPr>
          <w:color w:val="000000" w:themeColor="text1"/>
        </w:rPr>
      </w:pPr>
      <w:r>
        <w:t xml:space="preserve">Mossman, J. </w:t>
      </w:r>
      <w:r w:rsidR="00871C91">
        <w:t>‘</w:t>
      </w:r>
      <w:r w:rsidR="00343799" w:rsidRPr="00343799">
        <w:t>Why Study Plutarch with Judith Mossman</w:t>
      </w:r>
      <w:r w:rsidR="00343799">
        <w:t>’</w:t>
      </w:r>
      <w:r w:rsidR="008915E5">
        <w:t xml:space="preserve"> 2016. </w:t>
      </w:r>
      <w:r w:rsidR="000956F9">
        <w:t xml:space="preserve">Youtube.com. </w:t>
      </w:r>
      <w:hyperlink r:id="rId8" w:history="1">
        <w:r w:rsidR="000956F9" w:rsidRPr="005B2D6A">
          <w:rPr>
            <w:rStyle w:val="Hyperlink"/>
            <w:color w:val="000000" w:themeColor="text1"/>
          </w:rPr>
          <w:t>https://www.youtube.com/watch?v=w4awT9lx-oY&amp;feature=youtu.be</w:t>
        </w:r>
      </w:hyperlink>
      <w:r w:rsidR="000956F9" w:rsidRPr="000956F9">
        <w:rPr>
          <w:color w:val="000000" w:themeColor="text1"/>
        </w:rPr>
        <w:t xml:space="preserve"> </w:t>
      </w:r>
      <w:r w:rsidR="00FC0B60">
        <w:rPr>
          <w:color w:val="000000" w:themeColor="text1"/>
        </w:rPr>
        <w:t>[Accessed</w:t>
      </w:r>
      <w:r w:rsidR="005B2D6A">
        <w:rPr>
          <w:color w:val="000000" w:themeColor="text1"/>
        </w:rPr>
        <w:t>:</w:t>
      </w:r>
      <w:r w:rsidR="00FC0B60">
        <w:rPr>
          <w:color w:val="000000" w:themeColor="text1"/>
        </w:rPr>
        <w:t xml:space="preserve"> 18</w:t>
      </w:r>
      <w:r w:rsidR="00FC0B60" w:rsidRPr="00FC0B60">
        <w:rPr>
          <w:color w:val="000000" w:themeColor="text1"/>
          <w:vertAlign w:val="superscript"/>
        </w:rPr>
        <w:t>th</w:t>
      </w:r>
      <w:r w:rsidR="00FC0B60">
        <w:rPr>
          <w:color w:val="000000" w:themeColor="text1"/>
        </w:rPr>
        <w:t xml:space="preserve"> May 2018]. </w:t>
      </w:r>
    </w:p>
    <w:p w14:paraId="0AE19E80" w14:textId="50322C36" w:rsidR="009F7A9E" w:rsidRDefault="009F7A9E" w:rsidP="00025139">
      <w:pPr>
        <w:rPr>
          <w:color w:val="000000" w:themeColor="text1"/>
        </w:rPr>
      </w:pPr>
      <w:r>
        <w:rPr>
          <w:color w:val="000000" w:themeColor="text1"/>
        </w:rPr>
        <w:t xml:space="preserve">Ober, J. </w:t>
      </w:r>
      <w:r w:rsidR="000E5135">
        <w:rPr>
          <w:color w:val="000000" w:themeColor="text1"/>
        </w:rPr>
        <w:t>1996. The Athenian Revolution</w:t>
      </w:r>
      <w:r w:rsidR="00CF03B7">
        <w:rPr>
          <w:color w:val="000000" w:themeColor="text1"/>
        </w:rPr>
        <w:t xml:space="preserve">, Princeton: Princeton University Press </w:t>
      </w:r>
    </w:p>
    <w:p w14:paraId="0203DBDF" w14:textId="67EA9296" w:rsidR="008E1AFA" w:rsidRPr="005E694B" w:rsidRDefault="008E1AFA" w:rsidP="00025139">
      <w:r>
        <w:t xml:space="preserve">Pelling, </w:t>
      </w:r>
      <w:r w:rsidR="00FF53E6">
        <w:t>C. ‘</w:t>
      </w:r>
      <w:r w:rsidR="00B508A5">
        <w:t>Plutarch and Morals’ 2010. Yutube.com</w:t>
      </w:r>
      <w:r w:rsidR="005B2D6A">
        <w:t xml:space="preserve">. </w:t>
      </w:r>
      <w:hyperlink r:id="rId9" w:history="1">
        <w:r w:rsidR="005B2D6A" w:rsidRPr="008F2CC9">
          <w:rPr>
            <w:rStyle w:val="Hyperlink"/>
            <w:color w:val="000000" w:themeColor="text1"/>
          </w:rPr>
          <w:t>https://www.youtube.com/watch?v=nYWTQnOOB_0&amp;feature=youtu.be</w:t>
        </w:r>
      </w:hyperlink>
      <w:r w:rsidR="005B2D6A" w:rsidRPr="005B2D6A">
        <w:rPr>
          <w:color w:val="000000" w:themeColor="text1"/>
          <w:u w:val="single"/>
        </w:rPr>
        <w:t>.</w:t>
      </w:r>
      <w:r w:rsidR="005B2D6A" w:rsidRPr="005B2D6A">
        <w:rPr>
          <w:color w:val="000000" w:themeColor="text1"/>
        </w:rPr>
        <w:t xml:space="preserve"> </w:t>
      </w:r>
      <w:r w:rsidR="005B2D6A">
        <w:rPr>
          <w:color w:val="000000" w:themeColor="text1"/>
        </w:rPr>
        <w:t xml:space="preserve"> [Accessed: 18</w:t>
      </w:r>
      <w:r w:rsidR="005B2D6A" w:rsidRPr="005B2D6A">
        <w:rPr>
          <w:color w:val="000000" w:themeColor="text1"/>
          <w:vertAlign w:val="superscript"/>
        </w:rPr>
        <w:t>th</w:t>
      </w:r>
      <w:r w:rsidR="005B2D6A">
        <w:rPr>
          <w:color w:val="000000" w:themeColor="text1"/>
        </w:rPr>
        <w:t xml:space="preserve"> May 2018</w:t>
      </w:r>
      <w:r w:rsidR="0065260F">
        <w:rPr>
          <w:color w:val="000000" w:themeColor="text1"/>
        </w:rPr>
        <w:t>].</w:t>
      </w:r>
    </w:p>
    <w:p w14:paraId="5241B601" w14:textId="19E054D4" w:rsidR="00E02406" w:rsidRPr="00E02406" w:rsidRDefault="00E02406" w:rsidP="00025139">
      <w:r w:rsidRPr="00E02406">
        <w:t>Powell, A. 1988. Athens and Sparta: Constructing Greek Political and Social history from 478 BC, Routledge: New York</w:t>
      </w:r>
    </w:p>
    <w:p w14:paraId="20BA0F57" w14:textId="77777777" w:rsidR="00086E28" w:rsidRDefault="00086E28" w:rsidP="00086E28">
      <w:r>
        <w:t>Rahe, P. 2016. The Spartan Regime, Yale University Press: New Haven and London</w:t>
      </w:r>
    </w:p>
    <w:p w14:paraId="4DF095ED" w14:textId="6376D946" w:rsidR="00066EE8" w:rsidRDefault="00086E28" w:rsidP="00086E28">
      <w:r>
        <w:t xml:space="preserve">Rusche, S. 2011. Sparta at War: strategy, </w:t>
      </w:r>
      <w:proofErr w:type="gramStart"/>
      <w:r>
        <w:t>tactics</w:t>
      </w:r>
      <w:proofErr w:type="gramEnd"/>
      <w:r>
        <w:t xml:space="preserve"> and campaigns, 550 – 362 BC, Frontline Books: London</w:t>
      </w:r>
    </w:p>
    <w:p w14:paraId="617A4F7C" w14:textId="69421ABF" w:rsidR="008C545E" w:rsidRDefault="008C545E" w:rsidP="00086E28">
      <w:r>
        <w:t xml:space="preserve">Stadter, </w:t>
      </w:r>
      <w:r w:rsidR="00597C16">
        <w:t xml:space="preserve">P. ‘Plutarch and His Roman Readers’ </w:t>
      </w:r>
      <w:r w:rsidR="0065260F">
        <w:t xml:space="preserve">2014. </w:t>
      </w:r>
      <w:r w:rsidR="00B45D4E">
        <w:t>O</w:t>
      </w:r>
      <w:r w:rsidR="0065260F">
        <w:t>xfordscholarship</w:t>
      </w:r>
      <w:r w:rsidR="00B45D4E">
        <w:t xml:space="preserve">online.com. </w:t>
      </w:r>
      <w:hyperlink r:id="rId10" w:history="1">
        <w:r w:rsidR="00B45D4E" w:rsidRPr="00B45D4E">
          <w:rPr>
            <w:rStyle w:val="Hyperlink"/>
            <w:color w:val="000000" w:themeColor="text1"/>
          </w:rPr>
          <w:t>http://www.oxfordscholarship.com.ezproxy.uwtsd.ac.uk/view/10.1093/acprof:oso/9780198718338.001.0001/acprof-9780198718338-chapter-1</w:t>
        </w:r>
      </w:hyperlink>
      <w:r w:rsidR="00B45D4E">
        <w:t xml:space="preserve">. </w:t>
      </w:r>
      <w:r w:rsidR="00926B79">
        <w:t>[Accessed 18</w:t>
      </w:r>
      <w:r w:rsidR="00926B79" w:rsidRPr="00926B79">
        <w:rPr>
          <w:vertAlign w:val="superscript"/>
        </w:rPr>
        <w:t>th</w:t>
      </w:r>
      <w:r w:rsidR="00926B79">
        <w:t xml:space="preserve"> May </w:t>
      </w:r>
      <w:r w:rsidR="00EF7C52">
        <w:t xml:space="preserve">2018]. </w:t>
      </w:r>
    </w:p>
    <w:p w14:paraId="282DB588" w14:textId="77777777" w:rsidR="00086E28" w:rsidRPr="00025139" w:rsidRDefault="00086E28" w:rsidP="00086E28"/>
    <w:sectPr w:rsidR="00086E28" w:rsidRPr="000251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71FDD" w14:textId="77777777" w:rsidR="005F7FA6" w:rsidRDefault="005F7FA6" w:rsidP="005031F0">
      <w:pPr>
        <w:spacing w:after="0" w:line="240" w:lineRule="auto"/>
      </w:pPr>
      <w:r>
        <w:separator/>
      </w:r>
    </w:p>
  </w:endnote>
  <w:endnote w:type="continuationSeparator" w:id="0">
    <w:p w14:paraId="238BF05D" w14:textId="77777777" w:rsidR="005F7FA6" w:rsidRDefault="005F7FA6" w:rsidP="00503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16C20" w14:textId="77777777" w:rsidR="005F7FA6" w:rsidRDefault="005F7FA6" w:rsidP="005031F0">
      <w:pPr>
        <w:spacing w:after="0" w:line="240" w:lineRule="auto"/>
      </w:pPr>
      <w:r>
        <w:separator/>
      </w:r>
    </w:p>
  </w:footnote>
  <w:footnote w:type="continuationSeparator" w:id="0">
    <w:p w14:paraId="1070B7EF" w14:textId="77777777" w:rsidR="005F7FA6" w:rsidRDefault="005F7FA6" w:rsidP="005031F0">
      <w:pPr>
        <w:spacing w:after="0" w:line="240" w:lineRule="auto"/>
      </w:pPr>
      <w:r>
        <w:continuationSeparator/>
      </w:r>
    </w:p>
  </w:footnote>
  <w:footnote w:id="1">
    <w:p w14:paraId="65B2DB36" w14:textId="4E81E7F5" w:rsidR="005031F0" w:rsidRDefault="005031F0">
      <w:pPr>
        <w:pStyle w:val="FootnoteText"/>
      </w:pPr>
      <w:r>
        <w:rPr>
          <w:rStyle w:val="FootnoteReference"/>
        </w:rPr>
        <w:footnoteRef/>
      </w:r>
      <w:r>
        <w:t xml:space="preserve"> </w:t>
      </w:r>
      <w:r w:rsidR="00A770E1" w:rsidRPr="00A770E1">
        <w:t xml:space="preserve">Rahe 2016: </w:t>
      </w:r>
      <w:r w:rsidR="00A10617">
        <w:t>1</w:t>
      </w:r>
    </w:p>
  </w:footnote>
  <w:footnote w:id="2">
    <w:p w14:paraId="7824AAD3" w14:textId="119FE15E" w:rsidR="005031F0" w:rsidRDefault="005031F0">
      <w:pPr>
        <w:pStyle w:val="FootnoteText"/>
      </w:pPr>
      <w:r>
        <w:rPr>
          <w:rStyle w:val="FootnoteReference"/>
        </w:rPr>
        <w:footnoteRef/>
      </w:r>
      <w:r>
        <w:t xml:space="preserve"> </w:t>
      </w:r>
      <w:r w:rsidR="00A10617" w:rsidRPr="00A10617">
        <w:t xml:space="preserve">Rahe 2016: </w:t>
      </w:r>
      <w:r w:rsidR="00A10617">
        <w:t>1</w:t>
      </w:r>
    </w:p>
  </w:footnote>
  <w:footnote w:id="3">
    <w:p w14:paraId="2106E5C0" w14:textId="7C8C9B08" w:rsidR="005031F0" w:rsidRDefault="005031F0">
      <w:pPr>
        <w:pStyle w:val="FootnoteText"/>
      </w:pPr>
      <w:r>
        <w:rPr>
          <w:rStyle w:val="FootnoteReference"/>
        </w:rPr>
        <w:footnoteRef/>
      </w:r>
      <w:r>
        <w:t xml:space="preserve"> </w:t>
      </w:r>
      <w:r w:rsidR="00A10617" w:rsidRPr="00A10617">
        <w:t>Rahe 2016: 1</w:t>
      </w:r>
    </w:p>
  </w:footnote>
  <w:footnote w:id="4">
    <w:p w14:paraId="2392834A" w14:textId="63117890" w:rsidR="005031F0" w:rsidRDefault="005031F0">
      <w:pPr>
        <w:pStyle w:val="FootnoteText"/>
      </w:pPr>
      <w:r>
        <w:rPr>
          <w:rStyle w:val="FootnoteReference"/>
        </w:rPr>
        <w:footnoteRef/>
      </w:r>
      <w:r>
        <w:t xml:space="preserve"> </w:t>
      </w:r>
      <w:r w:rsidR="00A10617" w:rsidRPr="00A10617">
        <w:t xml:space="preserve">Rahe 2016: </w:t>
      </w:r>
      <w:r w:rsidR="00A10617">
        <w:t>2</w:t>
      </w:r>
    </w:p>
  </w:footnote>
  <w:footnote w:id="5">
    <w:p w14:paraId="3FD6B719" w14:textId="6E2361AD" w:rsidR="005031F0" w:rsidRDefault="005031F0">
      <w:pPr>
        <w:pStyle w:val="FootnoteText"/>
      </w:pPr>
      <w:r>
        <w:rPr>
          <w:rStyle w:val="FootnoteReference"/>
        </w:rPr>
        <w:footnoteRef/>
      </w:r>
      <w:r w:rsidR="00FF5729">
        <w:t xml:space="preserve"> </w:t>
      </w:r>
      <w:r w:rsidR="00FF5729" w:rsidRPr="00FF5729">
        <w:t>Plat. Laws 3.693</w:t>
      </w:r>
    </w:p>
  </w:footnote>
  <w:footnote w:id="6">
    <w:p w14:paraId="6F17D108" w14:textId="75F432AA" w:rsidR="005031F0" w:rsidRDefault="005031F0">
      <w:pPr>
        <w:pStyle w:val="FootnoteText"/>
      </w:pPr>
      <w:r>
        <w:rPr>
          <w:rStyle w:val="FootnoteReference"/>
        </w:rPr>
        <w:footnoteRef/>
      </w:r>
      <w:r>
        <w:t xml:space="preserve"> </w:t>
      </w:r>
      <w:r w:rsidR="00FF5729" w:rsidRPr="00FF5729">
        <w:t>Rahe 2016: 1</w:t>
      </w:r>
    </w:p>
  </w:footnote>
  <w:footnote w:id="7">
    <w:p w14:paraId="067E97F3" w14:textId="43EF21C5" w:rsidR="005031F0" w:rsidRDefault="005031F0">
      <w:pPr>
        <w:pStyle w:val="FootnoteText"/>
      </w:pPr>
      <w:r>
        <w:rPr>
          <w:rStyle w:val="FootnoteReference"/>
        </w:rPr>
        <w:footnoteRef/>
      </w:r>
      <w:r>
        <w:t xml:space="preserve"> </w:t>
      </w:r>
      <w:r w:rsidR="00FF5729" w:rsidRPr="00FF5729">
        <w:t xml:space="preserve">Rahe 2016: </w:t>
      </w:r>
      <w:r w:rsidR="00FF5729">
        <w:t>4</w:t>
      </w:r>
    </w:p>
  </w:footnote>
  <w:footnote w:id="8">
    <w:p w14:paraId="5E88D74C" w14:textId="457A2509" w:rsidR="005031F0" w:rsidRDefault="005031F0">
      <w:pPr>
        <w:pStyle w:val="FootnoteText"/>
      </w:pPr>
      <w:r>
        <w:rPr>
          <w:rStyle w:val="FootnoteReference"/>
        </w:rPr>
        <w:footnoteRef/>
      </w:r>
      <w:r>
        <w:t xml:space="preserve"> </w:t>
      </w:r>
      <w:bookmarkStart w:id="0" w:name="_Hlk514420125"/>
      <w:r w:rsidR="008733B4">
        <w:t xml:space="preserve">Rahe 2016: 3 </w:t>
      </w:r>
      <w:bookmarkEnd w:id="0"/>
    </w:p>
  </w:footnote>
  <w:footnote w:id="9">
    <w:p w14:paraId="2DD441DE" w14:textId="6E360F3A" w:rsidR="00433074" w:rsidRDefault="00433074">
      <w:pPr>
        <w:pStyle w:val="FootnoteText"/>
      </w:pPr>
      <w:r>
        <w:rPr>
          <w:rStyle w:val="FootnoteReference"/>
        </w:rPr>
        <w:footnoteRef/>
      </w:r>
      <w:r>
        <w:t xml:space="preserve"> </w:t>
      </w:r>
      <w:bookmarkStart w:id="2" w:name="_Hlk514417202"/>
      <w:r w:rsidR="00680BC7">
        <w:t xml:space="preserve">Mossman </w:t>
      </w:r>
      <w:r w:rsidR="00B46E4F">
        <w:t xml:space="preserve">2016. </w:t>
      </w:r>
      <w:bookmarkEnd w:id="2"/>
    </w:p>
  </w:footnote>
  <w:footnote w:id="10">
    <w:p w14:paraId="48A47290" w14:textId="19D98A34" w:rsidR="00B46E4F" w:rsidRDefault="00B46E4F">
      <w:pPr>
        <w:pStyle w:val="FootnoteText"/>
      </w:pPr>
      <w:r>
        <w:rPr>
          <w:rStyle w:val="FootnoteReference"/>
        </w:rPr>
        <w:footnoteRef/>
      </w:r>
      <w:r>
        <w:t xml:space="preserve"> </w:t>
      </w:r>
      <w:r w:rsidRPr="00B46E4F">
        <w:t>Mossman 2016.</w:t>
      </w:r>
    </w:p>
  </w:footnote>
  <w:footnote w:id="11">
    <w:p w14:paraId="5B1DBA3B" w14:textId="6AF39D22" w:rsidR="00B46E4F" w:rsidRDefault="00B46E4F">
      <w:pPr>
        <w:pStyle w:val="FootnoteText"/>
      </w:pPr>
      <w:r>
        <w:rPr>
          <w:rStyle w:val="FootnoteReference"/>
        </w:rPr>
        <w:footnoteRef/>
      </w:r>
      <w:r>
        <w:t xml:space="preserve"> </w:t>
      </w:r>
      <w:r w:rsidRPr="00B46E4F">
        <w:t>Mossman 2016.</w:t>
      </w:r>
    </w:p>
  </w:footnote>
  <w:footnote w:id="12">
    <w:p w14:paraId="14FE9295" w14:textId="1AB99501" w:rsidR="00B46E4F" w:rsidRDefault="00B46E4F">
      <w:pPr>
        <w:pStyle w:val="FootnoteText"/>
      </w:pPr>
      <w:r>
        <w:rPr>
          <w:rStyle w:val="FootnoteReference"/>
        </w:rPr>
        <w:footnoteRef/>
      </w:r>
      <w:r>
        <w:t xml:space="preserve"> </w:t>
      </w:r>
      <w:r w:rsidRPr="00B46E4F">
        <w:t>Mossman 2016.</w:t>
      </w:r>
    </w:p>
  </w:footnote>
  <w:footnote w:id="13">
    <w:p w14:paraId="51D81106" w14:textId="4D2EBD52" w:rsidR="00274566" w:rsidRDefault="00274566">
      <w:pPr>
        <w:pStyle w:val="FootnoteText"/>
      </w:pPr>
      <w:r>
        <w:rPr>
          <w:rStyle w:val="FootnoteReference"/>
        </w:rPr>
        <w:footnoteRef/>
      </w:r>
      <w:r>
        <w:t xml:space="preserve"> </w:t>
      </w:r>
      <w:r w:rsidRPr="00274566">
        <w:t>Mossman 2016.</w:t>
      </w:r>
    </w:p>
  </w:footnote>
  <w:footnote w:id="14">
    <w:p w14:paraId="25765D10" w14:textId="3B326E51" w:rsidR="00AE3CB9" w:rsidRDefault="00AE3CB9">
      <w:pPr>
        <w:pStyle w:val="FootnoteText"/>
      </w:pPr>
      <w:r>
        <w:rPr>
          <w:rStyle w:val="FootnoteReference"/>
        </w:rPr>
        <w:footnoteRef/>
      </w:r>
      <w:r>
        <w:t xml:space="preserve"> </w:t>
      </w:r>
      <w:r w:rsidR="00C77D04" w:rsidRPr="00C77D04">
        <w:t>Plut. Comp. Lyc. Num. 2.1</w:t>
      </w:r>
    </w:p>
  </w:footnote>
  <w:footnote w:id="15">
    <w:p w14:paraId="08D7AA21" w14:textId="238B89CE" w:rsidR="00AE3CB9" w:rsidRDefault="00AE3CB9">
      <w:pPr>
        <w:pStyle w:val="FootnoteText"/>
      </w:pPr>
      <w:r>
        <w:rPr>
          <w:rStyle w:val="FootnoteReference"/>
        </w:rPr>
        <w:footnoteRef/>
      </w:r>
      <w:r>
        <w:t xml:space="preserve"> </w:t>
      </w:r>
      <w:r w:rsidR="00702F8C" w:rsidRPr="00702F8C">
        <w:t>Plut. Comp. Lyc. Num. 2.3</w:t>
      </w:r>
    </w:p>
  </w:footnote>
  <w:footnote w:id="16">
    <w:p w14:paraId="4D15EEA0" w14:textId="59FAD0BB" w:rsidR="0008006E" w:rsidRDefault="0008006E">
      <w:pPr>
        <w:pStyle w:val="FootnoteText"/>
      </w:pPr>
      <w:r>
        <w:rPr>
          <w:rStyle w:val="FootnoteReference"/>
        </w:rPr>
        <w:footnoteRef/>
      </w:r>
      <w:r>
        <w:t xml:space="preserve"> Pelling </w:t>
      </w:r>
      <w:r w:rsidR="00AD47C3">
        <w:t xml:space="preserve">2010. </w:t>
      </w:r>
    </w:p>
  </w:footnote>
  <w:footnote w:id="17">
    <w:p w14:paraId="0E46F1D3" w14:textId="5BC01746" w:rsidR="00AD47C3" w:rsidRDefault="00AD47C3">
      <w:pPr>
        <w:pStyle w:val="FootnoteText"/>
      </w:pPr>
      <w:r>
        <w:rPr>
          <w:rStyle w:val="FootnoteReference"/>
        </w:rPr>
        <w:footnoteRef/>
      </w:r>
      <w:r>
        <w:t xml:space="preserve"> </w:t>
      </w:r>
      <w:r w:rsidRPr="00AD47C3">
        <w:t>Pelling 2010.</w:t>
      </w:r>
    </w:p>
  </w:footnote>
  <w:footnote w:id="18">
    <w:p w14:paraId="6D151510" w14:textId="6587E831" w:rsidR="00AD47C3" w:rsidRDefault="00AD47C3">
      <w:pPr>
        <w:pStyle w:val="FootnoteText"/>
      </w:pPr>
      <w:r>
        <w:rPr>
          <w:rStyle w:val="FootnoteReference"/>
        </w:rPr>
        <w:footnoteRef/>
      </w:r>
      <w:r>
        <w:t xml:space="preserve"> </w:t>
      </w:r>
      <w:r w:rsidRPr="00AD47C3">
        <w:t>Pelling 2010.</w:t>
      </w:r>
    </w:p>
  </w:footnote>
  <w:footnote w:id="19">
    <w:p w14:paraId="3DA9127F" w14:textId="408F692F" w:rsidR="00AD47C3" w:rsidRDefault="00AD47C3">
      <w:pPr>
        <w:pStyle w:val="FootnoteText"/>
      </w:pPr>
      <w:r>
        <w:rPr>
          <w:rStyle w:val="FootnoteReference"/>
        </w:rPr>
        <w:footnoteRef/>
      </w:r>
      <w:r>
        <w:t xml:space="preserve"> </w:t>
      </w:r>
      <w:r w:rsidRPr="00AD47C3">
        <w:t>Mossman 2016.</w:t>
      </w:r>
    </w:p>
  </w:footnote>
  <w:footnote w:id="20">
    <w:p w14:paraId="396BB028" w14:textId="1328071F" w:rsidR="00AD47C3" w:rsidRDefault="00AD47C3">
      <w:pPr>
        <w:pStyle w:val="FootnoteText"/>
      </w:pPr>
      <w:r>
        <w:rPr>
          <w:rStyle w:val="FootnoteReference"/>
        </w:rPr>
        <w:footnoteRef/>
      </w:r>
      <w:r>
        <w:t xml:space="preserve"> </w:t>
      </w:r>
      <w:r w:rsidRPr="00AD47C3">
        <w:t>Pelling 2010</w:t>
      </w:r>
      <w:r w:rsidR="00615785">
        <w:t>.</w:t>
      </w:r>
    </w:p>
  </w:footnote>
  <w:footnote w:id="21">
    <w:p w14:paraId="69F35BEE" w14:textId="7921723A" w:rsidR="00615785" w:rsidRDefault="00615785">
      <w:pPr>
        <w:pStyle w:val="FootnoteText"/>
      </w:pPr>
      <w:r>
        <w:rPr>
          <w:rStyle w:val="FootnoteReference"/>
        </w:rPr>
        <w:footnoteRef/>
      </w:r>
      <w:r>
        <w:t xml:space="preserve"> </w:t>
      </w:r>
      <w:r w:rsidRPr="00615785">
        <w:t>Pelling 2010</w:t>
      </w:r>
      <w:r>
        <w:t>.</w:t>
      </w:r>
    </w:p>
  </w:footnote>
  <w:footnote w:id="22">
    <w:p w14:paraId="78A05728" w14:textId="02F6DC9B" w:rsidR="004D70A8" w:rsidRDefault="004D70A8">
      <w:pPr>
        <w:pStyle w:val="FootnoteText"/>
      </w:pPr>
      <w:r>
        <w:rPr>
          <w:rStyle w:val="FootnoteReference"/>
        </w:rPr>
        <w:footnoteRef/>
      </w:r>
      <w:r>
        <w:t xml:space="preserve"> </w:t>
      </w:r>
      <w:r w:rsidRPr="004D70A8">
        <w:t>Cim. 2.3</w:t>
      </w:r>
    </w:p>
  </w:footnote>
  <w:footnote w:id="23">
    <w:p w14:paraId="5EBB17DF" w14:textId="3B609312" w:rsidR="00C0520D" w:rsidRDefault="00C0520D">
      <w:pPr>
        <w:pStyle w:val="FootnoteText"/>
      </w:pPr>
      <w:r>
        <w:rPr>
          <w:rStyle w:val="FootnoteReference"/>
        </w:rPr>
        <w:footnoteRef/>
      </w:r>
      <w:r>
        <w:t xml:space="preserve"> </w:t>
      </w:r>
      <w:r w:rsidR="00AC237F">
        <w:t xml:space="preserve">Rusch </w:t>
      </w:r>
      <w:r w:rsidR="003B09DB">
        <w:t>2011: 203</w:t>
      </w:r>
    </w:p>
  </w:footnote>
  <w:footnote w:id="24">
    <w:p w14:paraId="02298247" w14:textId="4A6E3493" w:rsidR="003B09DB" w:rsidRDefault="003B09DB">
      <w:pPr>
        <w:pStyle w:val="FootnoteText"/>
      </w:pPr>
      <w:r>
        <w:rPr>
          <w:rStyle w:val="FootnoteReference"/>
        </w:rPr>
        <w:footnoteRef/>
      </w:r>
      <w:r>
        <w:t xml:space="preserve"> </w:t>
      </w:r>
      <w:r w:rsidRPr="003B09DB">
        <w:t>Rusch 2011: 203</w:t>
      </w:r>
    </w:p>
  </w:footnote>
  <w:footnote w:id="25">
    <w:p w14:paraId="02F09608" w14:textId="1421C803" w:rsidR="00C30D58" w:rsidRDefault="00C30D58">
      <w:pPr>
        <w:pStyle w:val="FootnoteText"/>
      </w:pPr>
      <w:r>
        <w:rPr>
          <w:rStyle w:val="FootnoteReference"/>
        </w:rPr>
        <w:footnoteRef/>
      </w:r>
      <w:r>
        <w:t xml:space="preserve"> </w:t>
      </w:r>
      <w:r w:rsidR="00531773">
        <w:t>Stadter 2014</w:t>
      </w:r>
      <w:r w:rsidR="00EB737C">
        <w:t xml:space="preserve">. </w:t>
      </w:r>
    </w:p>
  </w:footnote>
  <w:footnote w:id="26">
    <w:p w14:paraId="2610BFE4" w14:textId="5EEACC7B" w:rsidR="00EB737C" w:rsidRDefault="00EB737C">
      <w:pPr>
        <w:pStyle w:val="FootnoteText"/>
      </w:pPr>
      <w:r>
        <w:rPr>
          <w:rStyle w:val="FootnoteReference"/>
        </w:rPr>
        <w:footnoteRef/>
      </w:r>
      <w:r>
        <w:t xml:space="preserve"> Stadter 2014. </w:t>
      </w:r>
    </w:p>
  </w:footnote>
  <w:footnote w:id="27">
    <w:p w14:paraId="1987E7A7" w14:textId="1B52CF23" w:rsidR="00D20AA9" w:rsidRDefault="00D20AA9">
      <w:pPr>
        <w:pStyle w:val="FootnoteText"/>
      </w:pPr>
      <w:r>
        <w:rPr>
          <w:rStyle w:val="FootnoteReference"/>
        </w:rPr>
        <w:footnoteRef/>
      </w:r>
      <w:r>
        <w:t xml:space="preserve"> </w:t>
      </w:r>
      <w:r w:rsidR="00C07616" w:rsidRPr="00C07616">
        <w:t>Rusch 2011: 203</w:t>
      </w:r>
    </w:p>
  </w:footnote>
  <w:footnote w:id="28">
    <w:p w14:paraId="233FB042" w14:textId="7233339C" w:rsidR="00C07616" w:rsidRDefault="00C07616">
      <w:pPr>
        <w:pStyle w:val="FootnoteText"/>
      </w:pPr>
      <w:r>
        <w:rPr>
          <w:rStyle w:val="FootnoteReference"/>
        </w:rPr>
        <w:footnoteRef/>
      </w:r>
      <w:r>
        <w:t xml:space="preserve"> </w:t>
      </w:r>
      <w:bookmarkStart w:id="3" w:name="_Hlk514418668"/>
      <w:r>
        <w:t xml:space="preserve">Rahe </w:t>
      </w:r>
      <w:r w:rsidR="0049465E">
        <w:t xml:space="preserve">2016: 13 </w:t>
      </w:r>
      <w:bookmarkEnd w:id="3"/>
    </w:p>
  </w:footnote>
  <w:footnote w:id="29">
    <w:p w14:paraId="084D32FD" w14:textId="6D23EA73" w:rsidR="00316062" w:rsidRDefault="00316062">
      <w:pPr>
        <w:pStyle w:val="FootnoteText"/>
      </w:pPr>
      <w:r>
        <w:rPr>
          <w:rStyle w:val="FootnoteReference"/>
        </w:rPr>
        <w:footnoteRef/>
      </w:r>
      <w:r>
        <w:t xml:space="preserve"> </w:t>
      </w:r>
      <w:bookmarkStart w:id="4" w:name="_Hlk514418710"/>
      <w:r w:rsidRPr="00316062">
        <w:t>Rahe 2016: 13</w:t>
      </w:r>
    </w:p>
    <w:bookmarkEnd w:id="4"/>
  </w:footnote>
  <w:footnote w:id="30">
    <w:p w14:paraId="25142491" w14:textId="3AEB821F" w:rsidR="00416397" w:rsidRDefault="00416397">
      <w:pPr>
        <w:pStyle w:val="FootnoteText"/>
      </w:pPr>
      <w:r>
        <w:rPr>
          <w:rStyle w:val="FootnoteReference"/>
        </w:rPr>
        <w:footnoteRef/>
      </w:r>
      <w:r>
        <w:t xml:space="preserve"> </w:t>
      </w:r>
      <w:r w:rsidRPr="00416397">
        <w:t>Rahe 2016: 13</w:t>
      </w:r>
    </w:p>
  </w:footnote>
  <w:footnote w:id="31">
    <w:p w14:paraId="547E7062" w14:textId="65B52024" w:rsidR="00CB00F0" w:rsidRDefault="00CB00F0">
      <w:pPr>
        <w:pStyle w:val="FootnoteText"/>
      </w:pPr>
      <w:r>
        <w:rPr>
          <w:rStyle w:val="FootnoteReference"/>
        </w:rPr>
        <w:footnoteRef/>
      </w:r>
      <w:r>
        <w:t xml:space="preserve"> </w:t>
      </w:r>
      <w:r w:rsidR="009247CB">
        <w:t xml:space="preserve">Ober </w:t>
      </w:r>
      <w:r w:rsidR="0036008E">
        <w:t xml:space="preserve">1996: </w:t>
      </w:r>
      <w:r w:rsidR="0063729A">
        <w:t>125</w:t>
      </w:r>
    </w:p>
  </w:footnote>
  <w:footnote w:id="32">
    <w:p w14:paraId="58768B53" w14:textId="4F55D689" w:rsidR="00BD424F" w:rsidRDefault="00BD424F">
      <w:pPr>
        <w:pStyle w:val="FootnoteText"/>
      </w:pPr>
      <w:r>
        <w:rPr>
          <w:rStyle w:val="FootnoteReference"/>
        </w:rPr>
        <w:footnoteRef/>
      </w:r>
      <w:r>
        <w:t xml:space="preserve"> Ober 1996: 125 </w:t>
      </w:r>
    </w:p>
  </w:footnote>
  <w:footnote w:id="33">
    <w:p w14:paraId="18423A41" w14:textId="577BE095" w:rsidR="00977ABF" w:rsidRDefault="00977ABF">
      <w:pPr>
        <w:pStyle w:val="FootnoteText"/>
      </w:pPr>
      <w:r>
        <w:rPr>
          <w:rStyle w:val="FootnoteReference"/>
        </w:rPr>
        <w:footnoteRef/>
      </w:r>
      <w:r>
        <w:t xml:space="preserve"> </w:t>
      </w:r>
      <w:r w:rsidR="000B16E1">
        <w:t xml:space="preserve">Stadter 2014. </w:t>
      </w:r>
    </w:p>
  </w:footnote>
  <w:footnote w:id="34">
    <w:p w14:paraId="3CF3C205" w14:textId="25EB79ED" w:rsidR="00BD424F" w:rsidRDefault="00BD424F">
      <w:pPr>
        <w:pStyle w:val="FootnoteText"/>
      </w:pPr>
      <w:r>
        <w:rPr>
          <w:rStyle w:val="FootnoteReference"/>
        </w:rPr>
        <w:footnoteRef/>
      </w:r>
      <w:r>
        <w:t xml:space="preserve"> </w:t>
      </w:r>
      <w:r w:rsidR="00A86CF9">
        <w:t xml:space="preserve">Stadter 2014. </w:t>
      </w:r>
    </w:p>
  </w:footnote>
  <w:footnote w:id="35">
    <w:p w14:paraId="0FC9526B" w14:textId="6E05C909" w:rsidR="00DB016C" w:rsidRDefault="00DB016C">
      <w:pPr>
        <w:pStyle w:val="FootnoteText"/>
      </w:pPr>
      <w:r>
        <w:rPr>
          <w:rStyle w:val="FootnoteReference"/>
        </w:rPr>
        <w:footnoteRef/>
      </w:r>
      <w:r>
        <w:t xml:space="preserve"> </w:t>
      </w:r>
      <w:r w:rsidR="008310C7" w:rsidRPr="008310C7">
        <w:t>Plut. Lyc. 3.5</w:t>
      </w:r>
    </w:p>
  </w:footnote>
  <w:footnote w:id="36">
    <w:p w14:paraId="2B84676F" w14:textId="6CED6A89" w:rsidR="008310C7" w:rsidRDefault="008310C7">
      <w:pPr>
        <w:pStyle w:val="FootnoteText"/>
      </w:pPr>
      <w:r>
        <w:rPr>
          <w:rStyle w:val="FootnoteReference"/>
        </w:rPr>
        <w:footnoteRef/>
      </w:r>
      <w:r>
        <w:t xml:space="preserve"> </w:t>
      </w:r>
      <w:r w:rsidR="002416FE" w:rsidRPr="002416FE">
        <w:t>Plut. Lyc. 5.4</w:t>
      </w:r>
    </w:p>
  </w:footnote>
  <w:footnote w:id="37">
    <w:p w14:paraId="410376FC" w14:textId="17C13E77" w:rsidR="003750D3" w:rsidRDefault="003750D3">
      <w:pPr>
        <w:pStyle w:val="FootnoteText"/>
      </w:pPr>
      <w:r>
        <w:rPr>
          <w:rStyle w:val="FootnoteReference"/>
        </w:rPr>
        <w:footnoteRef/>
      </w:r>
      <w:r>
        <w:t xml:space="preserve"> Powell </w:t>
      </w:r>
      <w:r w:rsidR="00350EA1">
        <w:t xml:space="preserve">1988: </w:t>
      </w:r>
      <w:r w:rsidR="00923574">
        <w:t>245</w:t>
      </w:r>
    </w:p>
  </w:footnote>
  <w:footnote w:id="38">
    <w:p w14:paraId="30D28396" w14:textId="58C1B2FB" w:rsidR="00E71949" w:rsidRDefault="00E71949">
      <w:pPr>
        <w:pStyle w:val="FootnoteText"/>
      </w:pPr>
      <w:r>
        <w:rPr>
          <w:rStyle w:val="FootnoteReference"/>
        </w:rPr>
        <w:footnoteRef/>
      </w:r>
      <w:r>
        <w:t xml:space="preserve"> </w:t>
      </w:r>
      <w:r w:rsidR="005A77D0">
        <w:t xml:space="preserve">Stadter 2014. </w:t>
      </w:r>
    </w:p>
  </w:footnote>
  <w:footnote w:id="39">
    <w:p w14:paraId="79E78533" w14:textId="38B741DE" w:rsidR="005A77D0" w:rsidRDefault="005A77D0">
      <w:pPr>
        <w:pStyle w:val="FootnoteText"/>
      </w:pPr>
      <w:r>
        <w:rPr>
          <w:rStyle w:val="FootnoteReference"/>
        </w:rPr>
        <w:footnoteRef/>
      </w:r>
      <w:r>
        <w:t xml:space="preserve"> </w:t>
      </w:r>
      <w:r w:rsidRPr="005A77D0">
        <w:t>Rahe 2016: 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Q0MLE0sLS0MDY3MzFU0lEKTi0uzszPAykwrAUA+ZTQXCwAAAA="/>
  </w:docVars>
  <w:rsids>
    <w:rsidRoot w:val="00025139"/>
    <w:rsid w:val="00005C94"/>
    <w:rsid w:val="000072BE"/>
    <w:rsid w:val="00013A59"/>
    <w:rsid w:val="00015126"/>
    <w:rsid w:val="00022701"/>
    <w:rsid w:val="00025139"/>
    <w:rsid w:val="00026DB7"/>
    <w:rsid w:val="00026F30"/>
    <w:rsid w:val="00037138"/>
    <w:rsid w:val="000569CF"/>
    <w:rsid w:val="00066EE8"/>
    <w:rsid w:val="0008006E"/>
    <w:rsid w:val="00080FB2"/>
    <w:rsid w:val="0008388F"/>
    <w:rsid w:val="00086E28"/>
    <w:rsid w:val="000956F9"/>
    <w:rsid w:val="000A26A2"/>
    <w:rsid w:val="000A5065"/>
    <w:rsid w:val="000B16E1"/>
    <w:rsid w:val="000B6153"/>
    <w:rsid w:val="000C443D"/>
    <w:rsid w:val="000E5135"/>
    <w:rsid w:val="000F16EE"/>
    <w:rsid w:val="000F3B6B"/>
    <w:rsid w:val="0010706D"/>
    <w:rsid w:val="00122BC6"/>
    <w:rsid w:val="001246D0"/>
    <w:rsid w:val="00130934"/>
    <w:rsid w:val="00142D5A"/>
    <w:rsid w:val="0016616D"/>
    <w:rsid w:val="00176FAF"/>
    <w:rsid w:val="0019065F"/>
    <w:rsid w:val="00194DC0"/>
    <w:rsid w:val="001D4CD3"/>
    <w:rsid w:val="00207318"/>
    <w:rsid w:val="00216E6F"/>
    <w:rsid w:val="002174D9"/>
    <w:rsid w:val="0022580A"/>
    <w:rsid w:val="002416FE"/>
    <w:rsid w:val="00261EBD"/>
    <w:rsid w:val="00271BE3"/>
    <w:rsid w:val="00274566"/>
    <w:rsid w:val="00275201"/>
    <w:rsid w:val="002A7422"/>
    <w:rsid w:val="002B2327"/>
    <w:rsid w:val="002C1D76"/>
    <w:rsid w:val="002D3213"/>
    <w:rsid w:val="002D4A4A"/>
    <w:rsid w:val="002F1324"/>
    <w:rsid w:val="002F2A1E"/>
    <w:rsid w:val="00310559"/>
    <w:rsid w:val="00310CEA"/>
    <w:rsid w:val="00311E4B"/>
    <w:rsid w:val="00316062"/>
    <w:rsid w:val="00317BAB"/>
    <w:rsid w:val="00323C8B"/>
    <w:rsid w:val="00326D64"/>
    <w:rsid w:val="003330AB"/>
    <w:rsid w:val="00334D6D"/>
    <w:rsid w:val="00343799"/>
    <w:rsid w:val="00350EA1"/>
    <w:rsid w:val="00356B07"/>
    <w:rsid w:val="0036008E"/>
    <w:rsid w:val="003606D8"/>
    <w:rsid w:val="003750D3"/>
    <w:rsid w:val="00382906"/>
    <w:rsid w:val="00386936"/>
    <w:rsid w:val="003A215E"/>
    <w:rsid w:val="003A3335"/>
    <w:rsid w:val="003A33A0"/>
    <w:rsid w:val="003B09DB"/>
    <w:rsid w:val="003B12A1"/>
    <w:rsid w:val="003C1C9E"/>
    <w:rsid w:val="003D35C0"/>
    <w:rsid w:val="003F3249"/>
    <w:rsid w:val="003F42BA"/>
    <w:rsid w:val="00400E88"/>
    <w:rsid w:val="00416397"/>
    <w:rsid w:val="00416697"/>
    <w:rsid w:val="0042265A"/>
    <w:rsid w:val="00422AE7"/>
    <w:rsid w:val="004307B7"/>
    <w:rsid w:val="00433074"/>
    <w:rsid w:val="004374EA"/>
    <w:rsid w:val="00442F44"/>
    <w:rsid w:val="00453FC5"/>
    <w:rsid w:val="00462A2A"/>
    <w:rsid w:val="0047238C"/>
    <w:rsid w:val="00473C7B"/>
    <w:rsid w:val="00485092"/>
    <w:rsid w:val="004928D2"/>
    <w:rsid w:val="0049465E"/>
    <w:rsid w:val="004A3BA2"/>
    <w:rsid w:val="004B31C6"/>
    <w:rsid w:val="004C6634"/>
    <w:rsid w:val="004D1B72"/>
    <w:rsid w:val="004D70A8"/>
    <w:rsid w:val="004F32AC"/>
    <w:rsid w:val="005031F0"/>
    <w:rsid w:val="005136D7"/>
    <w:rsid w:val="00521CDD"/>
    <w:rsid w:val="00531773"/>
    <w:rsid w:val="0055436D"/>
    <w:rsid w:val="0056424E"/>
    <w:rsid w:val="00570E6D"/>
    <w:rsid w:val="00575D99"/>
    <w:rsid w:val="00586799"/>
    <w:rsid w:val="00596CCF"/>
    <w:rsid w:val="00597C16"/>
    <w:rsid w:val="005A77D0"/>
    <w:rsid w:val="005B15B5"/>
    <w:rsid w:val="005B2D6A"/>
    <w:rsid w:val="005B67F8"/>
    <w:rsid w:val="005B7A48"/>
    <w:rsid w:val="005E3731"/>
    <w:rsid w:val="005E694B"/>
    <w:rsid w:val="005F7FA6"/>
    <w:rsid w:val="00615785"/>
    <w:rsid w:val="00620DF2"/>
    <w:rsid w:val="00633D87"/>
    <w:rsid w:val="0063729A"/>
    <w:rsid w:val="00643C60"/>
    <w:rsid w:val="00650B2F"/>
    <w:rsid w:val="0065260F"/>
    <w:rsid w:val="00661F44"/>
    <w:rsid w:val="00665C16"/>
    <w:rsid w:val="00673B47"/>
    <w:rsid w:val="00680BC7"/>
    <w:rsid w:val="006912D0"/>
    <w:rsid w:val="0069427C"/>
    <w:rsid w:val="006A443F"/>
    <w:rsid w:val="006B4871"/>
    <w:rsid w:val="006B6FD3"/>
    <w:rsid w:val="006C7569"/>
    <w:rsid w:val="006C7644"/>
    <w:rsid w:val="006D2BCD"/>
    <w:rsid w:val="006D49D6"/>
    <w:rsid w:val="006E4CFD"/>
    <w:rsid w:val="006F53B9"/>
    <w:rsid w:val="006F7075"/>
    <w:rsid w:val="007005DA"/>
    <w:rsid w:val="00702F8C"/>
    <w:rsid w:val="00710CB6"/>
    <w:rsid w:val="007229FF"/>
    <w:rsid w:val="007322EE"/>
    <w:rsid w:val="00737046"/>
    <w:rsid w:val="0077218B"/>
    <w:rsid w:val="00777161"/>
    <w:rsid w:val="007853F2"/>
    <w:rsid w:val="00785550"/>
    <w:rsid w:val="007A1B5A"/>
    <w:rsid w:val="007B378D"/>
    <w:rsid w:val="007B7979"/>
    <w:rsid w:val="007C2A4E"/>
    <w:rsid w:val="007D4BBB"/>
    <w:rsid w:val="007E79AB"/>
    <w:rsid w:val="007F0263"/>
    <w:rsid w:val="007F4E22"/>
    <w:rsid w:val="007F52D9"/>
    <w:rsid w:val="0082559D"/>
    <w:rsid w:val="00825FD3"/>
    <w:rsid w:val="0082757D"/>
    <w:rsid w:val="008310C7"/>
    <w:rsid w:val="00833737"/>
    <w:rsid w:val="00841C85"/>
    <w:rsid w:val="00847051"/>
    <w:rsid w:val="00871C91"/>
    <w:rsid w:val="008733B4"/>
    <w:rsid w:val="00875E91"/>
    <w:rsid w:val="00881D2E"/>
    <w:rsid w:val="00885A43"/>
    <w:rsid w:val="008915E5"/>
    <w:rsid w:val="00896007"/>
    <w:rsid w:val="008A158E"/>
    <w:rsid w:val="008A3413"/>
    <w:rsid w:val="008A7AC2"/>
    <w:rsid w:val="008C545E"/>
    <w:rsid w:val="008C6DEA"/>
    <w:rsid w:val="008D52E5"/>
    <w:rsid w:val="008E12CA"/>
    <w:rsid w:val="008E1AFA"/>
    <w:rsid w:val="008F03E2"/>
    <w:rsid w:val="008F2CC9"/>
    <w:rsid w:val="008F71ED"/>
    <w:rsid w:val="0091348E"/>
    <w:rsid w:val="00917DB9"/>
    <w:rsid w:val="009213EC"/>
    <w:rsid w:val="00923574"/>
    <w:rsid w:val="009247CB"/>
    <w:rsid w:val="00926B79"/>
    <w:rsid w:val="009276E5"/>
    <w:rsid w:val="00937CA1"/>
    <w:rsid w:val="00941759"/>
    <w:rsid w:val="00977ABF"/>
    <w:rsid w:val="009873D1"/>
    <w:rsid w:val="0099125E"/>
    <w:rsid w:val="00995B56"/>
    <w:rsid w:val="009B2171"/>
    <w:rsid w:val="009B60D4"/>
    <w:rsid w:val="009C7170"/>
    <w:rsid w:val="009C7238"/>
    <w:rsid w:val="009E2C70"/>
    <w:rsid w:val="009F7A9E"/>
    <w:rsid w:val="00A0646C"/>
    <w:rsid w:val="00A10617"/>
    <w:rsid w:val="00A10BF4"/>
    <w:rsid w:val="00A17300"/>
    <w:rsid w:val="00A21BF6"/>
    <w:rsid w:val="00A22C3A"/>
    <w:rsid w:val="00A357E8"/>
    <w:rsid w:val="00A37F4E"/>
    <w:rsid w:val="00A55D3D"/>
    <w:rsid w:val="00A770E1"/>
    <w:rsid w:val="00A85532"/>
    <w:rsid w:val="00A86CF9"/>
    <w:rsid w:val="00AB1C25"/>
    <w:rsid w:val="00AB3535"/>
    <w:rsid w:val="00AC237F"/>
    <w:rsid w:val="00AC3E6C"/>
    <w:rsid w:val="00AC76AB"/>
    <w:rsid w:val="00AD3884"/>
    <w:rsid w:val="00AD47C3"/>
    <w:rsid w:val="00AE0A1F"/>
    <w:rsid w:val="00AE3CB9"/>
    <w:rsid w:val="00AF6881"/>
    <w:rsid w:val="00B00E08"/>
    <w:rsid w:val="00B02EE1"/>
    <w:rsid w:val="00B04F32"/>
    <w:rsid w:val="00B21535"/>
    <w:rsid w:val="00B32175"/>
    <w:rsid w:val="00B3240A"/>
    <w:rsid w:val="00B3466D"/>
    <w:rsid w:val="00B3688E"/>
    <w:rsid w:val="00B45D4E"/>
    <w:rsid w:val="00B46E4F"/>
    <w:rsid w:val="00B508A5"/>
    <w:rsid w:val="00B5491E"/>
    <w:rsid w:val="00B6115B"/>
    <w:rsid w:val="00B720F4"/>
    <w:rsid w:val="00B77FE0"/>
    <w:rsid w:val="00BC57B4"/>
    <w:rsid w:val="00BC6E08"/>
    <w:rsid w:val="00BD424F"/>
    <w:rsid w:val="00BE6AD8"/>
    <w:rsid w:val="00C00111"/>
    <w:rsid w:val="00C0520D"/>
    <w:rsid w:val="00C07616"/>
    <w:rsid w:val="00C11754"/>
    <w:rsid w:val="00C15C08"/>
    <w:rsid w:val="00C2051C"/>
    <w:rsid w:val="00C30D58"/>
    <w:rsid w:val="00C64A8E"/>
    <w:rsid w:val="00C73CAB"/>
    <w:rsid w:val="00C77D04"/>
    <w:rsid w:val="00C80149"/>
    <w:rsid w:val="00C82114"/>
    <w:rsid w:val="00C83A46"/>
    <w:rsid w:val="00CA1022"/>
    <w:rsid w:val="00CB00F0"/>
    <w:rsid w:val="00CC21C8"/>
    <w:rsid w:val="00CD474E"/>
    <w:rsid w:val="00CF03B7"/>
    <w:rsid w:val="00D0371E"/>
    <w:rsid w:val="00D173C8"/>
    <w:rsid w:val="00D20AA9"/>
    <w:rsid w:val="00D30FE2"/>
    <w:rsid w:val="00D316F9"/>
    <w:rsid w:val="00D378DC"/>
    <w:rsid w:val="00D40B45"/>
    <w:rsid w:val="00D47F52"/>
    <w:rsid w:val="00D55E59"/>
    <w:rsid w:val="00D56114"/>
    <w:rsid w:val="00D61EA4"/>
    <w:rsid w:val="00D654BF"/>
    <w:rsid w:val="00D67B9F"/>
    <w:rsid w:val="00D83374"/>
    <w:rsid w:val="00D96AD3"/>
    <w:rsid w:val="00DA555E"/>
    <w:rsid w:val="00DB0049"/>
    <w:rsid w:val="00DB016C"/>
    <w:rsid w:val="00DC59F9"/>
    <w:rsid w:val="00E02406"/>
    <w:rsid w:val="00E031FE"/>
    <w:rsid w:val="00E055C7"/>
    <w:rsid w:val="00E109B0"/>
    <w:rsid w:val="00E11DD7"/>
    <w:rsid w:val="00E273B6"/>
    <w:rsid w:val="00E331AF"/>
    <w:rsid w:val="00E34162"/>
    <w:rsid w:val="00E37C3D"/>
    <w:rsid w:val="00E47B61"/>
    <w:rsid w:val="00E50E30"/>
    <w:rsid w:val="00E644FF"/>
    <w:rsid w:val="00E67EB2"/>
    <w:rsid w:val="00E71949"/>
    <w:rsid w:val="00E837BE"/>
    <w:rsid w:val="00EA1210"/>
    <w:rsid w:val="00EB69C0"/>
    <w:rsid w:val="00EB737C"/>
    <w:rsid w:val="00EC2FA5"/>
    <w:rsid w:val="00EC4B62"/>
    <w:rsid w:val="00EE3A44"/>
    <w:rsid w:val="00EE62DD"/>
    <w:rsid w:val="00EF7C52"/>
    <w:rsid w:val="00F30D8F"/>
    <w:rsid w:val="00F4031E"/>
    <w:rsid w:val="00F5035F"/>
    <w:rsid w:val="00F63DB2"/>
    <w:rsid w:val="00F747F6"/>
    <w:rsid w:val="00F86DC4"/>
    <w:rsid w:val="00F92A4C"/>
    <w:rsid w:val="00FB0D11"/>
    <w:rsid w:val="00FB3CC1"/>
    <w:rsid w:val="00FC0B60"/>
    <w:rsid w:val="00FC4E08"/>
    <w:rsid w:val="00FD5D9B"/>
    <w:rsid w:val="00FD76EC"/>
    <w:rsid w:val="00FE41E9"/>
    <w:rsid w:val="00FF53E6"/>
    <w:rsid w:val="00FF5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805A7"/>
  <w15:chartTrackingRefBased/>
  <w15:docId w15:val="{B5E195A3-AEE2-4875-8E0C-F43746429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031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31F0"/>
    <w:rPr>
      <w:sz w:val="20"/>
      <w:szCs w:val="20"/>
    </w:rPr>
  </w:style>
  <w:style w:type="character" w:styleId="FootnoteReference">
    <w:name w:val="footnote reference"/>
    <w:basedOn w:val="DefaultParagraphFont"/>
    <w:uiPriority w:val="99"/>
    <w:semiHidden/>
    <w:unhideWhenUsed/>
    <w:rsid w:val="005031F0"/>
    <w:rPr>
      <w:vertAlign w:val="superscript"/>
    </w:rPr>
  </w:style>
  <w:style w:type="character" w:styleId="Hyperlink">
    <w:name w:val="Hyperlink"/>
    <w:basedOn w:val="DefaultParagraphFont"/>
    <w:uiPriority w:val="99"/>
    <w:unhideWhenUsed/>
    <w:rsid w:val="000956F9"/>
    <w:rPr>
      <w:color w:val="0563C1" w:themeColor="hyperlink"/>
      <w:u w:val="single"/>
    </w:rPr>
  </w:style>
  <w:style w:type="character" w:styleId="UnresolvedMention">
    <w:name w:val="Unresolved Mention"/>
    <w:basedOn w:val="DefaultParagraphFont"/>
    <w:uiPriority w:val="99"/>
    <w:semiHidden/>
    <w:unhideWhenUsed/>
    <w:rsid w:val="000956F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4awT9lx-oY&amp;feature=youtu.b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oxfordscholarship.com.ezproxy.uwtsd.ac.uk/view/10.1093/acprof:oso/9780198718338.001.0001/acprof-9780198718338-chapter-1" TargetMode="External"/><Relationship Id="rId4" Type="http://schemas.openxmlformats.org/officeDocument/2006/relationships/webSettings" Target="webSettings.xml"/><Relationship Id="rId9" Type="http://schemas.openxmlformats.org/officeDocument/2006/relationships/hyperlink" Target="https://www.youtube.com/watch?v=nYWTQnOOB_0&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4A409-FDD2-4E21-A3CC-6DCAE1080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Gillson-Gant</dc:creator>
  <cp:keywords/>
  <dc:description/>
  <cp:lastModifiedBy>Henry Gillson-Gant</cp:lastModifiedBy>
  <cp:revision>3</cp:revision>
  <dcterms:created xsi:type="dcterms:W3CDTF">2018-05-18T14:55:00Z</dcterms:created>
  <dcterms:modified xsi:type="dcterms:W3CDTF">2018-05-18T14:59:00Z</dcterms:modified>
</cp:coreProperties>
</file>