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533499977"/>
        <w:docPartObj>
          <w:docPartGallery w:val="Cover Pages"/>
          <w:docPartUnique/>
        </w:docPartObj>
      </w:sdtPr>
      <w:sdtEndPr>
        <w:rPr>
          <w:rFonts w:ascii="Arial" w:eastAsiaTheme="minorHAnsi" w:hAnsi="Arial" w:cs="Arial"/>
          <w:sz w:val="22"/>
          <w:lang w:val="en-GB"/>
        </w:rPr>
      </w:sdtEndPr>
      <w:sdtContent>
        <w:p w14:paraId="7B8040DD" w14:textId="21F5DC89" w:rsidR="006D16C4" w:rsidRDefault="006D16C4">
          <w:pPr>
            <w:pStyle w:val="NoSpacing"/>
            <w:rPr>
              <w:sz w:val="2"/>
            </w:rPr>
          </w:pPr>
        </w:p>
        <w:p w14:paraId="02455341" w14:textId="098633D9" w:rsidR="006D16C4" w:rsidRDefault="006D16C4">
          <w:r>
            <w:rPr>
              <w:noProof/>
            </w:rPr>
            <mc:AlternateContent>
              <mc:Choice Requires="wps">
                <w:drawing>
                  <wp:anchor distT="0" distB="0" distL="114300" distR="114300" simplePos="0" relativeHeight="251661312" behindDoc="0" locked="0" layoutInCell="1" allowOverlap="1" wp14:anchorId="3897868E" wp14:editId="2811DA4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18E1C1B" w14:textId="7BCF89FA" w:rsidR="006D16C4" w:rsidRDefault="006D16C4">
                                    <w:pPr>
                                      <w:pStyle w:val="NoSpacing"/>
                                      <w:rPr>
                                        <w:rFonts w:asciiTheme="majorHAnsi" w:eastAsiaTheme="majorEastAsia" w:hAnsiTheme="majorHAnsi" w:cstheme="majorBidi"/>
                                        <w:caps/>
                                        <w:color w:val="2C7FCE" w:themeColor="text2" w:themeTint="99"/>
                                        <w:sz w:val="68"/>
                                        <w:szCs w:val="68"/>
                                      </w:rPr>
                                    </w:pPr>
                                    <w:r w:rsidRPr="006D16C4">
                                      <w:rPr>
                                        <w:rFonts w:asciiTheme="majorHAnsi" w:eastAsiaTheme="majorEastAsia" w:hAnsiTheme="majorHAnsi" w:cstheme="majorBidi"/>
                                        <w:caps/>
                                        <w:color w:val="2C7FCE" w:themeColor="text2" w:themeTint="99"/>
                                        <w:sz w:val="64"/>
                                        <w:szCs w:val="64"/>
                                      </w:rPr>
                                      <w:t>Building your Personal Brand for Sustainable Employment (BMHP5015_LON)</w:t>
                                    </w:r>
                                  </w:p>
                                </w:sdtContent>
                              </w:sdt>
                              <w:p w14:paraId="13D901D7" w14:textId="11CF7E64" w:rsidR="006D16C4" w:rsidRDefault="006D16C4">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     </w:t>
                                    </w:r>
                                  </w:sdtContent>
                                </w:sdt>
                                <w:r>
                                  <w:rPr>
                                    <w:noProof/>
                                  </w:rPr>
                                  <w:t xml:space="preserve"> </w:t>
                                </w:r>
                              </w:p>
                              <w:p w14:paraId="07285A45" w14:textId="77777777" w:rsidR="006D16C4" w:rsidRDefault="006D16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897868E"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18E1C1B" w14:textId="7BCF89FA" w:rsidR="006D16C4" w:rsidRDefault="006D16C4">
                              <w:pPr>
                                <w:pStyle w:val="NoSpacing"/>
                                <w:rPr>
                                  <w:rFonts w:asciiTheme="majorHAnsi" w:eastAsiaTheme="majorEastAsia" w:hAnsiTheme="majorHAnsi" w:cstheme="majorBidi"/>
                                  <w:caps/>
                                  <w:color w:val="2C7FCE" w:themeColor="text2" w:themeTint="99"/>
                                  <w:sz w:val="68"/>
                                  <w:szCs w:val="68"/>
                                </w:rPr>
                              </w:pPr>
                              <w:r w:rsidRPr="006D16C4">
                                <w:rPr>
                                  <w:rFonts w:asciiTheme="majorHAnsi" w:eastAsiaTheme="majorEastAsia" w:hAnsiTheme="majorHAnsi" w:cstheme="majorBidi"/>
                                  <w:caps/>
                                  <w:color w:val="2C7FCE" w:themeColor="text2" w:themeTint="99"/>
                                  <w:sz w:val="64"/>
                                  <w:szCs w:val="64"/>
                                </w:rPr>
                                <w:t>Building your Personal Brand for Sustainable Employment (BMHP5015_LON)</w:t>
                              </w:r>
                            </w:p>
                          </w:sdtContent>
                        </w:sdt>
                        <w:p w14:paraId="13D901D7" w14:textId="11CF7E64" w:rsidR="006D16C4" w:rsidRDefault="006D16C4">
                          <w:pPr>
                            <w:pStyle w:val="NoSpacing"/>
                            <w:spacing w:before="120"/>
                            <w:rPr>
                              <w:color w:val="156082" w:themeColor="accent1"/>
                              <w:sz w:val="36"/>
                              <w:szCs w:val="36"/>
                            </w:rPr>
                          </w:pPr>
                          <w:sdt>
                            <w:sdtPr>
                              <w:rPr>
                                <w:color w:val="156082"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     </w:t>
                              </w:r>
                            </w:sdtContent>
                          </w:sdt>
                          <w:r>
                            <w:rPr>
                              <w:noProof/>
                            </w:rPr>
                            <w:t xml:space="preserve"> </w:t>
                          </w:r>
                        </w:p>
                        <w:p w14:paraId="07285A45" w14:textId="77777777" w:rsidR="006D16C4" w:rsidRDefault="006D16C4"/>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FF03E85" wp14:editId="4E9B54E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519709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5DF62505" w14:textId="45742415" w:rsidR="006D16C4" w:rsidRDefault="006D16C4">
          <w:pPr>
            <w:rPr>
              <w:rFonts w:ascii="Arial" w:hAnsi="Arial" w:cs="Arial"/>
            </w:rPr>
          </w:pPr>
          <w:r>
            <w:rPr>
              <w:noProof/>
            </w:rPr>
            <mc:AlternateContent>
              <mc:Choice Requires="wps">
                <w:drawing>
                  <wp:anchor distT="0" distB="0" distL="114300" distR="114300" simplePos="0" relativeHeight="251662336" behindDoc="0" locked="0" layoutInCell="1" allowOverlap="1" wp14:anchorId="13990CCD" wp14:editId="68B8A137">
                    <wp:simplePos x="0" y="0"/>
                    <wp:positionH relativeFrom="column">
                      <wp:posOffset>3043238</wp:posOffset>
                    </wp:positionH>
                    <wp:positionV relativeFrom="paragraph">
                      <wp:posOffset>6628448</wp:posOffset>
                    </wp:positionV>
                    <wp:extent cx="3128962" cy="2386012"/>
                    <wp:effectExtent l="0" t="0" r="14605" b="14605"/>
                    <wp:wrapNone/>
                    <wp:docPr id="1814166777" name="Text Box 28"/>
                    <wp:cNvGraphicFramePr/>
                    <a:graphic xmlns:a="http://schemas.openxmlformats.org/drawingml/2006/main">
                      <a:graphicData uri="http://schemas.microsoft.com/office/word/2010/wordprocessingShape">
                        <wps:wsp>
                          <wps:cNvSpPr txBox="1"/>
                          <wps:spPr>
                            <a:xfrm>
                              <a:off x="0" y="0"/>
                              <a:ext cx="3128962" cy="2386012"/>
                            </a:xfrm>
                            <a:prstGeom prst="rect">
                              <a:avLst/>
                            </a:prstGeom>
                            <a:solidFill>
                              <a:schemeClr val="lt1"/>
                            </a:solidFill>
                            <a:ln w="6350">
                              <a:solidFill>
                                <a:prstClr val="black"/>
                              </a:solidFill>
                            </a:ln>
                          </wps:spPr>
                          <wps:txbx>
                            <w:txbxContent>
                              <w:p w14:paraId="0E0DB019" w14:textId="77777777" w:rsidR="006D16C4" w:rsidRPr="00965967" w:rsidRDefault="006D16C4" w:rsidP="006D16C4">
                                <w:pPr>
                                  <w:spacing w:line="360" w:lineRule="auto"/>
                                  <w:rPr>
                                    <w:rFonts w:ascii="Arial" w:hAnsi="Arial" w:cs="Arial"/>
                                  </w:rPr>
                                </w:pPr>
                                <w:r w:rsidRPr="00965967">
                                  <w:rPr>
                                    <w:rFonts w:ascii="Arial" w:hAnsi="Arial" w:cs="Arial"/>
                                  </w:rPr>
                                  <w:t xml:space="preserve">Student  name: </w:t>
                                </w:r>
                                <w:r w:rsidRPr="00965967">
                                  <w:rPr>
                                    <w:rFonts w:ascii="Arial" w:hAnsi="Arial" w:cs="Arial"/>
                                    <w:b/>
                                    <w:bCs/>
                                  </w:rPr>
                                  <w:t>Marta Proca</w:t>
                                </w:r>
                              </w:p>
                              <w:p w14:paraId="3E295EE3" w14:textId="4A010B70" w:rsidR="006D16C4" w:rsidRPr="006D16C4" w:rsidRDefault="006D16C4" w:rsidP="006D16C4">
                                <w:pPr>
                                  <w:spacing w:line="360" w:lineRule="auto"/>
                                  <w:rPr>
                                    <w:rFonts w:ascii="Arial" w:hAnsi="Arial" w:cs="Arial"/>
                                    <w:b/>
                                    <w:bCs/>
                                  </w:rPr>
                                </w:pPr>
                                <w:r w:rsidRPr="00965967">
                                  <w:rPr>
                                    <w:rFonts w:ascii="Arial" w:hAnsi="Arial" w:cs="Arial"/>
                                  </w:rPr>
                                  <w:t xml:space="preserve">Student number: </w:t>
                                </w:r>
                                <w:r w:rsidRPr="00965967">
                                  <w:rPr>
                                    <w:rFonts w:ascii="Arial" w:hAnsi="Arial" w:cs="Arial"/>
                                    <w:b/>
                                    <w:bCs/>
                                  </w:rPr>
                                  <w:t>2234962</w:t>
                                </w:r>
                                <w:r w:rsidRPr="00965967">
                                  <w:rPr>
                                    <w:rFonts w:ascii="Arial" w:hAnsi="Arial" w:cs="Arial"/>
                                  </w:rPr>
                                  <w:br/>
                                  <w:t xml:space="preserve">Module code: </w:t>
                                </w:r>
                                <w:r w:rsidRPr="00965967">
                                  <w:rPr>
                                    <w:rFonts w:ascii="Arial" w:hAnsi="Arial" w:cs="Arial"/>
                                    <w:b/>
                                    <w:bCs/>
                                  </w:rPr>
                                  <w:t>BMHP501</w:t>
                                </w:r>
                                <w:r>
                                  <w:rPr>
                                    <w:rFonts w:ascii="Arial" w:hAnsi="Arial" w:cs="Arial"/>
                                    <w:b/>
                                    <w:bCs/>
                                  </w:rPr>
                                  <w:t>5</w:t>
                                </w:r>
                                <w:r w:rsidRPr="00965967">
                                  <w:rPr>
                                    <w:rFonts w:ascii="Arial" w:hAnsi="Arial" w:cs="Arial"/>
                                  </w:rPr>
                                  <w:br/>
                                  <w:t xml:space="preserve">Module title: </w:t>
                                </w:r>
                                <w:r w:rsidRPr="006D16C4">
                                  <w:rPr>
                                    <w:rFonts w:asciiTheme="majorHAnsi" w:eastAsiaTheme="majorEastAsia" w:hAnsiTheme="majorHAnsi" w:cstheme="majorBidi"/>
                                    <w:b/>
                                    <w:bCs/>
                                    <w:caps/>
                                  </w:rPr>
                                  <w:t>Building your Personal Brand for Sustainable Employment</w:t>
                                </w:r>
                              </w:p>
                              <w:p w14:paraId="5429FFF5" w14:textId="509420A9" w:rsidR="006D16C4" w:rsidRPr="00965967" w:rsidRDefault="006D16C4" w:rsidP="006D16C4">
                                <w:pPr>
                                  <w:spacing w:line="360" w:lineRule="auto"/>
                                  <w:rPr>
                                    <w:rFonts w:ascii="Arial" w:hAnsi="Arial" w:cs="Arial"/>
                                  </w:rPr>
                                </w:pPr>
                                <w:r w:rsidRPr="00965967">
                                  <w:rPr>
                                    <w:rFonts w:ascii="Arial" w:hAnsi="Arial" w:cs="Arial"/>
                                  </w:rPr>
                                  <w:t>Lecturer’s name:</w:t>
                                </w:r>
                                <w:r w:rsidRPr="00965967">
                                  <w:rPr>
                                    <w:rFonts w:ascii="Arial" w:hAnsi="Arial" w:cs="Arial"/>
                                    <w:b/>
                                    <w:bCs/>
                                  </w:rPr>
                                  <w:t xml:space="preserve"> </w:t>
                                </w:r>
                                <w:r w:rsidRPr="006D16C4">
                                  <w:rPr>
                                    <w:rFonts w:ascii="Arial" w:hAnsi="Arial" w:cs="Arial"/>
                                    <w:b/>
                                    <w:bCs/>
                                  </w:rPr>
                                  <w:t>Brian Mashumba</w:t>
                                </w:r>
                              </w:p>
                              <w:p w14:paraId="55C07AE6" w14:textId="77777777" w:rsidR="006D16C4" w:rsidRDefault="006D16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990CCD" id="Text Box 28" o:spid="_x0000_s1027" type="#_x0000_t202" style="position:absolute;margin-left:239.65pt;margin-top:521.95pt;width:246.35pt;height:187.8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" fillcolor="white [3201]" strokeweight=".5pt">
                    <v:textbox>
                      <w:txbxContent>
                        <w:p w14:paraId="0E0DB019" w14:textId="77777777" w:rsidR="006D16C4" w:rsidRPr="00965967" w:rsidRDefault="006D16C4" w:rsidP="006D16C4">
                          <w:pPr>
                            <w:spacing w:line="360" w:lineRule="auto"/>
                            <w:rPr>
                              <w:rFonts w:ascii="Arial" w:hAnsi="Arial" w:cs="Arial"/>
                            </w:rPr>
                          </w:pPr>
                          <w:r w:rsidRPr="00965967">
                            <w:rPr>
                              <w:rFonts w:ascii="Arial" w:hAnsi="Arial" w:cs="Arial"/>
                            </w:rPr>
                            <w:t xml:space="preserve">Student  name: </w:t>
                          </w:r>
                          <w:r w:rsidRPr="00965967">
                            <w:rPr>
                              <w:rFonts w:ascii="Arial" w:hAnsi="Arial" w:cs="Arial"/>
                              <w:b/>
                              <w:bCs/>
                            </w:rPr>
                            <w:t>Marta Proca</w:t>
                          </w:r>
                        </w:p>
                        <w:p w14:paraId="3E295EE3" w14:textId="4A010B70" w:rsidR="006D16C4" w:rsidRPr="006D16C4" w:rsidRDefault="006D16C4" w:rsidP="006D16C4">
                          <w:pPr>
                            <w:spacing w:line="360" w:lineRule="auto"/>
                            <w:rPr>
                              <w:rFonts w:ascii="Arial" w:hAnsi="Arial" w:cs="Arial"/>
                              <w:b/>
                              <w:bCs/>
                            </w:rPr>
                          </w:pPr>
                          <w:r w:rsidRPr="00965967">
                            <w:rPr>
                              <w:rFonts w:ascii="Arial" w:hAnsi="Arial" w:cs="Arial"/>
                            </w:rPr>
                            <w:t xml:space="preserve">Student number: </w:t>
                          </w:r>
                          <w:r w:rsidRPr="00965967">
                            <w:rPr>
                              <w:rFonts w:ascii="Arial" w:hAnsi="Arial" w:cs="Arial"/>
                              <w:b/>
                              <w:bCs/>
                            </w:rPr>
                            <w:t>2234962</w:t>
                          </w:r>
                          <w:r w:rsidRPr="00965967">
                            <w:rPr>
                              <w:rFonts w:ascii="Arial" w:hAnsi="Arial" w:cs="Arial"/>
                            </w:rPr>
                            <w:br/>
                            <w:t xml:space="preserve">Module code: </w:t>
                          </w:r>
                          <w:r w:rsidRPr="00965967">
                            <w:rPr>
                              <w:rFonts w:ascii="Arial" w:hAnsi="Arial" w:cs="Arial"/>
                              <w:b/>
                              <w:bCs/>
                            </w:rPr>
                            <w:t>BMHP501</w:t>
                          </w:r>
                          <w:r>
                            <w:rPr>
                              <w:rFonts w:ascii="Arial" w:hAnsi="Arial" w:cs="Arial"/>
                              <w:b/>
                              <w:bCs/>
                            </w:rPr>
                            <w:t>5</w:t>
                          </w:r>
                          <w:r w:rsidRPr="00965967">
                            <w:rPr>
                              <w:rFonts w:ascii="Arial" w:hAnsi="Arial" w:cs="Arial"/>
                            </w:rPr>
                            <w:br/>
                            <w:t xml:space="preserve">Module title: </w:t>
                          </w:r>
                          <w:r w:rsidRPr="006D16C4">
                            <w:rPr>
                              <w:rFonts w:asciiTheme="majorHAnsi" w:eastAsiaTheme="majorEastAsia" w:hAnsiTheme="majorHAnsi" w:cstheme="majorBidi"/>
                              <w:b/>
                              <w:bCs/>
                              <w:caps/>
                            </w:rPr>
                            <w:t>Building your Personal Brand for Sustainable Employment</w:t>
                          </w:r>
                        </w:p>
                        <w:p w14:paraId="5429FFF5" w14:textId="509420A9" w:rsidR="006D16C4" w:rsidRPr="00965967" w:rsidRDefault="006D16C4" w:rsidP="006D16C4">
                          <w:pPr>
                            <w:spacing w:line="360" w:lineRule="auto"/>
                            <w:rPr>
                              <w:rFonts w:ascii="Arial" w:hAnsi="Arial" w:cs="Arial"/>
                            </w:rPr>
                          </w:pPr>
                          <w:r w:rsidRPr="00965967">
                            <w:rPr>
                              <w:rFonts w:ascii="Arial" w:hAnsi="Arial" w:cs="Arial"/>
                            </w:rPr>
                            <w:t>Lecturer’s name:</w:t>
                          </w:r>
                          <w:r w:rsidRPr="00965967">
                            <w:rPr>
                              <w:rFonts w:ascii="Arial" w:hAnsi="Arial" w:cs="Arial"/>
                              <w:b/>
                              <w:bCs/>
                            </w:rPr>
                            <w:t xml:space="preserve"> </w:t>
                          </w:r>
                          <w:r w:rsidRPr="006D16C4">
                            <w:rPr>
                              <w:rFonts w:ascii="Arial" w:hAnsi="Arial" w:cs="Arial"/>
                              <w:b/>
                              <w:bCs/>
                            </w:rPr>
                            <w:t>Brian Mashumba</w:t>
                          </w:r>
                        </w:p>
                        <w:p w14:paraId="55C07AE6" w14:textId="77777777" w:rsidR="006D16C4" w:rsidRDefault="006D16C4"/>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814DA91" wp14:editId="51812A8B">
                    <wp:simplePos x="0" y="0"/>
                    <wp:positionH relativeFrom="page">
                      <wp:posOffset>4200525</wp:posOffset>
                    </wp:positionH>
                    <wp:positionV relativeFrom="margin">
                      <wp:posOffset>6100763</wp:posOffset>
                    </wp:positionV>
                    <wp:extent cx="2465705" cy="2759075"/>
                    <wp:effectExtent l="0" t="0" r="10795" b="3175"/>
                    <wp:wrapNone/>
                    <wp:docPr id="69" name="Text Box 73"/>
                    <wp:cNvGraphicFramePr/>
                    <a:graphic xmlns:a="http://schemas.openxmlformats.org/drawingml/2006/main">
                      <a:graphicData uri="http://schemas.microsoft.com/office/word/2010/wordprocessingShape">
                        <wps:wsp>
                          <wps:cNvSpPr txBox="1"/>
                          <wps:spPr>
                            <a:xfrm>
                              <a:off x="0" y="0"/>
                              <a:ext cx="2465705" cy="27590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4BD3FE5D" w14:textId="66785ED7" w:rsidR="006D16C4" w:rsidRDefault="006D16C4">
                                    <w:pPr>
                                      <w:pStyle w:val="NoSpacing"/>
                                      <w:jc w:val="right"/>
                                      <w:rPr>
                                        <w:color w:val="156082" w:themeColor="accent1"/>
                                        <w:sz w:val="36"/>
                                        <w:szCs w:val="36"/>
                                      </w:rPr>
                                    </w:pPr>
                                    <w:r>
                                      <w:rPr>
                                        <w:color w:val="156082"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814DA91" id="Text Box 73" o:spid="_x0000_s1028" type="#_x0000_t202" style="position:absolute;margin-left:330.75pt;margin-top:480.4pt;width:194.15pt;height:217.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" filled="f" stroked="f" strokeweight=".5pt">
                    <v:textbox inset="0,0,0,0">
                      <w:txbxContent>
                        <w:sdt>
                          <w:sdtPr>
                            <w:rPr>
                              <w:color w:val="156082"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4BD3FE5D" w14:textId="66785ED7" w:rsidR="006D16C4" w:rsidRDefault="006D16C4">
                              <w:pPr>
                                <w:pStyle w:val="NoSpacing"/>
                                <w:jc w:val="right"/>
                                <w:rPr>
                                  <w:color w:val="156082" w:themeColor="accent1"/>
                                  <w:sz w:val="36"/>
                                  <w:szCs w:val="36"/>
                                </w:rPr>
                              </w:pPr>
                              <w:r>
                                <w:rPr>
                                  <w:color w:val="156082" w:themeColor="accent1"/>
                                  <w:sz w:val="36"/>
                                  <w:szCs w:val="36"/>
                                </w:rPr>
                                <w:t xml:space="preserve">     </w:t>
                              </w:r>
                            </w:p>
                          </w:sdtContent>
                        </w:sdt>
                      </w:txbxContent>
                    </v:textbox>
                    <w10:wrap anchorx="page" anchory="margin"/>
                  </v:shape>
                </w:pict>
              </mc:Fallback>
            </mc:AlternateContent>
          </w:r>
          <w:r>
            <w:rPr>
              <w:rFonts w:ascii="Arial" w:hAnsi="Arial" w:cs="Arial"/>
            </w:rPr>
            <w:br w:type="page"/>
          </w:r>
        </w:p>
      </w:sdtContent>
    </w:sdt>
    <w:p w14:paraId="5D11683A" w14:textId="404C29AC" w:rsidR="00283C2E" w:rsidRPr="006D16C4" w:rsidRDefault="00283C2E" w:rsidP="006D16C4">
      <w:pPr>
        <w:spacing w:line="360" w:lineRule="auto"/>
        <w:rPr>
          <w:rFonts w:ascii="Arial" w:hAnsi="Arial" w:cs="Arial"/>
          <w:b/>
          <w:bCs/>
        </w:rPr>
      </w:pPr>
      <w:r w:rsidRPr="006D16C4">
        <w:rPr>
          <w:rFonts w:ascii="Arial" w:hAnsi="Arial" w:cs="Arial"/>
          <w:b/>
          <w:bCs/>
        </w:rPr>
        <w:lastRenderedPageBreak/>
        <w:t>Introduction</w:t>
      </w:r>
      <w:r w:rsidR="006D16C4">
        <w:rPr>
          <w:rFonts w:ascii="Arial" w:hAnsi="Arial" w:cs="Arial"/>
          <w:b/>
          <w:bCs/>
        </w:rPr>
        <w:t>:</w:t>
      </w:r>
    </w:p>
    <w:p w14:paraId="212B9B70" w14:textId="77777777" w:rsidR="00C02F4C" w:rsidRPr="00C02F4C" w:rsidRDefault="00C02F4C" w:rsidP="006D16C4">
      <w:pPr>
        <w:spacing w:line="360" w:lineRule="auto"/>
        <w:rPr>
          <w:rFonts w:ascii="Arial" w:hAnsi="Arial" w:cs="Arial"/>
        </w:rPr>
      </w:pPr>
      <w:r w:rsidRPr="00C02F4C">
        <w:rPr>
          <w:rFonts w:ascii="Arial" w:hAnsi="Arial" w:cs="Arial"/>
        </w:rPr>
        <w:t>In today's fast-paced and cutthroat workplace, the subject of personal brand development and employability in health and social care is becoming more and more crucial. My understanding of how to create and convey a professional identity that is consistent with my beliefs, abilities, and career goals has greatly benefited from the "Changemakers: Building Your Brand for Sustainable Employment" module. I have studied four major topics throughout this module: networking techniques, emotional intelligence, boundaryless careers, and personal branding (Capela, 2021). My knowledge of how to build a flexible and long-lasting career in the health and social care industry has increased in each of these areas.</w:t>
      </w:r>
    </w:p>
    <w:p w14:paraId="28BDC8A5" w14:textId="77777777" w:rsidR="00283C2E" w:rsidRPr="006D16C4" w:rsidRDefault="00283C2E" w:rsidP="006D16C4">
      <w:pPr>
        <w:spacing w:line="360" w:lineRule="auto"/>
        <w:rPr>
          <w:rFonts w:ascii="Arial" w:hAnsi="Arial" w:cs="Arial"/>
        </w:rPr>
      </w:pPr>
      <w:r w:rsidRPr="006D16C4">
        <w:rPr>
          <w:rFonts w:ascii="Arial" w:hAnsi="Arial" w:cs="Arial"/>
        </w:rPr>
        <w:t>This assignment will reflect on the knowledge and skills gained from these four units, demonstrating how they have enhanced my personal brand and employability. I will discuss how the concepts of lifelong learning, global awareness, and emotional wellbeing contribute to sustainable career development in a constantly evolving sector. Ultimately, this reflection will show how the module has supported my growth as a health and social care professional prepared for future challenges and opportunities.</w:t>
      </w:r>
    </w:p>
    <w:p w14:paraId="0BA2FA6B" w14:textId="77777777" w:rsidR="00957F87" w:rsidRPr="006D16C4" w:rsidRDefault="00957F87" w:rsidP="006D16C4">
      <w:pPr>
        <w:spacing w:line="360" w:lineRule="auto"/>
        <w:rPr>
          <w:rFonts w:ascii="Arial" w:hAnsi="Arial" w:cs="Arial"/>
        </w:rPr>
      </w:pPr>
    </w:p>
    <w:p w14:paraId="7CEF22FB" w14:textId="77777777" w:rsidR="00283C2E" w:rsidRPr="006D16C4" w:rsidRDefault="00283C2E" w:rsidP="006D16C4">
      <w:pPr>
        <w:spacing w:line="360" w:lineRule="auto"/>
        <w:rPr>
          <w:rFonts w:ascii="Arial" w:hAnsi="Arial" w:cs="Arial"/>
        </w:rPr>
      </w:pPr>
    </w:p>
    <w:p w14:paraId="568DE7A1" w14:textId="77777777" w:rsidR="00283C2E" w:rsidRPr="006D16C4" w:rsidRDefault="00283C2E" w:rsidP="006D16C4">
      <w:pPr>
        <w:spacing w:line="360" w:lineRule="auto"/>
        <w:rPr>
          <w:rFonts w:ascii="Arial" w:hAnsi="Arial" w:cs="Arial"/>
          <w:b/>
          <w:bCs/>
        </w:rPr>
      </w:pPr>
      <w:r w:rsidRPr="006D16C4">
        <w:rPr>
          <w:rFonts w:ascii="Arial" w:hAnsi="Arial" w:cs="Arial"/>
          <w:b/>
          <w:bCs/>
        </w:rPr>
        <w:t>Reflection on Unit 1: Brand You</w:t>
      </w:r>
    </w:p>
    <w:p w14:paraId="07213167" w14:textId="77777777" w:rsidR="00C02F4C" w:rsidRPr="00C02F4C" w:rsidRDefault="00C02F4C" w:rsidP="006D16C4">
      <w:pPr>
        <w:spacing w:line="360" w:lineRule="auto"/>
        <w:rPr>
          <w:rFonts w:ascii="Arial" w:hAnsi="Arial" w:cs="Arial"/>
        </w:rPr>
      </w:pPr>
      <w:r w:rsidRPr="00C02F4C">
        <w:rPr>
          <w:rFonts w:ascii="Arial" w:hAnsi="Arial" w:cs="Arial"/>
        </w:rPr>
        <w:t xml:space="preserve">This assignment explores personal and professional development within health and social care, beginning with Unit 1: </w:t>
      </w:r>
      <w:r w:rsidRPr="00C02F4C">
        <w:rPr>
          <w:rFonts w:ascii="Arial" w:hAnsi="Arial" w:cs="Arial"/>
          <w:i/>
          <w:iCs/>
        </w:rPr>
        <w:t>Brand You</w:t>
      </w:r>
      <w:r w:rsidRPr="00C02F4C">
        <w:rPr>
          <w:rFonts w:ascii="Arial" w:hAnsi="Arial" w:cs="Arial"/>
        </w:rPr>
        <w:t xml:space="preserve">. The focus of this section is to reflect on how personal branding shapes career identity, influences professional behaviour, and supports long-term goals in nursing and public health. Drawing on lectures, forum activities, and academic literature, I examine three key concepts: </w:t>
      </w:r>
      <w:r w:rsidRPr="00C02F4C">
        <w:rPr>
          <w:rFonts w:ascii="Arial" w:hAnsi="Arial" w:cs="Arial"/>
          <w:b/>
          <w:bCs/>
        </w:rPr>
        <w:t>self-awareness</w:t>
      </w:r>
      <w:r w:rsidRPr="00C02F4C">
        <w:rPr>
          <w:rFonts w:ascii="Arial" w:hAnsi="Arial" w:cs="Arial"/>
        </w:rPr>
        <w:t xml:space="preserve">, </w:t>
      </w:r>
      <w:r w:rsidRPr="00C02F4C">
        <w:rPr>
          <w:rFonts w:ascii="Arial" w:hAnsi="Arial" w:cs="Arial"/>
          <w:b/>
          <w:bCs/>
        </w:rPr>
        <w:t>career goal setting</w:t>
      </w:r>
      <w:r w:rsidRPr="00C02F4C">
        <w:rPr>
          <w:rFonts w:ascii="Arial" w:hAnsi="Arial" w:cs="Arial"/>
        </w:rPr>
        <w:t xml:space="preserve">, and </w:t>
      </w:r>
      <w:r w:rsidRPr="00C02F4C">
        <w:rPr>
          <w:rFonts w:ascii="Arial" w:hAnsi="Arial" w:cs="Arial"/>
          <w:b/>
          <w:bCs/>
        </w:rPr>
        <w:t>autonomy</w:t>
      </w:r>
      <w:r w:rsidRPr="00C02F4C">
        <w:rPr>
          <w:rFonts w:ascii="Arial" w:hAnsi="Arial" w:cs="Arial"/>
        </w:rPr>
        <w:t>—all of which are foundational to building a credible and authentic professional brand.</w:t>
      </w:r>
    </w:p>
    <w:p w14:paraId="1F70F0DF" w14:textId="77777777" w:rsidR="00C02F4C" w:rsidRPr="00C02F4C" w:rsidRDefault="00C02F4C" w:rsidP="006D16C4">
      <w:pPr>
        <w:spacing w:line="360" w:lineRule="auto"/>
        <w:rPr>
          <w:rFonts w:ascii="Arial" w:hAnsi="Arial" w:cs="Arial"/>
        </w:rPr>
      </w:pPr>
      <w:r w:rsidRPr="00C02F4C">
        <w:rPr>
          <w:rFonts w:ascii="Arial" w:hAnsi="Arial" w:cs="Arial"/>
        </w:rPr>
        <w:t xml:space="preserve">The concept of </w:t>
      </w:r>
      <w:r w:rsidRPr="00C02F4C">
        <w:rPr>
          <w:rFonts w:ascii="Arial" w:hAnsi="Arial" w:cs="Arial"/>
          <w:b/>
          <w:bCs/>
        </w:rPr>
        <w:t>self-awareness</w:t>
      </w:r>
      <w:r w:rsidRPr="00C02F4C">
        <w:rPr>
          <w:rFonts w:ascii="Arial" w:hAnsi="Arial" w:cs="Arial"/>
        </w:rPr>
        <w:t xml:space="preserve"> was introduced as the ability to understand one’s emotions, strengths, and limitations. In my forum post, I described how self-awareness helps professionals “manage stress, communicate effectively, provide compassionate patient care, and work well in teams.” This aligns with Goleman’s (1998) emotional intelligence framework, which positions self-awareness as a core competency for leadership and resilience. In health and social care, recognising emotional states and adjusting behaviour is essential for maintaining professionalism and empathy, especially under pressure.</w:t>
      </w:r>
    </w:p>
    <w:p w14:paraId="4AD5542F" w14:textId="676532B2" w:rsidR="00C02F4C" w:rsidRPr="00C02F4C" w:rsidRDefault="00C02F4C" w:rsidP="006D16C4">
      <w:pPr>
        <w:spacing w:line="360" w:lineRule="auto"/>
        <w:rPr>
          <w:rFonts w:ascii="Arial" w:hAnsi="Arial" w:cs="Arial"/>
        </w:rPr>
      </w:pPr>
      <w:r w:rsidRPr="00C02F4C">
        <w:rPr>
          <w:rFonts w:ascii="Arial" w:hAnsi="Arial" w:cs="Arial"/>
          <w:b/>
          <w:bCs/>
        </w:rPr>
        <w:lastRenderedPageBreak/>
        <w:t>Career goal setting</w:t>
      </w:r>
      <w:r w:rsidRPr="00C02F4C">
        <w:rPr>
          <w:rFonts w:ascii="Arial" w:hAnsi="Arial" w:cs="Arial"/>
        </w:rPr>
        <w:t xml:space="preserve"> was another central theme. I articulated my aspiration to become both a </w:t>
      </w:r>
      <w:r w:rsidRPr="006D16C4">
        <w:rPr>
          <w:rFonts w:ascii="Arial" w:hAnsi="Arial" w:cs="Arial"/>
        </w:rPr>
        <w:t>paediatric</w:t>
      </w:r>
      <w:r w:rsidRPr="00C02F4C">
        <w:rPr>
          <w:rFonts w:ascii="Arial" w:hAnsi="Arial" w:cs="Arial"/>
        </w:rPr>
        <w:t xml:space="preserve"> nurse and a Specialist Community Public Health Nurse (SCPHN), outlining steps such as gaining experience, pursuing further qualifications, and engaging in CPD. This structured approach reflects Locke and Latham’s (2002) goal-setting theory, which emphasises clarity, challenge, and commitment as drivers of motivation. By setting specific goals, I can align my personal brand with sector expectations and demonstrate readiness for practice.</w:t>
      </w:r>
    </w:p>
    <w:p w14:paraId="750B5940" w14:textId="77777777" w:rsidR="00C02F4C" w:rsidRPr="00C02F4C" w:rsidRDefault="00C02F4C" w:rsidP="006D16C4">
      <w:pPr>
        <w:spacing w:line="360" w:lineRule="auto"/>
        <w:rPr>
          <w:rFonts w:ascii="Arial" w:hAnsi="Arial" w:cs="Arial"/>
        </w:rPr>
      </w:pPr>
      <w:r w:rsidRPr="00C02F4C">
        <w:rPr>
          <w:rFonts w:ascii="Arial" w:hAnsi="Arial" w:cs="Arial"/>
        </w:rPr>
        <w:t xml:space="preserve">The third concept, </w:t>
      </w:r>
      <w:r w:rsidRPr="00C02F4C">
        <w:rPr>
          <w:rFonts w:ascii="Arial" w:hAnsi="Arial" w:cs="Arial"/>
          <w:b/>
          <w:bCs/>
        </w:rPr>
        <w:t>autonomy</w:t>
      </w:r>
      <w:r w:rsidRPr="00C02F4C">
        <w:rPr>
          <w:rFonts w:ascii="Arial" w:hAnsi="Arial" w:cs="Arial"/>
        </w:rPr>
        <w:t>, was defined in my activity as “the ability and freedom… to make your own decision and take responsibility.” Autonomy is a critical value in health and social care, where practitioners must act independently while remaining accountable. Beauchamp and Childress (2013) argue that autonomy supports ethical decision-making and patient advocacy—qualities that are integral to my professional identity.</w:t>
      </w:r>
    </w:p>
    <w:p w14:paraId="4F6BE5B5" w14:textId="77777777" w:rsidR="00C02F4C" w:rsidRPr="006D16C4" w:rsidRDefault="00C02F4C" w:rsidP="006D16C4">
      <w:pPr>
        <w:spacing w:line="360" w:lineRule="auto"/>
        <w:rPr>
          <w:rFonts w:ascii="Arial" w:hAnsi="Arial" w:cs="Arial"/>
        </w:rPr>
      </w:pPr>
      <w:r w:rsidRPr="00C02F4C">
        <w:rPr>
          <w:rFonts w:ascii="Arial" w:hAnsi="Arial" w:cs="Arial"/>
        </w:rPr>
        <w:t>These concepts—self-awareness, goal setting, and autonomy—are not only theoretical but deeply practical. They influence how I present myself, make decisions, and engage with others in care settings. Unit 1 helped me recognise that personal branding is more than image; it’s about integrity, clarity, and consistency in behaviour.</w:t>
      </w:r>
    </w:p>
    <w:p w14:paraId="38ECDECB" w14:textId="77777777" w:rsidR="00C02F4C" w:rsidRPr="006D16C4" w:rsidRDefault="00C02F4C" w:rsidP="006D16C4">
      <w:pPr>
        <w:spacing w:line="360" w:lineRule="auto"/>
        <w:rPr>
          <w:rFonts w:ascii="Arial" w:hAnsi="Arial" w:cs="Arial"/>
        </w:rPr>
      </w:pPr>
    </w:p>
    <w:p w14:paraId="4B59D211" w14:textId="534B6690" w:rsidR="00C02F4C" w:rsidRPr="006D16C4" w:rsidRDefault="00C02F4C" w:rsidP="006D16C4">
      <w:pPr>
        <w:spacing w:line="360" w:lineRule="auto"/>
        <w:rPr>
          <w:rFonts w:ascii="Arial" w:hAnsi="Arial" w:cs="Arial"/>
        </w:rPr>
      </w:pPr>
      <w:r w:rsidRPr="006D16C4">
        <w:rPr>
          <w:rFonts w:ascii="Arial" w:hAnsi="Arial" w:cs="Arial"/>
          <w:noProof/>
        </w:rPr>
        <w:lastRenderedPageBreak/>
        <w:drawing>
          <wp:inline distT="0" distB="0" distL="0" distR="0" wp14:anchorId="6A6BEB95" wp14:editId="2A7BAF34">
            <wp:extent cx="5681663" cy="2512449"/>
            <wp:effectExtent l="0" t="0" r="0" b="2540"/>
            <wp:docPr id="77998079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05527" cy="2523002"/>
                    </a:xfrm>
                    <a:prstGeom prst="rect">
                      <a:avLst/>
                    </a:prstGeom>
                    <a:noFill/>
                    <a:ln>
                      <a:noFill/>
                    </a:ln>
                  </pic:spPr>
                </pic:pic>
              </a:graphicData>
            </a:graphic>
          </wp:inline>
        </w:drawing>
      </w:r>
      <w:r w:rsidRPr="006D16C4">
        <w:rPr>
          <w:rFonts w:ascii="Arial" w:hAnsi="Arial" w:cs="Arial"/>
          <w:noProof/>
        </w:rPr>
        <w:drawing>
          <wp:inline distT="0" distB="0" distL="0" distR="0" wp14:anchorId="6812C3A9" wp14:editId="05124F5F">
            <wp:extent cx="5695950" cy="2952750"/>
            <wp:effectExtent l="0" t="0" r="0" b="0"/>
            <wp:docPr id="122550724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95950" cy="2952750"/>
                    </a:xfrm>
                    <a:prstGeom prst="rect">
                      <a:avLst/>
                    </a:prstGeom>
                    <a:noFill/>
                    <a:ln>
                      <a:noFill/>
                    </a:ln>
                  </pic:spPr>
                </pic:pic>
              </a:graphicData>
            </a:graphic>
          </wp:inline>
        </w:drawing>
      </w:r>
      <w:r w:rsidRPr="006D16C4">
        <w:rPr>
          <w:rFonts w:ascii="Arial" w:hAnsi="Arial" w:cs="Arial"/>
          <w:noProof/>
        </w:rPr>
        <w:drawing>
          <wp:inline distT="0" distB="0" distL="0" distR="0" wp14:anchorId="6FA2F1F8" wp14:editId="1AE6031E">
            <wp:extent cx="3407322" cy="2352675"/>
            <wp:effectExtent l="0" t="0" r="3175" b="0"/>
            <wp:docPr id="22716193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5832" cy="2365456"/>
                    </a:xfrm>
                    <a:prstGeom prst="rect">
                      <a:avLst/>
                    </a:prstGeom>
                    <a:noFill/>
                    <a:ln>
                      <a:noFill/>
                    </a:ln>
                  </pic:spPr>
                </pic:pic>
              </a:graphicData>
            </a:graphic>
          </wp:inline>
        </w:drawing>
      </w:r>
      <w:r w:rsidRPr="006D16C4">
        <w:rPr>
          <w:rFonts w:ascii="Arial" w:hAnsi="Arial" w:cs="Arial"/>
          <w:noProof/>
        </w:rPr>
        <w:lastRenderedPageBreak/>
        <w:drawing>
          <wp:inline distT="0" distB="0" distL="0" distR="0" wp14:anchorId="12A9C791" wp14:editId="7B9EEC8E">
            <wp:extent cx="5724525" cy="1757680"/>
            <wp:effectExtent l="0" t="0" r="9525" b="0"/>
            <wp:docPr id="3775915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4525" cy="1757680"/>
                    </a:xfrm>
                    <a:prstGeom prst="rect">
                      <a:avLst/>
                    </a:prstGeom>
                    <a:noFill/>
                    <a:ln>
                      <a:noFill/>
                    </a:ln>
                  </pic:spPr>
                </pic:pic>
              </a:graphicData>
            </a:graphic>
          </wp:inline>
        </w:drawing>
      </w:r>
      <w:r w:rsidRPr="006D16C4">
        <w:rPr>
          <w:rFonts w:ascii="Arial" w:hAnsi="Arial" w:cs="Arial"/>
          <w:noProof/>
        </w:rPr>
        <w:drawing>
          <wp:inline distT="0" distB="0" distL="0" distR="0" wp14:anchorId="4A870393" wp14:editId="5E0EDF71">
            <wp:extent cx="5729605" cy="2186305"/>
            <wp:effectExtent l="0" t="0" r="4445" b="4445"/>
            <wp:docPr id="181689286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9605" cy="2186305"/>
                    </a:xfrm>
                    <a:prstGeom prst="rect">
                      <a:avLst/>
                    </a:prstGeom>
                    <a:noFill/>
                    <a:ln>
                      <a:noFill/>
                    </a:ln>
                  </pic:spPr>
                </pic:pic>
              </a:graphicData>
            </a:graphic>
          </wp:inline>
        </w:drawing>
      </w:r>
      <w:r w:rsidRPr="006D16C4">
        <w:rPr>
          <w:rFonts w:ascii="Arial" w:hAnsi="Arial" w:cs="Arial"/>
          <w:noProof/>
        </w:rPr>
        <w:drawing>
          <wp:inline distT="0" distB="0" distL="0" distR="0" wp14:anchorId="2AD740DE" wp14:editId="733F4A36">
            <wp:extent cx="5739130" cy="2624455"/>
            <wp:effectExtent l="0" t="0" r="0" b="4445"/>
            <wp:docPr id="16023038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9130" cy="2624455"/>
                    </a:xfrm>
                    <a:prstGeom prst="rect">
                      <a:avLst/>
                    </a:prstGeom>
                    <a:noFill/>
                    <a:ln>
                      <a:noFill/>
                    </a:ln>
                  </pic:spPr>
                </pic:pic>
              </a:graphicData>
            </a:graphic>
          </wp:inline>
        </w:drawing>
      </w:r>
    </w:p>
    <w:p w14:paraId="5F367189" w14:textId="77777777" w:rsidR="00C02F4C" w:rsidRDefault="00C02F4C" w:rsidP="006D16C4">
      <w:pPr>
        <w:spacing w:line="360" w:lineRule="auto"/>
        <w:rPr>
          <w:rFonts w:ascii="Arial" w:hAnsi="Arial" w:cs="Arial"/>
        </w:rPr>
      </w:pPr>
    </w:p>
    <w:p w14:paraId="1DD9A03D" w14:textId="77777777" w:rsidR="006D16C4" w:rsidRDefault="006D16C4" w:rsidP="006D16C4">
      <w:pPr>
        <w:spacing w:line="360" w:lineRule="auto"/>
        <w:rPr>
          <w:rFonts w:ascii="Arial" w:hAnsi="Arial" w:cs="Arial"/>
        </w:rPr>
      </w:pPr>
    </w:p>
    <w:p w14:paraId="2E27956B" w14:textId="77777777" w:rsidR="006D16C4" w:rsidRDefault="006D16C4" w:rsidP="006D16C4">
      <w:pPr>
        <w:spacing w:line="360" w:lineRule="auto"/>
        <w:rPr>
          <w:rFonts w:ascii="Arial" w:hAnsi="Arial" w:cs="Arial"/>
        </w:rPr>
      </w:pPr>
    </w:p>
    <w:p w14:paraId="5D86C2F6" w14:textId="77777777" w:rsidR="006D16C4" w:rsidRDefault="006D16C4" w:rsidP="006D16C4">
      <w:pPr>
        <w:spacing w:line="360" w:lineRule="auto"/>
        <w:rPr>
          <w:rFonts w:ascii="Arial" w:hAnsi="Arial" w:cs="Arial"/>
        </w:rPr>
      </w:pPr>
    </w:p>
    <w:p w14:paraId="0BA09E87" w14:textId="77777777" w:rsidR="006D16C4" w:rsidRPr="006D16C4" w:rsidRDefault="006D16C4" w:rsidP="006D16C4">
      <w:pPr>
        <w:spacing w:line="360" w:lineRule="auto"/>
        <w:rPr>
          <w:rFonts w:ascii="Arial" w:hAnsi="Arial" w:cs="Arial"/>
        </w:rPr>
      </w:pPr>
    </w:p>
    <w:p w14:paraId="632A7369" w14:textId="19FC2CED" w:rsidR="00C02F4C" w:rsidRPr="00C02F4C" w:rsidRDefault="00C02F4C" w:rsidP="006D16C4">
      <w:pPr>
        <w:spacing w:line="360" w:lineRule="auto"/>
        <w:rPr>
          <w:rFonts w:ascii="Arial" w:hAnsi="Arial" w:cs="Arial"/>
        </w:rPr>
      </w:pPr>
      <w:r w:rsidRPr="00C02F4C">
        <w:rPr>
          <w:rFonts w:ascii="Arial" w:hAnsi="Arial" w:cs="Arial"/>
          <w:b/>
          <w:bCs/>
        </w:rPr>
        <w:lastRenderedPageBreak/>
        <w:t>Unit 2:</w:t>
      </w:r>
      <w:r w:rsidRPr="00C02F4C">
        <w:rPr>
          <w:rFonts w:ascii="Arial" w:hAnsi="Arial" w:cs="Arial"/>
        </w:rPr>
        <w:t xml:space="preserve"> </w:t>
      </w:r>
      <w:r w:rsidR="006D16C4">
        <w:rPr>
          <w:rFonts w:ascii="Arial" w:hAnsi="Arial" w:cs="Arial"/>
        </w:rPr>
        <w:t>E</w:t>
      </w:r>
      <w:r w:rsidRPr="00C02F4C">
        <w:rPr>
          <w:rFonts w:ascii="Arial" w:hAnsi="Arial" w:cs="Arial"/>
        </w:rPr>
        <w:t>xpanded my understanding of how global trends and interpersonal competencies shape health and social care practice. The unit focused on emotional intelligence (EI), self-awareness, and the gig economy—each highlighting the importance of adaptability, empathy, and workforce flexibility in a globally connected sector.</w:t>
      </w:r>
    </w:p>
    <w:p w14:paraId="6E9A6D04" w14:textId="77777777" w:rsidR="00C02F4C" w:rsidRPr="00C02F4C" w:rsidRDefault="00C02F4C" w:rsidP="006D16C4">
      <w:pPr>
        <w:spacing w:line="360" w:lineRule="auto"/>
        <w:rPr>
          <w:rFonts w:ascii="Arial" w:hAnsi="Arial" w:cs="Arial"/>
        </w:rPr>
      </w:pPr>
      <w:r w:rsidRPr="00C02F4C">
        <w:rPr>
          <w:rFonts w:ascii="Arial" w:hAnsi="Arial" w:cs="Arial"/>
        </w:rPr>
        <w:t xml:space="preserve">One of the most impactful topics was </w:t>
      </w:r>
      <w:r w:rsidRPr="00C02F4C">
        <w:rPr>
          <w:rFonts w:ascii="Arial" w:hAnsi="Arial" w:cs="Arial"/>
          <w:b/>
          <w:bCs/>
        </w:rPr>
        <w:t>emotional intelligence</w:t>
      </w:r>
      <w:r w:rsidRPr="00C02F4C">
        <w:rPr>
          <w:rFonts w:ascii="Arial" w:hAnsi="Arial" w:cs="Arial"/>
        </w:rPr>
        <w:t>. In my forum post, I defined EI as “the ability to understand and manage your own emotions and respond appropriately to others’ emotions.” I reflected on how EI enables professionals to build trust, manage conflict, and deliver compassionate care. Goleman (1995) identifies EI as a key driver of effective leadership and teamwork, especially in diverse and emotionally demanding environments. For example, I described how a nurse might reassure an anxious patient or how a social worker remains calm with a challenging client—both examples of EI in action.</w:t>
      </w:r>
    </w:p>
    <w:p w14:paraId="3555258B" w14:textId="77777777" w:rsidR="00C02F4C" w:rsidRPr="00C02F4C" w:rsidRDefault="00C02F4C" w:rsidP="006D16C4">
      <w:pPr>
        <w:spacing w:line="360" w:lineRule="auto"/>
        <w:rPr>
          <w:rFonts w:ascii="Arial" w:hAnsi="Arial" w:cs="Arial"/>
        </w:rPr>
      </w:pPr>
      <w:r w:rsidRPr="00C02F4C">
        <w:rPr>
          <w:rFonts w:ascii="Arial" w:hAnsi="Arial" w:cs="Arial"/>
        </w:rPr>
        <w:t xml:space="preserve">Another key concept was </w:t>
      </w:r>
      <w:r w:rsidRPr="00C02F4C">
        <w:rPr>
          <w:rFonts w:ascii="Arial" w:hAnsi="Arial" w:cs="Arial"/>
          <w:b/>
          <w:bCs/>
        </w:rPr>
        <w:t>self-awareness</w:t>
      </w:r>
      <w:r w:rsidRPr="00C02F4C">
        <w:rPr>
          <w:rFonts w:ascii="Arial" w:hAnsi="Arial" w:cs="Arial"/>
        </w:rPr>
        <w:t>, which I described as “the ability to understand your own emotions, strengths, and weaknesses.” This competency supports ethical decision-making, stress management, and professional behaviour. Schön’s (1983) model of reflective practice emphasises self-awareness as essential for learning from experience and improving care quality. In my forum activity, I gave the example of a nurse recognising fatigue and adjusting their behaviour to remain empathetic—demonstrating how self-awareness protects both patient safety and practitioner wellbeing.</w:t>
      </w:r>
    </w:p>
    <w:p w14:paraId="1E8E1F56" w14:textId="77777777" w:rsidR="00C02F4C" w:rsidRPr="00C02F4C" w:rsidRDefault="00C02F4C" w:rsidP="006D16C4">
      <w:pPr>
        <w:spacing w:line="360" w:lineRule="auto"/>
        <w:rPr>
          <w:rFonts w:ascii="Arial" w:hAnsi="Arial" w:cs="Arial"/>
        </w:rPr>
      </w:pPr>
      <w:r w:rsidRPr="00C02F4C">
        <w:rPr>
          <w:rFonts w:ascii="Arial" w:hAnsi="Arial" w:cs="Arial"/>
        </w:rPr>
        <w:t xml:space="preserve">The unit also introduced the </w:t>
      </w:r>
      <w:r w:rsidRPr="00C02F4C">
        <w:rPr>
          <w:rFonts w:ascii="Arial" w:hAnsi="Arial" w:cs="Arial"/>
          <w:b/>
          <w:bCs/>
        </w:rPr>
        <w:t>gig economy</w:t>
      </w:r>
      <w:r w:rsidRPr="00C02F4C">
        <w:rPr>
          <w:rFonts w:ascii="Arial" w:hAnsi="Arial" w:cs="Arial"/>
        </w:rPr>
        <w:t xml:space="preserve"> as a global workforce trend. I explored how freelance caregivers and nurses use digital platforms to access flexible work, often across borders. While this model offers adaptability, it raises concerns about continuity of care and job security (Standing, 2014). Understanding this dynamic helped me appreciate the global pressures shaping UK health and social care—such as staffing shortages, digital innovation, and the need for responsive workforce models.</w:t>
      </w:r>
    </w:p>
    <w:p w14:paraId="4D54F7EA" w14:textId="77777777" w:rsidR="00C02F4C" w:rsidRPr="00C02F4C" w:rsidRDefault="00C02F4C" w:rsidP="006D16C4">
      <w:pPr>
        <w:spacing w:line="360" w:lineRule="auto"/>
        <w:rPr>
          <w:rFonts w:ascii="Arial" w:hAnsi="Arial" w:cs="Arial"/>
        </w:rPr>
      </w:pPr>
      <w:r w:rsidRPr="00C02F4C">
        <w:rPr>
          <w:rFonts w:ascii="Arial" w:hAnsi="Arial" w:cs="Arial"/>
        </w:rPr>
        <w:t>These topics collectively enhanced my awareness of global connections in health and social care. Emotional intelligence and self-awareness are universally valued, while the gig economy reflects broader shifts in employment. By engaging with these ideas, I recognised the importance of cultural sensitivity, ethical practice, and workforce adaptability in a globalised sector.</w:t>
      </w:r>
    </w:p>
    <w:p w14:paraId="2FF54464" w14:textId="1920CDE1" w:rsidR="00C02F4C" w:rsidRDefault="00C02F4C" w:rsidP="006D16C4">
      <w:pPr>
        <w:spacing w:line="360" w:lineRule="auto"/>
        <w:rPr>
          <w:rFonts w:ascii="Arial" w:hAnsi="Arial" w:cs="Arial"/>
        </w:rPr>
      </w:pPr>
      <w:r w:rsidRPr="006D16C4">
        <w:rPr>
          <w:rFonts w:ascii="Arial" w:hAnsi="Arial" w:cs="Arial"/>
          <w:noProof/>
        </w:rPr>
        <w:lastRenderedPageBreak/>
        <w:drawing>
          <wp:inline distT="0" distB="0" distL="0" distR="0" wp14:anchorId="3FEF98B8" wp14:editId="76D8B907">
            <wp:extent cx="5724525" cy="1881505"/>
            <wp:effectExtent l="0" t="0" r="9525" b="4445"/>
            <wp:docPr id="10605586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4525" cy="1881505"/>
                    </a:xfrm>
                    <a:prstGeom prst="rect">
                      <a:avLst/>
                    </a:prstGeom>
                    <a:noFill/>
                    <a:ln>
                      <a:noFill/>
                    </a:ln>
                  </pic:spPr>
                </pic:pic>
              </a:graphicData>
            </a:graphic>
          </wp:inline>
        </w:drawing>
      </w:r>
      <w:r w:rsidRPr="006D16C4">
        <w:rPr>
          <w:rFonts w:ascii="Arial" w:hAnsi="Arial" w:cs="Arial"/>
          <w:noProof/>
        </w:rPr>
        <w:drawing>
          <wp:inline distT="0" distB="0" distL="0" distR="0" wp14:anchorId="3CD610F2" wp14:editId="6539D622">
            <wp:extent cx="5724525" cy="2057400"/>
            <wp:effectExtent l="0" t="0" r="9525" b="0"/>
            <wp:docPr id="9423591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2057400"/>
                    </a:xfrm>
                    <a:prstGeom prst="rect">
                      <a:avLst/>
                    </a:prstGeom>
                    <a:noFill/>
                    <a:ln>
                      <a:noFill/>
                    </a:ln>
                  </pic:spPr>
                </pic:pic>
              </a:graphicData>
            </a:graphic>
          </wp:inline>
        </w:drawing>
      </w:r>
      <w:r w:rsidRPr="006D16C4">
        <w:rPr>
          <w:rFonts w:ascii="Arial" w:hAnsi="Arial" w:cs="Arial"/>
          <w:noProof/>
        </w:rPr>
        <w:drawing>
          <wp:inline distT="0" distB="0" distL="0" distR="0" wp14:anchorId="1A86F85F" wp14:editId="0FF5D6B0">
            <wp:extent cx="5724525" cy="1828800"/>
            <wp:effectExtent l="0" t="0" r="9525" b="0"/>
            <wp:docPr id="84490046"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90046" name="Picture 19"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1828800"/>
                    </a:xfrm>
                    <a:prstGeom prst="rect">
                      <a:avLst/>
                    </a:prstGeom>
                    <a:noFill/>
                    <a:ln>
                      <a:noFill/>
                    </a:ln>
                  </pic:spPr>
                </pic:pic>
              </a:graphicData>
            </a:graphic>
          </wp:inline>
        </w:drawing>
      </w:r>
      <w:r w:rsidRPr="006D16C4">
        <w:rPr>
          <w:rFonts w:ascii="Arial" w:hAnsi="Arial" w:cs="Arial"/>
          <w:noProof/>
        </w:rPr>
        <w:lastRenderedPageBreak/>
        <w:drawing>
          <wp:inline distT="0" distB="0" distL="0" distR="0" wp14:anchorId="3E556FB4" wp14:editId="67465348">
            <wp:extent cx="5724525" cy="3138805"/>
            <wp:effectExtent l="0" t="0" r="9525" b="4445"/>
            <wp:docPr id="156567166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138805"/>
                    </a:xfrm>
                    <a:prstGeom prst="rect">
                      <a:avLst/>
                    </a:prstGeom>
                    <a:noFill/>
                    <a:ln>
                      <a:noFill/>
                    </a:ln>
                  </pic:spPr>
                </pic:pic>
              </a:graphicData>
            </a:graphic>
          </wp:inline>
        </w:drawing>
      </w:r>
      <w:r w:rsidRPr="006D16C4">
        <w:rPr>
          <w:rFonts w:ascii="Arial" w:hAnsi="Arial" w:cs="Arial"/>
          <w:noProof/>
        </w:rPr>
        <w:drawing>
          <wp:inline distT="0" distB="0" distL="0" distR="0" wp14:anchorId="227AF8DA" wp14:editId="2B473EF0">
            <wp:extent cx="5753100" cy="2857500"/>
            <wp:effectExtent l="0" t="0" r="0" b="0"/>
            <wp:docPr id="10484421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53100" cy="2857500"/>
                    </a:xfrm>
                    <a:prstGeom prst="rect">
                      <a:avLst/>
                    </a:prstGeom>
                    <a:noFill/>
                    <a:ln>
                      <a:noFill/>
                    </a:ln>
                  </pic:spPr>
                </pic:pic>
              </a:graphicData>
            </a:graphic>
          </wp:inline>
        </w:drawing>
      </w:r>
      <w:r w:rsidRPr="006D16C4">
        <w:rPr>
          <w:rFonts w:ascii="Arial" w:hAnsi="Arial" w:cs="Arial"/>
          <w:noProof/>
        </w:rPr>
        <w:drawing>
          <wp:inline distT="0" distB="0" distL="0" distR="0" wp14:anchorId="387C6028" wp14:editId="01CCDD02">
            <wp:extent cx="5729605" cy="1781175"/>
            <wp:effectExtent l="0" t="0" r="4445" b="9525"/>
            <wp:docPr id="14090123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9605" cy="1781175"/>
                    </a:xfrm>
                    <a:prstGeom prst="rect">
                      <a:avLst/>
                    </a:prstGeom>
                    <a:noFill/>
                    <a:ln>
                      <a:noFill/>
                    </a:ln>
                  </pic:spPr>
                </pic:pic>
              </a:graphicData>
            </a:graphic>
          </wp:inline>
        </w:drawing>
      </w:r>
    </w:p>
    <w:p w14:paraId="2D96EEC5" w14:textId="77777777" w:rsidR="00C4230B" w:rsidRDefault="00C4230B" w:rsidP="006D16C4">
      <w:pPr>
        <w:spacing w:line="360" w:lineRule="auto"/>
        <w:rPr>
          <w:rFonts w:ascii="Arial" w:hAnsi="Arial" w:cs="Arial"/>
        </w:rPr>
      </w:pPr>
    </w:p>
    <w:p w14:paraId="0F6FE158" w14:textId="77777777" w:rsidR="00C4230B" w:rsidRPr="00C02F4C" w:rsidRDefault="00C4230B" w:rsidP="006D16C4">
      <w:pPr>
        <w:spacing w:line="360" w:lineRule="auto"/>
        <w:rPr>
          <w:rFonts w:ascii="Arial" w:hAnsi="Arial" w:cs="Arial"/>
        </w:rPr>
      </w:pPr>
    </w:p>
    <w:p w14:paraId="4252F343" w14:textId="77777777" w:rsidR="00C02F4C" w:rsidRPr="00C02F4C" w:rsidRDefault="00C02F4C" w:rsidP="006D16C4">
      <w:pPr>
        <w:spacing w:line="360" w:lineRule="auto"/>
        <w:rPr>
          <w:rFonts w:ascii="Arial" w:hAnsi="Arial" w:cs="Arial"/>
        </w:rPr>
      </w:pPr>
      <w:r w:rsidRPr="00C02F4C">
        <w:rPr>
          <w:rFonts w:ascii="Arial" w:hAnsi="Arial" w:cs="Arial"/>
          <w:b/>
          <w:bCs/>
        </w:rPr>
        <w:lastRenderedPageBreak/>
        <w:t>Unit 3:</w:t>
      </w:r>
      <w:r w:rsidRPr="00C02F4C">
        <w:rPr>
          <w:rFonts w:ascii="Arial" w:hAnsi="Arial" w:cs="Arial"/>
        </w:rPr>
        <w:t xml:space="preserve"> </w:t>
      </w:r>
      <w:r w:rsidRPr="00C02F4C">
        <w:rPr>
          <w:rFonts w:ascii="Arial" w:hAnsi="Arial" w:cs="Arial"/>
          <w:i/>
          <w:iCs/>
        </w:rPr>
        <w:t>Opportunity Knocks</w:t>
      </w:r>
      <w:r w:rsidRPr="00C02F4C">
        <w:rPr>
          <w:rFonts w:ascii="Arial" w:hAnsi="Arial" w:cs="Arial"/>
        </w:rPr>
        <w:t xml:space="preserve"> helped me recognise how personal initiative, strategic communication, and professional visibility can open doors in health and social care. The unit explored key themes such as networking, online presence, serendipity mindset, and stretch goals—all of which shaped my understanding of how to identify and act on career opportunities.</w:t>
      </w:r>
    </w:p>
    <w:p w14:paraId="034B306E" w14:textId="77777777" w:rsidR="00C02F4C" w:rsidRPr="00C02F4C" w:rsidRDefault="00C02F4C" w:rsidP="006D16C4">
      <w:pPr>
        <w:spacing w:line="360" w:lineRule="auto"/>
        <w:rPr>
          <w:rFonts w:ascii="Arial" w:hAnsi="Arial" w:cs="Arial"/>
        </w:rPr>
      </w:pPr>
      <w:r w:rsidRPr="00C02F4C">
        <w:rPr>
          <w:rFonts w:ascii="Arial" w:hAnsi="Arial" w:cs="Arial"/>
        </w:rPr>
        <w:t xml:space="preserve">One of the most valuable lessons was the importance of </w:t>
      </w:r>
      <w:r w:rsidRPr="00C02F4C">
        <w:rPr>
          <w:rFonts w:ascii="Arial" w:hAnsi="Arial" w:cs="Arial"/>
          <w:b/>
          <w:bCs/>
        </w:rPr>
        <w:t>networking</w:t>
      </w:r>
      <w:r w:rsidRPr="00C02F4C">
        <w:rPr>
          <w:rFonts w:ascii="Arial" w:hAnsi="Arial" w:cs="Arial"/>
        </w:rPr>
        <w:t xml:space="preserve">. In my forum post, I reflected that networking “improves collaboration… shares knowledge… boosts career growth… and supports well-being.” This aligns with </w:t>
      </w:r>
      <w:proofErr w:type="spellStart"/>
      <w:r w:rsidRPr="00C02F4C">
        <w:rPr>
          <w:rFonts w:ascii="Arial" w:hAnsi="Arial" w:cs="Arial"/>
        </w:rPr>
        <w:t>Granovetter’s</w:t>
      </w:r>
      <w:proofErr w:type="spellEnd"/>
      <w:r w:rsidRPr="00C02F4C">
        <w:rPr>
          <w:rFonts w:ascii="Arial" w:hAnsi="Arial" w:cs="Arial"/>
        </w:rPr>
        <w:t xml:space="preserve"> (1973) theory of weak ties, which suggests that connections outside our immediate circle often lead to new opportunities. I also learned that networking should be authentic and reciprocal, as highlighted in my reflection on the video about building genuine relationships. In health and social care, this means engaging with multidisciplinary teams, attending sector events, and joining professional bodies like the RCN.</w:t>
      </w:r>
    </w:p>
    <w:p w14:paraId="768D8C54" w14:textId="77777777" w:rsidR="00C02F4C" w:rsidRPr="00C02F4C" w:rsidRDefault="00C02F4C" w:rsidP="006D16C4">
      <w:pPr>
        <w:spacing w:line="360" w:lineRule="auto"/>
        <w:rPr>
          <w:rFonts w:ascii="Arial" w:hAnsi="Arial" w:cs="Arial"/>
        </w:rPr>
      </w:pPr>
      <w:r w:rsidRPr="00C02F4C">
        <w:rPr>
          <w:rFonts w:ascii="Arial" w:hAnsi="Arial" w:cs="Arial"/>
        </w:rPr>
        <w:t xml:space="preserve">Another key concept was </w:t>
      </w:r>
      <w:r w:rsidRPr="00C02F4C">
        <w:rPr>
          <w:rFonts w:ascii="Arial" w:hAnsi="Arial" w:cs="Arial"/>
          <w:b/>
          <w:bCs/>
        </w:rPr>
        <w:t>professional online presence</w:t>
      </w:r>
      <w:r w:rsidRPr="00C02F4C">
        <w:rPr>
          <w:rFonts w:ascii="Arial" w:hAnsi="Arial" w:cs="Arial"/>
        </w:rPr>
        <w:t>. I shared that platforms like LinkedIn allow practitioners to “showcase skills, qualifications, and professionalism” while connecting with others and accessing job opportunities. This reflects the findings of Labrecque et al. (2011), who argue that digital self-presentation is essential in modern career development. In health and social care, where trust and credibility are paramount, maintaining a reflective and engaged online profile signals commitment to lifelong learning and ethical practice.</w:t>
      </w:r>
    </w:p>
    <w:p w14:paraId="2F4D5E57" w14:textId="77777777" w:rsidR="00C02F4C" w:rsidRPr="00C02F4C" w:rsidRDefault="00C02F4C" w:rsidP="006D16C4">
      <w:pPr>
        <w:spacing w:line="360" w:lineRule="auto"/>
        <w:rPr>
          <w:rFonts w:ascii="Arial" w:hAnsi="Arial" w:cs="Arial"/>
        </w:rPr>
      </w:pPr>
      <w:r w:rsidRPr="00C02F4C">
        <w:rPr>
          <w:rFonts w:ascii="Arial" w:hAnsi="Arial" w:cs="Arial"/>
        </w:rPr>
        <w:t xml:space="preserve">The unit also introduced the </w:t>
      </w:r>
      <w:r w:rsidRPr="00C02F4C">
        <w:rPr>
          <w:rFonts w:ascii="Arial" w:hAnsi="Arial" w:cs="Arial"/>
          <w:b/>
          <w:bCs/>
        </w:rPr>
        <w:t>serendipity mindset</w:t>
      </w:r>
      <w:r w:rsidRPr="00C02F4C">
        <w:rPr>
          <w:rFonts w:ascii="Arial" w:hAnsi="Arial" w:cs="Arial"/>
        </w:rPr>
        <w:t>, which I defined as “being open, curious, and proactive in turning unexpected events into meaningful opportunities.” This mindset encourages adaptability and creative problem-solving—skills that are crucial in dynamic care environments. As Merton (1948) noted, many scientific and professional breakthroughs occur by chance, but only when individuals are prepared to act on them.</w:t>
      </w:r>
    </w:p>
    <w:p w14:paraId="462908B2" w14:textId="18131356" w:rsidR="00C02F4C" w:rsidRPr="00C02F4C" w:rsidRDefault="00C02F4C" w:rsidP="006D16C4">
      <w:pPr>
        <w:spacing w:line="360" w:lineRule="auto"/>
        <w:rPr>
          <w:rFonts w:ascii="Arial" w:hAnsi="Arial" w:cs="Arial"/>
          <w:b/>
          <w:bCs/>
        </w:rPr>
      </w:pPr>
      <w:r w:rsidRPr="00C02F4C">
        <w:rPr>
          <w:rFonts w:ascii="Arial" w:hAnsi="Arial" w:cs="Arial"/>
          <w:b/>
          <w:bCs/>
        </w:rPr>
        <w:t>Skills Analysis</w:t>
      </w:r>
      <w:r w:rsidRPr="006D16C4">
        <w:rPr>
          <w:rFonts w:ascii="Arial" w:hAnsi="Arial" w:cs="Arial"/>
          <w:b/>
          <w:bCs/>
        </w:rPr>
        <w:t>:</w:t>
      </w:r>
    </w:p>
    <w:p w14:paraId="2F3F6D61" w14:textId="77777777" w:rsidR="00C02F4C" w:rsidRPr="00C02F4C" w:rsidRDefault="00C02F4C" w:rsidP="006D16C4">
      <w:pPr>
        <w:spacing w:line="360" w:lineRule="auto"/>
        <w:rPr>
          <w:rFonts w:ascii="Arial" w:hAnsi="Arial" w:cs="Arial"/>
        </w:rPr>
      </w:pPr>
      <w:r w:rsidRPr="00C02F4C">
        <w:rPr>
          <w:rFonts w:ascii="Arial" w:hAnsi="Arial" w:cs="Arial"/>
          <w:b/>
          <w:bCs/>
        </w:rPr>
        <w:t>Strengths:</w:t>
      </w:r>
    </w:p>
    <w:p w14:paraId="2F53FE7A" w14:textId="77777777" w:rsidR="00C02F4C" w:rsidRPr="00C02F4C" w:rsidRDefault="00C02F4C" w:rsidP="006D16C4">
      <w:pPr>
        <w:numPr>
          <w:ilvl w:val="0"/>
          <w:numId w:val="7"/>
        </w:numPr>
        <w:spacing w:line="360" w:lineRule="auto"/>
        <w:rPr>
          <w:rFonts w:ascii="Arial" w:hAnsi="Arial" w:cs="Arial"/>
        </w:rPr>
      </w:pPr>
      <w:r w:rsidRPr="00C02F4C">
        <w:rPr>
          <w:rFonts w:ascii="Arial" w:hAnsi="Arial" w:cs="Arial"/>
        </w:rPr>
        <w:t xml:space="preserve">I demonstrate strong </w:t>
      </w:r>
      <w:r w:rsidRPr="00C02F4C">
        <w:rPr>
          <w:rFonts w:ascii="Arial" w:hAnsi="Arial" w:cs="Arial"/>
          <w:b/>
          <w:bCs/>
        </w:rPr>
        <w:t>communication skills</w:t>
      </w:r>
      <w:r w:rsidRPr="00C02F4C">
        <w:rPr>
          <w:rFonts w:ascii="Arial" w:hAnsi="Arial" w:cs="Arial"/>
        </w:rPr>
        <w:t>, both verbal and written, as seen in my forum reflections.</w:t>
      </w:r>
    </w:p>
    <w:p w14:paraId="445658CD" w14:textId="77777777" w:rsidR="00C02F4C" w:rsidRPr="00C02F4C" w:rsidRDefault="00C02F4C" w:rsidP="006D16C4">
      <w:pPr>
        <w:numPr>
          <w:ilvl w:val="0"/>
          <w:numId w:val="7"/>
        </w:numPr>
        <w:spacing w:line="360" w:lineRule="auto"/>
        <w:rPr>
          <w:rFonts w:ascii="Arial" w:hAnsi="Arial" w:cs="Arial"/>
        </w:rPr>
      </w:pPr>
      <w:r w:rsidRPr="00C02F4C">
        <w:rPr>
          <w:rFonts w:ascii="Arial" w:hAnsi="Arial" w:cs="Arial"/>
        </w:rPr>
        <w:t xml:space="preserve">I show </w:t>
      </w:r>
      <w:r w:rsidRPr="00C02F4C">
        <w:rPr>
          <w:rFonts w:ascii="Arial" w:hAnsi="Arial" w:cs="Arial"/>
          <w:b/>
          <w:bCs/>
        </w:rPr>
        <w:t>initiative and curiosity</w:t>
      </w:r>
      <w:r w:rsidRPr="00C02F4C">
        <w:rPr>
          <w:rFonts w:ascii="Arial" w:hAnsi="Arial" w:cs="Arial"/>
        </w:rPr>
        <w:t>, embracing new ideas like serendipity and stretch goals.</w:t>
      </w:r>
    </w:p>
    <w:p w14:paraId="3F997914" w14:textId="77777777" w:rsidR="00C02F4C" w:rsidRDefault="00C02F4C" w:rsidP="006D16C4">
      <w:pPr>
        <w:numPr>
          <w:ilvl w:val="0"/>
          <w:numId w:val="7"/>
        </w:numPr>
        <w:spacing w:line="360" w:lineRule="auto"/>
        <w:rPr>
          <w:rFonts w:ascii="Arial" w:hAnsi="Arial" w:cs="Arial"/>
        </w:rPr>
      </w:pPr>
      <w:r w:rsidRPr="00C02F4C">
        <w:rPr>
          <w:rFonts w:ascii="Arial" w:hAnsi="Arial" w:cs="Arial"/>
        </w:rPr>
        <w:t xml:space="preserve">I maintain a </w:t>
      </w:r>
      <w:r w:rsidRPr="00C02F4C">
        <w:rPr>
          <w:rFonts w:ascii="Arial" w:hAnsi="Arial" w:cs="Arial"/>
          <w:b/>
          <w:bCs/>
        </w:rPr>
        <w:t>professional online presence</w:t>
      </w:r>
      <w:r w:rsidRPr="00C02F4C">
        <w:rPr>
          <w:rFonts w:ascii="Arial" w:hAnsi="Arial" w:cs="Arial"/>
        </w:rPr>
        <w:t>, which supports visibility and credibility.</w:t>
      </w:r>
    </w:p>
    <w:p w14:paraId="62A1E1C8" w14:textId="77777777" w:rsidR="00C4230B" w:rsidRPr="00C02F4C" w:rsidRDefault="00C4230B" w:rsidP="00C4230B">
      <w:pPr>
        <w:spacing w:line="360" w:lineRule="auto"/>
        <w:ind w:left="720"/>
        <w:rPr>
          <w:rFonts w:ascii="Arial" w:hAnsi="Arial" w:cs="Arial"/>
        </w:rPr>
      </w:pPr>
    </w:p>
    <w:p w14:paraId="7DC6CE7A" w14:textId="77777777" w:rsidR="00C02F4C" w:rsidRPr="00C02F4C" w:rsidRDefault="00C02F4C" w:rsidP="006D16C4">
      <w:pPr>
        <w:spacing w:line="360" w:lineRule="auto"/>
        <w:rPr>
          <w:rFonts w:ascii="Arial" w:hAnsi="Arial" w:cs="Arial"/>
        </w:rPr>
      </w:pPr>
      <w:r w:rsidRPr="00C02F4C">
        <w:rPr>
          <w:rFonts w:ascii="Arial" w:hAnsi="Arial" w:cs="Arial"/>
          <w:b/>
          <w:bCs/>
        </w:rPr>
        <w:lastRenderedPageBreak/>
        <w:t>Areas for Development:</w:t>
      </w:r>
    </w:p>
    <w:p w14:paraId="4EEC12D5" w14:textId="77777777" w:rsidR="00C02F4C" w:rsidRPr="00C02F4C" w:rsidRDefault="00C02F4C" w:rsidP="006D16C4">
      <w:pPr>
        <w:numPr>
          <w:ilvl w:val="0"/>
          <w:numId w:val="8"/>
        </w:numPr>
        <w:spacing w:line="360" w:lineRule="auto"/>
        <w:rPr>
          <w:rFonts w:ascii="Arial" w:hAnsi="Arial" w:cs="Arial"/>
        </w:rPr>
      </w:pPr>
      <w:r w:rsidRPr="00C02F4C">
        <w:rPr>
          <w:rFonts w:ascii="Arial" w:hAnsi="Arial" w:cs="Arial"/>
        </w:rPr>
        <w:t xml:space="preserve">I need to improve </w:t>
      </w:r>
      <w:r w:rsidRPr="00C02F4C">
        <w:rPr>
          <w:rFonts w:ascii="Arial" w:hAnsi="Arial" w:cs="Arial"/>
          <w:b/>
          <w:bCs/>
        </w:rPr>
        <w:t>follow-up and consistency</w:t>
      </w:r>
      <w:r w:rsidRPr="00C02F4C">
        <w:rPr>
          <w:rFonts w:ascii="Arial" w:hAnsi="Arial" w:cs="Arial"/>
        </w:rPr>
        <w:t xml:space="preserve"> in networking—staying engaged beyond initial contact.</w:t>
      </w:r>
    </w:p>
    <w:p w14:paraId="519B609A" w14:textId="77777777" w:rsidR="00C02F4C" w:rsidRPr="00C02F4C" w:rsidRDefault="00C02F4C" w:rsidP="006D16C4">
      <w:pPr>
        <w:numPr>
          <w:ilvl w:val="0"/>
          <w:numId w:val="8"/>
        </w:numPr>
        <w:spacing w:line="360" w:lineRule="auto"/>
        <w:rPr>
          <w:rFonts w:ascii="Arial" w:hAnsi="Arial" w:cs="Arial"/>
        </w:rPr>
      </w:pPr>
      <w:r w:rsidRPr="00C02F4C">
        <w:rPr>
          <w:rFonts w:ascii="Arial" w:hAnsi="Arial" w:cs="Arial"/>
        </w:rPr>
        <w:t xml:space="preserve">I sometimes hesitate to pursue </w:t>
      </w:r>
      <w:r w:rsidRPr="00C02F4C">
        <w:rPr>
          <w:rFonts w:ascii="Arial" w:hAnsi="Arial" w:cs="Arial"/>
          <w:b/>
          <w:bCs/>
        </w:rPr>
        <w:t>stretch goals</w:t>
      </w:r>
      <w:r w:rsidRPr="00C02F4C">
        <w:rPr>
          <w:rFonts w:ascii="Arial" w:hAnsi="Arial" w:cs="Arial"/>
        </w:rPr>
        <w:t>, fearing failure or overcommitment.</w:t>
      </w:r>
    </w:p>
    <w:p w14:paraId="50D5CB03" w14:textId="77777777" w:rsidR="00C02F4C" w:rsidRPr="00C02F4C" w:rsidRDefault="00C02F4C" w:rsidP="006D16C4">
      <w:pPr>
        <w:numPr>
          <w:ilvl w:val="0"/>
          <w:numId w:val="8"/>
        </w:numPr>
        <w:spacing w:line="360" w:lineRule="auto"/>
        <w:rPr>
          <w:rFonts w:ascii="Arial" w:hAnsi="Arial" w:cs="Arial"/>
        </w:rPr>
      </w:pPr>
      <w:r w:rsidRPr="00C02F4C">
        <w:rPr>
          <w:rFonts w:ascii="Arial" w:hAnsi="Arial" w:cs="Arial"/>
        </w:rPr>
        <w:t xml:space="preserve">I could enhance my </w:t>
      </w:r>
      <w:r w:rsidRPr="00C02F4C">
        <w:rPr>
          <w:rFonts w:ascii="Arial" w:hAnsi="Arial" w:cs="Arial"/>
          <w:b/>
          <w:bCs/>
        </w:rPr>
        <w:t>digital confidence</w:t>
      </w:r>
      <w:r w:rsidRPr="00C02F4C">
        <w:rPr>
          <w:rFonts w:ascii="Arial" w:hAnsi="Arial" w:cs="Arial"/>
        </w:rPr>
        <w:t>, especially in using platforms like LinkedIn more strategically.</w:t>
      </w:r>
    </w:p>
    <w:p w14:paraId="34DA0E7A" w14:textId="4B6E6CE4" w:rsidR="00C02F4C" w:rsidRPr="00C02F4C" w:rsidRDefault="00C02F4C" w:rsidP="006D16C4">
      <w:pPr>
        <w:spacing w:line="360" w:lineRule="auto"/>
        <w:rPr>
          <w:rFonts w:ascii="Arial" w:hAnsi="Arial" w:cs="Arial"/>
        </w:rPr>
      </w:pPr>
      <w:r w:rsidRPr="00C02F4C">
        <w:rPr>
          <w:rFonts w:ascii="Arial" w:hAnsi="Arial" w:cs="Arial"/>
        </w:rPr>
        <w:t>Unit 3 taught me that opportunity is not passive—it must be cultivated through visibility, relationships, and mindset. These insights have empowered me to take ownership of my development and pursue roles that align with my strengths and aspirations.</w:t>
      </w:r>
      <w:r w:rsidRPr="006D16C4">
        <w:rPr>
          <w:rFonts w:ascii="Arial" w:hAnsi="Arial" w:cs="Arial"/>
          <w:noProof/>
        </w:rPr>
        <w:drawing>
          <wp:inline distT="0" distB="0" distL="0" distR="0" wp14:anchorId="7CE7AF1F" wp14:editId="25D1EF0F">
            <wp:extent cx="5724525" cy="2014855"/>
            <wp:effectExtent l="0" t="0" r="9525" b="4445"/>
            <wp:docPr id="101120740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2014855"/>
                    </a:xfrm>
                    <a:prstGeom prst="rect">
                      <a:avLst/>
                    </a:prstGeom>
                    <a:noFill/>
                    <a:ln>
                      <a:noFill/>
                    </a:ln>
                  </pic:spPr>
                </pic:pic>
              </a:graphicData>
            </a:graphic>
          </wp:inline>
        </w:drawing>
      </w:r>
      <w:r w:rsidRPr="006D16C4">
        <w:rPr>
          <w:rFonts w:ascii="Arial" w:hAnsi="Arial" w:cs="Arial"/>
          <w:noProof/>
        </w:rPr>
        <w:drawing>
          <wp:inline distT="0" distB="0" distL="0" distR="0" wp14:anchorId="1D104CCE" wp14:editId="6D425C0A">
            <wp:extent cx="5729605" cy="2000250"/>
            <wp:effectExtent l="0" t="0" r="4445" b="0"/>
            <wp:docPr id="131211701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9605" cy="2000250"/>
                    </a:xfrm>
                    <a:prstGeom prst="rect">
                      <a:avLst/>
                    </a:prstGeom>
                    <a:noFill/>
                    <a:ln>
                      <a:noFill/>
                    </a:ln>
                  </pic:spPr>
                </pic:pic>
              </a:graphicData>
            </a:graphic>
          </wp:inline>
        </w:drawing>
      </w:r>
      <w:r w:rsidRPr="006D16C4">
        <w:rPr>
          <w:rFonts w:ascii="Arial" w:hAnsi="Arial" w:cs="Arial"/>
          <w:noProof/>
        </w:rPr>
        <w:drawing>
          <wp:inline distT="0" distB="0" distL="0" distR="0" wp14:anchorId="0D769B49" wp14:editId="0B378DAA">
            <wp:extent cx="5729605" cy="1881505"/>
            <wp:effectExtent l="0" t="0" r="4445" b="4445"/>
            <wp:docPr id="358843668"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9605" cy="1881505"/>
                    </a:xfrm>
                    <a:prstGeom prst="rect">
                      <a:avLst/>
                    </a:prstGeom>
                    <a:noFill/>
                    <a:ln>
                      <a:noFill/>
                    </a:ln>
                  </pic:spPr>
                </pic:pic>
              </a:graphicData>
            </a:graphic>
          </wp:inline>
        </w:drawing>
      </w:r>
      <w:r w:rsidRPr="006D16C4">
        <w:rPr>
          <w:rFonts w:ascii="Arial" w:hAnsi="Arial" w:cs="Arial"/>
          <w:noProof/>
        </w:rPr>
        <w:lastRenderedPageBreak/>
        <w:drawing>
          <wp:inline distT="0" distB="0" distL="0" distR="0" wp14:anchorId="787BF9EE" wp14:editId="7F1607D6">
            <wp:extent cx="5729605" cy="1914525"/>
            <wp:effectExtent l="0" t="0" r="4445" b="9525"/>
            <wp:docPr id="1240826100"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9605" cy="1914525"/>
                    </a:xfrm>
                    <a:prstGeom prst="rect">
                      <a:avLst/>
                    </a:prstGeom>
                    <a:noFill/>
                    <a:ln>
                      <a:noFill/>
                    </a:ln>
                  </pic:spPr>
                </pic:pic>
              </a:graphicData>
            </a:graphic>
          </wp:inline>
        </w:drawing>
      </w:r>
      <w:r w:rsidRPr="006D16C4">
        <w:rPr>
          <w:rFonts w:ascii="Arial" w:hAnsi="Arial" w:cs="Arial"/>
          <w:noProof/>
        </w:rPr>
        <w:drawing>
          <wp:inline distT="0" distB="0" distL="0" distR="0" wp14:anchorId="00EA6238" wp14:editId="0AEE9D52">
            <wp:extent cx="5729605" cy="1876425"/>
            <wp:effectExtent l="0" t="0" r="4445" b="9525"/>
            <wp:docPr id="17649494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9605" cy="1876425"/>
                    </a:xfrm>
                    <a:prstGeom prst="rect">
                      <a:avLst/>
                    </a:prstGeom>
                    <a:noFill/>
                    <a:ln>
                      <a:noFill/>
                    </a:ln>
                  </pic:spPr>
                </pic:pic>
              </a:graphicData>
            </a:graphic>
          </wp:inline>
        </w:drawing>
      </w:r>
      <w:r w:rsidRPr="006D16C4">
        <w:rPr>
          <w:rFonts w:ascii="Arial" w:hAnsi="Arial" w:cs="Arial"/>
          <w:noProof/>
        </w:rPr>
        <w:drawing>
          <wp:inline distT="0" distB="0" distL="0" distR="0" wp14:anchorId="1427B777" wp14:editId="3056BF1E">
            <wp:extent cx="5729605" cy="1910080"/>
            <wp:effectExtent l="0" t="0" r="4445" b="0"/>
            <wp:docPr id="26063483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9605" cy="1910080"/>
                    </a:xfrm>
                    <a:prstGeom prst="rect">
                      <a:avLst/>
                    </a:prstGeom>
                    <a:noFill/>
                    <a:ln>
                      <a:noFill/>
                    </a:ln>
                  </pic:spPr>
                </pic:pic>
              </a:graphicData>
            </a:graphic>
          </wp:inline>
        </w:drawing>
      </w:r>
    </w:p>
    <w:p w14:paraId="468997DA" w14:textId="77777777" w:rsidR="00C02F4C" w:rsidRPr="006D16C4" w:rsidRDefault="00C02F4C" w:rsidP="006D16C4">
      <w:pPr>
        <w:spacing w:line="360" w:lineRule="auto"/>
        <w:rPr>
          <w:rFonts w:ascii="Arial" w:hAnsi="Arial" w:cs="Arial"/>
        </w:rPr>
      </w:pPr>
    </w:p>
    <w:p w14:paraId="5AB2D822" w14:textId="77777777" w:rsidR="00C02F4C" w:rsidRDefault="00C02F4C" w:rsidP="006D16C4">
      <w:pPr>
        <w:spacing w:line="360" w:lineRule="auto"/>
        <w:rPr>
          <w:rFonts w:ascii="Arial" w:hAnsi="Arial" w:cs="Arial"/>
        </w:rPr>
      </w:pPr>
    </w:p>
    <w:p w14:paraId="2B6C4624" w14:textId="77777777" w:rsidR="00C4230B" w:rsidRDefault="00C4230B" w:rsidP="006D16C4">
      <w:pPr>
        <w:spacing w:line="360" w:lineRule="auto"/>
        <w:rPr>
          <w:rFonts w:ascii="Arial" w:hAnsi="Arial" w:cs="Arial"/>
        </w:rPr>
      </w:pPr>
    </w:p>
    <w:p w14:paraId="66F7CD94" w14:textId="77777777" w:rsidR="00C4230B" w:rsidRDefault="00C4230B" w:rsidP="006D16C4">
      <w:pPr>
        <w:spacing w:line="360" w:lineRule="auto"/>
        <w:rPr>
          <w:rFonts w:ascii="Arial" w:hAnsi="Arial" w:cs="Arial"/>
        </w:rPr>
      </w:pPr>
    </w:p>
    <w:p w14:paraId="684386CE" w14:textId="77777777" w:rsidR="00C4230B" w:rsidRDefault="00C4230B" w:rsidP="006D16C4">
      <w:pPr>
        <w:spacing w:line="360" w:lineRule="auto"/>
        <w:rPr>
          <w:rFonts w:ascii="Arial" w:hAnsi="Arial" w:cs="Arial"/>
        </w:rPr>
      </w:pPr>
    </w:p>
    <w:p w14:paraId="2C445EBD" w14:textId="77777777" w:rsidR="00C4230B" w:rsidRDefault="00C4230B" w:rsidP="006D16C4">
      <w:pPr>
        <w:spacing w:line="360" w:lineRule="auto"/>
        <w:rPr>
          <w:rFonts w:ascii="Arial" w:hAnsi="Arial" w:cs="Arial"/>
        </w:rPr>
      </w:pPr>
    </w:p>
    <w:p w14:paraId="72775842" w14:textId="77777777" w:rsidR="00C4230B" w:rsidRPr="006D16C4" w:rsidRDefault="00C4230B" w:rsidP="006D16C4">
      <w:pPr>
        <w:spacing w:line="360" w:lineRule="auto"/>
        <w:rPr>
          <w:rFonts w:ascii="Arial" w:hAnsi="Arial" w:cs="Arial"/>
        </w:rPr>
      </w:pPr>
    </w:p>
    <w:p w14:paraId="02182F19" w14:textId="77777777" w:rsidR="00C02F4C" w:rsidRPr="006D16C4" w:rsidRDefault="00C02F4C" w:rsidP="006D16C4">
      <w:pPr>
        <w:spacing w:line="360" w:lineRule="auto"/>
        <w:rPr>
          <w:rFonts w:ascii="Arial" w:hAnsi="Arial" w:cs="Arial"/>
        </w:rPr>
      </w:pPr>
    </w:p>
    <w:p w14:paraId="3D33720D" w14:textId="77777777" w:rsidR="00C02F4C" w:rsidRPr="00C02F4C" w:rsidRDefault="00C02F4C" w:rsidP="006D16C4">
      <w:pPr>
        <w:spacing w:line="360" w:lineRule="auto"/>
        <w:rPr>
          <w:rFonts w:ascii="Arial" w:hAnsi="Arial" w:cs="Arial"/>
        </w:rPr>
      </w:pPr>
      <w:r w:rsidRPr="00C02F4C">
        <w:rPr>
          <w:rFonts w:ascii="Arial" w:hAnsi="Arial" w:cs="Arial"/>
          <w:b/>
          <w:bCs/>
        </w:rPr>
        <w:lastRenderedPageBreak/>
        <w:t>Unit 4:</w:t>
      </w:r>
      <w:r w:rsidRPr="00C02F4C">
        <w:rPr>
          <w:rFonts w:ascii="Arial" w:hAnsi="Arial" w:cs="Arial"/>
        </w:rPr>
        <w:t xml:space="preserve"> </w:t>
      </w:r>
      <w:r w:rsidRPr="00C02F4C">
        <w:rPr>
          <w:rFonts w:ascii="Arial" w:hAnsi="Arial" w:cs="Arial"/>
          <w:i/>
          <w:iCs/>
        </w:rPr>
        <w:t>The Pursuit of Happiness</w:t>
      </w:r>
      <w:r w:rsidRPr="00C02F4C">
        <w:rPr>
          <w:rFonts w:ascii="Arial" w:hAnsi="Arial" w:cs="Arial"/>
        </w:rPr>
        <w:t xml:space="preserve"> encouraged me to explore how wellbeing, mindset, and organisational culture influence professional satisfaction and performance in health and social care. The unit introduced concepts such as limiting beliefs, antifragile thinking, mentoring, and the impact of technology—all of which deepened my understanding of how happiness is cultivated in demanding care environments.</w:t>
      </w:r>
    </w:p>
    <w:p w14:paraId="79AB2207" w14:textId="77777777" w:rsidR="00C02F4C" w:rsidRPr="00C02F4C" w:rsidRDefault="00C02F4C" w:rsidP="006D16C4">
      <w:pPr>
        <w:spacing w:line="360" w:lineRule="auto"/>
        <w:rPr>
          <w:rFonts w:ascii="Arial" w:hAnsi="Arial" w:cs="Arial"/>
        </w:rPr>
      </w:pPr>
      <w:r w:rsidRPr="00C02F4C">
        <w:rPr>
          <w:rFonts w:ascii="Arial" w:hAnsi="Arial" w:cs="Arial"/>
        </w:rPr>
        <w:t xml:space="preserve">One of the most powerful insights came from exploring </w:t>
      </w:r>
      <w:r w:rsidRPr="00C02F4C">
        <w:rPr>
          <w:rFonts w:ascii="Arial" w:hAnsi="Arial" w:cs="Arial"/>
          <w:b/>
          <w:bCs/>
        </w:rPr>
        <w:t>limiting beliefs</w:t>
      </w:r>
      <w:r w:rsidRPr="00C02F4C">
        <w:rPr>
          <w:rFonts w:ascii="Arial" w:hAnsi="Arial" w:cs="Arial"/>
        </w:rPr>
        <w:t>. In my quiz reflection, I identified self-doubt and fear of taking risks as barriers to confidence and decision-making. I learned that these beliefs often stem from past experiences and can be challenged through small, intentional actions. This aligns with Bandura’s (1997) theory of self-efficacy, which emphasises that belief in one’s capabilities is essential for motivation and resilience. Recognising and reframing limiting beliefs will help me grow as a reflective and confident practitioner.</w:t>
      </w:r>
    </w:p>
    <w:p w14:paraId="3545676C" w14:textId="77777777" w:rsidR="00C02F4C" w:rsidRPr="00C02F4C" w:rsidRDefault="00C02F4C" w:rsidP="006D16C4">
      <w:pPr>
        <w:spacing w:line="360" w:lineRule="auto"/>
        <w:rPr>
          <w:rFonts w:ascii="Arial" w:hAnsi="Arial" w:cs="Arial"/>
        </w:rPr>
      </w:pPr>
      <w:r w:rsidRPr="00C02F4C">
        <w:rPr>
          <w:rFonts w:ascii="Arial" w:hAnsi="Arial" w:cs="Arial"/>
        </w:rPr>
        <w:t xml:space="preserve">Another key concept was </w:t>
      </w:r>
      <w:r w:rsidRPr="00C02F4C">
        <w:rPr>
          <w:rFonts w:ascii="Arial" w:hAnsi="Arial" w:cs="Arial"/>
          <w:b/>
          <w:bCs/>
        </w:rPr>
        <w:t>antifragile thinking</w:t>
      </w:r>
      <w:r w:rsidRPr="00C02F4C">
        <w:rPr>
          <w:rFonts w:ascii="Arial" w:hAnsi="Arial" w:cs="Arial"/>
        </w:rPr>
        <w:t>, which I applied to a personal goal I didn’t achieve—completing an online course. I reflected that setbacks should be seen as feedback, not failure. Taleb (2012) describes antifragility as the ability to grow stronger through adversity. This mindset is especially relevant in health and social care, where practitioners must adapt to change, manage stress, and learn from challenges.</w:t>
      </w:r>
    </w:p>
    <w:p w14:paraId="429D5DE5" w14:textId="77777777" w:rsidR="00C02F4C" w:rsidRPr="00C02F4C" w:rsidRDefault="00C02F4C" w:rsidP="006D16C4">
      <w:pPr>
        <w:spacing w:line="360" w:lineRule="auto"/>
        <w:rPr>
          <w:rFonts w:ascii="Arial" w:hAnsi="Arial" w:cs="Arial"/>
        </w:rPr>
      </w:pPr>
      <w:r w:rsidRPr="00C02F4C">
        <w:rPr>
          <w:rFonts w:ascii="Arial" w:hAnsi="Arial" w:cs="Arial"/>
        </w:rPr>
        <w:t xml:space="preserve">The unit also highlighted the value of </w:t>
      </w:r>
      <w:r w:rsidRPr="00C02F4C">
        <w:rPr>
          <w:rFonts w:ascii="Arial" w:hAnsi="Arial" w:cs="Arial"/>
          <w:b/>
          <w:bCs/>
        </w:rPr>
        <w:t>mentoring</w:t>
      </w:r>
      <w:r w:rsidRPr="00C02F4C">
        <w:rPr>
          <w:rFonts w:ascii="Arial" w:hAnsi="Arial" w:cs="Arial"/>
        </w:rPr>
        <w:t>. I reflected on how mentoring supports professional development, builds confidence, and improves care quality. In my forum post, I gave examples of mentoring in clinical skills, safeguarding, and multidisciplinary teamwork. This supports the findings of Hale (2000), who argues that mentoring enhances reflective practice and fosters a supportive culture. As I progress in my career, I aim to both seek and offer mentoring to strengthen team collaboration and patient outcomes.</w:t>
      </w:r>
    </w:p>
    <w:p w14:paraId="2A27F4DB" w14:textId="77777777" w:rsidR="00C02F4C" w:rsidRDefault="00C02F4C" w:rsidP="006D16C4">
      <w:pPr>
        <w:spacing w:line="360" w:lineRule="auto"/>
        <w:rPr>
          <w:rFonts w:ascii="Arial" w:hAnsi="Arial" w:cs="Arial"/>
        </w:rPr>
      </w:pPr>
      <w:r w:rsidRPr="00C02F4C">
        <w:rPr>
          <w:rFonts w:ascii="Arial" w:hAnsi="Arial" w:cs="Arial"/>
        </w:rPr>
        <w:t>Technology was another theme explored. I noted that while digital tools improve diagnosis, access, and efficiency, they also introduce risks such as data security and inequality. This dual impact reinforces the need for ethical awareness and continuous training in digital literacy.</w:t>
      </w:r>
    </w:p>
    <w:p w14:paraId="7922A253" w14:textId="77777777" w:rsidR="00C4230B" w:rsidRDefault="00C4230B" w:rsidP="006D16C4">
      <w:pPr>
        <w:spacing w:line="360" w:lineRule="auto"/>
        <w:rPr>
          <w:rFonts w:ascii="Arial" w:hAnsi="Arial" w:cs="Arial"/>
        </w:rPr>
      </w:pPr>
    </w:p>
    <w:p w14:paraId="43031691" w14:textId="77777777" w:rsidR="00C4230B" w:rsidRDefault="00C4230B" w:rsidP="006D16C4">
      <w:pPr>
        <w:spacing w:line="360" w:lineRule="auto"/>
        <w:rPr>
          <w:rFonts w:ascii="Arial" w:hAnsi="Arial" w:cs="Arial"/>
        </w:rPr>
      </w:pPr>
    </w:p>
    <w:p w14:paraId="656CD97B" w14:textId="77777777" w:rsidR="00C4230B" w:rsidRDefault="00C4230B" w:rsidP="006D16C4">
      <w:pPr>
        <w:spacing w:line="360" w:lineRule="auto"/>
        <w:rPr>
          <w:rFonts w:ascii="Arial" w:hAnsi="Arial" w:cs="Arial"/>
        </w:rPr>
      </w:pPr>
    </w:p>
    <w:p w14:paraId="00AB45EA" w14:textId="77777777" w:rsidR="00C4230B" w:rsidRDefault="00C4230B" w:rsidP="006D16C4">
      <w:pPr>
        <w:spacing w:line="360" w:lineRule="auto"/>
        <w:rPr>
          <w:rFonts w:ascii="Arial" w:hAnsi="Arial" w:cs="Arial"/>
        </w:rPr>
      </w:pPr>
    </w:p>
    <w:p w14:paraId="06D35E06" w14:textId="77777777" w:rsidR="00C4230B" w:rsidRPr="00C02F4C" w:rsidRDefault="00C4230B" w:rsidP="006D16C4">
      <w:pPr>
        <w:spacing w:line="360" w:lineRule="auto"/>
        <w:rPr>
          <w:rFonts w:ascii="Arial" w:hAnsi="Arial" w:cs="Arial"/>
        </w:rPr>
      </w:pPr>
    </w:p>
    <w:p w14:paraId="59E94727" w14:textId="509B8557" w:rsidR="00C02F4C" w:rsidRPr="00C02F4C" w:rsidRDefault="00C02F4C" w:rsidP="006D16C4">
      <w:pPr>
        <w:spacing w:line="360" w:lineRule="auto"/>
        <w:rPr>
          <w:rFonts w:ascii="Arial" w:hAnsi="Arial" w:cs="Arial"/>
          <w:b/>
          <w:bCs/>
        </w:rPr>
      </w:pPr>
      <w:r w:rsidRPr="00C02F4C">
        <w:rPr>
          <w:rFonts w:ascii="Arial" w:hAnsi="Arial" w:cs="Arial"/>
          <w:b/>
          <w:bCs/>
        </w:rPr>
        <w:lastRenderedPageBreak/>
        <w:t>Conclusion</w:t>
      </w:r>
      <w:r w:rsidRPr="006D16C4">
        <w:rPr>
          <w:rFonts w:ascii="Arial" w:hAnsi="Arial" w:cs="Arial"/>
          <w:b/>
          <w:bCs/>
        </w:rPr>
        <w:t>:</w:t>
      </w:r>
    </w:p>
    <w:p w14:paraId="71B1D0E1" w14:textId="75CAC87E" w:rsidR="00C02F4C" w:rsidRPr="006D16C4" w:rsidRDefault="00C02F4C" w:rsidP="006D16C4">
      <w:pPr>
        <w:spacing w:line="360" w:lineRule="auto"/>
        <w:rPr>
          <w:rFonts w:ascii="Arial" w:hAnsi="Arial" w:cs="Arial"/>
        </w:rPr>
      </w:pPr>
      <w:r w:rsidRPr="00C02F4C">
        <w:rPr>
          <w:rFonts w:ascii="Arial" w:hAnsi="Arial" w:cs="Arial"/>
        </w:rPr>
        <w:t>Overall, this module has equipped me with the knowledge and skills to thrive in health and social care. From personal branding and emotional intelligence to opportunity recognition and wellbeing, each unit has contributed to my growth as a compassionate, reflective, and proactive professional. These insights will guide my future practice, helping me deliver person-ce</w:t>
      </w:r>
      <w:r w:rsidRPr="006D16C4">
        <w:rPr>
          <w:rFonts w:ascii="Arial" w:hAnsi="Arial" w:cs="Arial"/>
        </w:rPr>
        <w:t>ntred care, collaborate effectively, and pursue meaningful career goals.</w:t>
      </w:r>
    </w:p>
    <w:p w14:paraId="19A82582" w14:textId="77777777" w:rsidR="00C02F4C" w:rsidRPr="00C02F4C" w:rsidRDefault="00C02F4C" w:rsidP="006D16C4">
      <w:pPr>
        <w:spacing w:line="360" w:lineRule="auto"/>
        <w:rPr>
          <w:rFonts w:ascii="Arial" w:hAnsi="Arial" w:cs="Arial"/>
        </w:rPr>
      </w:pPr>
      <w:r w:rsidRPr="00C02F4C">
        <w:rPr>
          <w:rFonts w:ascii="Arial" w:hAnsi="Arial" w:cs="Arial"/>
        </w:rPr>
        <w:t>This assessment has provided a structured and reflective journey through key themes in personal and professional development, each grounded in the health and social care context. Across all four units, I have deepened my understanding of personal branding, emotional intelligence, global workforce trends, opportunity recognition, wellbeing, and organisational culture. These insights have shaped my career aspirations and strengthened my readiness for practice.</w:t>
      </w:r>
    </w:p>
    <w:p w14:paraId="62B3B68E" w14:textId="77777777" w:rsidR="00C02F4C" w:rsidRPr="00C02F4C" w:rsidRDefault="00C02F4C" w:rsidP="006D16C4">
      <w:pPr>
        <w:spacing w:line="360" w:lineRule="auto"/>
        <w:rPr>
          <w:rFonts w:ascii="Arial" w:hAnsi="Arial" w:cs="Arial"/>
        </w:rPr>
      </w:pPr>
      <w:r w:rsidRPr="00C02F4C">
        <w:rPr>
          <w:rFonts w:ascii="Arial" w:hAnsi="Arial" w:cs="Arial"/>
        </w:rPr>
        <w:t xml:space="preserve">Throughout the module, I demonstrated strong </w:t>
      </w:r>
      <w:r w:rsidRPr="00C02F4C">
        <w:rPr>
          <w:rFonts w:ascii="Arial" w:hAnsi="Arial" w:cs="Arial"/>
          <w:b/>
          <w:bCs/>
        </w:rPr>
        <w:t>analytical skills</w:t>
      </w:r>
      <w:r w:rsidRPr="00C02F4C">
        <w:rPr>
          <w:rFonts w:ascii="Arial" w:hAnsi="Arial" w:cs="Arial"/>
        </w:rPr>
        <w:t xml:space="preserve"> in identifying patterns, applying theory to practice, and evaluating my strengths—such as self-awareness, communication, and goal setting. I effectively connected academic concepts to real-world scenarios, showing critical thinking and reflective depth. However, I also recognised areas for improvement: I sometimes hesitate to pursue stretch goals, and I need to build consistency in networking and digital engagement. These limitations stem from self-doubt and limiting beliefs, which I am actively working to overcome.</w:t>
      </w:r>
    </w:p>
    <w:p w14:paraId="236F469F" w14:textId="77777777" w:rsidR="00C02F4C" w:rsidRPr="00C02F4C" w:rsidRDefault="00C02F4C" w:rsidP="006D16C4">
      <w:pPr>
        <w:spacing w:line="360" w:lineRule="auto"/>
        <w:rPr>
          <w:rFonts w:ascii="Arial" w:hAnsi="Arial" w:cs="Arial"/>
        </w:rPr>
      </w:pPr>
      <w:r w:rsidRPr="00C02F4C">
        <w:rPr>
          <w:rFonts w:ascii="Arial" w:hAnsi="Arial" w:cs="Arial"/>
        </w:rPr>
        <w:t>By embracing antifragile thinking, mentoring, and a serendipity mindset, I am learning to turn challenges into growth. The skills developed in this module—both cognitive and emotional—will support my future work in nursing and public health, helping me deliver compassionate, evidence-based, and person-centred care.</w:t>
      </w:r>
    </w:p>
    <w:p w14:paraId="126273BA" w14:textId="77777777" w:rsidR="00C02F4C" w:rsidRPr="006D16C4" w:rsidRDefault="00C02F4C" w:rsidP="006D16C4">
      <w:pPr>
        <w:spacing w:line="360" w:lineRule="auto"/>
        <w:rPr>
          <w:rFonts w:ascii="Arial" w:hAnsi="Arial" w:cs="Arial"/>
        </w:rPr>
      </w:pPr>
    </w:p>
    <w:p w14:paraId="0F8C9BED" w14:textId="77777777" w:rsidR="00C02F4C" w:rsidRPr="006D16C4" w:rsidRDefault="00C02F4C" w:rsidP="006D16C4">
      <w:pPr>
        <w:spacing w:line="360" w:lineRule="auto"/>
        <w:rPr>
          <w:rFonts w:ascii="Arial" w:hAnsi="Arial" w:cs="Arial"/>
        </w:rPr>
      </w:pPr>
    </w:p>
    <w:p w14:paraId="4E1E1622" w14:textId="77777777" w:rsidR="00C02F4C" w:rsidRPr="006D16C4" w:rsidRDefault="00C02F4C" w:rsidP="006D16C4">
      <w:pPr>
        <w:spacing w:line="360" w:lineRule="auto"/>
        <w:rPr>
          <w:rFonts w:ascii="Arial" w:hAnsi="Arial" w:cs="Arial"/>
        </w:rPr>
      </w:pPr>
    </w:p>
    <w:p w14:paraId="0FE6BF09" w14:textId="77777777" w:rsidR="00C02F4C" w:rsidRPr="006D16C4" w:rsidRDefault="00C02F4C" w:rsidP="006D16C4">
      <w:pPr>
        <w:spacing w:line="360" w:lineRule="auto"/>
        <w:rPr>
          <w:rFonts w:ascii="Arial" w:hAnsi="Arial" w:cs="Arial"/>
        </w:rPr>
      </w:pPr>
    </w:p>
    <w:p w14:paraId="60BB9BB5" w14:textId="77777777" w:rsidR="00C02F4C" w:rsidRPr="006D16C4" w:rsidRDefault="00C02F4C" w:rsidP="006D16C4">
      <w:pPr>
        <w:spacing w:line="360" w:lineRule="auto"/>
        <w:rPr>
          <w:rFonts w:ascii="Arial" w:hAnsi="Arial" w:cs="Arial"/>
        </w:rPr>
      </w:pPr>
    </w:p>
    <w:p w14:paraId="04126199" w14:textId="77777777" w:rsidR="00C02F4C" w:rsidRDefault="00C02F4C" w:rsidP="006D16C4">
      <w:pPr>
        <w:spacing w:line="360" w:lineRule="auto"/>
        <w:rPr>
          <w:rFonts w:ascii="Arial" w:hAnsi="Arial" w:cs="Arial"/>
        </w:rPr>
      </w:pPr>
    </w:p>
    <w:p w14:paraId="5E45598B" w14:textId="77777777" w:rsidR="00C4230B" w:rsidRPr="006D16C4" w:rsidRDefault="00C4230B" w:rsidP="006D16C4">
      <w:pPr>
        <w:spacing w:line="360" w:lineRule="auto"/>
        <w:rPr>
          <w:rFonts w:ascii="Arial" w:hAnsi="Arial" w:cs="Arial"/>
        </w:rPr>
      </w:pPr>
    </w:p>
    <w:p w14:paraId="63E637A3" w14:textId="77777777" w:rsidR="00C02F4C" w:rsidRPr="006D16C4" w:rsidRDefault="00C02F4C" w:rsidP="006D16C4">
      <w:pPr>
        <w:spacing w:line="360" w:lineRule="auto"/>
        <w:rPr>
          <w:rFonts w:ascii="Arial" w:hAnsi="Arial" w:cs="Arial"/>
        </w:rPr>
      </w:pPr>
    </w:p>
    <w:p w14:paraId="139BDC3B" w14:textId="69B5C8B8" w:rsidR="00C02F4C" w:rsidRPr="006D16C4" w:rsidRDefault="00C02F4C" w:rsidP="006D16C4">
      <w:pPr>
        <w:spacing w:line="360" w:lineRule="auto"/>
        <w:rPr>
          <w:rFonts w:ascii="Arial" w:hAnsi="Arial" w:cs="Arial"/>
          <w:b/>
          <w:bCs/>
        </w:rPr>
      </w:pPr>
      <w:r w:rsidRPr="006D16C4">
        <w:rPr>
          <w:rFonts w:ascii="Arial" w:hAnsi="Arial" w:cs="Arial"/>
          <w:b/>
          <w:bCs/>
        </w:rPr>
        <w:lastRenderedPageBreak/>
        <w:t xml:space="preserve">References </w:t>
      </w:r>
    </w:p>
    <w:p w14:paraId="6FA566CF" w14:textId="788BED96" w:rsidR="00C02F4C" w:rsidRPr="006D16C4" w:rsidRDefault="00C02F4C" w:rsidP="006D16C4">
      <w:pPr>
        <w:pStyle w:val="ListParagraph"/>
        <w:numPr>
          <w:ilvl w:val="0"/>
          <w:numId w:val="6"/>
        </w:numPr>
        <w:spacing w:line="360" w:lineRule="auto"/>
        <w:rPr>
          <w:rFonts w:ascii="Arial" w:hAnsi="Arial" w:cs="Arial"/>
        </w:rPr>
      </w:pPr>
      <w:r w:rsidRPr="006D16C4">
        <w:rPr>
          <w:rFonts w:ascii="Arial" w:hAnsi="Arial" w:cs="Arial"/>
        </w:rPr>
        <w:t xml:space="preserve">Beauchamp, T.L. &amp; Childress, J.F. (2013) </w:t>
      </w:r>
      <w:r w:rsidRPr="006D16C4">
        <w:rPr>
          <w:rFonts w:ascii="Arial" w:hAnsi="Arial" w:cs="Arial"/>
          <w:i/>
          <w:iCs/>
        </w:rPr>
        <w:t>Principles of Biomedical Ethics</w:t>
      </w:r>
      <w:r w:rsidRPr="006D16C4">
        <w:rPr>
          <w:rFonts w:ascii="Arial" w:hAnsi="Arial" w:cs="Arial"/>
        </w:rPr>
        <w:t>. 7th ed. Oxford: Oxford University Press.</w:t>
      </w:r>
    </w:p>
    <w:p w14:paraId="37661234" w14:textId="77777777" w:rsidR="00C02F4C" w:rsidRPr="00C02F4C" w:rsidRDefault="00C02F4C" w:rsidP="006D16C4">
      <w:pPr>
        <w:numPr>
          <w:ilvl w:val="0"/>
          <w:numId w:val="6"/>
        </w:numPr>
        <w:spacing w:line="360" w:lineRule="auto"/>
        <w:rPr>
          <w:rFonts w:ascii="Arial" w:hAnsi="Arial" w:cs="Arial"/>
        </w:rPr>
      </w:pPr>
      <w:r w:rsidRPr="00C02F4C">
        <w:rPr>
          <w:rFonts w:ascii="Arial" w:hAnsi="Arial" w:cs="Arial"/>
        </w:rPr>
        <w:t xml:space="preserve">Goleman, D. (1998) </w:t>
      </w:r>
      <w:r w:rsidRPr="00C02F4C">
        <w:rPr>
          <w:rFonts w:ascii="Arial" w:hAnsi="Arial" w:cs="Arial"/>
          <w:i/>
          <w:iCs/>
        </w:rPr>
        <w:t>Working with Emotional Intelligence</w:t>
      </w:r>
      <w:r w:rsidRPr="00C02F4C">
        <w:rPr>
          <w:rFonts w:ascii="Arial" w:hAnsi="Arial" w:cs="Arial"/>
        </w:rPr>
        <w:t>. London: Bloomsbury.</w:t>
      </w:r>
    </w:p>
    <w:p w14:paraId="61D52A3B" w14:textId="77777777" w:rsidR="00C02F4C" w:rsidRPr="006D16C4" w:rsidRDefault="00C02F4C" w:rsidP="006D16C4">
      <w:pPr>
        <w:numPr>
          <w:ilvl w:val="0"/>
          <w:numId w:val="6"/>
        </w:numPr>
        <w:spacing w:line="360" w:lineRule="auto"/>
        <w:rPr>
          <w:rFonts w:ascii="Arial" w:hAnsi="Arial" w:cs="Arial"/>
        </w:rPr>
      </w:pPr>
      <w:r w:rsidRPr="00C02F4C">
        <w:rPr>
          <w:rFonts w:ascii="Arial" w:hAnsi="Arial" w:cs="Arial"/>
        </w:rPr>
        <w:t xml:space="preserve">Locke, E.A. &amp; Latham, G.P. (2002) ‘Building a practically useful theory of goal setting and task motivation’, </w:t>
      </w:r>
      <w:r w:rsidRPr="00C02F4C">
        <w:rPr>
          <w:rFonts w:ascii="Arial" w:hAnsi="Arial" w:cs="Arial"/>
          <w:i/>
          <w:iCs/>
        </w:rPr>
        <w:t>American Psychologist</w:t>
      </w:r>
      <w:r w:rsidRPr="00C02F4C">
        <w:rPr>
          <w:rFonts w:ascii="Arial" w:hAnsi="Arial" w:cs="Arial"/>
        </w:rPr>
        <w:t>, 57(9), pp.705–717.</w:t>
      </w:r>
    </w:p>
    <w:p w14:paraId="469EE245" w14:textId="3DED5DAD" w:rsidR="00C02F4C" w:rsidRPr="00C4230B" w:rsidRDefault="00C02F4C" w:rsidP="00C4230B">
      <w:pPr>
        <w:pStyle w:val="ListParagraph"/>
        <w:numPr>
          <w:ilvl w:val="0"/>
          <w:numId w:val="6"/>
        </w:numPr>
        <w:spacing w:after="0" w:line="360" w:lineRule="auto"/>
        <w:rPr>
          <w:rFonts w:ascii="Arial" w:eastAsia="Times New Roman" w:hAnsi="Arial" w:cs="Arial"/>
          <w:lang w:eastAsia="en-GB"/>
        </w:rPr>
      </w:pPr>
      <w:r w:rsidRPr="00C4230B">
        <w:rPr>
          <w:rFonts w:ascii="Arial" w:eastAsia="Times New Roman" w:hAnsi="Arial" w:cs="Arial"/>
          <w:lang w:eastAsia="en-GB"/>
        </w:rPr>
        <w:t xml:space="preserve">Goleman, D. (1995) </w:t>
      </w:r>
      <w:r w:rsidRPr="00C4230B">
        <w:rPr>
          <w:rFonts w:ascii="Arial" w:eastAsia="Times New Roman" w:hAnsi="Arial" w:cs="Arial"/>
          <w:i/>
          <w:iCs/>
          <w:lang w:eastAsia="en-GB"/>
        </w:rPr>
        <w:t>Emotional Intelligence</w:t>
      </w:r>
      <w:r w:rsidRPr="00C4230B">
        <w:rPr>
          <w:rFonts w:ascii="Arial" w:eastAsia="Times New Roman" w:hAnsi="Arial" w:cs="Arial"/>
          <w:lang w:eastAsia="en-GB"/>
        </w:rPr>
        <w:t>. New York: Bantam Books.</w:t>
      </w:r>
    </w:p>
    <w:p w14:paraId="585B43DC" w14:textId="77777777" w:rsidR="00C02F4C" w:rsidRPr="00C02F4C" w:rsidRDefault="00C02F4C" w:rsidP="006D16C4">
      <w:pPr>
        <w:numPr>
          <w:ilvl w:val="0"/>
          <w:numId w:val="6"/>
        </w:numPr>
        <w:spacing w:before="100" w:beforeAutospacing="1" w:after="100" w:afterAutospacing="1" w:line="360" w:lineRule="auto"/>
        <w:rPr>
          <w:rFonts w:ascii="Arial" w:eastAsia="Times New Roman" w:hAnsi="Arial" w:cs="Arial"/>
          <w:lang w:eastAsia="en-GB"/>
        </w:rPr>
      </w:pPr>
      <w:r w:rsidRPr="00C02F4C">
        <w:rPr>
          <w:rFonts w:ascii="Arial" w:eastAsia="Times New Roman" w:hAnsi="Arial" w:cs="Arial"/>
          <w:lang w:eastAsia="en-GB"/>
        </w:rPr>
        <w:t xml:space="preserve">Schön, D.A. (1983) </w:t>
      </w:r>
      <w:r w:rsidRPr="00C02F4C">
        <w:rPr>
          <w:rFonts w:ascii="Arial" w:eastAsia="Times New Roman" w:hAnsi="Arial" w:cs="Arial"/>
          <w:i/>
          <w:iCs/>
          <w:lang w:eastAsia="en-GB"/>
        </w:rPr>
        <w:t>The Reflective Practitioner: How Professionals Think in Action</w:t>
      </w:r>
      <w:r w:rsidRPr="00C02F4C">
        <w:rPr>
          <w:rFonts w:ascii="Arial" w:eastAsia="Times New Roman" w:hAnsi="Arial" w:cs="Arial"/>
          <w:lang w:eastAsia="en-GB"/>
        </w:rPr>
        <w:t>. London: Temple Smith.</w:t>
      </w:r>
    </w:p>
    <w:p w14:paraId="4047441C" w14:textId="77777777" w:rsidR="00C02F4C" w:rsidRPr="00C02F4C" w:rsidRDefault="00C02F4C" w:rsidP="006D16C4">
      <w:pPr>
        <w:numPr>
          <w:ilvl w:val="0"/>
          <w:numId w:val="6"/>
        </w:numPr>
        <w:spacing w:before="100" w:beforeAutospacing="1" w:after="100" w:afterAutospacing="1" w:line="360" w:lineRule="auto"/>
        <w:rPr>
          <w:rFonts w:ascii="Arial" w:eastAsia="Times New Roman" w:hAnsi="Arial" w:cs="Arial"/>
          <w:lang w:eastAsia="en-GB"/>
        </w:rPr>
      </w:pPr>
      <w:r w:rsidRPr="00C02F4C">
        <w:rPr>
          <w:rFonts w:ascii="Arial" w:eastAsia="Times New Roman" w:hAnsi="Arial" w:cs="Arial"/>
          <w:lang w:eastAsia="en-GB"/>
        </w:rPr>
        <w:t xml:space="preserve">Standing, G. (2014) </w:t>
      </w:r>
      <w:r w:rsidRPr="00C02F4C">
        <w:rPr>
          <w:rFonts w:ascii="Arial" w:eastAsia="Times New Roman" w:hAnsi="Arial" w:cs="Arial"/>
          <w:i/>
          <w:iCs/>
          <w:lang w:eastAsia="en-GB"/>
        </w:rPr>
        <w:t>The Precariat: The New Dangerous Class</w:t>
      </w:r>
      <w:r w:rsidRPr="00C02F4C">
        <w:rPr>
          <w:rFonts w:ascii="Arial" w:eastAsia="Times New Roman" w:hAnsi="Arial" w:cs="Arial"/>
          <w:lang w:eastAsia="en-GB"/>
        </w:rPr>
        <w:t>. London: Bloomsbury Academic.</w:t>
      </w:r>
    </w:p>
    <w:p w14:paraId="48FD9A8E" w14:textId="193454A9" w:rsidR="00C02F4C" w:rsidRPr="00C02F4C" w:rsidRDefault="00C02F4C" w:rsidP="006D16C4">
      <w:pPr>
        <w:numPr>
          <w:ilvl w:val="0"/>
          <w:numId w:val="6"/>
        </w:numPr>
        <w:spacing w:line="360" w:lineRule="auto"/>
        <w:rPr>
          <w:rFonts w:ascii="Arial" w:hAnsi="Arial" w:cs="Arial"/>
        </w:rPr>
      </w:pPr>
      <w:r w:rsidRPr="00C02F4C">
        <w:rPr>
          <w:rFonts w:ascii="Arial" w:hAnsi="Arial" w:cs="Arial"/>
        </w:rPr>
        <w:t xml:space="preserve">  </w:t>
      </w:r>
      <w:proofErr w:type="spellStart"/>
      <w:r w:rsidRPr="00C02F4C">
        <w:rPr>
          <w:rFonts w:ascii="Arial" w:hAnsi="Arial" w:cs="Arial"/>
        </w:rPr>
        <w:t>Granovetter</w:t>
      </w:r>
      <w:proofErr w:type="spellEnd"/>
      <w:r w:rsidRPr="00C02F4C">
        <w:rPr>
          <w:rFonts w:ascii="Arial" w:hAnsi="Arial" w:cs="Arial"/>
        </w:rPr>
        <w:t xml:space="preserve">, M.S. (1973) ‘The Strength of Weak Ties’, </w:t>
      </w:r>
      <w:r w:rsidRPr="00C02F4C">
        <w:rPr>
          <w:rFonts w:ascii="Arial" w:hAnsi="Arial" w:cs="Arial"/>
          <w:i/>
          <w:iCs/>
        </w:rPr>
        <w:t>American Journal of Sociology</w:t>
      </w:r>
      <w:r w:rsidRPr="00C02F4C">
        <w:rPr>
          <w:rFonts w:ascii="Arial" w:hAnsi="Arial" w:cs="Arial"/>
        </w:rPr>
        <w:t>, 78(6), pp.1360–1380.</w:t>
      </w:r>
    </w:p>
    <w:p w14:paraId="441F1094" w14:textId="77777777" w:rsidR="00C02F4C" w:rsidRPr="00C02F4C" w:rsidRDefault="00C02F4C" w:rsidP="006D16C4">
      <w:pPr>
        <w:numPr>
          <w:ilvl w:val="0"/>
          <w:numId w:val="6"/>
        </w:numPr>
        <w:spacing w:line="360" w:lineRule="auto"/>
        <w:rPr>
          <w:rFonts w:ascii="Arial" w:hAnsi="Arial" w:cs="Arial"/>
        </w:rPr>
      </w:pPr>
      <w:r w:rsidRPr="00C02F4C">
        <w:rPr>
          <w:rFonts w:ascii="Arial" w:hAnsi="Arial" w:cs="Arial"/>
        </w:rPr>
        <w:t xml:space="preserve">Labrecque, L.I., Markos, E. &amp; Milne, G.R. (2011) ‘Online Personal Branding: Processes, Challenges, and Implications’, </w:t>
      </w:r>
      <w:r w:rsidRPr="00C02F4C">
        <w:rPr>
          <w:rFonts w:ascii="Arial" w:hAnsi="Arial" w:cs="Arial"/>
          <w:i/>
          <w:iCs/>
        </w:rPr>
        <w:t>Journal of Interactive Marketing</w:t>
      </w:r>
      <w:r w:rsidRPr="00C02F4C">
        <w:rPr>
          <w:rFonts w:ascii="Arial" w:hAnsi="Arial" w:cs="Arial"/>
        </w:rPr>
        <w:t>, 25(1), pp.37–50.</w:t>
      </w:r>
    </w:p>
    <w:p w14:paraId="76CBD32E" w14:textId="77777777" w:rsidR="00C02F4C" w:rsidRPr="00C02F4C" w:rsidRDefault="00C02F4C" w:rsidP="006D16C4">
      <w:pPr>
        <w:numPr>
          <w:ilvl w:val="0"/>
          <w:numId w:val="6"/>
        </w:numPr>
        <w:spacing w:line="360" w:lineRule="auto"/>
        <w:rPr>
          <w:rFonts w:ascii="Arial" w:hAnsi="Arial" w:cs="Arial"/>
        </w:rPr>
      </w:pPr>
      <w:r w:rsidRPr="00C02F4C">
        <w:rPr>
          <w:rFonts w:ascii="Arial" w:hAnsi="Arial" w:cs="Arial"/>
        </w:rPr>
        <w:t xml:space="preserve">Locke, E.A. &amp; Latham, G.P. (2002) ‘Building a practically useful theory of goal setting and task motivation’, </w:t>
      </w:r>
      <w:r w:rsidRPr="00C02F4C">
        <w:rPr>
          <w:rFonts w:ascii="Arial" w:hAnsi="Arial" w:cs="Arial"/>
          <w:i/>
          <w:iCs/>
        </w:rPr>
        <w:t>American Psychologist</w:t>
      </w:r>
      <w:r w:rsidRPr="00C02F4C">
        <w:rPr>
          <w:rFonts w:ascii="Arial" w:hAnsi="Arial" w:cs="Arial"/>
        </w:rPr>
        <w:t>, 57(9), pp.705–717.</w:t>
      </w:r>
    </w:p>
    <w:p w14:paraId="04718E9D" w14:textId="77777777" w:rsidR="00C02F4C" w:rsidRPr="00C02F4C" w:rsidRDefault="00C02F4C" w:rsidP="006D16C4">
      <w:pPr>
        <w:numPr>
          <w:ilvl w:val="0"/>
          <w:numId w:val="6"/>
        </w:numPr>
        <w:spacing w:line="360" w:lineRule="auto"/>
        <w:rPr>
          <w:rFonts w:ascii="Arial" w:hAnsi="Arial" w:cs="Arial"/>
        </w:rPr>
      </w:pPr>
      <w:r w:rsidRPr="00C02F4C">
        <w:rPr>
          <w:rFonts w:ascii="Arial" w:hAnsi="Arial" w:cs="Arial"/>
        </w:rPr>
        <w:t xml:space="preserve">Merton, R.K. (1948) ‘The Bearing of Empirical Research upon the Development of Social Theory’, </w:t>
      </w:r>
      <w:r w:rsidRPr="00C02F4C">
        <w:rPr>
          <w:rFonts w:ascii="Arial" w:hAnsi="Arial" w:cs="Arial"/>
          <w:i/>
          <w:iCs/>
        </w:rPr>
        <w:t>American Sociological Review</w:t>
      </w:r>
      <w:r w:rsidRPr="00C02F4C">
        <w:rPr>
          <w:rFonts w:ascii="Arial" w:hAnsi="Arial" w:cs="Arial"/>
        </w:rPr>
        <w:t>, 13(5), pp.505–515.</w:t>
      </w:r>
    </w:p>
    <w:p w14:paraId="60850CD8" w14:textId="0F786F9D" w:rsidR="00C02F4C" w:rsidRPr="00C4230B" w:rsidRDefault="00C02F4C" w:rsidP="00C4230B">
      <w:pPr>
        <w:pStyle w:val="ListParagraph"/>
        <w:numPr>
          <w:ilvl w:val="0"/>
          <w:numId w:val="6"/>
        </w:numPr>
        <w:spacing w:after="0" w:line="360" w:lineRule="auto"/>
        <w:rPr>
          <w:rFonts w:ascii="Arial" w:eastAsia="Times New Roman" w:hAnsi="Arial" w:cs="Arial"/>
          <w:lang w:eastAsia="en-GB"/>
        </w:rPr>
      </w:pPr>
      <w:r w:rsidRPr="00C4230B">
        <w:rPr>
          <w:rFonts w:ascii="Arial" w:eastAsia="Times New Roman" w:hAnsi="Arial" w:cs="Arial"/>
          <w:lang w:eastAsia="en-GB"/>
        </w:rPr>
        <w:t xml:space="preserve">Bandura, A. (1997) </w:t>
      </w:r>
      <w:r w:rsidRPr="00C4230B">
        <w:rPr>
          <w:rFonts w:ascii="Arial" w:eastAsia="Times New Roman" w:hAnsi="Arial" w:cs="Arial"/>
          <w:i/>
          <w:iCs/>
          <w:lang w:eastAsia="en-GB"/>
        </w:rPr>
        <w:t>Self-Efficacy: The Exercise of Control</w:t>
      </w:r>
      <w:r w:rsidRPr="00C4230B">
        <w:rPr>
          <w:rFonts w:ascii="Arial" w:eastAsia="Times New Roman" w:hAnsi="Arial" w:cs="Arial"/>
          <w:lang w:eastAsia="en-GB"/>
        </w:rPr>
        <w:t>. New York: W.H. Freeman.</w:t>
      </w:r>
    </w:p>
    <w:p w14:paraId="6B4AA46A" w14:textId="77777777" w:rsidR="00C02F4C" w:rsidRPr="00C02F4C" w:rsidRDefault="00C02F4C" w:rsidP="006D16C4">
      <w:pPr>
        <w:numPr>
          <w:ilvl w:val="0"/>
          <w:numId w:val="6"/>
        </w:numPr>
        <w:spacing w:before="100" w:beforeAutospacing="1" w:after="100" w:afterAutospacing="1" w:line="360" w:lineRule="auto"/>
        <w:rPr>
          <w:rFonts w:ascii="Arial" w:eastAsia="Times New Roman" w:hAnsi="Arial" w:cs="Arial"/>
          <w:lang w:eastAsia="en-GB"/>
        </w:rPr>
      </w:pPr>
      <w:r w:rsidRPr="00C02F4C">
        <w:rPr>
          <w:rFonts w:ascii="Arial" w:eastAsia="Times New Roman" w:hAnsi="Arial" w:cs="Arial"/>
          <w:lang w:eastAsia="en-GB"/>
        </w:rPr>
        <w:t xml:space="preserve">Hale, R. (2000) </w:t>
      </w:r>
      <w:r w:rsidRPr="00C02F4C">
        <w:rPr>
          <w:rFonts w:ascii="Arial" w:eastAsia="Times New Roman" w:hAnsi="Arial" w:cs="Arial"/>
          <w:i/>
          <w:iCs/>
          <w:lang w:eastAsia="en-GB"/>
        </w:rPr>
        <w:t>To Match or Mismatch? The Dynamics of Mentoring as a Route to Personal and Organisational Learning</w:t>
      </w:r>
      <w:r w:rsidRPr="00C02F4C">
        <w:rPr>
          <w:rFonts w:ascii="Arial" w:eastAsia="Times New Roman" w:hAnsi="Arial" w:cs="Arial"/>
          <w:lang w:eastAsia="en-GB"/>
        </w:rPr>
        <w:t xml:space="preserve">, </w:t>
      </w:r>
      <w:r w:rsidRPr="00C02F4C">
        <w:rPr>
          <w:rFonts w:ascii="Arial" w:eastAsia="Times New Roman" w:hAnsi="Arial" w:cs="Arial"/>
          <w:i/>
          <w:iCs/>
          <w:lang w:eastAsia="en-GB"/>
        </w:rPr>
        <w:t>Career Development International</w:t>
      </w:r>
      <w:r w:rsidRPr="00C02F4C">
        <w:rPr>
          <w:rFonts w:ascii="Arial" w:eastAsia="Times New Roman" w:hAnsi="Arial" w:cs="Arial"/>
          <w:lang w:eastAsia="en-GB"/>
        </w:rPr>
        <w:t>, 5(4/5), pp.223–234.</w:t>
      </w:r>
    </w:p>
    <w:p w14:paraId="29927091" w14:textId="77777777" w:rsidR="00C02F4C" w:rsidRPr="00C02F4C" w:rsidRDefault="00C02F4C" w:rsidP="006D16C4">
      <w:pPr>
        <w:numPr>
          <w:ilvl w:val="0"/>
          <w:numId w:val="6"/>
        </w:numPr>
        <w:spacing w:before="100" w:beforeAutospacing="1" w:after="100" w:afterAutospacing="1" w:line="360" w:lineRule="auto"/>
        <w:rPr>
          <w:rFonts w:ascii="Arial" w:eastAsia="Times New Roman" w:hAnsi="Arial" w:cs="Arial"/>
          <w:lang w:eastAsia="en-GB"/>
        </w:rPr>
      </w:pPr>
      <w:r w:rsidRPr="00C02F4C">
        <w:rPr>
          <w:rFonts w:ascii="Arial" w:eastAsia="Times New Roman" w:hAnsi="Arial" w:cs="Arial"/>
          <w:lang w:eastAsia="en-GB"/>
        </w:rPr>
        <w:t xml:space="preserve">Taleb, N.N. (2012) </w:t>
      </w:r>
      <w:r w:rsidRPr="00C02F4C">
        <w:rPr>
          <w:rFonts w:ascii="Arial" w:eastAsia="Times New Roman" w:hAnsi="Arial" w:cs="Arial"/>
          <w:i/>
          <w:iCs/>
          <w:lang w:eastAsia="en-GB"/>
        </w:rPr>
        <w:t>Antifragile: Things That Gain from Disorder</w:t>
      </w:r>
      <w:r w:rsidRPr="00C02F4C">
        <w:rPr>
          <w:rFonts w:ascii="Arial" w:eastAsia="Times New Roman" w:hAnsi="Arial" w:cs="Arial"/>
          <w:lang w:eastAsia="en-GB"/>
        </w:rPr>
        <w:t>. New York: Random House.</w:t>
      </w:r>
    </w:p>
    <w:p w14:paraId="6AACF703" w14:textId="77777777" w:rsidR="00C02F4C" w:rsidRPr="00C02F4C" w:rsidRDefault="00C02F4C" w:rsidP="006D16C4">
      <w:pPr>
        <w:spacing w:line="360" w:lineRule="auto"/>
        <w:ind w:left="720"/>
        <w:rPr>
          <w:rFonts w:ascii="Arial" w:hAnsi="Arial" w:cs="Arial"/>
        </w:rPr>
      </w:pPr>
    </w:p>
    <w:p w14:paraId="6CE7CC77" w14:textId="77777777" w:rsidR="00C02F4C" w:rsidRPr="006D16C4" w:rsidRDefault="00C02F4C" w:rsidP="006D16C4">
      <w:pPr>
        <w:spacing w:line="360" w:lineRule="auto"/>
        <w:rPr>
          <w:rFonts w:ascii="Arial" w:hAnsi="Arial" w:cs="Arial"/>
        </w:rPr>
      </w:pPr>
    </w:p>
    <w:sectPr w:rsidR="00C02F4C" w:rsidRPr="006D16C4" w:rsidSect="006D16C4">
      <w:footerReference w:type="defaul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D6559" w14:textId="77777777" w:rsidR="00B262B1" w:rsidRDefault="00B262B1" w:rsidP="006D16C4">
      <w:pPr>
        <w:spacing w:after="0" w:line="240" w:lineRule="auto"/>
      </w:pPr>
      <w:r>
        <w:separator/>
      </w:r>
    </w:p>
  </w:endnote>
  <w:endnote w:type="continuationSeparator" w:id="0">
    <w:p w14:paraId="540180B9" w14:textId="77777777" w:rsidR="00B262B1" w:rsidRDefault="00B262B1" w:rsidP="006D16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10364881"/>
      <w:docPartObj>
        <w:docPartGallery w:val="Page Numbers (Bottom of Page)"/>
        <w:docPartUnique/>
      </w:docPartObj>
    </w:sdtPr>
    <w:sdtContent>
      <w:sdt>
        <w:sdtPr>
          <w:id w:val="-1769616900"/>
          <w:docPartObj>
            <w:docPartGallery w:val="Page Numbers (Top of Page)"/>
            <w:docPartUnique/>
          </w:docPartObj>
        </w:sdtPr>
        <w:sdtContent>
          <w:p w14:paraId="0D0563D9" w14:textId="62A0EEFC" w:rsidR="006D16C4" w:rsidRDefault="006D16C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40A97EB" w14:textId="77777777" w:rsidR="006D16C4" w:rsidRDefault="006D16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56926852"/>
      <w:docPartObj>
        <w:docPartGallery w:val="Page Numbers (Bottom of Page)"/>
        <w:docPartUnique/>
      </w:docPartObj>
    </w:sdtPr>
    <w:sdtEndPr>
      <w:rPr>
        <w:noProof/>
      </w:rPr>
    </w:sdtEndPr>
    <w:sdtContent>
      <w:p w14:paraId="317E6200" w14:textId="5D494FA2" w:rsidR="006D16C4" w:rsidRDefault="006D16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155C30" w14:textId="77777777" w:rsidR="006D16C4" w:rsidRDefault="006D16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F2778F" w14:textId="77777777" w:rsidR="00B262B1" w:rsidRDefault="00B262B1" w:rsidP="006D16C4">
      <w:pPr>
        <w:spacing w:after="0" w:line="240" w:lineRule="auto"/>
      </w:pPr>
      <w:r>
        <w:separator/>
      </w:r>
    </w:p>
  </w:footnote>
  <w:footnote w:type="continuationSeparator" w:id="0">
    <w:p w14:paraId="77797678" w14:textId="77777777" w:rsidR="00B262B1" w:rsidRDefault="00B262B1" w:rsidP="006D16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E8283A"/>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42AE3"/>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6A3B6E"/>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3638D6"/>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383A63"/>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E43E1B"/>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4477FB"/>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913970"/>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792345D"/>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FA6833"/>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045941"/>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B140D7E"/>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1C5DBC"/>
    <w:multiLevelType w:val="multilevel"/>
    <w:tmpl w:val="07BE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3094336">
    <w:abstractNumId w:val="8"/>
  </w:num>
  <w:num w:numId="2" w16cid:durableId="461965436">
    <w:abstractNumId w:val="2"/>
  </w:num>
  <w:num w:numId="3" w16cid:durableId="349722477">
    <w:abstractNumId w:val="4"/>
  </w:num>
  <w:num w:numId="4" w16cid:durableId="1105269943">
    <w:abstractNumId w:val="7"/>
  </w:num>
  <w:num w:numId="5" w16cid:durableId="492179592">
    <w:abstractNumId w:val="6"/>
  </w:num>
  <w:num w:numId="6" w16cid:durableId="1558082735">
    <w:abstractNumId w:val="5"/>
  </w:num>
  <w:num w:numId="7" w16cid:durableId="334457859">
    <w:abstractNumId w:val="1"/>
  </w:num>
  <w:num w:numId="8" w16cid:durableId="1791900465">
    <w:abstractNumId w:val="10"/>
  </w:num>
  <w:num w:numId="9" w16cid:durableId="1929460034">
    <w:abstractNumId w:val="0"/>
  </w:num>
  <w:num w:numId="10" w16cid:durableId="735515916">
    <w:abstractNumId w:val="3"/>
  </w:num>
  <w:num w:numId="11" w16cid:durableId="1375228122">
    <w:abstractNumId w:val="11"/>
  </w:num>
  <w:num w:numId="12" w16cid:durableId="994799705">
    <w:abstractNumId w:val="12"/>
  </w:num>
  <w:num w:numId="13" w16cid:durableId="10494995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C2E"/>
    <w:rsid w:val="00106231"/>
    <w:rsid w:val="0015789D"/>
    <w:rsid w:val="00283C2E"/>
    <w:rsid w:val="006D16C4"/>
    <w:rsid w:val="00770A98"/>
    <w:rsid w:val="00957F87"/>
    <w:rsid w:val="009E36C2"/>
    <w:rsid w:val="00B262B1"/>
    <w:rsid w:val="00C02F4C"/>
    <w:rsid w:val="00C423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CF7E9"/>
  <w15:chartTrackingRefBased/>
  <w15:docId w15:val="{2F656AF4-420D-4351-BBC8-7082620C8A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6C4"/>
  </w:style>
  <w:style w:type="paragraph" w:styleId="Heading1">
    <w:name w:val="heading 1"/>
    <w:basedOn w:val="Normal"/>
    <w:next w:val="Normal"/>
    <w:link w:val="Heading1Char"/>
    <w:uiPriority w:val="9"/>
    <w:qFormat/>
    <w:rsid w:val="00283C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83C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83C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83C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83C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83C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3C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3C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3C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C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83C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83C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83C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83C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83C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3C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3C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3C2E"/>
    <w:rPr>
      <w:rFonts w:eastAsiaTheme="majorEastAsia" w:cstheme="majorBidi"/>
      <w:color w:val="272727" w:themeColor="text1" w:themeTint="D8"/>
    </w:rPr>
  </w:style>
  <w:style w:type="paragraph" w:styleId="Title">
    <w:name w:val="Title"/>
    <w:basedOn w:val="Normal"/>
    <w:next w:val="Normal"/>
    <w:link w:val="TitleChar"/>
    <w:uiPriority w:val="10"/>
    <w:qFormat/>
    <w:rsid w:val="00283C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3C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3C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3C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3C2E"/>
    <w:pPr>
      <w:spacing w:before="160"/>
      <w:jc w:val="center"/>
    </w:pPr>
    <w:rPr>
      <w:i/>
      <w:iCs/>
      <w:color w:val="404040" w:themeColor="text1" w:themeTint="BF"/>
    </w:rPr>
  </w:style>
  <w:style w:type="character" w:customStyle="1" w:styleId="QuoteChar">
    <w:name w:val="Quote Char"/>
    <w:basedOn w:val="DefaultParagraphFont"/>
    <w:link w:val="Quote"/>
    <w:uiPriority w:val="29"/>
    <w:rsid w:val="00283C2E"/>
    <w:rPr>
      <w:i/>
      <w:iCs/>
      <w:color w:val="404040" w:themeColor="text1" w:themeTint="BF"/>
    </w:rPr>
  </w:style>
  <w:style w:type="paragraph" w:styleId="ListParagraph">
    <w:name w:val="List Paragraph"/>
    <w:basedOn w:val="Normal"/>
    <w:uiPriority w:val="34"/>
    <w:qFormat/>
    <w:rsid w:val="00283C2E"/>
    <w:pPr>
      <w:ind w:left="720"/>
      <w:contextualSpacing/>
    </w:pPr>
  </w:style>
  <w:style w:type="character" w:styleId="IntenseEmphasis">
    <w:name w:val="Intense Emphasis"/>
    <w:basedOn w:val="DefaultParagraphFont"/>
    <w:uiPriority w:val="21"/>
    <w:qFormat/>
    <w:rsid w:val="00283C2E"/>
    <w:rPr>
      <w:i/>
      <w:iCs/>
      <w:color w:val="0F4761" w:themeColor="accent1" w:themeShade="BF"/>
    </w:rPr>
  </w:style>
  <w:style w:type="paragraph" w:styleId="IntenseQuote">
    <w:name w:val="Intense Quote"/>
    <w:basedOn w:val="Normal"/>
    <w:next w:val="Normal"/>
    <w:link w:val="IntenseQuoteChar"/>
    <w:uiPriority w:val="30"/>
    <w:qFormat/>
    <w:rsid w:val="00283C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83C2E"/>
    <w:rPr>
      <w:i/>
      <w:iCs/>
      <w:color w:val="0F4761" w:themeColor="accent1" w:themeShade="BF"/>
    </w:rPr>
  </w:style>
  <w:style w:type="character" w:styleId="IntenseReference">
    <w:name w:val="Intense Reference"/>
    <w:basedOn w:val="DefaultParagraphFont"/>
    <w:uiPriority w:val="32"/>
    <w:qFormat/>
    <w:rsid w:val="00283C2E"/>
    <w:rPr>
      <w:b/>
      <w:bCs/>
      <w:smallCaps/>
      <w:color w:val="0F4761" w:themeColor="accent1" w:themeShade="BF"/>
      <w:spacing w:val="5"/>
    </w:rPr>
  </w:style>
  <w:style w:type="character" w:styleId="Emphasis">
    <w:name w:val="Emphasis"/>
    <w:basedOn w:val="DefaultParagraphFont"/>
    <w:uiPriority w:val="20"/>
    <w:qFormat/>
    <w:rsid w:val="00C02F4C"/>
    <w:rPr>
      <w:i/>
      <w:iCs/>
    </w:rPr>
  </w:style>
  <w:style w:type="paragraph" w:styleId="NoSpacing">
    <w:name w:val="No Spacing"/>
    <w:link w:val="NoSpacingChar"/>
    <w:uiPriority w:val="1"/>
    <w:qFormat/>
    <w:rsid w:val="006D16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16C4"/>
    <w:rPr>
      <w:rFonts w:eastAsiaTheme="minorEastAsia"/>
      <w:lang w:val="en-US"/>
    </w:rPr>
  </w:style>
  <w:style w:type="paragraph" w:styleId="Header">
    <w:name w:val="header"/>
    <w:basedOn w:val="Normal"/>
    <w:link w:val="HeaderChar"/>
    <w:uiPriority w:val="99"/>
    <w:unhideWhenUsed/>
    <w:rsid w:val="006D16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6C4"/>
  </w:style>
  <w:style w:type="paragraph" w:styleId="Footer">
    <w:name w:val="footer"/>
    <w:basedOn w:val="Normal"/>
    <w:link w:val="FooterChar"/>
    <w:uiPriority w:val="99"/>
    <w:unhideWhenUsed/>
    <w:rsid w:val="006D16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6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0B33B-DB57-4EE7-81ED-F0DED07001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1941</Words>
  <Characters>12658</Characters>
  <Application>Microsoft Office Word</Application>
  <DocSecurity>0</DocSecurity>
  <Lines>324</Lines>
  <Paragraphs>126</Paragraphs>
  <ScaleCrop>false</ScaleCrop>
  <HeadingPairs>
    <vt:vector size="2" baseType="variant">
      <vt:variant>
        <vt:lpstr>Title</vt:lpstr>
      </vt:variant>
      <vt:variant>
        <vt:i4>1</vt:i4>
      </vt:variant>
    </vt:vector>
  </HeadingPairs>
  <TitlesOfParts>
    <vt:vector size="1" baseType="lpstr">
      <vt:lpstr/>
    </vt:vector>
  </TitlesOfParts>
  <Company>Student  name: Marta ProcaStudent number: 2234962Module code: BMHP5019Module title: Introduction to Independent Research SkillsLecturer’s name: Dr Itse Olaoye</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your Personal Brand for Sustainable Employment (BMHP5015_LON)</dc:title>
  <dc:subject/>
  <dc:creator>marta proca</dc:creator>
  <cp:keywords/>
  <dc:description/>
  <cp:lastModifiedBy>marta proca</cp:lastModifiedBy>
  <cp:revision>5</cp:revision>
  <dcterms:created xsi:type="dcterms:W3CDTF">2025-10-30T04:04:00Z</dcterms:created>
  <dcterms:modified xsi:type="dcterms:W3CDTF">2025-12-05T10:10:00Z</dcterms:modified>
</cp:coreProperties>
</file>