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19BEC" w14:textId="77777777" w:rsidR="00B50982" w:rsidRDefault="00B50982">
      <w:pPr>
        <w:rPr>
          <w:b/>
          <w:bCs/>
        </w:rPr>
      </w:pPr>
    </w:p>
    <w:p w14:paraId="74319BED" w14:textId="77777777" w:rsidR="00B50982" w:rsidRDefault="00B50982">
      <w:pPr>
        <w:rPr>
          <w:b/>
          <w:bCs/>
        </w:rPr>
      </w:pPr>
    </w:p>
    <w:p w14:paraId="74319BEE" w14:textId="77777777" w:rsidR="00B50982" w:rsidRDefault="00B50982">
      <w:pPr>
        <w:rPr>
          <w:b/>
          <w:bCs/>
          <w:lang w:val="fr-FR"/>
        </w:rPr>
      </w:pPr>
    </w:p>
    <w:p w14:paraId="74319BEF" w14:textId="77777777" w:rsidR="00B50982" w:rsidRDefault="00C737BA">
      <w:r>
        <w:rPr>
          <w:b/>
          <w:bCs/>
          <w:noProof/>
        </w:rPr>
        <w:drawing>
          <wp:inline distT="0" distB="0" distL="0" distR="0" wp14:anchorId="74319BEC" wp14:editId="74319BED">
            <wp:extent cx="5619746" cy="2362196"/>
            <wp:effectExtent l="0" t="0" r="4" b="4"/>
            <wp:docPr id="85781333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619746" cy="2362196"/>
                    </a:xfrm>
                    <a:prstGeom prst="rect">
                      <a:avLst/>
                    </a:prstGeom>
                    <a:noFill/>
                    <a:ln>
                      <a:noFill/>
                      <a:prstDash/>
                    </a:ln>
                  </pic:spPr>
                </pic:pic>
              </a:graphicData>
            </a:graphic>
          </wp:inline>
        </w:drawing>
      </w:r>
    </w:p>
    <w:p w14:paraId="74319BF0" w14:textId="77777777" w:rsidR="00B50982" w:rsidRDefault="00B50982">
      <w:pPr>
        <w:suppressAutoHyphens w:val="0"/>
        <w:jc w:val="center"/>
        <w:rPr>
          <w:b/>
          <w:bCs/>
          <w:sz w:val="28"/>
          <w:szCs w:val="28"/>
          <w:lang w:val="fr-FR"/>
        </w:rPr>
      </w:pPr>
    </w:p>
    <w:p w14:paraId="74319BF1" w14:textId="77777777" w:rsidR="00B50982" w:rsidRDefault="00B50982">
      <w:pPr>
        <w:rPr>
          <w:b/>
          <w:bCs/>
        </w:rPr>
      </w:pPr>
    </w:p>
    <w:p w14:paraId="74319BF2" w14:textId="77777777" w:rsidR="00B50982" w:rsidRDefault="00B50982">
      <w:pPr>
        <w:rPr>
          <w:b/>
          <w:bCs/>
          <w:sz w:val="32"/>
          <w:szCs w:val="32"/>
        </w:rPr>
      </w:pPr>
    </w:p>
    <w:p w14:paraId="74319BF3" w14:textId="77777777" w:rsidR="00B50982" w:rsidRDefault="00C737BA">
      <w:pPr>
        <w:rPr>
          <w:b/>
          <w:bCs/>
          <w:sz w:val="40"/>
          <w:szCs w:val="40"/>
        </w:rPr>
      </w:pPr>
      <w:r>
        <w:rPr>
          <w:b/>
          <w:bCs/>
          <w:sz w:val="40"/>
          <w:szCs w:val="40"/>
        </w:rPr>
        <w:t>Title : Principles of Health and Social Care Practice</w:t>
      </w:r>
    </w:p>
    <w:p w14:paraId="74319BF4" w14:textId="77777777" w:rsidR="00B50982" w:rsidRDefault="00C737BA">
      <w:pPr>
        <w:rPr>
          <w:b/>
          <w:bCs/>
          <w:sz w:val="40"/>
          <w:szCs w:val="40"/>
        </w:rPr>
      </w:pPr>
      <w:r>
        <w:rPr>
          <w:b/>
          <w:bCs/>
          <w:sz w:val="40"/>
          <w:szCs w:val="40"/>
        </w:rPr>
        <w:t>Student Name: Mrs. MEHREEN RIAZ</w:t>
      </w:r>
    </w:p>
    <w:p w14:paraId="74319BF5" w14:textId="77777777" w:rsidR="00B50982" w:rsidRDefault="00C737BA">
      <w:pPr>
        <w:rPr>
          <w:b/>
          <w:bCs/>
          <w:sz w:val="40"/>
          <w:szCs w:val="40"/>
        </w:rPr>
      </w:pPr>
      <w:r>
        <w:rPr>
          <w:b/>
          <w:bCs/>
          <w:sz w:val="40"/>
          <w:szCs w:val="40"/>
        </w:rPr>
        <w:t>Student Number: 2429494</w:t>
      </w:r>
    </w:p>
    <w:p w14:paraId="74319BF6" w14:textId="77777777" w:rsidR="00B50982" w:rsidRDefault="00C737BA">
      <w:pPr>
        <w:rPr>
          <w:b/>
          <w:bCs/>
          <w:sz w:val="40"/>
          <w:szCs w:val="40"/>
        </w:rPr>
      </w:pPr>
      <w:r>
        <w:rPr>
          <w:b/>
          <w:bCs/>
          <w:sz w:val="40"/>
          <w:szCs w:val="40"/>
        </w:rPr>
        <w:t>Lecturer: Dr Farah Wiita</w:t>
      </w:r>
    </w:p>
    <w:p w14:paraId="74319BF7" w14:textId="77777777" w:rsidR="00B50982" w:rsidRDefault="00C737BA">
      <w:pPr>
        <w:rPr>
          <w:b/>
          <w:bCs/>
          <w:sz w:val="40"/>
          <w:szCs w:val="40"/>
        </w:rPr>
      </w:pPr>
      <w:r>
        <w:rPr>
          <w:b/>
          <w:bCs/>
          <w:sz w:val="40"/>
          <w:szCs w:val="40"/>
        </w:rPr>
        <w:t>Module Code: BMHP5016</w:t>
      </w:r>
    </w:p>
    <w:p w14:paraId="74319BF8" w14:textId="77777777" w:rsidR="00B50982" w:rsidRDefault="00B50982">
      <w:pPr>
        <w:rPr>
          <w:b/>
          <w:bCs/>
          <w:sz w:val="40"/>
          <w:szCs w:val="40"/>
        </w:rPr>
      </w:pPr>
    </w:p>
    <w:p w14:paraId="74319BF9" w14:textId="77777777" w:rsidR="00B50982" w:rsidRDefault="00B50982">
      <w:pPr>
        <w:rPr>
          <w:b/>
          <w:bCs/>
          <w:sz w:val="32"/>
          <w:szCs w:val="32"/>
        </w:rPr>
      </w:pPr>
    </w:p>
    <w:p w14:paraId="74319BFA" w14:textId="77777777" w:rsidR="00B50982" w:rsidRDefault="00B50982">
      <w:pPr>
        <w:rPr>
          <w:b/>
          <w:bCs/>
        </w:rPr>
      </w:pPr>
    </w:p>
    <w:p w14:paraId="74319BFB" w14:textId="77777777" w:rsidR="00B50982" w:rsidRDefault="00B50982">
      <w:pPr>
        <w:rPr>
          <w:b/>
          <w:bCs/>
        </w:rPr>
      </w:pPr>
    </w:p>
    <w:p w14:paraId="74319BFC" w14:textId="77777777" w:rsidR="00B50982" w:rsidRDefault="00B50982">
      <w:pPr>
        <w:rPr>
          <w:b/>
          <w:bCs/>
        </w:rPr>
      </w:pPr>
    </w:p>
    <w:p w14:paraId="74319BFD" w14:textId="77777777" w:rsidR="00B50982" w:rsidRDefault="00B50982">
      <w:pPr>
        <w:rPr>
          <w:b/>
          <w:bCs/>
        </w:rPr>
      </w:pPr>
    </w:p>
    <w:p w14:paraId="74319BFE" w14:textId="77777777" w:rsidR="00B50982" w:rsidRDefault="00B50982">
      <w:pPr>
        <w:rPr>
          <w:b/>
          <w:bCs/>
        </w:rPr>
      </w:pPr>
    </w:p>
    <w:p w14:paraId="74319BFF" w14:textId="77777777" w:rsidR="00B50982" w:rsidRDefault="00B50982">
      <w:pPr>
        <w:rPr>
          <w:b/>
          <w:bCs/>
        </w:rPr>
      </w:pPr>
    </w:p>
    <w:p w14:paraId="74319C00" w14:textId="77777777" w:rsidR="00B50982" w:rsidRDefault="00B50982">
      <w:pPr>
        <w:rPr>
          <w:b/>
          <w:bCs/>
        </w:rPr>
      </w:pPr>
    </w:p>
    <w:p w14:paraId="74319C01" w14:textId="77777777" w:rsidR="00B50982" w:rsidRDefault="00B50982">
      <w:pPr>
        <w:rPr>
          <w:b/>
          <w:bCs/>
        </w:rPr>
      </w:pPr>
    </w:p>
    <w:p w14:paraId="74319C02" w14:textId="77777777" w:rsidR="00B50982" w:rsidRDefault="00C737BA">
      <w:pPr>
        <w:rPr>
          <w:b/>
          <w:bCs/>
          <w:sz w:val="28"/>
          <w:szCs w:val="28"/>
        </w:rPr>
      </w:pPr>
      <w:r>
        <w:rPr>
          <w:b/>
          <w:bCs/>
          <w:sz w:val="28"/>
          <w:szCs w:val="28"/>
        </w:rPr>
        <w:t>A study analysis on Social Model relation Disability in Supporting Person-Centred Care in Health and Social Care Policy and Practice</w:t>
      </w:r>
    </w:p>
    <w:p w14:paraId="74319C03" w14:textId="77777777" w:rsidR="00B50982" w:rsidRDefault="00B50982">
      <w:pPr>
        <w:rPr>
          <w:b/>
          <w:bCs/>
          <w:sz w:val="28"/>
          <w:szCs w:val="28"/>
        </w:rPr>
      </w:pPr>
    </w:p>
    <w:p w14:paraId="74319C04" w14:textId="77777777" w:rsidR="00B50982" w:rsidRDefault="00C737BA">
      <w:pPr>
        <w:rPr>
          <w:b/>
          <w:bCs/>
          <w:sz w:val="28"/>
          <w:szCs w:val="28"/>
        </w:rPr>
      </w:pPr>
      <w:r>
        <w:rPr>
          <w:b/>
          <w:bCs/>
          <w:sz w:val="28"/>
          <w:szCs w:val="28"/>
        </w:rPr>
        <w:t>Introduction</w:t>
      </w:r>
    </w:p>
    <w:p w14:paraId="74319C05" w14:textId="320F0E8A" w:rsidR="00B50982" w:rsidRDefault="00A70E64">
      <w:pPr>
        <w:jc w:val="both"/>
      </w:pPr>
      <w:r>
        <w:t>R</w:t>
      </w:r>
      <w:r w:rsidR="00C737BA">
        <w:t>ecent decades, person-centred care has emerged as a dominant principle within health and social care systems, reflecting a broader shift towards valuing individual autonomy, dignity, and lived experience. Rather than viewing individuals as passive recipients of standardized interventions, person-centred care emphasizes partnership, empowerment, and responsiveness to unique needs. This transformation has been shaped by a number of theoretical perspectives, which holds particular significance.</w:t>
      </w:r>
    </w:p>
    <w:p w14:paraId="74319C06" w14:textId="77777777" w:rsidR="00B50982" w:rsidRDefault="00C737BA">
      <w:pPr>
        <w:jc w:val="both"/>
      </w:pPr>
      <w:r>
        <w:t>Societal perspective relates to disability represents a fundamental departure from traditional biomedical approaches by reframing disability as a socially constructed phenomenon. Instead of locating the “problem” within the individual, it highlights how societal structures, environmental barriers, and discriminatory attitudes restrict participation and create disadvantage (Oliver, 1990). This perspective aligns closely with the ethos of person-centred care, particularly in its emphasis on inclusion, choice, and respect for lived experience.</w:t>
      </w:r>
    </w:p>
    <w:p w14:paraId="74319C07" w14:textId="77777777" w:rsidR="00B50982" w:rsidRDefault="00C737BA">
      <w:pPr>
        <w:jc w:val="both"/>
      </w:pPr>
      <w:r>
        <w:t xml:space="preserve">This essay critically examines the social model of disability as a framework underpinning person-centred care. It first explores the origins and evolution of the model, before analysing key critiques and the ways in which scholars have responded to them. The discussion then turns to the application societal-model within health &amp; social-care policy and empirical approach, identifying both its contributions and ongoing challenges. Finally, the essay proposes recommendations to strengthen its implementation and concluded by </w:t>
      </w:r>
      <w:r>
        <w:rPr>
          <w:noProof/>
        </w:rPr>
        <w:drawing>
          <wp:anchor distT="0" distB="0" distL="114300" distR="114300" simplePos="0" relativeHeight="251658240" behindDoc="0" locked="0" layoutInCell="1" allowOverlap="1" wp14:anchorId="74319BEE" wp14:editId="74319BEF">
            <wp:simplePos x="0" y="0"/>
            <wp:positionH relativeFrom="column">
              <wp:posOffset>0</wp:posOffset>
            </wp:positionH>
            <wp:positionV relativeFrom="paragraph">
              <wp:posOffset>1042672</wp:posOffset>
            </wp:positionV>
            <wp:extent cx="5054602" cy="3291209"/>
            <wp:effectExtent l="0" t="0" r="0" b="4441"/>
            <wp:wrapTopAndBottom/>
            <wp:docPr id="1326157428"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054602" cy="3291209"/>
                    </a:xfrm>
                    <a:prstGeom prst="rect">
                      <a:avLst/>
                    </a:prstGeom>
                    <a:noFill/>
                    <a:ln>
                      <a:noFill/>
                      <a:prstDash/>
                    </a:ln>
                  </pic:spPr>
                </pic:pic>
              </a:graphicData>
            </a:graphic>
          </wp:anchor>
        </w:drawing>
      </w:r>
    </w:p>
    <w:p w14:paraId="74319C08" w14:textId="77777777" w:rsidR="00B50982" w:rsidRDefault="00B50982">
      <w:pPr>
        <w:jc w:val="both"/>
      </w:pPr>
    </w:p>
    <w:p w14:paraId="74319C09" w14:textId="77777777" w:rsidR="00B50982" w:rsidRDefault="00B50982">
      <w:pPr>
        <w:jc w:val="both"/>
      </w:pPr>
    </w:p>
    <w:p w14:paraId="74319C0A" w14:textId="77777777" w:rsidR="00B50982" w:rsidRDefault="00C737BA">
      <w:pPr>
        <w:rPr>
          <w:b/>
          <w:bCs/>
          <w:sz w:val="28"/>
          <w:szCs w:val="28"/>
        </w:rPr>
      </w:pPr>
      <w:r>
        <w:rPr>
          <w:b/>
          <w:bCs/>
          <w:sz w:val="28"/>
          <w:szCs w:val="28"/>
        </w:rPr>
        <w:t>Evolution of the Societal Perspective of Disability</w:t>
      </w:r>
    </w:p>
    <w:p w14:paraId="74319C0B" w14:textId="77777777" w:rsidR="00B50982" w:rsidRDefault="00C737BA">
      <w:pPr>
        <w:jc w:val="both"/>
      </w:pPr>
      <w:r>
        <w:t>The social model of disability emerged in the United Kingdom during the 1970s as a reaction against the prevailing medical model. Traditionally, the medical model understood disability as an issue rooted within the individual, placing emphasis on diagnosis, clinical treatment, and rehabilitation. This perspective often framed disabled people as reliant on professional support, while giving limited attention to their independence or the wider social factors influencing their experiences (Shakespeare, 2013).</w:t>
      </w:r>
    </w:p>
    <w:p w14:paraId="74319C0C" w14:textId="77777777" w:rsidR="00B50982" w:rsidRDefault="00C737BA">
      <w:pPr>
        <w:jc w:val="both"/>
      </w:pPr>
      <w:r>
        <w:t>Growing dissatisfaction with this individualised view contributed to the rise of disability activism. In particular, UPIAS played a key role in redefining disability. In 1976, the organisation introduced a distinction between “impairment” and “disability,” where impairment referred to a physical, sensory, or intellectual condition, and disability described the barriers created by society. These barriers included inaccessible physical environments, discriminatory policies, and negative public attitudes, all of which restrict full participation in everyday life (UPIAS, 1976).</w:t>
      </w:r>
    </w:p>
    <w:p w14:paraId="74319C0D" w14:textId="77777777" w:rsidR="00B50982" w:rsidRDefault="00C737BA">
      <w:pPr>
        <w:jc w:val="both"/>
      </w:pPr>
      <w:r>
        <w:t>Michael Oliver (1990) later developed the social model within academic discourse, positioning it as both a theoretical framework and a political tool aimed at challenging oppression. The model shifted responsibility for disability away from the individual and toward society, emphasizing the need to remove barriers and promote inclusion. This reframing had profound implications, not only for how disability was understood, but also for how policies and services were designed.</w:t>
      </w:r>
    </w:p>
    <w:p w14:paraId="74319C0E" w14:textId="77777777" w:rsidR="00B50982" w:rsidRDefault="00C737BA">
      <w:pPr>
        <w:jc w:val="both"/>
      </w:pPr>
      <w:r>
        <w:t>Over time, the social model gained considerable influence in shaping disability rights movements and public policy. In the UK, it informed legislative developments such as the Disability Discrimination Act 1995 and the Equality Act 2010, both of which sought to address systemic inequalities and ensure equal access to services and opportunities. The model also contributed to the emergence of disability studies as an academic field, encouraging critical examination of the social, cultural, and political dimensions of disability.</w:t>
      </w:r>
    </w:p>
    <w:p w14:paraId="74319C0F" w14:textId="77777777" w:rsidR="00B50982" w:rsidRDefault="00C737BA">
      <w:pPr>
        <w:jc w:val="both"/>
      </w:pPr>
      <w:r>
        <w:t>Importantly, the social model has played a key role in advancing person-centred care. By emphasizing the importance of listening to individuals and recognizing their expertise in their own lives, it supports a move away from paternalistic care practices toward more collaborative and empowering approaches.</w:t>
      </w:r>
    </w:p>
    <w:p w14:paraId="74319C10" w14:textId="77777777" w:rsidR="00B50982" w:rsidRDefault="00B50982">
      <w:pPr>
        <w:jc w:val="both"/>
      </w:pPr>
    </w:p>
    <w:p w14:paraId="74319C11" w14:textId="77777777" w:rsidR="00B50982" w:rsidRDefault="00C737BA">
      <w:pPr>
        <w:rPr>
          <w:b/>
          <w:bCs/>
          <w:sz w:val="28"/>
          <w:szCs w:val="28"/>
        </w:rPr>
      </w:pPr>
      <w:r>
        <w:rPr>
          <w:b/>
          <w:bCs/>
          <w:sz w:val="28"/>
          <w:szCs w:val="28"/>
        </w:rPr>
        <w:t>Critiques and Responses</w:t>
      </w:r>
    </w:p>
    <w:p w14:paraId="74319C12" w14:textId="77777777" w:rsidR="00B50982" w:rsidRDefault="00C737BA">
      <w:pPr>
        <w:jc w:val="both"/>
      </w:pPr>
      <w:r>
        <w:t>While the social model has been highly influential, it has not been without criticism. One of the most significant critiques is that it underestimates the role of impairment and embodied experience. Critics argue that the model’s strong focus on social barriers risks overlooking the realities of pain, fatigue, and other physical or psychological challenges that many individuals face (Shakespeare, 2013). For example, individuals living with chronic illness may experience limitations that persist even in fully accessible environments.</w:t>
      </w:r>
    </w:p>
    <w:p w14:paraId="74319C13" w14:textId="77777777" w:rsidR="00B50982" w:rsidRDefault="00C737BA">
      <w:pPr>
        <w:jc w:val="both"/>
      </w:pPr>
      <w:r>
        <w:t>A further limitation of the social model is its original emphasis on physical impairments. Earlier interpretations were not always relevant to individuals experiencing mental health conditions, learning disabilities, or neurodivergence, leading to a lack of representation for these groups within the model (Thomas, 2007).</w:t>
      </w:r>
    </w:p>
    <w:p w14:paraId="74319C14" w14:textId="77777777" w:rsidR="00B50982" w:rsidRDefault="00C737BA">
      <w:pPr>
        <w:jc w:val="both"/>
      </w:pPr>
      <w:r>
        <w:t xml:space="preserve">In addition, the model has been critiqued for its limited consideration of intersectionality. Disability is often experienced alongside other forms of social disadvantage, including those linked to race, gender, socioeconomic status, and age. However, the social model has been </w:t>
      </w:r>
      <w:r>
        <w:lastRenderedPageBreak/>
        <w:t>viewed as insufficient in addressing how these multiple and overlapping inequalities interact (Goodley, 2017).</w:t>
      </w:r>
    </w:p>
    <w:p w14:paraId="74319C15" w14:textId="77777777" w:rsidR="00B50982" w:rsidRDefault="00C737BA">
      <w:pPr>
        <w:jc w:val="both"/>
      </w:pPr>
      <w:r>
        <w:t>Additionally, the distinction between impairment and disability has been challenged as overly rigid. In practice, biological and social factors interact in complex ways, making it difficult to separate them entirely. This has led some critics to argue that the model may oversimplify the lived realities of disabled individuals.</w:t>
      </w:r>
    </w:p>
    <w:p w14:paraId="74319C16" w14:textId="77777777" w:rsidR="00B50982" w:rsidRDefault="00C737BA">
      <w:pPr>
        <w:jc w:val="both"/>
      </w:pPr>
      <w:r>
        <w:t>In response to these critiques, scholars have sought to refine and expand the social model. The biopsychosocial model, introduced by Engel (1977), represents one such development, integrating biological, psychological, and social dimensions of health. This approach acknowledges the importance of both embodied experience and social context.</w:t>
      </w:r>
    </w:p>
    <w:p w14:paraId="74319C17" w14:textId="77777777" w:rsidR="00B50982" w:rsidRDefault="00C737BA">
      <w:pPr>
        <w:jc w:val="both"/>
      </w:pPr>
      <w:r>
        <w:t>Furthermore, critical disability studies have introduced more nuanced perspectives, incorporating intersectionality and emphasizing diversity. These approaches aim to retain the social model’s focus on social justice while addressing its limitations.</w:t>
      </w:r>
    </w:p>
    <w:p w14:paraId="74319C18" w14:textId="77777777" w:rsidR="00B50982" w:rsidRDefault="00C737BA">
      <w:pPr>
        <w:jc w:val="both"/>
      </w:pPr>
      <w:r>
        <w:t>Importantly, defenders of the social model argue that it was never intended to provide a complete account of disability. Rather, it serves as a political framework designed to challenge structural inequality and promote inclusion (Oliver, 1996). From this perspective, its value lies in its ability to shift mention toward societal responsibility, even as it continues to evolve.</w:t>
      </w:r>
    </w:p>
    <w:p w14:paraId="74319C19" w14:textId="77777777" w:rsidR="00B50982" w:rsidRDefault="00C737BA">
      <w:pPr>
        <w:jc w:val="both"/>
      </w:pPr>
      <w:r>
        <w:rPr>
          <w:noProof/>
        </w:rPr>
        <w:drawing>
          <wp:anchor distT="0" distB="0" distL="114300" distR="114300" simplePos="0" relativeHeight="251659264" behindDoc="0" locked="0" layoutInCell="1" allowOverlap="1" wp14:anchorId="74319BF0" wp14:editId="74319BF1">
            <wp:simplePos x="0" y="0"/>
            <wp:positionH relativeFrom="page">
              <wp:align>left</wp:align>
            </wp:positionH>
            <wp:positionV relativeFrom="paragraph">
              <wp:posOffset>556942</wp:posOffset>
            </wp:positionV>
            <wp:extent cx="8096253" cy="4819646"/>
            <wp:effectExtent l="0" t="0" r="0" b="4"/>
            <wp:wrapTopAndBottom/>
            <wp:docPr id="125775332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8096253" cy="4819646"/>
                    </a:xfrm>
                    <a:prstGeom prst="rect">
                      <a:avLst/>
                    </a:prstGeom>
                    <a:noFill/>
                    <a:ln>
                      <a:noFill/>
                      <a:prstDash/>
                    </a:ln>
                  </pic:spPr>
                </pic:pic>
              </a:graphicData>
            </a:graphic>
          </wp:anchor>
        </w:drawing>
      </w:r>
    </w:p>
    <w:p w14:paraId="74319C1A" w14:textId="77777777" w:rsidR="00B50982" w:rsidRDefault="00B50982">
      <w:pPr>
        <w:pageBreakBefore/>
        <w:suppressAutoHyphens w:val="0"/>
        <w:rPr>
          <w:sz w:val="28"/>
          <w:szCs w:val="28"/>
        </w:rPr>
      </w:pPr>
    </w:p>
    <w:p w14:paraId="74319C1B" w14:textId="77777777" w:rsidR="00B50982" w:rsidRDefault="00C737BA">
      <w:pPr>
        <w:rPr>
          <w:b/>
          <w:bCs/>
          <w:sz w:val="28"/>
          <w:szCs w:val="28"/>
        </w:rPr>
      </w:pPr>
      <w:r>
        <w:rPr>
          <w:b/>
          <w:bCs/>
          <w:sz w:val="28"/>
          <w:szCs w:val="28"/>
        </w:rPr>
        <w:t>Application in Health &amp; Social Care Policy and Practice</w:t>
      </w:r>
    </w:p>
    <w:p w14:paraId="74319C1C" w14:textId="77777777" w:rsidR="00B50982" w:rsidRDefault="00C737BA">
      <w:pPr>
        <w:jc w:val="both"/>
      </w:pPr>
      <w:r>
        <w:t>Social perspective of disability has had a significant impact on health &amp; social-care policy, especially in promoting person-centred and rights-based approaches. Policies influenced by the model emphasize accessibility, inclusion, and the pro-active participation of service users in decision-making.</w:t>
      </w:r>
    </w:p>
    <w:p w14:paraId="74319C1D" w14:textId="77777777" w:rsidR="00B50982" w:rsidRDefault="00C737BA">
      <w:pPr>
        <w:jc w:val="both"/>
      </w:pPr>
      <w:r>
        <w:t>One of the most important applications is personalized care planning. This approach involves tailoring services to the individual’s needs, preferences, and goals, rather than applying standardized interventions. By recognizing the individual as an active participant, personalized care planning reflects the principles of autonomy and empowerment central to both the social model and person-centred care (Department of Health, 2012).</w:t>
      </w:r>
    </w:p>
    <w:p w14:paraId="74319C1E" w14:textId="77777777" w:rsidR="00B50982" w:rsidRDefault="00C737BA">
      <w:pPr>
        <w:jc w:val="both"/>
      </w:pPr>
      <w:r>
        <w:t>The concept of independent living has also been strongly influenced by the social model. It emphasizes the right of individuals to live autonomously and participate fully in society, supported by appropriate services where necessary. Initiatives such as personal budgets and direct payments have been developed to give individuals greater control over their care arrangements.</w:t>
      </w:r>
    </w:p>
    <w:p w14:paraId="74319C1F" w14:textId="77777777" w:rsidR="00B50982" w:rsidRDefault="00C737BA">
      <w:pPr>
        <w:jc w:val="both"/>
      </w:pPr>
      <w:r>
        <w:t>Co-production represents another key development. This approach involves collaboration in service users and professionals in design and delivery of services, recognizing the value of lived experience (Needham and Carr, 2009). Co-production aligns closely with person-centred care by promoting partnership and shared decision-making.</w:t>
      </w:r>
    </w:p>
    <w:p w14:paraId="74319C20" w14:textId="77777777" w:rsidR="00B50982" w:rsidRDefault="00C737BA">
      <w:pPr>
        <w:jc w:val="both"/>
      </w:pPr>
      <w:r>
        <w:t>In addition, the social model has informed efforts to improve accessibility across health and social care systems. This includes the removal of physical barriers, the provision of assistive technologies, and the use of inclusive communication strategies. These measures aim to reduce exclusion and enable full participation.</w:t>
      </w:r>
    </w:p>
    <w:p w14:paraId="74319C21" w14:textId="77777777" w:rsidR="00B50982" w:rsidRDefault="00C737BA">
      <w:pPr>
        <w:jc w:val="both"/>
      </w:pPr>
      <w:r>
        <w:t>However, the implementation of the social model in practice remains uneven. One major challenge is the continued dominance of medicalized thinking within healthcare systems. Despite policy commitments to person-centred care, many practitioners continue to prioritize diagnosis and treatment over social and environmental factors (Shakespeare, 2013).</w:t>
      </w:r>
    </w:p>
    <w:p w14:paraId="74319C22" w14:textId="77777777" w:rsidR="00B50982" w:rsidRDefault="00C737BA">
      <w:pPr>
        <w:jc w:val="both"/>
      </w:pPr>
      <w:r>
        <w:t>There is also a persistent gap between policy and practice. While person-centred care is widely endorsed, its implementation is often inconsistent. In some cases, service user involvement is limited to consultation rather than genuine participation, resulting in tokenistic approaches.</w:t>
      </w:r>
    </w:p>
    <w:p w14:paraId="74319C23" w14:textId="77777777" w:rsidR="00B50982" w:rsidRDefault="00C737BA">
      <w:pPr>
        <w:jc w:val="both"/>
      </w:pPr>
      <w:r>
        <w:t>Resource constraints further complicate implementation. Addressing the social determinants of health requires significant investment and coordination across sectors, which can be difficult to achieve in practice.</w:t>
      </w:r>
    </w:p>
    <w:p w14:paraId="74319C24" w14:textId="77777777" w:rsidR="00B50982" w:rsidRDefault="00C737BA">
      <w:pPr>
        <w:jc w:val="both"/>
      </w:pPr>
      <w:r>
        <w:t>Moreover, the emphasis on independence within the social model may overlook the importance of relationships and interdependence. Many individuals rely on networks of support, and care is often relational in nature. This highlights the relevance of complementary frameworks such as the ethics of care, which emphasizes empathy, relationships, and mutual responsibility (Toronto, 1993).</w:t>
      </w:r>
    </w:p>
    <w:p w14:paraId="74319C25" w14:textId="77777777" w:rsidR="00B50982" w:rsidRDefault="00C737BA">
      <w:pPr>
        <w:jc w:val="both"/>
      </w:pPr>
      <w:r>
        <w:t xml:space="preserve">An additional issue relates to policy fragmentation. Health and social care systems often operate across multiple agencies with differing priorities, which can hinder the consistent application of the social model. Without coordinated strategies, efforts to remove barriers may be uneven or short-lived. Furthermore, austerity measures and funding constraints in many systems have </w:t>
      </w:r>
      <w:r>
        <w:lastRenderedPageBreak/>
        <w:t>limited the extent to which inclusive policies can be fully implemented, raising concerns about equity and sustainability in person-centred approaches.</w:t>
      </w:r>
    </w:p>
    <w:p w14:paraId="74319C26" w14:textId="77777777" w:rsidR="00B50982" w:rsidRDefault="00C737BA">
      <w:pPr>
        <w:rPr>
          <w:b/>
          <w:bCs/>
          <w:sz w:val="28"/>
          <w:szCs w:val="28"/>
        </w:rPr>
      </w:pPr>
      <w:r>
        <w:rPr>
          <w:b/>
          <w:bCs/>
          <w:sz w:val="28"/>
          <w:szCs w:val="28"/>
        </w:rPr>
        <w:t>Recommendations for Practice</w:t>
      </w:r>
    </w:p>
    <w:p w14:paraId="74319C27" w14:textId="77777777" w:rsidR="00B50982" w:rsidRDefault="00C737BA">
      <w:pPr>
        <w:jc w:val="both"/>
      </w:pPr>
      <w:r>
        <w:t>To strengthen the application of the social model in promoting person-centred care, several recommendations can be made.</w:t>
      </w:r>
    </w:p>
    <w:p w14:paraId="74319C28" w14:textId="77777777" w:rsidR="00B50982" w:rsidRDefault="00C737BA">
      <w:pPr>
        <w:jc w:val="both"/>
      </w:pPr>
      <w:r>
        <w:t>First, a more integrated theoretical approach is needed. Combining the social model with the biopsychosocial model and the ethics of care can provide a more holistic understanding of disability, addressing both structural barriers and lived experiences.</w:t>
      </w:r>
    </w:p>
    <w:p w14:paraId="74319C29" w14:textId="77777777" w:rsidR="00B50982" w:rsidRDefault="00C737BA">
      <w:pPr>
        <w:jc w:val="both"/>
      </w:pPr>
      <w:r>
        <w:t>Second, formal education &amp; training for health &amp; social-care professionals should be enhanced. This should include a focus on person-centred values, communication skills, and awareness of social determinants of health. Such training can help to challenge entrenched medicalized perspectives.</w:t>
      </w:r>
    </w:p>
    <w:p w14:paraId="74319C2A" w14:textId="77777777" w:rsidR="00B50982" w:rsidRDefault="00C737BA">
      <w:pPr>
        <w:jc w:val="both"/>
      </w:pPr>
      <w:r>
        <w:t>Third, policies should prioritize genuine co-production. Service people ought to be actively involved in all stages of service infrastructure &amp;  ability to deliver, with mechanisms to ensure meaningful participation rather than tokenism.</w:t>
      </w:r>
    </w:p>
    <w:p w14:paraId="74319C2B" w14:textId="77777777" w:rsidR="00B50982" w:rsidRDefault="00C737BA">
      <w:pPr>
        <w:jc w:val="both"/>
      </w:pPr>
      <w:r>
        <w:t>Fourth, greater investment is required to address structural inequalities. This includes improving accessibility, promoting inclusive education, and creating employment opportunities. Addressing these broader determinants is essential for reducing disability-related disadvantage.</w:t>
      </w:r>
    </w:p>
    <w:p w14:paraId="74319C2C" w14:textId="77777777" w:rsidR="00B50982" w:rsidRDefault="00C737BA">
      <w:pPr>
        <w:jc w:val="both"/>
      </w:pPr>
      <w:r>
        <w:t>Fifth, service delivery should be flexible and responsive. Care plans should be regularly reviewed and adapted to reflect changing needs, ensuring that individuals receive appropriate and timely support.</w:t>
      </w:r>
    </w:p>
    <w:p w14:paraId="74319C2D" w14:textId="77777777" w:rsidR="00B50982" w:rsidRDefault="00C737BA">
      <w:pPr>
        <w:jc w:val="both"/>
      </w:pPr>
      <w:r>
        <w:t>Finally, ongoing research and evaluation are essential to identify best practices and ensure that policies are effective and inclusive. This should include diverse perspectives to reflect the complexity of lived experiences. Greater emphasis should also be placed on measuring outcomes that matter to service users, such as quality of life, independence, and social participation, rather than relying solely on clinical indicators.</w:t>
      </w:r>
    </w:p>
    <w:p w14:paraId="74319C2E" w14:textId="77777777" w:rsidR="00B50982" w:rsidRDefault="00C737BA">
      <w:pPr>
        <w:rPr>
          <w:b/>
          <w:bCs/>
          <w:sz w:val="28"/>
          <w:szCs w:val="28"/>
        </w:rPr>
      </w:pPr>
      <w:r>
        <w:rPr>
          <w:b/>
          <w:bCs/>
          <w:sz w:val="28"/>
          <w:szCs w:val="28"/>
        </w:rPr>
        <w:t>Conclusion</w:t>
      </w:r>
    </w:p>
    <w:p w14:paraId="74319C2F" w14:textId="77777777" w:rsidR="00B50982" w:rsidRDefault="00C737BA">
      <w:pPr>
        <w:jc w:val="both"/>
      </w:pPr>
      <w:r>
        <w:t>The social model of disability has been instrumental in reshaping understandings of disability and advancing person-centred care within health and social care systems. By shifting the focus from individual deficits to societal barriers, it has provided a powerful framework for promoting inclusion, equality, and empowerment.</w:t>
      </w:r>
    </w:p>
    <w:p w14:paraId="74319C30" w14:textId="77777777" w:rsidR="00B50982" w:rsidRDefault="00C737BA">
      <w:pPr>
        <w:jc w:val="both"/>
      </w:pPr>
      <w:r>
        <w:t>Nevertheless, the model is not without limitations. Critiques relating to embodiment, intersectionality, and its binary framework highlight the need for continued development and integration with other approaches. While it has significantly influenced policy and practice, challenges remain in translating its principles into meaningful change.</w:t>
      </w:r>
    </w:p>
    <w:p w14:paraId="74319C31" w14:textId="77777777" w:rsidR="00B50982" w:rsidRDefault="00C737BA">
      <w:pPr>
        <w:jc w:val="both"/>
      </w:pPr>
      <w:r>
        <w:t>Ultimately, achieving truly person-centred care requires a critical and reflective approach that combines theoretical insight with practical action. By integrating the strengths of the social model with complementary frameworks and addressing structural inequalities, health and social care systems can better meet the diverse needs of individuals and create more inclusive and equitable forms of care. Future policy directions should therefore focus not only on removing barriers, but also on actively enabling participation, ensuring that individuals are supported to lead meaningful and self-determined lives within their communities.</w:t>
      </w:r>
    </w:p>
    <w:p w14:paraId="74319C32" w14:textId="77777777" w:rsidR="00B50982" w:rsidRDefault="00B50982"/>
    <w:p w14:paraId="74319C42" w14:textId="1682557A" w:rsidR="00B50982" w:rsidRDefault="00A15D2F" w:rsidP="00A15D2F">
      <w:pPr>
        <w:pStyle w:val="ListParagraph"/>
        <w:ind w:left="1723"/>
      </w:pPr>
      <w:r w:rsidRPr="00A15D2F">
        <w:rPr>
          <w:noProof/>
        </w:rPr>
        <w:lastRenderedPageBreak/>
        <w:drawing>
          <wp:inline distT="0" distB="0" distL="0" distR="0" wp14:anchorId="2115FA2C" wp14:editId="47FDA130">
            <wp:extent cx="5731510" cy="6351270"/>
            <wp:effectExtent l="0" t="0" r="2540" b="0"/>
            <wp:docPr id="750000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000945" name=""/>
                    <pic:cNvPicPr/>
                  </pic:nvPicPr>
                  <pic:blipFill>
                    <a:blip r:embed="rId10"/>
                    <a:stretch>
                      <a:fillRect/>
                    </a:stretch>
                  </pic:blipFill>
                  <pic:spPr>
                    <a:xfrm>
                      <a:off x="0" y="0"/>
                      <a:ext cx="5731510" cy="6351270"/>
                    </a:xfrm>
                    <a:prstGeom prst="rect">
                      <a:avLst/>
                    </a:prstGeom>
                  </pic:spPr>
                </pic:pic>
              </a:graphicData>
            </a:graphic>
          </wp:inline>
        </w:drawing>
      </w:r>
    </w:p>
    <w:sectPr w:rsidR="00B5098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5BC1DF" w14:textId="77777777" w:rsidR="00501880" w:rsidRDefault="00501880">
      <w:pPr>
        <w:spacing w:after="0"/>
      </w:pPr>
      <w:r>
        <w:separator/>
      </w:r>
    </w:p>
  </w:endnote>
  <w:endnote w:type="continuationSeparator" w:id="0">
    <w:p w14:paraId="1E90E86D" w14:textId="77777777" w:rsidR="00501880" w:rsidRDefault="0050188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89552C" w14:textId="77777777" w:rsidR="00501880" w:rsidRDefault="00501880">
      <w:pPr>
        <w:spacing w:after="0"/>
      </w:pPr>
      <w:r>
        <w:rPr>
          <w:color w:val="000000"/>
        </w:rPr>
        <w:separator/>
      </w:r>
    </w:p>
  </w:footnote>
  <w:footnote w:type="continuationSeparator" w:id="0">
    <w:p w14:paraId="06F0D8D9" w14:textId="77777777" w:rsidR="00501880" w:rsidRDefault="0050188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6151FC"/>
    <w:multiLevelType w:val="multilevel"/>
    <w:tmpl w:val="DED8861A"/>
    <w:lvl w:ilvl="0">
      <w:numFmt w:val="bullet"/>
      <w:lvlText w:val=""/>
      <w:lvlJc w:val="left"/>
      <w:pPr>
        <w:ind w:left="643" w:hanging="360"/>
      </w:pPr>
      <w:rPr>
        <w:rFonts w:ascii="Symbol" w:hAnsi="Symbol"/>
      </w:rPr>
    </w:lvl>
    <w:lvl w:ilvl="1">
      <w:numFmt w:val="bullet"/>
      <w:lvlText w:val="•"/>
      <w:lvlJc w:val="left"/>
      <w:pPr>
        <w:ind w:left="1723" w:hanging="720"/>
      </w:pPr>
      <w:rPr>
        <w:rFonts w:ascii="Aptos" w:eastAsia="Aptos" w:hAnsi="Aptos" w:cs="Times New Roman"/>
      </w:rPr>
    </w:lvl>
    <w:lvl w:ilvl="2">
      <w:numFmt w:val="bullet"/>
      <w:lvlText w:val=""/>
      <w:lvlJc w:val="left"/>
      <w:pPr>
        <w:ind w:left="2083" w:hanging="360"/>
      </w:pPr>
      <w:rPr>
        <w:rFonts w:ascii="Wingdings" w:hAnsi="Wingdings"/>
      </w:rPr>
    </w:lvl>
    <w:lvl w:ilvl="3">
      <w:numFmt w:val="bullet"/>
      <w:lvlText w:val=""/>
      <w:lvlJc w:val="left"/>
      <w:pPr>
        <w:ind w:left="2803" w:hanging="360"/>
      </w:pPr>
      <w:rPr>
        <w:rFonts w:ascii="Symbol" w:hAnsi="Symbol"/>
      </w:rPr>
    </w:lvl>
    <w:lvl w:ilvl="4">
      <w:numFmt w:val="bullet"/>
      <w:lvlText w:val="o"/>
      <w:lvlJc w:val="left"/>
      <w:pPr>
        <w:ind w:left="3523" w:hanging="360"/>
      </w:pPr>
      <w:rPr>
        <w:rFonts w:ascii="Courier New" w:hAnsi="Courier New" w:cs="Courier New"/>
      </w:rPr>
    </w:lvl>
    <w:lvl w:ilvl="5">
      <w:numFmt w:val="bullet"/>
      <w:lvlText w:val=""/>
      <w:lvlJc w:val="left"/>
      <w:pPr>
        <w:ind w:left="4243" w:hanging="360"/>
      </w:pPr>
      <w:rPr>
        <w:rFonts w:ascii="Wingdings" w:hAnsi="Wingdings"/>
      </w:rPr>
    </w:lvl>
    <w:lvl w:ilvl="6">
      <w:numFmt w:val="bullet"/>
      <w:lvlText w:val=""/>
      <w:lvlJc w:val="left"/>
      <w:pPr>
        <w:ind w:left="4963" w:hanging="360"/>
      </w:pPr>
      <w:rPr>
        <w:rFonts w:ascii="Symbol" w:hAnsi="Symbol"/>
      </w:rPr>
    </w:lvl>
    <w:lvl w:ilvl="7">
      <w:numFmt w:val="bullet"/>
      <w:lvlText w:val="o"/>
      <w:lvlJc w:val="left"/>
      <w:pPr>
        <w:ind w:left="5683" w:hanging="360"/>
      </w:pPr>
      <w:rPr>
        <w:rFonts w:ascii="Courier New" w:hAnsi="Courier New" w:cs="Courier New"/>
      </w:rPr>
    </w:lvl>
    <w:lvl w:ilvl="8">
      <w:numFmt w:val="bullet"/>
      <w:lvlText w:val=""/>
      <w:lvlJc w:val="left"/>
      <w:pPr>
        <w:ind w:left="6403" w:hanging="360"/>
      </w:pPr>
      <w:rPr>
        <w:rFonts w:ascii="Wingdings" w:hAnsi="Wingdings"/>
      </w:rPr>
    </w:lvl>
  </w:abstractNum>
  <w:num w:numId="1" w16cid:durableId="467093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982"/>
    <w:rsid w:val="00501880"/>
    <w:rsid w:val="00A15D2F"/>
    <w:rsid w:val="00A70E64"/>
    <w:rsid w:val="00B50982"/>
    <w:rsid w:val="00C737BA"/>
    <w:rsid w:val="00CF2DFE"/>
    <w:rsid w:val="00D61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19BEC"/>
  <w15:docId w15:val="{04CDA2D0-1C11-4465-B54C-02A40F380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pPr>
      <w:suppressAutoHyphens w:val="0"/>
      <w:spacing w:before="100" w:after="100"/>
    </w:pPr>
    <w:rPr>
      <w:rFonts w:ascii="Times New Roman" w:eastAsia="Times New Roman" w:hAnsi="Times New Roman"/>
      <w:kern w:val="0"/>
      <w:sz w:val="24"/>
      <w:szCs w:val="24"/>
      <w:lang w:eastAsia="en-GB"/>
    </w:rPr>
  </w:style>
  <w:style w:type="character" w:styleId="Emphasis">
    <w:name w:val="Emphasis"/>
    <w:basedOn w:val="DefaultParagraphFon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2046</Words>
  <Characters>11664</Characters>
  <Application>Microsoft Office Word</Application>
  <DocSecurity>0</DocSecurity>
  <Lines>97</Lines>
  <Paragraphs>27</Paragraphs>
  <ScaleCrop>false</ScaleCrop>
  <Company/>
  <LinksUpToDate>false</LinksUpToDate>
  <CharactersWithSpaces>13683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mehroo riaz</dc:creator>
  <dc:description/>
  <cp:lastModifiedBy>mehroo riaz</cp:lastModifiedBy>
  <cp:revision>2</cp:revision>
  <dcterms:created xsi:type="dcterms:W3CDTF">2026-04-17T21:38:00Z</dcterms:created>
  <dcterms:modified xsi:type="dcterms:W3CDTF">2026-04-17T21:38:00Z</dcterms:modified>
</cp:coreProperties>
</file>