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227AC3" w14:textId="49218570" w:rsidR="0076708E" w:rsidRDefault="00D51314" w:rsidP="006C4054">
      <w:pPr>
        <w:jc w:val="center"/>
        <w:rPr>
          <w:rFonts w:ascii="Times New Roman" w:hAnsi="Times New Roman" w:cs="Times New Roman"/>
          <w:sz w:val="32"/>
          <w:szCs w:val="32"/>
        </w:rPr>
      </w:pPr>
      <w:r w:rsidRPr="00985865">
        <w:rPr>
          <w:rFonts w:ascii="Times New Roman" w:hAnsi="Times New Roman" w:cs="Times New Roman"/>
          <w:sz w:val="32"/>
          <w:szCs w:val="32"/>
        </w:rPr>
        <w:t>Horse-Power: Equine Iconog</w:t>
      </w:r>
      <w:r w:rsidR="0086449D" w:rsidRPr="00985865">
        <w:rPr>
          <w:rFonts w:ascii="Times New Roman" w:hAnsi="Times New Roman" w:cs="Times New Roman"/>
          <w:sz w:val="32"/>
          <w:szCs w:val="32"/>
        </w:rPr>
        <w:t>r</w:t>
      </w:r>
      <w:r w:rsidRPr="00985865">
        <w:rPr>
          <w:rFonts w:ascii="Times New Roman" w:hAnsi="Times New Roman" w:cs="Times New Roman"/>
          <w:sz w:val="32"/>
          <w:szCs w:val="32"/>
        </w:rPr>
        <w:t xml:space="preserve">aphy on Celtic Coins </w:t>
      </w:r>
    </w:p>
    <w:p w14:paraId="39E5D3DA" w14:textId="22E3CCC3" w:rsidR="00985865" w:rsidRDefault="00985865" w:rsidP="006C4054">
      <w:pPr>
        <w:jc w:val="center"/>
        <w:rPr>
          <w:rFonts w:ascii="Times New Roman" w:hAnsi="Times New Roman" w:cs="Times New Roman"/>
          <w:sz w:val="28"/>
          <w:szCs w:val="28"/>
        </w:rPr>
      </w:pPr>
      <w:r>
        <w:rPr>
          <w:rFonts w:ascii="Times New Roman" w:hAnsi="Times New Roman" w:cs="Times New Roman"/>
          <w:sz w:val="28"/>
          <w:szCs w:val="28"/>
        </w:rPr>
        <w:t xml:space="preserve">Kira Webb 2306722 </w:t>
      </w:r>
    </w:p>
    <w:p w14:paraId="7E1FA00D" w14:textId="77777777" w:rsidR="00985865" w:rsidRPr="00985865" w:rsidRDefault="00985865" w:rsidP="006C4054">
      <w:pPr>
        <w:jc w:val="center"/>
        <w:rPr>
          <w:rFonts w:ascii="Times New Roman" w:hAnsi="Times New Roman" w:cs="Times New Roman"/>
          <w:sz w:val="28"/>
          <w:szCs w:val="28"/>
        </w:rPr>
      </w:pPr>
    </w:p>
    <w:p w14:paraId="7E417BD3" w14:textId="10529B62" w:rsidR="00C33E07" w:rsidRPr="00985865" w:rsidRDefault="00C33E07">
      <w:pPr>
        <w:rPr>
          <w:rFonts w:ascii="Times New Roman" w:hAnsi="Times New Roman" w:cs="Times New Roman"/>
          <w:sz w:val="24"/>
          <w:szCs w:val="24"/>
        </w:rPr>
      </w:pPr>
      <w:r w:rsidRPr="00985865">
        <w:rPr>
          <w:rFonts w:ascii="Times New Roman" w:hAnsi="Times New Roman" w:cs="Times New Roman"/>
          <w:sz w:val="24"/>
          <w:szCs w:val="24"/>
        </w:rPr>
        <w:t>Equine imagery is a striking feature across the Celtic world, with horses adorning everything from tools to treasure. Horses are a common sight on Celtic coinage, sometimes paired with a rider (</w:t>
      </w:r>
      <w:proofErr w:type="spellStart"/>
      <w:r w:rsidR="0076708E" w:rsidRPr="00985865">
        <w:rPr>
          <w:rFonts w:ascii="Times New Roman" w:hAnsi="Times New Roman" w:cs="Times New Roman"/>
          <w:sz w:val="24"/>
          <w:szCs w:val="24"/>
        </w:rPr>
        <w:t>Kazakevych</w:t>
      </w:r>
      <w:proofErr w:type="spellEnd"/>
      <w:r w:rsidR="0076708E" w:rsidRPr="00985865">
        <w:rPr>
          <w:rFonts w:ascii="Times New Roman" w:hAnsi="Times New Roman" w:cs="Times New Roman"/>
          <w:sz w:val="24"/>
          <w:szCs w:val="24"/>
        </w:rPr>
        <w:t xml:space="preserve"> 2021, p. 83</w:t>
      </w:r>
      <w:r w:rsidRPr="00985865">
        <w:rPr>
          <w:rFonts w:ascii="Times New Roman" w:hAnsi="Times New Roman" w:cs="Times New Roman"/>
          <w:sz w:val="24"/>
          <w:szCs w:val="24"/>
        </w:rPr>
        <w:t>). Coins, while important for commerce and trade, were more than just currency; they had cultural, religious and social value, as evidenced by their use in adornment, funerary assemblage and votive offerings (</w:t>
      </w:r>
      <w:r w:rsidR="003E6113" w:rsidRPr="00985865">
        <w:rPr>
          <w:rFonts w:ascii="Times New Roman" w:hAnsi="Times New Roman" w:cs="Times New Roman"/>
          <w:sz w:val="24"/>
          <w:szCs w:val="24"/>
        </w:rPr>
        <w:t xml:space="preserve">Haselgrove and </w:t>
      </w:r>
      <w:proofErr w:type="spellStart"/>
      <w:r w:rsidR="003E6113" w:rsidRPr="00985865">
        <w:rPr>
          <w:rFonts w:ascii="Times New Roman" w:hAnsi="Times New Roman" w:cs="Times New Roman"/>
          <w:sz w:val="24"/>
          <w:szCs w:val="24"/>
        </w:rPr>
        <w:t>Krminicek</w:t>
      </w:r>
      <w:proofErr w:type="spellEnd"/>
      <w:r w:rsidR="003E6113" w:rsidRPr="00985865">
        <w:rPr>
          <w:rFonts w:ascii="Times New Roman" w:hAnsi="Times New Roman" w:cs="Times New Roman"/>
          <w:sz w:val="24"/>
          <w:szCs w:val="24"/>
        </w:rPr>
        <w:t xml:space="preserve"> 2012, pp. 238-244</w:t>
      </w:r>
      <w:r w:rsidRPr="00985865">
        <w:rPr>
          <w:rFonts w:ascii="Times New Roman" w:hAnsi="Times New Roman" w:cs="Times New Roman"/>
          <w:sz w:val="24"/>
          <w:szCs w:val="24"/>
        </w:rPr>
        <w:t>). Through Greek influence, coins spread throughout the Celtic peoples of</w:t>
      </w:r>
      <w:r w:rsidR="0076708E" w:rsidRPr="00985865">
        <w:rPr>
          <w:rFonts w:ascii="Times New Roman" w:hAnsi="Times New Roman" w:cs="Times New Roman"/>
          <w:sz w:val="24"/>
          <w:szCs w:val="24"/>
        </w:rPr>
        <w:t xml:space="preserve"> central Europe</w:t>
      </w:r>
      <w:r w:rsidRPr="00985865">
        <w:rPr>
          <w:rFonts w:ascii="Times New Roman" w:hAnsi="Times New Roman" w:cs="Times New Roman"/>
          <w:sz w:val="24"/>
          <w:szCs w:val="24"/>
        </w:rPr>
        <w:t>, advancing as far east as what is now Ukraine, and eventually</w:t>
      </w:r>
      <w:r w:rsidR="00D51314" w:rsidRPr="00985865">
        <w:rPr>
          <w:rFonts w:ascii="Times New Roman" w:hAnsi="Times New Roman" w:cs="Times New Roman"/>
          <w:sz w:val="24"/>
          <w:szCs w:val="24"/>
        </w:rPr>
        <w:t xml:space="preserve"> west</w:t>
      </w:r>
      <w:r w:rsidRPr="00985865">
        <w:rPr>
          <w:rFonts w:ascii="Times New Roman" w:hAnsi="Times New Roman" w:cs="Times New Roman"/>
          <w:sz w:val="24"/>
          <w:szCs w:val="24"/>
        </w:rPr>
        <w:t xml:space="preserve"> into the British Isles during the Roman invasion of Britain. Portable and of high value, coins were an ideal medium for leaders to promote ideas about themselves and their peoples, and enhance their reputations (Haselgrove and </w:t>
      </w:r>
      <w:proofErr w:type="spellStart"/>
      <w:r w:rsidRPr="00985865">
        <w:rPr>
          <w:rFonts w:ascii="Times New Roman" w:hAnsi="Times New Roman" w:cs="Times New Roman"/>
          <w:sz w:val="24"/>
          <w:szCs w:val="24"/>
        </w:rPr>
        <w:t>Krminicek</w:t>
      </w:r>
      <w:proofErr w:type="spellEnd"/>
      <w:r w:rsidRPr="00985865">
        <w:rPr>
          <w:rFonts w:ascii="Times New Roman" w:hAnsi="Times New Roman" w:cs="Times New Roman"/>
          <w:sz w:val="24"/>
          <w:szCs w:val="24"/>
        </w:rPr>
        <w:t xml:space="preserve"> 2012, pp. 244-245). </w:t>
      </w:r>
    </w:p>
    <w:p w14:paraId="21B9FDC2" w14:textId="23BE9CE1" w:rsidR="00C33E07" w:rsidRPr="00985865" w:rsidRDefault="00D51314">
      <w:pPr>
        <w:rPr>
          <w:rFonts w:ascii="Times New Roman" w:hAnsi="Times New Roman" w:cs="Times New Roman"/>
          <w:sz w:val="24"/>
          <w:szCs w:val="24"/>
        </w:rPr>
      </w:pPr>
      <w:r w:rsidRPr="00985865">
        <w:rPr>
          <w:rFonts w:ascii="Times New Roman" w:hAnsi="Times New Roman" w:cs="Times New Roman"/>
          <w:sz w:val="24"/>
          <w:szCs w:val="24"/>
        </w:rPr>
        <w:t>‘Celtic’ can be a contentious term in academia. Firstly, the stereotypical image of the ‘Celt’ can be reductive, erasing swathes of the Celtic diaspora in favour of the kilt-wearing, woad-stained brawlers of the British Isles. There is also the worrying issue of Celtic identity being claimed by various exclusionary groups, such as modern-day Italy’s Lega Nord (Wills 2019). In this essay, the terms ‘Celt/Celtic’ are taken to connect groups of Iron Age peoples who share cultural and linguistic roots (</w:t>
      </w:r>
      <w:proofErr w:type="spellStart"/>
      <w:r w:rsidRPr="00985865">
        <w:rPr>
          <w:rFonts w:ascii="Times New Roman" w:hAnsi="Times New Roman" w:cs="Times New Roman"/>
          <w:sz w:val="24"/>
          <w:szCs w:val="24"/>
        </w:rPr>
        <w:t>Warmind</w:t>
      </w:r>
      <w:proofErr w:type="spellEnd"/>
      <w:r w:rsidRPr="00985865">
        <w:rPr>
          <w:rFonts w:ascii="Times New Roman" w:hAnsi="Times New Roman" w:cs="Times New Roman"/>
          <w:sz w:val="24"/>
          <w:szCs w:val="24"/>
        </w:rPr>
        <w:t xml:space="preserve"> </w:t>
      </w:r>
      <w:r w:rsidR="00162018" w:rsidRPr="00985865">
        <w:rPr>
          <w:rFonts w:ascii="Times New Roman" w:hAnsi="Times New Roman" w:cs="Times New Roman"/>
          <w:sz w:val="24"/>
          <w:szCs w:val="24"/>
        </w:rPr>
        <w:t>2016, pp. 239-240</w:t>
      </w:r>
      <w:r w:rsidRPr="00985865">
        <w:rPr>
          <w:rFonts w:ascii="Times New Roman" w:hAnsi="Times New Roman" w:cs="Times New Roman"/>
          <w:sz w:val="24"/>
          <w:szCs w:val="24"/>
        </w:rPr>
        <w:t xml:space="preserve">). </w:t>
      </w:r>
    </w:p>
    <w:p w14:paraId="3CD2FB84" w14:textId="77777777" w:rsidR="00D51314" w:rsidRPr="00985865" w:rsidRDefault="00D51314" w:rsidP="00D51314">
      <w:pPr>
        <w:rPr>
          <w:rFonts w:ascii="Times New Roman" w:hAnsi="Times New Roman" w:cs="Times New Roman"/>
          <w:sz w:val="24"/>
          <w:szCs w:val="24"/>
        </w:rPr>
      </w:pPr>
      <w:r w:rsidRPr="00985865">
        <w:rPr>
          <w:rFonts w:ascii="Times New Roman" w:hAnsi="Times New Roman" w:cs="Times New Roman"/>
          <w:sz w:val="24"/>
          <w:szCs w:val="24"/>
        </w:rPr>
        <w:t xml:space="preserve">Equine imagery on Celtic coins is so prolific that their significance to Iron Age peoples is indisputable. Horses may have been integrated into cultural, economic, religious and social spheres. This essay examines coins from across the Celtic diaspora, exploring historical context and stylistic choices, with a view to understanding the importance of equine imagery across different aspects of Iron Age life. </w:t>
      </w:r>
    </w:p>
    <w:p w14:paraId="5DA8DAE3" w14:textId="23BF96FF" w:rsidR="00D51314" w:rsidRPr="00985865" w:rsidRDefault="001F0F2F">
      <w:pPr>
        <w:rPr>
          <w:rFonts w:ascii="Times New Roman" w:hAnsi="Times New Roman" w:cs="Times New Roman"/>
          <w:sz w:val="24"/>
          <w:szCs w:val="24"/>
        </w:rPr>
      </w:pPr>
      <w:r w:rsidRPr="00985865">
        <w:rPr>
          <w:rFonts w:ascii="Times New Roman" w:hAnsi="Times New Roman" w:cs="Times New Roman"/>
          <w:sz w:val="24"/>
          <w:szCs w:val="24"/>
        </w:rPr>
        <w:t xml:space="preserve">Although </w:t>
      </w:r>
      <w:r w:rsidR="00316249" w:rsidRPr="00985865">
        <w:rPr>
          <w:rFonts w:ascii="Times New Roman" w:hAnsi="Times New Roman" w:cs="Times New Roman"/>
          <w:sz w:val="24"/>
          <w:szCs w:val="24"/>
        </w:rPr>
        <w:t xml:space="preserve">domesticated </w:t>
      </w:r>
      <w:r w:rsidRPr="00985865">
        <w:rPr>
          <w:rFonts w:ascii="Times New Roman" w:hAnsi="Times New Roman" w:cs="Times New Roman"/>
          <w:sz w:val="24"/>
          <w:szCs w:val="24"/>
        </w:rPr>
        <w:t>horses have been living alongside humans</w:t>
      </w:r>
      <w:r w:rsidR="00316249" w:rsidRPr="00985865">
        <w:rPr>
          <w:rFonts w:ascii="Times New Roman" w:hAnsi="Times New Roman" w:cs="Times New Roman"/>
          <w:sz w:val="24"/>
          <w:szCs w:val="24"/>
        </w:rPr>
        <w:t xml:space="preserve"> in Europe</w:t>
      </w:r>
      <w:r w:rsidRPr="00985865">
        <w:rPr>
          <w:rFonts w:ascii="Times New Roman" w:hAnsi="Times New Roman" w:cs="Times New Roman"/>
          <w:sz w:val="24"/>
          <w:szCs w:val="24"/>
        </w:rPr>
        <w:t xml:space="preserve"> since </w:t>
      </w:r>
      <w:r w:rsidR="00316249" w:rsidRPr="00985865">
        <w:rPr>
          <w:rFonts w:ascii="Times New Roman" w:hAnsi="Times New Roman" w:cs="Times New Roman"/>
          <w:sz w:val="24"/>
          <w:szCs w:val="24"/>
        </w:rPr>
        <w:t xml:space="preserve">at least the Bronze Age </w:t>
      </w:r>
      <w:r w:rsidRPr="00985865">
        <w:rPr>
          <w:rFonts w:ascii="Times New Roman" w:hAnsi="Times New Roman" w:cs="Times New Roman"/>
          <w:sz w:val="24"/>
          <w:szCs w:val="24"/>
        </w:rPr>
        <w:t>(</w:t>
      </w:r>
      <w:r w:rsidR="00316249" w:rsidRPr="00985865">
        <w:rPr>
          <w:rFonts w:ascii="Times New Roman" w:hAnsi="Times New Roman" w:cs="Times New Roman"/>
          <w:sz w:val="24"/>
          <w:szCs w:val="24"/>
        </w:rPr>
        <w:t>Rosengren 2017, p. 195</w:t>
      </w:r>
      <w:r w:rsidRPr="00985865">
        <w:rPr>
          <w:rFonts w:ascii="Times New Roman" w:hAnsi="Times New Roman" w:cs="Times New Roman"/>
          <w:sz w:val="24"/>
          <w:szCs w:val="24"/>
        </w:rPr>
        <w:t xml:space="preserve">), the technological advancements of the Iron Age </w:t>
      </w:r>
      <w:r w:rsidR="00510D39" w:rsidRPr="00985865">
        <w:rPr>
          <w:rFonts w:ascii="Times New Roman" w:hAnsi="Times New Roman" w:cs="Times New Roman"/>
          <w:sz w:val="24"/>
          <w:szCs w:val="24"/>
        </w:rPr>
        <w:t xml:space="preserve">could have </w:t>
      </w:r>
      <w:r w:rsidRPr="00985865">
        <w:rPr>
          <w:rFonts w:ascii="Times New Roman" w:hAnsi="Times New Roman" w:cs="Times New Roman"/>
          <w:sz w:val="24"/>
          <w:szCs w:val="24"/>
        </w:rPr>
        <w:t xml:space="preserve">brought untold changes to </w:t>
      </w:r>
      <w:r w:rsidR="00510D39" w:rsidRPr="00985865">
        <w:rPr>
          <w:rFonts w:ascii="Times New Roman" w:hAnsi="Times New Roman" w:cs="Times New Roman"/>
          <w:sz w:val="24"/>
          <w:szCs w:val="24"/>
        </w:rPr>
        <w:t>the ways in which horses and humans were connected</w:t>
      </w:r>
      <w:r w:rsidR="00D51314" w:rsidRPr="00985865">
        <w:rPr>
          <w:rFonts w:ascii="Times New Roman" w:hAnsi="Times New Roman" w:cs="Times New Roman"/>
          <w:sz w:val="24"/>
          <w:szCs w:val="24"/>
        </w:rPr>
        <w:t>. Horses were commonly used for transport and travel, agricultural work and as an important element of warfare (</w:t>
      </w:r>
      <w:r w:rsidR="00316249" w:rsidRPr="00985865">
        <w:rPr>
          <w:rFonts w:ascii="Times New Roman" w:hAnsi="Times New Roman" w:cs="Times New Roman"/>
          <w:sz w:val="24"/>
          <w:szCs w:val="24"/>
        </w:rPr>
        <w:t>Rosengren 2017, pp. 195-196</w:t>
      </w:r>
      <w:r w:rsidR="00D51314" w:rsidRPr="00985865">
        <w:rPr>
          <w:rFonts w:ascii="Times New Roman" w:hAnsi="Times New Roman" w:cs="Times New Roman"/>
          <w:sz w:val="24"/>
          <w:szCs w:val="24"/>
        </w:rPr>
        <w:t xml:space="preserve">). There is evidence to suggest that horses were so elevated in some Celtic societies as to become part of religious practices; Epona, </w:t>
      </w:r>
      <w:r w:rsidR="00510D39" w:rsidRPr="00985865">
        <w:rPr>
          <w:rFonts w:ascii="Times New Roman" w:hAnsi="Times New Roman" w:cs="Times New Roman"/>
          <w:sz w:val="24"/>
          <w:szCs w:val="24"/>
        </w:rPr>
        <w:t>a deity associated with</w:t>
      </w:r>
      <w:r w:rsidR="006B3BD4" w:rsidRPr="00985865">
        <w:rPr>
          <w:rFonts w:ascii="Times New Roman" w:hAnsi="Times New Roman" w:cs="Times New Roman"/>
          <w:sz w:val="24"/>
          <w:szCs w:val="24"/>
        </w:rPr>
        <w:t xml:space="preserve"> horses and fertility</w:t>
      </w:r>
      <w:r w:rsidR="00D51314" w:rsidRPr="00985865">
        <w:rPr>
          <w:rFonts w:ascii="Times New Roman" w:hAnsi="Times New Roman" w:cs="Times New Roman"/>
          <w:sz w:val="24"/>
          <w:szCs w:val="24"/>
        </w:rPr>
        <w:t>, is posited by some scholars as being a</w:t>
      </w:r>
      <w:r w:rsidR="00510D39" w:rsidRPr="00985865">
        <w:rPr>
          <w:rFonts w:ascii="Times New Roman" w:hAnsi="Times New Roman" w:cs="Times New Roman"/>
          <w:sz w:val="24"/>
          <w:szCs w:val="24"/>
        </w:rPr>
        <w:t xml:space="preserve"> Celto-Roman</w:t>
      </w:r>
      <w:r w:rsidR="00D51314" w:rsidRPr="00985865">
        <w:rPr>
          <w:rFonts w:ascii="Times New Roman" w:hAnsi="Times New Roman" w:cs="Times New Roman"/>
          <w:sz w:val="24"/>
          <w:szCs w:val="24"/>
        </w:rPr>
        <w:t xml:space="preserve"> goddess (</w:t>
      </w:r>
      <w:proofErr w:type="spellStart"/>
      <w:r w:rsidR="00E00014" w:rsidRPr="00985865">
        <w:rPr>
          <w:rFonts w:ascii="Times New Roman" w:hAnsi="Times New Roman" w:cs="Times New Roman"/>
          <w:sz w:val="24"/>
          <w:szCs w:val="24"/>
        </w:rPr>
        <w:t>Warmind</w:t>
      </w:r>
      <w:proofErr w:type="spellEnd"/>
      <w:r w:rsidR="00E00014" w:rsidRPr="00985865">
        <w:rPr>
          <w:rFonts w:ascii="Times New Roman" w:hAnsi="Times New Roman" w:cs="Times New Roman"/>
          <w:sz w:val="24"/>
          <w:szCs w:val="24"/>
        </w:rPr>
        <w:t xml:space="preserve"> 2016, pp. 231-233</w:t>
      </w:r>
      <w:r w:rsidR="00D51314" w:rsidRPr="00985865">
        <w:rPr>
          <w:rFonts w:ascii="Times New Roman" w:hAnsi="Times New Roman" w:cs="Times New Roman"/>
          <w:sz w:val="24"/>
          <w:szCs w:val="24"/>
        </w:rPr>
        <w:t>). It is likely that not everyone owned, rode or used horses, making them a status symbol and something ‘special’ (Randall</w:t>
      </w:r>
      <w:r w:rsidR="004A3BB7" w:rsidRPr="00985865">
        <w:rPr>
          <w:rFonts w:ascii="Times New Roman" w:hAnsi="Times New Roman" w:cs="Times New Roman"/>
          <w:sz w:val="24"/>
          <w:szCs w:val="24"/>
        </w:rPr>
        <w:t xml:space="preserve"> 2022</w:t>
      </w:r>
      <w:r w:rsidR="00D51314" w:rsidRPr="00985865">
        <w:rPr>
          <w:rFonts w:ascii="Times New Roman" w:hAnsi="Times New Roman" w:cs="Times New Roman"/>
          <w:sz w:val="24"/>
          <w:szCs w:val="24"/>
        </w:rPr>
        <w:t xml:space="preserve">). </w:t>
      </w:r>
    </w:p>
    <w:p w14:paraId="27038A54" w14:textId="5BD6FB22" w:rsidR="00113232" w:rsidRPr="00985865" w:rsidRDefault="00113232">
      <w:pPr>
        <w:rPr>
          <w:rFonts w:ascii="Times New Roman" w:hAnsi="Times New Roman" w:cs="Times New Roman"/>
          <w:sz w:val="24"/>
          <w:szCs w:val="24"/>
        </w:rPr>
      </w:pPr>
      <w:r w:rsidRPr="00985865">
        <w:rPr>
          <w:rFonts w:ascii="Times New Roman" w:hAnsi="Times New Roman" w:cs="Times New Roman"/>
          <w:sz w:val="24"/>
          <w:szCs w:val="24"/>
        </w:rPr>
        <w:t>While it is clear to see how humans benefitted from their relationships with horses, it seems unlikely that the exchange was completely unequal. Horses in Iron Age societies probably lived in a semi-wild state</w:t>
      </w:r>
      <w:r w:rsidR="00526B9B" w:rsidRPr="00985865">
        <w:rPr>
          <w:rFonts w:ascii="Times New Roman" w:hAnsi="Times New Roman" w:cs="Times New Roman"/>
          <w:sz w:val="24"/>
          <w:szCs w:val="24"/>
        </w:rPr>
        <w:t xml:space="preserve"> (Rosengren 2017, p</w:t>
      </w:r>
      <w:r w:rsidR="00316249" w:rsidRPr="00985865">
        <w:rPr>
          <w:rFonts w:ascii="Times New Roman" w:hAnsi="Times New Roman" w:cs="Times New Roman"/>
          <w:sz w:val="24"/>
          <w:szCs w:val="24"/>
        </w:rPr>
        <w:t>. 198</w:t>
      </w:r>
      <w:r w:rsidR="00526B9B" w:rsidRPr="00985865">
        <w:rPr>
          <w:rFonts w:ascii="Times New Roman" w:hAnsi="Times New Roman" w:cs="Times New Roman"/>
          <w:sz w:val="24"/>
          <w:szCs w:val="24"/>
        </w:rPr>
        <w:t>)</w:t>
      </w:r>
      <w:r w:rsidRPr="00985865">
        <w:rPr>
          <w:rFonts w:ascii="Times New Roman" w:hAnsi="Times New Roman" w:cs="Times New Roman"/>
          <w:sz w:val="24"/>
          <w:szCs w:val="24"/>
        </w:rPr>
        <w:t>, with young horses being caught and brought to settlements once they had matured enough to be worked – this practice can be seen throughout history and even today, in societies that employ more traditional horsemanship practices</w:t>
      </w:r>
      <w:r w:rsidR="00873814" w:rsidRPr="00985865">
        <w:rPr>
          <w:rFonts w:ascii="Times New Roman" w:hAnsi="Times New Roman" w:cs="Times New Roman"/>
          <w:sz w:val="24"/>
          <w:szCs w:val="24"/>
        </w:rPr>
        <w:t xml:space="preserve"> (see </w:t>
      </w:r>
      <w:r w:rsidR="00451207">
        <w:rPr>
          <w:rFonts w:ascii="Times New Roman" w:hAnsi="Times New Roman" w:cs="Times New Roman"/>
          <w:sz w:val="24"/>
          <w:szCs w:val="24"/>
        </w:rPr>
        <w:t xml:space="preserve">Bethke 2020, </w:t>
      </w:r>
      <w:r w:rsidR="00985865" w:rsidRPr="00985865">
        <w:rPr>
          <w:rFonts w:ascii="Times New Roman" w:hAnsi="Times New Roman" w:cs="Times New Roman"/>
          <w:sz w:val="24"/>
          <w:szCs w:val="24"/>
        </w:rPr>
        <w:t xml:space="preserve">Ivanovich et al 2018, </w:t>
      </w:r>
      <w:r w:rsidR="00873814" w:rsidRPr="00985865">
        <w:rPr>
          <w:rFonts w:ascii="Times New Roman" w:hAnsi="Times New Roman" w:cs="Times New Roman"/>
          <w:sz w:val="24"/>
          <w:szCs w:val="24"/>
        </w:rPr>
        <w:t>Kebede 2023)</w:t>
      </w:r>
      <w:r w:rsidRPr="00985865">
        <w:rPr>
          <w:rFonts w:ascii="Times New Roman" w:hAnsi="Times New Roman" w:cs="Times New Roman"/>
          <w:sz w:val="24"/>
          <w:szCs w:val="24"/>
        </w:rPr>
        <w:t xml:space="preserve">. Horses are social animals who can enjoy relationships with humans. They would have been somewhat protected from </w:t>
      </w:r>
      <w:r w:rsidR="0086449D" w:rsidRPr="00985865">
        <w:rPr>
          <w:rFonts w:ascii="Times New Roman" w:hAnsi="Times New Roman" w:cs="Times New Roman"/>
          <w:sz w:val="24"/>
          <w:szCs w:val="24"/>
        </w:rPr>
        <w:t xml:space="preserve">predation by living near or alongside humans. The nature of the relationship between horses and humans, in this case, becomes symbiotic, benefitting all parties. </w:t>
      </w:r>
      <w:r w:rsidR="006D1AF9" w:rsidRPr="00985865">
        <w:rPr>
          <w:rFonts w:ascii="Times New Roman" w:hAnsi="Times New Roman" w:cs="Times New Roman"/>
          <w:sz w:val="24"/>
          <w:szCs w:val="24"/>
        </w:rPr>
        <w:t>Iron Age life would</w:t>
      </w:r>
      <w:r w:rsidR="00A51EA9" w:rsidRPr="00985865">
        <w:rPr>
          <w:rFonts w:ascii="Times New Roman" w:hAnsi="Times New Roman" w:cs="Times New Roman"/>
          <w:sz w:val="24"/>
          <w:szCs w:val="24"/>
        </w:rPr>
        <w:t xml:space="preserve"> </w:t>
      </w:r>
      <w:r w:rsidR="00A51EA9" w:rsidRPr="00985865">
        <w:rPr>
          <w:rFonts w:ascii="Times New Roman" w:hAnsi="Times New Roman" w:cs="Times New Roman"/>
          <w:sz w:val="24"/>
          <w:szCs w:val="24"/>
        </w:rPr>
        <w:lastRenderedPageBreak/>
        <w:t>likely</w:t>
      </w:r>
      <w:r w:rsidR="006D1AF9" w:rsidRPr="00985865">
        <w:rPr>
          <w:rFonts w:ascii="Times New Roman" w:hAnsi="Times New Roman" w:cs="Times New Roman"/>
          <w:sz w:val="24"/>
          <w:szCs w:val="24"/>
        </w:rPr>
        <w:t xml:space="preserve"> have been a lot harder without the help of horses, and the high value that humans assigned to them is clear to see in the many depictions of horses on coinage. </w:t>
      </w:r>
    </w:p>
    <w:p w14:paraId="3624F074" w14:textId="58963A9A" w:rsidR="00D51314" w:rsidRPr="00985865" w:rsidRDefault="0076708E">
      <w:pPr>
        <w:rPr>
          <w:rFonts w:ascii="Times New Roman" w:hAnsi="Times New Roman" w:cs="Times New Roman"/>
          <w:sz w:val="24"/>
          <w:szCs w:val="24"/>
        </w:rPr>
      </w:pPr>
      <w:r w:rsidRPr="00985865">
        <w:rPr>
          <w:rFonts w:ascii="Times New Roman" w:hAnsi="Times New Roman" w:cs="Times New Roman"/>
          <w:sz w:val="24"/>
          <w:szCs w:val="24"/>
        </w:rPr>
        <w:t>Horse-human entanglement is evident in Celtic cultures through archaeological and artistic evidence (</w:t>
      </w:r>
      <w:r w:rsidR="00691165" w:rsidRPr="00985865">
        <w:rPr>
          <w:rFonts w:ascii="Times New Roman" w:hAnsi="Times New Roman" w:cs="Times New Roman"/>
          <w:sz w:val="24"/>
          <w:szCs w:val="24"/>
        </w:rPr>
        <w:t xml:space="preserve">Creighton 1995, pp. 285-291, </w:t>
      </w:r>
      <w:r w:rsidR="00727867" w:rsidRPr="00985865">
        <w:rPr>
          <w:rFonts w:ascii="Times New Roman" w:hAnsi="Times New Roman" w:cs="Times New Roman"/>
          <w:sz w:val="24"/>
          <w:szCs w:val="24"/>
        </w:rPr>
        <w:t>McCormick 2007, pp. 90-92</w:t>
      </w:r>
      <w:r w:rsidRPr="00985865">
        <w:rPr>
          <w:rFonts w:ascii="Times New Roman" w:hAnsi="Times New Roman" w:cs="Times New Roman"/>
          <w:sz w:val="24"/>
          <w:szCs w:val="24"/>
        </w:rPr>
        <w:t xml:space="preserve">). Horse remains are found in Iron Age settlements and burials, including extraordinary chariot burials (see </w:t>
      </w:r>
      <w:proofErr w:type="spellStart"/>
      <w:r w:rsidR="00A51EA9" w:rsidRPr="00985865">
        <w:rPr>
          <w:rFonts w:ascii="Times New Roman" w:hAnsi="Times New Roman" w:cs="Times New Roman"/>
          <w:sz w:val="24"/>
          <w:szCs w:val="24"/>
        </w:rPr>
        <w:t>Halkon</w:t>
      </w:r>
      <w:proofErr w:type="spellEnd"/>
      <w:r w:rsidR="00A51EA9" w:rsidRPr="00985865">
        <w:rPr>
          <w:rFonts w:ascii="Times New Roman" w:hAnsi="Times New Roman" w:cs="Times New Roman"/>
          <w:sz w:val="24"/>
          <w:szCs w:val="24"/>
        </w:rPr>
        <w:t xml:space="preserve"> 2020</w:t>
      </w:r>
      <w:r w:rsidRPr="00985865">
        <w:rPr>
          <w:rFonts w:ascii="Times New Roman" w:hAnsi="Times New Roman" w:cs="Times New Roman"/>
          <w:sz w:val="24"/>
          <w:szCs w:val="24"/>
        </w:rPr>
        <w:t xml:space="preserve">). There is also evidence of horses being buried in their own graves (Anderson 2024). This is highly significant, and speaks to the veneration of horses within some Celtic societies. Archaeological evidence for horse-human entanglements also includes artworks, coinage, geoglyphs and horse equipment, called tack (see Bunse 2012). </w:t>
      </w:r>
      <w:r w:rsidR="00513590" w:rsidRPr="00985865">
        <w:rPr>
          <w:rFonts w:ascii="Times New Roman" w:hAnsi="Times New Roman" w:cs="Times New Roman"/>
          <w:sz w:val="24"/>
          <w:szCs w:val="24"/>
        </w:rPr>
        <w:t>A New Materiality framework (Benson 2019</w:t>
      </w:r>
      <w:r w:rsidR="00DF3C93" w:rsidRPr="00985865">
        <w:rPr>
          <w:rFonts w:ascii="Times New Roman" w:hAnsi="Times New Roman" w:cs="Times New Roman"/>
          <w:sz w:val="24"/>
          <w:szCs w:val="24"/>
        </w:rPr>
        <w:t>, p. 253</w:t>
      </w:r>
      <w:r w:rsidR="00513590" w:rsidRPr="00985865">
        <w:rPr>
          <w:rFonts w:ascii="Times New Roman" w:hAnsi="Times New Roman" w:cs="Times New Roman"/>
          <w:sz w:val="24"/>
          <w:szCs w:val="24"/>
        </w:rPr>
        <w:t xml:space="preserve">) encourages rejection of the anthropocentric view and therefore allows for equine agency to be considered. Under this approach, horses are no longer simply a thing that humans use, but are themselves part of communities and cultural practices. </w:t>
      </w:r>
    </w:p>
    <w:p w14:paraId="3CB32FF4" w14:textId="1E161682" w:rsidR="00652425" w:rsidRPr="00985865" w:rsidRDefault="00513590">
      <w:pPr>
        <w:rPr>
          <w:rFonts w:ascii="Times New Roman" w:hAnsi="Times New Roman" w:cs="Times New Roman"/>
          <w:sz w:val="24"/>
          <w:szCs w:val="24"/>
        </w:rPr>
      </w:pPr>
      <w:r w:rsidRPr="00985865">
        <w:rPr>
          <w:rFonts w:ascii="Times New Roman" w:hAnsi="Times New Roman" w:cs="Times New Roman"/>
          <w:sz w:val="24"/>
          <w:szCs w:val="24"/>
        </w:rPr>
        <w:t xml:space="preserve">Horses are associated with deities across many </w:t>
      </w:r>
      <w:r w:rsidR="00922442" w:rsidRPr="00985865">
        <w:rPr>
          <w:rFonts w:ascii="Times New Roman" w:hAnsi="Times New Roman" w:cs="Times New Roman"/>
          <w:sz w:val="24"/>
          <w:szCs w:val="24"/>
        </w:rPr>
        <w:t>different pantheons</w:t>
      </w:r>
      <w:r w:rsidR="004B74A0" w:rsidRPr="00985865">
        <w:rPr>
          <w:rFonts w:ascii="Times New Roman" w:hAnsi="Times New Roman" w:cs="Times New Roman"/>
          <w:sz w:val="24"/>
          <w:szCs w:val="24"/>
        </w:rPr>
        <w:t xml:space="preserve"> (</w:t>
      </w:r>
      <w:r w:rsidR="001E0BB8" w:rsidRPr="00985865">
        <w:rPr>
          <w:rFonts w:ascii="Times New Roman" w:hAnsi="Times New Roman" w:cs="Times New Roman"/>
          <w:sz w:val="24"/>
          <w:szCs w:val="24"/>
        </w:rPr>
        <w:t>Powell 2015</w:t>
      </w:r>
      <w:r w:rsidR="004B74A0" w:rsidRPr="00985865">
        <w:rPr>
          <w:rFonts w:ascii="Times New Roman" w:hAnsi="Times New Roman" w:cs="Times New Roman"/>
          <w:sz w:val="24"/>
          <w:szCs w:val="24"/>
        </w:rPr>
        <w:t>)</w:t>
      </w:r>
      <w:r w:rsidR="00922442" w:rsidRPr="00985865">
        <w:rPr>
          <w:rFonts w:ascii="Times New Roman" w:hAnsi="Times New Roman" w:cs="Times New Roman"/>
          <w:sz w:val="24"/>
          <w:szCs w:val="24"/>
        </w:rPr>
        <w:t>. There is much discussion around Celtic religious beliefs and practices (see</w:t>
      </w:r>
      <w:r w:rsidR="004B74A0" w:rsidRPr="00985865">
        <w:rPr>
          <w:rFonts w:ascii="Times New Roman" w:hAnsi="Times New Roman" w:cs="Times New Roman"/>
          <w:sz w:val="24"/>
          <w:szCs w:val="24"/>
        </w:rPr>
        <w:t xml:space="preserve"> Creighton 1995,</w:t>
      </w:r>
      <w:r w:rsidR="00922442" w:rsidRPr="00985865">
        <w:rPr>
          <w:rFonts w:ascii="Times New Roman" w:hAnsi="Times New Roman" w:cs="Times New Roman"/>
          <w:sz w:val="24"/>
          <w:szCs w:val="24"/>
        </w:rPr>
        <w:t xml:space="preserve"> </w:t>
      </w:r>
      <w:proofErr w:type="spellStart"/>
      <w:r w:rsidR="00922442" w:rsidRPr="00985865">
        <w:rPr>
          <w:rFonts w:ascii="Times New Roman" w:hAnsi="Times New Roman" w:cs="Times New Roman"/>
          <w:sz w:val="24"/>
          <w:szCs w:val="24"/>
        </w:rPr>
        <w:t>Warmind</w:t>
      </w:r>
      <w:proofErr w:type="spellEnd"/>
      <w:r w:rsidR="00922442" w:rsidRPr="00985865">
        <w:rPr>
          <w:rFonts w:ascii="Times New Roman" w:hAnsi="Times New Roman" w:cs="Times New Roman"/>
          <w:sz w:val="24"/>
          <w:szCs w:val="24"/>
        </w:rPr>
        <w:t xml:space="preserve"> 2016, van Heesch </w:t>
      </w:r>
      <w:r w:rsidR="00D16219" w:rsidRPr="00985865">
        <w:rPr>
          <w:rFonts w:ascii="Times New Roman" w:hAnsi="Times New Roman" w:cs="Times New Roman"/>
          <w:sz w:val="24"/>
          <w:szCs w:val="24"/>
        </w:rPr>
        <w:t>2005, pp. 247-250</w:t>
      </w:r>
      <w:r w:rsidR="00922442" w:rsidRPr="00985865">
        <w:rPr>
          <w:rFonts w:ascii="Times New Roman" w:hAnsi="Times New Roman" w:cs="Times New Roman"/>
          <w:sz w:val="24"/>
          <w:szCs w:val="24"/>
        </w:rPr>
        <w:t>), making it, at times, as divisive a topic as Celticity, though most scholars</w:t>
      </w:r>
      <w:r w:rsidR="000526E1" w:rsidRPr="00985865">
        <w:rPr>
          <w:rFonts w:ascii="Times New Roman" w:hAnsi="Times New Roman" w:cs="Times New Roman"/>
          <w:sz w:val="24"/>
          <w:szCs w:val="24"/>
        </w:rPr>
        <w:t xml:space="preserve"> seem to</w:t>
      </w:r>
      <w:r w:rsidR="00922442" w:rsidRPr="00985865">
        <w:rPr>
          <w:rFonts w:ascii="Times New Roman" w:hAnsi="Times New Roman" w:cs="Times New Roman"/>
          <w:sz w:val="24"/>
          <w:szCs w:val="24"/>
        </w:rPr>
        <w:t xml:space="preserve"> agree that Iron Age peoples probably followed an animistic, nature-based religion. </w:t>
      </w:r>
      <w:r w:rsidR="00A21326" w:rsidRPr="00985865">
        <w:rPr>
          <w:rFonts w:ascii="Times New Roman" w:hAnsi="Times New Roman" w:cs="Times New Roman"/>
          <w:sz w:val="24"/>
          <w:szCs w:val="24"/>
        </w:rPr>
        <w:t xml:space="preserve">Horses being associated with burial, as in the examples mentioned above, may speak to beliefs around the afterlife; Giles puts it eloquently: </w:t>
      </w:r>
    </w:p>
    <w:p w14:paraId="41FC37E6" w14:textId="77777777" w:rsidR="00652425" w:rsidRPr="00985865" w:rsidRDefault="00652425" w:rsidP="00683380">
      <w:pPr>
        <w:ind w:left="1134"/>
        <w:rPr>
          <w:rFonts w:ascii="Times New Roman" w:hAnsi="Times New Roman" w:cs="Times New Roman"/>
          <w:sz w:val="24"/>
          <w:szCs w:val="24"/>
        </w:rPr>
      </w:pPr>
      <w:r w:rsidRPr="00985865">
        <w:rPr>
          <w:rFonts w:ascii="Times New Roman" w:hAnsi="Times New Roman" w:cs="Times New Roman"/>
          <w:sz w:val="24"/>
          <w:szCs w:val="24"/>
        </w:rPr>
        <w:t xml:space="preserve">In these examples, the inclusion of the chariot might have been a gesture of honour for a revered or even feared figure: a leader of renown and achievement, who had used the vehicle to convey both their might and power in life. In the burial, it became first a hearse and then a coffin: part of the dramatic spectacle that made their send-off memorable to the community. Yet perhaps there was a deeper symbolism here, of the chariot as a vehicle for their journey to the afterlife: equipping them for a speedy and successful departure. At such moments, in the words of the insightful archaeologist Stuart Piggott, it gained a ‘sacred, even hallowed’ role. </w:t>
      </w:r>
      <w:r w:rsidR="00A21326" w:rsidRPr="00985865">
        <w:rPr>
          <w:rFonts w:ascii="Times New Roman" w:hAnsi="Times New Roman" w:cs="Times New Roman"/>
          <w:sz w:val="24"/>
          <w:szCs w:val="24"/>
        </w:rPr>
        <w:t xml:space="preserve"> (</w:t>
      </w:r>
      <w:r w:rsidR="004B74A0" w:rsidRPr="00985865">
        <w:rPr>
          <w:rFonts w:ascii="Times New Roman" w:hAnsi="Times New Roman" w:cs="Times New Roman"/>
          <w:sz w:val="24"/>
          <w:szCs w:val="24"/>
        </w:rPr>
        <w:t>Giles</w:t>
      </w:r>
      <w:r w:rsidRPr="00985865">
        <w:rPr>
          <w:rFonts w:ascii="Times New Roman" w:hAnsi="Times New Roman" w:cs="Times New Roman"/>
          <w:sz w:val="24"/>
          <w:szCs w:val="24"/>
        </w:rPr>
        <w:t xml:space="preserve"> 2019</w:t>
      </w:r>
      <w:r w:rsidR="00A21326" w:rsidRPr="00985865">
        <w:rPr>
          <w:rFonts w:ascii="Times New Roman" w:hAnsi="Times New Roman" w:cs="Times New Roman"/>
          <w:sz w:val="24"/>
          <w:szCs w:val="24"/>
        </w:rPr>
        <w:t xml:space="preserve">). </w:t>
      </w:r>
    </w:p>
    <w:p w14:paraId="7988D46A" w14:textId="4C35AB5F" w:rsidR="00513590" w:rsidRPr="00985865" w:rsidRDefault="00A21326">
      <w:pPr>
        <w:rPr>
          <w:rFonts w:ascii="Times New Roman" w:hAnsi="Times New Roman" w:cs="Times New Roman"/>
          <w:sz w:val="24"/>
          <w:szCs w:val="24"/>
        </w:rPr>
      </w:pPr>
      <w:r w:rsidRPr="00985865">
        <w:rPr>
          <w:rFonts w:ascii="Times New Roman" w:hAnsi="Times New Roman" w:cs="Times New Roman"/>
          <w:sz w:val="24"/>
          <w:szCs w:val="24"/>
        </w:rPr>
        <w:t>There is, of course, the question of whether the horses were simply seen as grave goods</w:t>
      </w:r>
      <w:r w:rsidR="00AA0016" w:rsidRPr="00985865">
        <w:rPr>
          <w:rFonts w:ascii="Times New Roman" w:hAnsi="Times New Roman" w:cs="Times New Roman"/>
          <w:sz w:val="24"/>
          <w:szCs w:val="24"/>
        </w:rPr>
        <w:t xml:space="preserve">; </w:t>
      </w:r>
      <w:r w:rsidRPr="00985865">
        <w:rPr>
          <w:rFonts w:ascii="Times New Roman" w:hAnsi="Times New Roman" w:cs="Times New Roman"/>
          <w:sz w:val="24"/>
          <w:szCs w:val="24"/>
        </w:rPr>
        <w:t xml:space="preserve">objects belonging to wealthy individuals. However, the numerous examples of equine burials imply that, at least on occasion, horses were seen as their own beings, and were gifted the kindness of their own burials. </w:t>
      </w:r>
    </w:p>
    <w:p w14:paraId="7D3B1FB4" w14:textId="1AB6D3A9" w:rsidR="00AA0016" w:rsidRPr="00985865" w:rsidRDefault="00AA0016">
      <w:pPr>
        <w:rPr>
          <w:rFonts w:ascii="Times New Roman" w:hAnsi="Times New Roman" w:cs="Times New Roman"/>
          <w:sz w:val="24"/>
          <w:szCs w:val="24"/>
        </w:rPr>
      </w:pPr>
      <w:r w:rsidRPr="00985865">
        <w:rPr>
          <w:rFonts w:ascii="Times New Roman" w:hAnsi="Times New Roman" w:cs="Times New Roman"/>
          <w:sz w:val="24"/>
          <w:szCs w:val="24"/>
        </w:rPr>
        <w:t>Coins bearing equine imagery were commonly deposited in bodies of water as part of a horde (</w:t>
      </w:r>
      <w:r w:rsidR="00652425" w:rsidRPr="00985865">
        <w:rPr>
          <w:rFonts w:ascii="Times New Roman" w:hAnsi="Times New Roman" w:cs="Times New Roman"/>
          <w:sz w:val="24"/>
          <w:szCs w:val="24"/>
        </w:rPr>
        <w:t>van Heesch 2005, pp. 247-263</w:t>
      </w:r>
      <w:r w:rsidRPr="00985865">
        <w:rPr>
          <w:rFonts w:ascii="Times New Roman" w:hAnsi="Times New Roman" w:cs="Times New Roman"/>
          <w:sz w:val="24"/>
          <w:szCs w:val="24"/>
        </w:rPr>
        <w:t xml:space="preserve">); this practice is seen by some scholars as a way to leave offerings to gods or spirits. Van Heesch, however, reminds the reader to be cautious when assigning ‘ritual purpose’ to common practices (van Heesch 2005, pp. 255-256). That being said, it is reasonable to consider that at least some hordes of coins found in bodies of water had religious significance. Reflecting on the potential ritual purpose behind coin deposition leads one to wonder, why did ancient peoples choose to deposit the coins they did? Was it a careful decision, with the imagery on the coin </w:t>
      </w:r>
      <w:r w:rsidR="00EE71B8" w:rsidRPr="00985865">
        <w:rPr>
          <w:rFonts w:ascii="Times New Roman" w:hAnsi="Times New Roman" w:cs="Times New Roman"/>
          <w:sz w:val="24"/>
          <w:szCs w:val="24"/>
        </w:rPr>
        <w:t xml:space="preserve">conveying some message? Or did the depositor simply stuff a handful of coins into a pouch and let it fall? Though these questions have little hope of being answered without contemporary testimony, this train of thought brings to the forefront the topic of the coin imagery itself. </w:t>
      </w:r>
    </w:p>
    <w:p w14:paraId="661430F1" w14:textId="505AF3C6" w:rsidR="00922A91" w:rsidRPr="00985865" w:rsidRDefault="00EE71B8">
      <w:pPr>
        <w:rPr>
          <w:rFonts w:ascii="Times New Roman" w:hAnsi="Times New Roman" w:cs="Times New Roman"/>
          <w:sz w:val="24"/>
          <w:szCs w:val="24"/>
        </w:rPr>
      </w:pPr>
      <w:r w:rsidRPr="00985865">
        <w:rPr>
          <w:rFonts w:ascii="Times New Roman" w:hAnsi="Times New Roman" w:cs="Times New Roman"/>
          <w:sz w:val="24"/>
          <w:szCs w:val="24"/>
        </w:rPr>
        <w:lastRenderedPageBreak/>
        <w:t>Coins are much more than just currency. In ancient societies, coins also functioned as a portable, valuable communication device (</w:t>
      </w:r>
      <w:r w:rsidR="006C4054" w:rsidRPr="00985865">
        <w:rPr>
          <w:rFonts w:ascii="Times New Roman" w:hAnsi="Times New Roman" w:cs="Times New Roman"/>
          <w:sz w:val="24"/>
          <w:szCs w:val="24"/>
        </w:rPr>
        <w:t xml:space="preserve">Haselgrove and </w:t>
      </w:r>
      <w:proofErr w:type="spellStart"/>
      <w:r w:rsidR="006C4054" w:rsidRPr="00985865">
        <w:rPr>
          <w:rFonts w:ascii="Times New Roman" w:hAnsi="Times New Roman" w:cs="Times New Roman"/>
          <w:sz w:val="24"/>
          <w:szCs w:val="24"/>
        </w:rPr>
        <w:t>Krmnicek</w:t>
      </w:r>
      <w:proofErr w:type="spellEnd"/>
      <w:r w:rsidR="006C4054" w:rsidRPr="00985865">
        <w:rPr>
          <w:rFonts w:ascii="Times New Roman" w:hAnsi="Times New Roman" w:cs="Times New Roman"/>
          <w:sz w:val="24"/>
          <w:szCs w:val="24"/>
        </w:rPr>
        <w:t xml:space="preserve"> 2012, pp. 238-244</w:t>
      </w:r>
      <w:r w:rsidRPr="00985865">
        <w:rPr>
          <w:rFonts w:ascii="Times New Roman" w:hAnsi="Times New Roman" w:cs="Times New Roman"/>
          <w:sz w:val="24"/>
          <w:szCs w:val="24"/>
        </w:rPr>
        <w:t>). The imagery on coins was not simple decoration, it was carefully designed and created by hand, by skilled craftspeople and artisans (</w:t>
      </w:r>
      <w:r w:rsidR="001B7CF6" w:rsidRPr="00985865">
        <w:rPr>
          <w:rFonts w:ascii="Times New Roman" w:hAnsi="Times New Roman" w:cs="Times New Roman"/>
          <w:sz w:val="24"/>
          <w:szCs w:val="24"/>
        </w:rPr>
        <w:t xml:space="preserve">British Museum, object no. </w:t>
      </w:r>
      <w:r w:rsidR="001B7CF6" w:rsidRPr="00985865">
        <w:rPr>
          <w:rFonts w:ascii="Times New Roman" w:hAnsi="Times New Roman" w:cs="Times New Roman"/>
          <w:sz w:val="24"/>
          <w:szCs w:val="24"/>
        </w:rPr>
        <w:t>2014,4014.1</w:t>
      </w:r>
      <w:r w:rsidRPr="00985865">
        <w:rPr>
          <w:rFonts w:ascii="Times New Roman" w:hAnsi="Times New Roman" w:cs="Times New Roman"/>
          <w:sz w:val="24"/>
          <w:szCs w:val="24"/>
        </w:rPr>
        <w:t xml:space="preserve">). There is some debate around who the designers were, with Creighton positing the idea of shamanic visions playing a part in coin imagery (Creighton </w:t>
      </w:r>
      <w:r w:rsidR="006C4054" w:rsidRPr="00985865">
        <w:rPr>
          <w:rFonts w:ascii="Times New Roman" w:hAnsi="Times New Roman" w:cs="Times New Roman"/>
          <w:sz w:val="24"/>
          <w:szCs w:val="24"/>
        </w:rPr>
        <w:t>1995, pp. 2</w:t>
      </w:r>
      <w:r w:rsidR="007636EB" w:rsidRPr="00985865">
        <w:rPr>
          <w:rFonts w:ascii="Times New Roman" w:hAnsi="Times New Roman" w:cs="Times New Roman"/>
          <w:sz w:val="24"/>
          <w:szCs w:val="24"/>
        </w:rPr>
        <w:t>89-300</w:t>
      </w:r>
      <w:r w:rsidRPr="00985865">
        <w:rPr>
          <w:rFonts w:ascii="Times New Roman" w:hAnsi="Times New Roman" w:cs="Times New Roman"/>
          <w:sz w:val="24"/>
          <w:szCs w:val="24"/>
        </w:rPr>
        <w:t xml:space="preserve">). Horse iconography was very common on Celtic coins all over the diaspora, and the striking image of a </w:t>
      </w:r>
      <w:r w:rsidR="00F717D9" w:rsidRPr="00985865">
        <w:rPr>
          <w:rFonts w:ascii="Times New Roman" w:hAnsi="Times New Roman" w:cs="Times New Roman"/>
          <w:sz w:val="24"/>
          <w:szCs w:val="24"/>
        </w:rPr>
        <w:t>charging</w:t>
      </w:r>
      <w:r w:rsidRPr="00985865">
        <w:rPr>
          <w:rFonts w:ascii="Times New Roman" w:hAnsi="Times New Roman" w:cs="Times New Roman"/>
          <w:sz w:val="24"/>
          <w:szCs w:val="24"/>
        </w:rPr>
        <w:t xml:space="preserve"> horse is almost guaranteed to be found in any coin horde from Iron Age Europe. </w:t>
      </w:r>
      <w:r w:rsidR="00477407" w:rsidRPr="00985865">
        <w:rPr>
          <w:rFonts w:ascii="Times New Roman" w:hAnsi="Times New Roman" w:cs="Times New Roman"/>
          <w:sz w:val="24"/>
          <w:szCs w:val="24"/>
        </w:rPr>
        <w:t xml:space="preserve">The horses on the coins are generally recreated in action, and the images evoke a sense of power and strength, while retaining the typical plasticity of La Tene artworks. </w:t>
      </w:r>
      <w:r w:rsidR="00922A91" w:rsidRPr="00985865">
        <w:rPr>
          <w:rFonts w:ascii="Times New Roman" w:hAnsi="Times New Roman" w:cs="Times New Roman"/>
          <w:sz w:val="24"/>
          <w:szCs w:val="24"/>
        </w:rPr>
        <w:t>Some of the coins almost seem to show a ‘deconstructed’</w:t>
      </w:r>
      <w:r w:rsidR="007A64DE" w:rsidRPr="00985865">
        <w:rPr>
          <w:rFonts w:ascii="Times New Roman" w:hAnsi="Times New Roman" w:cs="Times New Roman"/>
          <w:sz w:val="24"/>
          <w:szCs w:val="24"/>
        </w:rPr>
        <w:t xml:space="preserve"> horse, not unlike modern Pointillism or Surrealism artworks</w:t>
      </w:r>
      <w:r w:rsidR="00922A91" w:rsidRPr="00985865">
        <w:rPr>
          <w:rFonts w:ascii="Times New Roman" w:hAnsi="Times New Roman" w:cs="Times New Roman"/>
          <w:sz w:val="24"/>
          <w:szCs w:val="24"/>
        </w:rPr>
        <w:t xml:space="preserve">; the animal becomes a series of dots, lines or amorphous blobs, somehow still recognisably equine and possessing character and liveliness. There are often </w:t>
      </w:r>
      <w:r w:rsidR="000B059E" w:rsidRPr="00985865">
        <w:rPr>
          <w:rFonts w:ascii="Times New Roman" w:hAnsi="Times New Roman" w:cs="Times New Roman"/>
          <w:sz w:val="24"/>
          <w:szCs w:val="24"/>
        </w:rPr>
        <w:t>celestial</w:t>
      </w:r>
      <w:r w:rsidR="00922A91" w:rsidRPr="00985865">
        <w:rPr>
          <w:rFonts w:ascii="Times New Roman" w:hAnsi="Times New Roman" w:cs="Times New Roman"/>
          <w:sz w:val="24"/>
          <w:szCs w:val="24"/>
        </w:rPr>
        <w:t xml:space="preserve"> pieces in the background or surrounding the horses, which have been posited to have religious meaning (</w:t>
      </w:r>
      <w:r w:rsidR="000B059E" w:rsidRPr="00985865">
        <w:rPr>
          <w:rFonts w:ascii="Times New Roman" w:hAnsi="Times New Roman" w:cs="Times New Roman"/>
          <w:sz w:val="24"/>
          <w:szCs w:val="24"/>
        </w:rPr>
        <w:t>Sullivan 2010, pp. 9-13</w:t>
      </w:r>
      <w:r w:rsidR="00922A91" w:rsidRPr="00985865">
        <w:rPr>
          <w:rFonts w:ascii="Times New Roman" w:hAnsi="Times New Roman" w:cs="Times New Roman"/>
          <w:sz w:val="24"/>
          <w:szCs w:val="24"/>
        </w:rPr>
        <w:t>). I</w:t>
      </w:r>
      <w:r w:rsidR="00922A91" w:rsidRPr="00985865">
        <w:rPr>
          <w:rFonts w:ascii="Times New Roman" w:hAnsi="Times New Roman" w:cs="Times New Roman"/>
          <w:sz w:val="24"/>
          <w:szCs w:val="24"/>
        </w:rPr>
        <w:t>t is clear to see that the swirling, stylistically unique image of the horse would have made Celtic coins instantly recognisable (</w:t>
      </w:r>
      <w:r w:rsidR="000B059E" w:rsidRPr="00985865">
        <w:rPr>
          <w:rFonts w:ascii="Times New Roman" w:hAnsi="Times New Roman" w:cs="Times New Roman"/>
          <w:sz w:val="24"/>
          <w:szCs w:val="24"/>
        </w:rPr>
        <w:t>Green 1992, pp. 156-158</w:t>
      </w:r>
      <w:r w:rsidR="00922A91" w:rsidRPr="00985865">
        <w:rPr>
          <w:rFonts w:ascii="Times New Roman" w:hAnsi="Times New Roman" w:cs="Times New Roman"/>
          <w:sz w:val="24"/>
          <w:szCs w:val="24"/>
        </w:rPr>
        <w:t xml:space="preserve">). </w:t>
      </w:r>
    </w:p>
    <w:p w14:paraId="57881B1E" w14:textId="147EF89C" w:rsidR="00922A91" w:rsidRPr="00985865" w:rsidRDefault="00922A91">
      <w:pPr>
        <w:rPr>
          <w:rFonts w:ascii="Times New Roman" w:hAnsi="Times New Roman" w:cs="Times New Roman"/>
          <w:sz w:val="24"/>
          <w:szCs w:val="24"/>
        </w:rPr>
      </w:pPr>
      <w:r w:rsidRPr="00985865">
        <w:rPr>
          <w:rFonts w:ascii="Times New Roman" w:hAnsi="Times New Roman" w:cs="Times New Roman"/>
          <w:sz w:val="24"/>
          <w:szCs w:val="24"/>
        </w:rPr>
        <w:t>In a world without translators, cultural and language barriers may have made commercial pursuits difficult at times. Utilising symbols – such as the horse for the Iron Age peoples – to create something not unlike a logo could have been a helpful tool when travelling or trading. Additionally, the horse was likely to have been seen in many cultures as a status symbol; making the horse such a large part of their cultural identity may have influenced outsiders’ thoughts and feelings about Celtic peoples. Horses are often associated with speed, courage, discipline and strength, and these traits may have been laid onto the Celts themselves by association. With this in mind, horses and humans become more entangled than ever, both within and without their own communities.</w:t>
      </w:r>
    </w:p>
    <w:p w14:paraId="6323A7FB" w14:textId="68BAB516" w:rsidR="004F22EF" w:rsidRPr="00985865" w:rsidRDefault="00477407">
      <w:pPr>
        <w:rPr>
          <w:rFonts w:ascii="Times New Roman" w:hAnsi="Times New Roman" w:cs="Times New Roman"/>
          <w:sz w:val="24"/>
          <w:szCs w:val="24"/>
        </w:rPr>
      </w:pPr>
      <w:r w:rsidRPr="00985865">
        <w:rPr>
          <w:rFonts w:ascii="Times New Roman" w:hAnsi="Times New Roman" w:cs="Times New Roman"/>
          <w:sz w:val="24"/>
          <w:szCs w:val="24"/>
        </w:rPr>
        <w:t xml:space="preserve">In Celtic literature, horses are often associated with women (see </w:t>
      </w:r>
      <w:r w:rsidRPr="00985865">
        <w:rPr>
          <w:rFonts w:ascii="Times New Roman" w:hAnsi="Times New Roman" w:cs="Times New Roman"/>
          <w:i/>
          <w:iCs/>
          <w:sz w:val="24"/>
          <w:szCs w:val="24"/>
        </w:rPr>
        <w:t>The Mabinogion</w:t>
      </w:r>
      <w:r w:rsidRPr="00985865">
        <w:rPr>
          <w:rFonts w:ascii="Times New Roman" w:hAnsi="Times New Roman" w:cs="Times New Roman"/>
          <w:sz w:val="24"/>
          <w:szCs w:val="24"/>
        </w:rPr>
        <w:t xml:space="preserve">), which may seem, at a glance, to contradict </w:t>
      </w:r>
      <w:r w:rsidR="00C458B1" w:rsidRPr="00985865">
        <w:rPr>
          <w:rFonts w:ascii="Times New Roman" w:hAnsi="Times New Roman" w:cs="Times New Roman"/>
          <w:sz w:val="24"/>
          <w:szCs w:val="24"/>
        </w:rPr>
        <w:t>the ‘masculine’ qualities of courage and strength that we associate with horses, and their long history as war animals</w:t>
      </w:r>
      <w:r w:rsidR="00F717D9" w:rsidRPr="00985865">
        <w:rPr>
          <w:rFonts w:ascii="Times New Roman" w:hAnsi="Times New Roman" w:cs="Times New Roman"/>
          <w:sz w:val="24"/>
          <w:szCs w:val="24"/>
        </w:rPr>
        <w:t xml:space="preserve"> (Green 1992, pp. 73-87)</w:t>
      </w:r>
      <w:r w:rsidR="00C458B1" w:rsidRPr="00985865">
        <w:rPr>
          <w:rFonts w:ascii="Times New Roman" w:hAnsi="Times New Roman" w:cs="Times New Roman"/>
          <w:sz w:val="24"/>
          <w:szCs w:val="24"/>
        </w:rPr>
        <w:t xml:space="preserve">. </w:t>
      </w:r>
      <w:r w:rsidR="001D0D6A" w:rsidRPr="00985865">
        <w:rPr>
          <w:rFonts w:ascii="Times New Roman" w:hAnsi="Times New Roman" w:cs="Times New Roman"/>
          <w:sz w:val="24"/>
          <w:szCs w:val="24"/>
        </w:rPr>
        <w:t>But women in Celtic societies were treated rather differently than their Classical counterparts; there are multiple chariot burials containing female remains (see</w:t>
      </w:r>
      <w:r w:rsidR="00B96C84" w:rsidRPr="00985865">
        <w:rPr>
          <w:rFonts w:ascii="Times New Roman" w:hAnsi="Times New Roman" w:cs="Times New Roman"/>
          <w:sz w:val="24"/>
          <w:szCs w:val="24"/>
        </w:rPr>
        <w:t xml:space="preserve"> Giles 2019</w:t>
      </w:r>
      <w:r w:rsidR="001D0D6A" w:rsidRPr="00985865">
        <w:rPr>
          <w:rFonts w:ascii="Times New Roman" w:hAnsi="Times New Roman" w:cs="Times New Roman"/>
          <w:sz w:val="24"/>
          <w:szCs w:val="24"/>
        </w:rPr>
        <w:t xml:space="preserve">), and literary sources, as explored by </w:t>
      </w:r>
      <w:proofErr w:type="spellStart"/>
      <w:r w:rsidR="001D0D6A" w:rsidRPr="00985865">
        <w:rPr>
          <w:rFonts w:ascii="Times New Roman" w:hAnsi="Times New Roman" w:cs="Times New Roman"/>
          <w:sz w:val="24"/>
          <w:szCs w:val="24"/>
        </w:rPr>
        <w:t>Kazakevych</w:t>
      </w:r>
      <w:proofErr w:type="spellEnd"/>
      <w:r w:rsidR="001D0D6A" w:rsidRPr="00985865">
        <w:rPr>
          <w:rFonts w:ascii="Times New Roman" w:hAnsi="Times New Roman" w:cs="Times New Roman"/>
          <w:sz w:val="24"/>
          <w:szCs w:val="24"/>
        </w:rPr>
        <w:t>, that mention the roles Celtic women may have played in politics</w:t>
      </w:r>
      <w:r w:rsidR="008726CD" w:rsidRPr="00985865">
        <w:rPr>
          <w:rFonts w:ascii="Times New Roman" w:hAnsi="Times New Roman" w:cs="Times New Roman"/>
          <w:sz w:val="24"/>
          <w:szCs w:val="24"/>
        </w:rPr>
        <w:t xml:space="preserve"> and warfare</w:t>
      </w:r>
      <w:r w:rsidR="001D0D6A" w:rsidRPr="00985865">
        <w:rPr>
          <w:rFonts w:ascii="Times New Roman" w:hAnsi="Times New Roman" w:cs="Times New Roman"/>
          <w:sz w:val="24"/>
          <w:szCs w:val="24"/>
        </w:rPr>
        <w:t xml:space="preserve"> (</w:t>
      </w:r>
      <w:proofErr w:type="spellStart"/>
      <w:r w:rsidR="001D0D6A" w:rsidRPr="00985865">
        <w:rPr>
          <w:rFonts w:ascii="Times New Roman" w:hAnsi="Times New Roman" w:cs="Times New Roman"/>
          <w:sz w:val="24"/>
          <w:szCs w:val="24"/>
        </w:rPr>
        <w:t>Kazakevych</w:t>
      </w:r>
      <w:proofErr w:type="spellEnd"/>
      <w:r w:rsidR="001D0D6A" w:rsidRPr="00985865">
        <w:rPr>
          <w:rFonts w:ascii="Times New Roman" w:hAnsi="Times New Roman" w:cs="Times New Roman"/>
          <w:sz w:val="24"/>
          <w:szCs w:val="24"/>
        </w:rPr>
        <w:t xml:space="preserve"> 2021</w:t>
      </w:r>
      <w:r w:rsidR="00B96C84" w:rsidRPr="00985865">
        <w:rPr>
          <w:rFonts w:ascii="Times New Roman" w:hAnsi="Times New Roman" w:cs="Times New Roman"/>
          <w:sz w:val="24"/>
          <w:szCs w:val="24"/>
        </w:rPr>
        <w:t xml:space="preserve">, pp. </w:t>
      </w:r>
      <w:r w:rsidR="008726CD" w:rsidRPr="00985865">
        <w:rPr>
          <w:rFonts w:ascii="Times New Roman" w:hAnsi="Times New Roman" w:cs="Times New Roman"/>
          <w:sz w:val="24"/>
          <w:szCs w:val="24"/>
        </w:rPr>
        <w:t>83-88</w:t>
      </w:r>
      <w:r w:rsidR="001D0D6A" w:rsidRPr="00985865">
        <w:rPr>
          <w:rFonts w:ascii="Times New Roman" w:hAnsi="Times New Roman" w:cs="Times New Roman"/>
          <w:sz w:val="24"/>
          <w:szCs w:val="24"/>
        </w:rPr>
        <w:t>). Although by modern standards, women in Iron Age societies were likely treated poorly, it is not unreasonable to presume some level of agency and empowerment was afforded to Celtic women; much like their equine companions, they were helpful instruments in domestic and external affairs alike, and possibly had strong connections to the spiritual realm (see</w:t>
      </w:r>
      <w:r w:rsidR="003E6D4B" w:rsidRPr="00985865">
        <w:rPr>
          <w:rFonts w:ascii="Times New Roman" w:hAnsi="Times New Roman" w:cs="Times New Roman"/>
          <w:sz w:val="24"/>
          <w:szCs w:val="24"/>
        </w:rPr>
        <w:t xml:space="preserve"> </w:t>
      </w:r>
      <w:proofErr w:type="spellStart"/>
      <w:r w:rsidR="003E6D4B" w:rsidRPr="00985865">
        <w:rPr>
          <w:rFonts w:ascii="Times New Roman" w:hAnsi="Times New Roman" w:cs="Times New Roman"/>
          <w:sz w:val="24"/>
          <w:szCs w:val="24"/>
        </w:rPr>
        <w:t>Halkon</w:t>
      </w:r>
      <w:proofErr w:type="spellEnd"/>
      <w:r w:rsidR="003E6D4B" w:rsidRPr="00985865">
        <w:rPr>
          <w:rFonts w:ascii="Times New Roman" w:hAnsi="Times New Roman" w:cs="Times New Roman"/>
          <w:sz w:val="24"/>
          <w:szCs w:val="24"/>
        </w:rPr>
        <w:t xml:space="preserve"> 2020</w:t>
      </w:r>
      <w:r w:rsidR="001D0D6A" w:rsidRPr="00985865">
        <w:rPr>
          <w:rFonts w:ascii="Times New Roman" w:hAnsi="Times New Roman" w:cs="Times New Roman"/>
          <w:sz w:val="24"/>
          <w:szCs w:val="24"/>
        </w:rPr>
        <w:t xml:space="preserve">). </w:t>
      </w:r>
      <w:r w:rsidR="007E1033" w:rsidRPr="00985865">
        <w:rPr>
          <w:rFonts w:ascii="Times New Roman" w:hAnsi="Times New Roman" w:cs="Times New Roman"/>
          <w:sz w:val="24"/>
          <w:szCs w:val="24"/>
        </w:rPr>
        <w:t xml:space="preserve">Horses and women could perhaps embody both feminine and masculine elements and roles in life. </w:t>
      </w:r>
      <w:r w:rsidR="00097E9F" w:rsidRPr="00985865">
        <w:rPr>
          <w:rFonts w:ascii="Times New Roman" w:hAnsi="Times New Roman" w:cs="Times New Roman"/>
          <w:sz w:val="24"/>
          <w:szCs w:val="24"/>
        </w:rPr>
        <w:t>It appears t</w:t>
      </w:r>
      <w:r w:rsidR="001D0D6A" w:rsidRPr="00985865">
        <w:rPr>
          <w:rFonts w:ascii="Times New Roman" w:hAnsi="Times New Roman" w:cs="Times New Roman"/>
          <w:sz w:val="24"/>
          <w:szCs w:val="24"/>
        </w:rPr>
        <w:t>here is an intriguing thread tying</w:t>
      </w:r>
      <w:r w:rsidR="007E1033" w:rsidRPr="00985865">
        <w:rPr>
          <w:rFonts w:ascii="Times New Roman" w:hAnsi="Times New Roman" w:cs="Times New Roman"/>
          <w:sz w:val="24"/>
          <w:szCs w:val="24"/>
        </w:rPr>
        <w:t xml:space="preserve"> Celtic</w:t>
      </w:r>
      <w:r w:rsidR="001D0D6A" w:rsidRPr="00985865">
        <w:rPr>
          <w:rFonts w:ascii="Times New Roman" w:hAnsi="Times New Roman" w:cs="Times New Roman"/>
          <w:sz w:val="24"/>
          <w:szCs w:val="24"/>
        </w:rPr>
        <w:t xml:space="preserve"> horses and women together, though </w:t>
      </w:r>
      <w:r w:rsidR="007E1033" w:rsidRPr="00985865">
        <w:rPr>
          <w:rFonts w:ascii="Times New Roman" w:hAnsi="Times New Roman" w:cs="Times New Roman"/>
          <w:sz w:val="24"/>
          <w:szCs w:val="24"/>
        </w:rPr>
        <w:t>sadly</w:t>
      </w:r>
      <w:r w:rsidR="001D0D6A" w:rsidRPr="00985865">
        <w:rPr>
          <w:rFonts w:ascii="Times New Roman" w:hAnsi="Times New Roman" w:cs="Times New Roman"/>
          <w:sz w:val="24"/>
          <w:szCs w:val="24"/>
        </w:rPr>
        <w:t xml:space="preserve"> this is not the time to attempt to untangle it.</w:t>
      </w:r>
      <w:r w:rsidR="00922A91" w:rsidRPr="00985865">
        <w:rPr>
          <w:rFonts w:ascii="Times New Roman" w:hAnsi="Times New Roman" w:cs="Times New Roman"/>
          <w:sz w:val="24"/>
          <w:szCs w:val="24"/>
        </w:rPr>
        <w:t xml:space="preserve"> </w:t>
      </w:r>
    </w:p>
    <w:p w14:paraId="2134935D" w14:textId="2896523B" w:rsidR="00A51EA9" w:rsidRPr="00985865" w:rsidRDefault="00922A91">
      <w:pPr>
        <w:rPr>
          <w:rFonts w:ascii="Times New Roman" w:hAnsi="Times New Roman" w:cs="Times New Roman"/>
          <w:sz w:val="24"/>
          <w:szCs w:val="24"/>
        </w:rPr>
      </w:pPr>
      <w:r w:rsidRPr="00985865">
        <w:rPr>
          <w:rFonts w:ascii="Times New Roman" w:hAnsi="Times New Roman" w:cs="Times New Roman"/>
          <w:sz w:val="24"/>
          <w:szCs w:val="24"/>
        </w:rPr>
        <w:t>Horses and humans, much like dogs and humans, have been entangled for thousands of years</w:t>
      </w:r>
      <w:r w:rsidR="00460950" w:rsidRPr="00985865">
        <w:rPr>
          <w:rFonts w:ascii="Times New Roman" w:hAnsi="Times New Roman" w:cs="Times New Roman"/>
          <w:sz w:val="24"/>
          <w:szCs w:val="24"/>
        </w:rPr>
        <w:t>, and their relationship has changed shape over time</w:t>
      </w:r>
      <w:r w:rsidRPr="00985865">
        <w:rPr>
          <w:rFonts w:ascii="Times New Roman" w:hAnsi="Times New Roman" w:cs="Times New Roman"/>
          <w:sz w:val="24"/>
          <w:szCs w:val="24"/>
        </w:rPr>
        <w:t xml:space="preserve">. The Iron Age peoples of Europe were well-known by their contemporaries for their love and use of horses, and </w:t>
      </w:r>
      <w:r w:rsidR="008726CD" w:rsidRPr="00985865">
        <w:rPr>
          <w:rFonts w:ascii="Times New Roman" w:hAnsi="Times New Roman" w:cs="Times New Roman"/>
          <w:sz w:val="24"/>
          <w:szCs w:val="24"/>
        </w:rPr>
        <w:t>M</w:t>
      </w:r>
      <w:r w:rsidRPr="00985865">
        <w:rPr>
          <w:rFonts w:ascii="Times New Roman" w:hAnsi="Times New Roman" w:cs="Times New Roman"/>
          <w:sz w:val="24"/>
          <w:szCs w:val="24"/>
        </w:rPr>
        <w:t xml:space="preserve">ediaeval </w:t>
      </w:r>
      <w:r w:rsidR="008726CD" w:rsidRPr="00985865">
        <w:rPr>
          <w:rFonts w:ascii="Times New Roman" w:hAnsi="Times New Roman" w:cs="Times New Roman"/>
          <w:sz w:val="24"/>
          <w:szCs w:val="24"/>
        </w:rPr>
        <w:t xml:space="preserve">Celtic </w:t>
      </w:r>
      <w:r w:rsidRPr="00985865">
        <w:rPr>
          <w:rFonts w:ascii="Times New Roman" w:hAnsi="Times New Roman" w:cs="Times New Roman"/>
          <w:sz w:val="24"/>
          <w:szCs w:val="24"/>
        </w:rPr>
        <w:t>sources continued to record tales of supernatural horses, and the people that</w:t>
      </w:r>
      <w:r w:rsidR="00460950" w:rsidRPr="00985865">
        <w:rPr>
          <w:rFonts w:ascii="Times New Roman" w:hAnsi="Times New Roman" w:cs="Times New Roman"/>
          <w:sz w:val="24"/>
          <w:szCs w:val="24"/>
        </w:rPr>
        <w:t xml:space="preserve"> lived alongside</w:t>
      </w:r>
      <w:r w:rsidRPr="00985865">
        <w:rPr>
          <w:rFonts w:ascii="Times New Roman" w:hAnsi="Times New Roman" w:cs="Times New Roman"/>
          <w:sz w:val="24"/>
          <w:szCs w:val="24"/>
        </w:rPr>
        <w:t xml:space="preserve"> them. While it is easy to</w:t>
      </w:r>
      <w:r w:rsidR="008726CD" w:rsidRPr="00985865">
        <w:rPr>
          <w:rFonts w:ascii="Times New Roman" w:hAnsi="Times New Roman" w:cs="Times New Roman"/>
          <w:sz w:val="24"/>
          <w:szCs w:val="24"/>
        </w:rPr>
        <w:t xml:space="preserve"> see the horse as an exploited beast, controlled and used by humans, it is more likely that living near humans was mutually beneficial</w:t>
      </w:r>
      <w:r w:rsidR="00460950" w:rsidRPr="00985865">
        <w:rPr>
          <w:rFonts w:ascii="Times New Roman" w:hAnsi="Times New Roman" w:cs="Times New Roman"/>
          <w:sz w:val="24"/>
          <w:szCs w:val="24"/>
        </w:rPr>
        <w:t xml:space="preserve">. Humans clearly held care </w:t>
      </w:r>
      <w:r w:rsidR="00460950" w:rsidRPr="00985865">
        <w:rPr>
          <w:rFonts w:ascii="Times New Roman" w:hAnsi="Times New Roman" w:cs="Times New Roman"/>
          <w:sz w:val="24"/>
          <w:szCs w:val="24"/>
        </w:rPr>
        <w:lastRenderedPageBreak/>
        <w:t>and respect for their horses, as evidenced by equine burials and iconography</w:t>
      </w:r>
      <w:r w:rsidR="008726CD" w:rsidRPr="00985865">
        <w:rPr>
          <w:rFonts w:ascii="Times New Roman" w:hAnsi="Times New Roman" w:cs="Times New Roman"/>
          <w:sz w:val="24"/>
          <w:szCs w:val="24"/>
        </w:rPr>
        <w:t xml:space="preserve">. The topic of horse-human entanglement is a vast one, and difficult to quantify, even without the sparse evidence of prehistoric societies to contend with, but this essay was written in hopes of gaining some perspective and understanding of how horses fitted into Celtic cultures, and how they came to be the face of Iron Age coinage. </w:t>
      </w:r>
    </w:p>
    <w:p w14:paraId="4363C7B6" w14:textId="77777777" w:rsidR="00A51EA9" w:rsidRPr="00985865" w:rsidRDefault="00A51EA9">
      <w:pPr>
        <w:rPr>
          <w:rFonts w:ascii="Times New Roman" w:hAnsi="Times New Roman" w:cs="Times New Roman"/>
        </w:rPr>
      </w:pPr>
      <w:r w:rsidRPr="00985865">
        <w:rPr>
          <w:rFonts w:ascii="Times New Roman" w:hAnsi="Times New Roman" w:cs="Times New Roman"/>
        </w:rPr>
        <w:br w:type="page"/>
      </w:r>
    </w:p>
    <w:p w14:paraId="55BA0D10" w14:textId="7960E2B6" w:rsidR="00985865" w:rsidRPr="00985865" w:rsidRDefault="00985865" w:rsidP="00985865">
      <w:pPr>
        <w:jc w:val="center"/>
        <w:rPr>
          <w:rFonts w:ascii="Times New Roman" w:hAnsi="Times New Roman" w:cs="Times New Roman"/>
          <w:sz w:val="32"/>
          <w:szCs w:val="32"/>
        </w:rPr>
      </w:pPr>
      <w:r w:rsidRPr="00985865">
        <w:rPr>
          <w:rFonts w:ascii="Times New Roman" w:hAnsi="Times New Roman" w:cs="Times New Roman"/>
          <w:sz w:val="32"/>
          <w:szCs w:val="32"/>
        </w:rPr>
        <w:lastRenderedPageBreak/>
        <w:t>Reference List</w:t>
      </w:r>
    </w:p>
    <w:p w14:paraId="2ACF22EB" w14:textId="77777777" w:rsidR="00985865" w:rsidRPr="00114A1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Anderson, Sonja. “These 28 Horses Were Buried in an Ancient Mass Grave. How Did They Die?” </w:t>
      </w:r>
      <w:r w:rsidRPr="00114A10">
        <w:rPr>
          <w:rFonts w:ascii="Times New Roman" w:hAnsi="Times New Roman" w:cs="Times New Roman"/>
          <w:i/>
          <w:iCs/>
          <w:sz w:val="24"/>
          <w:szCs w:val="24"/>
        </w:rPr>
        <w:t>Smithsonian Magazine</w:t>
      </w:r>
      <w:r w:rsidRPr="00114A10">
        <w:rPr>
          <w:rFonts w:ascii="Times New Roman" w:hAnsi="Times New Roman" w:cs="Times New Roman"/>
          <w:sz w:val="24"/>
          <w:szCs w:val="24"/>
        </w:rPr>
        <w:t>. 3</w:t>
      </w:r>
      <w:r w:rsidRPr="00114A10">
        <w:rPr>
          <w:rFonts w:ascii="Times New Roman" w:hAnsi="Times New Roman" w:cs="Times New Roman"/>
          <w:sz w:val="24"/>
          <w:szCs w:val="24"/>
          <w:vertAlign w:val="superscript"/>
        </w:rPr>
        <w:t>rd</w:t>
      </w:r>
      <w:r w:rsidRPr="00114A10">
        <w:rPr>
          <w:rFonts w:ascii="Times New Roman" w:hAnsi="Times New Roman" w:cs="Times New Roman"/>
          <w:sz w:val="24"/>
          <w:szCs w:val="24"/>
        </w:rPr>
        <w:t xml:space="preserve"> June, 2024. </w:t>
      </w:r>
    </w:p>
    <w:p w14:paraId="677B4E23" w14:textId="21C339B5" w:rsidR="00985865" w:rsidRPr="00114A1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Bethke, Brandi. </w:t>
      </w:r>
      <w:r w:rsidR="00451207">
        <w:rPr>
          <w:rFonts w:ascii="Times New Roman" w:hAnsi="Times New Roman" w:cs="Times New Roman"/>
          <w:sz w:val="24"/>
          <w:szCs w:val="24"/>
        </w:rPr>
        <w:t>“</w:t>
      </w:r>
      <w:r w:rsidRPr="00114A10">
        <w:rPr>
          <w:rFonts w:ascii="Times New Roman" w:hAnsi="Times New Roman" w:cs="Times New Roman"/>
          <w:sz w:val="24"/>
          <w:szCs w:val="24"/>
        </w:rPr>
        <w:t>Revisiting the Horse in Blackfoot Culture: Understanding the Development of Nomadic Pastoralism on the North American Plains.</w:t>
      </w:r>
      <w:r w:rsidR="00451207">
        <w:rPr>
          <w:rFonts w:ascii="Times New Roman" w:hAnsi="Times New Roman" w:cs="Times New Roman"/>
          <w:sz w:val="24"/>
          <w:szCs w:val="24"/>
        </w:rPr>
        <w:t>”</w:t>
      </w:r>
      <w:r w:rsidRPr="00114A10">
        <w:rPr>
          <w:rFonts w:ascii="Times New Roman" w:hAnsi="Times New Roman" w:cs="Times New Roman"/>
          <w:sz w:val="24"/>
          <w:szCs w:val="24"/>
        </w:rPr>
        <w:t> </w:t>
      </w:r>
      <w:r w:rsidRPr="00114A10">
        <w:rPr>
          <w:rFonts w:ascii="Times New Roman" w:hAnsi="Times New Roman" w:cs="Times New Roman"/>
          <w:i/>
          <w:iCs/>
          <w:sz w:val="24"/>
          <w:szCs w:val="24"/>
        </w:rPr>
        <w:t xml:space="preserve">Int J </w:t>
      </w:r>
      <w:proofErr w:type="spellStart"/>
      <w:r w:rsidRPr="00114A10">
        <w:rPr>
          <w:rFonts w:ascii="Times New Roman" w:hAnsi="Times New Roman" w:cs="Times New Roman"/>
          <w:i/>
          <w:iCs/>
          <w:sz w:val="24"/>
          <w:szCs w:val="24"/>
        </w:rPr>
        <w:t>Histor</w:t>
      </w:r>
      <w:proofErr w:type="spellEnd"/>
      <w:r w:rsidRPr="00114A10">
        <w:rPr>
          <w:rFonts w:ascii="Times New Roman" w:hAnsi="Times New Roman" w:cs="Times New Roman"/>
          <w:i/>
          <w:iCs/>
          <w:sz w:val="24"/>
          <w:szCs w:val="24"/>
        </w:rPr>
        <w:t xml:space="preserve"> </w:t>
      </w:r>
      <w:proofErr w:type="spellStart"/>
      <w:r w:rsidRPr="00114A10">
        <w:rPr>
          <w:rFonts w:ascii="Times New Roman" w:hAnsi="Times New Roman" w:cs="Times New Roman"/>
          <w:i/>
          <w:iCs/>
          <w:sz w:val="24"/>
          <w:szCs w:val="24"/>
        </w:rPr>
        <w:t>Archaeol</w:t>
      </w:r>
      <w:proofErr w:type="spellEnd"/>
      <w:r w:rsidRPr="00114A10">
        <w:rPr>
          <w:rFonts w:ascii="Times New Roman" w:hAnsi="Times New Roman" w:cs="Times New Roman"/>
          <w:sz w:val="24"/>
          <w:szCs w:val="24"/>
        </w:rPr>
        <w:t xml:space="preserve"> 24, 44–61 (2020). </w:t>
      </w:r>
      <w:hyperlink r:id="rId4" w:history="1">
        <w:r w:rsidRPr="00114A10">
          <w:rPr>
            <w:rStyle w:val="Hyperlink"/>
            <w:rFonts w:ascii="Times New Roman" w:hAnsi="Times New Roman" w:cs="Times New Roman"/>
            <w:sz w:val="24"/>
            <w:szCs w:val="24"/>
          </w:rPr>
          <w:t>https://doi.org/10.1007/s10761-019-00502-1</w:t>
        </w:r>
      </w:hyperlink>
      <w:r w:rsidRPr="00114A10">
        <w:rPr>
          <w:rFonts w:ascii="Times New Roman" w:hAnsi="Times New Roman" w:cs="Times New Roman"/>
          <w:sz w:val="24"/>
          <w:szCs w:val="24"/>
        </w:rPr>
        <w:t xml:space="preserve"> </w:t>
      </w:r>
    </w:p>
    <w:p w14:paraId="00717A79" w14:textId="77777777" w:rsidR="00985865"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Benson, Melinda H. “New Materialism: An Ontology for the Anthropocene.” </w:t>
      </w:r>
      <w:r w:rsidRPr="00114A10">
        <w:rPr>
          <w:rFonts w:ascii="Times New Roman" w:hAnsi="Times New Roman" w:cs="Times New Roman"/>
          <w:i/>
          <w:iCs/>
          <w:sz w:val="24"/>
          <w:szCs w:val="24"/>
        </w:rPr>
        <w:t>Natural Resources Journal 59</w:t>
      </w:r>
      <w:r w:rsidRPr="00114A10">
        <w:rPr>
          <w:rFonts w:ascii="Times New Roman" w:hAnsi="Times New Roman" w:cs="Times New Roman"/>
          <w:sz w:val="24"/>
          <w:szCs w:val="24"/>
        </w:rPr>
        <w:t xml:space="preserve">, no. 2 (2019): 251–80. </w:t>
      </w:r>
      <w:hyperlink r:id="rId5" w:history="1">
        <w:r w:rsidRPr="00114A10">
          <w:rPr>
            <w:rStyle w:val="Hyperlink"/>
            <w:rFonts w:ascii="Times New Roman" w:hAnsi="Times New Roman" w:cs="Times New Roman"/>
            <w:sz w:val="24"/>
            <w:szCs w:val="24"/>
          </w:rPr>
          <w:t>https://www.jstor.org/stable/26800037</w:t>
        </w:r>
      </w:hyperlink>
      <w:r w:rsidRPr="00114A10">
        <w:rPr>
          <w:rFonts w:ascii="Times New Roman" w:hAnsi="Times New Roman" w:cs="Times New Roman"/>
          <w:sz w:val="24"/>
          <w:szCs w:val="24"/>
        </w:rPr>
        <w:t xml:space="preserve"> </w:t>
      </w:r>
    </w:p>
    <w:p w14:paraId="722820E7" w14:textId="7F6E4463" w:rsidR="00451207" w:rsidRPr="00D70F3B" w:rsidRDefault="00451207" w:rsidP="00985865">
      <w:pPr>
        <w:rPr>
          <w:rFonts w:ascii="Times New Roman" w:hAnsi="Times New Roman" w:cs="Times New Roman"/>
          <w:sz w:val="24"/>
          <w:szCs w:val="24"/>
        </w:rPr>
      </w:pPr>
      <w:r w:rsidRPr="00D70F3B">
        <w:rPr>
          <w:rFonts w:ascii="Times New Roman" w:hAnsi="Times New Roman" w:cs="Times New Roman"/>
          <w:sz w:val="24"/>
          <w:szCs w:val="24"/>
        </w:rPr>
        <w:t>Bunse, Laura. “</w:t>
      </w:r>
      <w:r w:rsidRPr="00D70F3B">
        <w:rPr>
          <w:rFonts w:ascii="Times New Roman" w:hAnsi="Times New Roman" w:cs="Times New Roman"/>
          <w:sz w:val="24"/>
          <w:szCs w:val="24"/>
        </w:rPr>
        <w:t>An Iron Age Horse Bridle Reconstructed: Design, Action and Usability</w:t>
      </w:r>
      <w:r w:rsidRPr="00D70F3B">
        <w:rPr>
          <w:rFonts w:ascii="Times New Roman" w:hAnsi="Times New Roman" w:cs="Times New Roman"/>
          <w:sz w:val="24"/>
          <w:szCs w:val="24"/>
        </w:rPr>
        <w:t xml:space="preserve">.” </w:t>
      </w:r>
      <w:r w:rsidR="00D70F3B" w:rsidRPr="00D70F3B">
        <w:rPr>
          <w:rFonts w:ascii="Times New Roman" w:hAnsi="Times New Roman" w:cs="Times New Roman"/>
          <w:i/>
          <w:iCs/>
          <w:sz w:val="24"/>
          <w:szCs w:val="24"/>
        </w:rPr>
        <w:t xml:space="preserve">EXARC Journal 2012/2 </w:t>
      </w:r>
      <w:r w:rsidR="00D70F3B" w:rsidRPr="00D70F3B">
        <w:rPr>
          <w:rFonts w:ascii="Times New Roman" w:hAnsi="Times New Roman" w:cs="Times New Roman"/>
          <w:sz w:val="24"/>
          <w:szCs w:val="24"/>
        </w:rPr>
        <w:t xml:space="preserve">(2012). </w:t>
      </w:r>
      <w:hyperlink r:id="rId6" w:history="1">
        <w:r w:rsidR="00D70F3B" w:rsidRPr="00D70F3B">
          <w:rPr>
            <w:rStyle w:val="Hyperlink"/>
            <w:rFonts w:ascii="Times New Roman" w:hAnsi="Times New Roman" w:cs="Times New Roman"/>
            <w:sz w:val="24"/>
            <w:szCs w:val="24"/>
          </w:rPr>
          <w:t>https://exarc.net/issue-2012-2/ea/iron-age-horse-bridle-reconstructed-design-action-and-usability</w:t>
        </w:r>
      </w:hyperlink>
      <w:r w:rsidR="00D70F3B">
        <w:rPr>
          <w:rFonts w:ascii="Times New Roman" w:hAnsi="Times New Roman" w:cs="Times New Roman"/>
          <w:sz w:val="24"/>
          <w:szCs w:val="24"/>
        </w:rPr>
        <w:t xml:space="preserve"> </w:t>
      </w:r>
    </w:p>
    <w:p w14:paraId="328547A3" w14:textId="030B00E9" w:rsidR="00451207" w:rsidRPr="00451207" w:rsidRDefault="00451207" w:rsidP="00985865">
      <w:pPr>
        <w:rPr>
          <w:rFonts w:ascii="Times New Roman" w:hAnsi="Times New Roman" w:cs="Times New Roman"/>
          <w:sz w:val="24"/>
          <w:szCs w:val="24"/>
        </w:rPr>
      </w:pPr>
      <w:r w:rsidRPr="00451207">
        <w:rPr>
          <w:rFonts w:ascii="Times New Roman" w:hAnsi="Times New Roman" w:cs="Times New Roman"/>
          <w:sz w:val="24"/>
          <w:szCs w:val="24"/>
        </w:rPr>
        <w:t xml:space="preserve">British Museum, The. “Die.” </w:t>
      </w:r>
      <w:r w:rsidRPr="00451207">
        <w:rPr>
          <w:rFonts w:ascii="Times New Roman" w:hAnsi="Times New Roman" w:cs="Times New Roman"/>
          <w:i/>
          <w:iCs/>
          <w:sz w:val="24"/>
          <w:szCs w:val="24"/>
        </w:rPr>
        <w:t xml:space="preserve">The British Museum. </w:t>
      </w:r>
      <w:r w:rsidRPr="00451207">
        <w:rPr>
          <w:rFonts w:ascii="Times New Roman" w:hAnsi="Times New Roman" w:cs="Times New Roman"/>
          <w:sz w:val="24"/>
          <w:szCs w:val="24"/>
        </w:rPr>
        <w:t xml:space="preserve">Museum number: </w:t>
      </w:r>
      <w:r w:rsidRPr="00451207">
        <w:rPr>
          <w:rFonts w:ascii="Times New Roman" w:hAnsi="Times New Roman" w:cs="Times New Roman"/>
          <w:sz w:val="24"/>
          <w:szCs w:val="24"/>
        </w:rPr>
        <w:t>2014,4014.1</w:t>
      </w:r>
      <w:r w:rsidRPr="00451207">
        <w:t xml:space="preserve"> </w:t>
      </w:r>
      <w:hyperlink r:id="rId7" w:history="1">
        <w:r w:rsidRPr="00451207">
          <w:rPr>
            <w:rStyle w:val="Hyperlink"/>
            <w:rFonts w:ascii="Times New Roman" w:hAnsi="Times New Roman" w:cs="Times New Roman"/>
            <w:sz w:val="24"/>
            <w:szCs w:val="24"/>
          </w:rPr>
          <w:t>https://www.britishmuseum.org/collection/object/C_2014-4014-1_1</w:t>
        </w:r>
      </w:hyperlink>
      <w:r>
        <w:rPr>
          <w:rFonts w:ascii="Times New Roman" w:hAnsi="Times New Roman" w:cs="Times New Roman"/>
          <w:sz w:val="24"/>
          <w:szCs w:val="24"/>
        </w:rPr>
        <w:t xml:space="preserve"> </w:t>
      </w:r>
    </w:p>
    <w:p w14:paraId="1C741AB3" w14:textId="77777777" w:rsidR="00985865" w:rsidRPr="00114A1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British Museum, The. “Mount.” </w:t>
      </w:r>
      <w:r w:rsidRPr="00114A10">
        <w:rPr>
          <w:rFonts w:ascii="Times New Roman" w:hAnsi="Times New Roman" w:cs="Times New Roman"/>
          <w:i/>
          <w:iCs/>
          <w:sz w:val="24"/>
          <w:szCs w:val="24"/>
        </w:rPr>
        <w:t xml:space="preserve">The British Museum. </w:t>
      </w:r>
      <w:r w:rsidRPr="00114A10">
        <w:rPr>
          <w:rFonts w:ascii="Times New Roman" w:hAnsi="Times New Roman" w:cs="Times New Roman"/>
          <w:sz w:val="24"/>
          <w:szCs w:val="24"/>
        </w:rPr>
        <w:t xml:space="preserve">Museum number: 1847,0208.82 </w:t>
      </w:r>
      <w:hyperlink r:id="rId8" w:history="1">
        <w:r w:rsidRPr="00114A10">
          <w:rPr>
            <w:rStyle w:val="Hyperlink"/>
            <w:rFonts w:ascii="Times New Roman" w:hAnsi="Times New Roman" w:cs="Times New Roman"/>
            <w:sz w:val="24"/>
            <w:szCs w:val="24"/>
          </w:rPr>
          <w:t>https://www.britishmuseum.org/collection/object/H_1847-0208-82</w:t>
        </w:r>
      </w:hyperlink>
      <w:r w:rsidRPr="00114A10">
        <w:rPr>
          <w:rFonts w:ascii="Times New Roman" w:hAnsi="Times New Roman" w:cs="Times New Roman"/>
          <w:sz w:val="24"/>
          <w:szCs w:val="24"/>
        </w:rPr>
        <w:t xml:space="preserve"> </w:t>
      </w:r>
    </w:p>
    <w:p w14:paraId="2D30F4FC" w14:textId="77777777" w:rsidR="00985865" w:rsidRPr="00931C6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Creighton, John. “Visions of Power: Imagery and Symbols in Late Iron Age Britain.” </w:t>
      </w:r>
      <w:r w:rsidRPr="00931C60">
        <w:rPr>
          <w:rFonts w:ascii="Times New Roman" w:hAnsi="Times New Roman" w:cs="Times New Roman"/>
          <w:i/>
          <w:iCs/>
          <w:sz w:val="24"/>
          <w:szCs w:val="24"/>
        </w:rPr>
        <w:t>Britannia 26</w:t>
      </w:r>
      <w:r w:rsidRPr="00931C60">
        <w:rPr>
          <w:rFonts w:ascii="Times New Roman" w:hAnsi="Times New Roman" w:cs="Times New Roman"/>
          <w:sz w:val="24"/>
          <w:szCs w:val="24"/>
        </w:rPr>
        <w:t xml:space="preserve"> (1995): 285–301. </w:t>
      </w:r>
      <w:hyperlink r:id="rId9" w:history="1">
        <w:r w:rsidRPr="00931C60">
          <w:rPr>
            <w:rStyle w:val="Hyperlink"/>
            <w:rFonts w:ascii="Times New Roman" w:hAnsi="Times New Roman" w:cs="Times New Roman"/>
            <w:sz w:val="24"/>
            <w:szCs w:val="24"/>
          </w:rPr>
          <w:t>https://doi.org/10.2307/526880</w:t>
        </w:r>
      </w:hyperlink>
      <w:r w:rsidRPr="00931C60">
        <w:rPr>
          <w:rFonts w:ascii="Times New Roman" w:hAnsi="Times New Roman" w:cs="Times New Roman"/>
          <w:sz w:val="24"/>
          <w:szCs w:val="24"/>
        </w:rPr>
        <w:t xml:space="preserve"> </w:t>
      </w:r>
    </w:p>
    <w:p w14:paraId="3F441AF2" w14:textId="79016048" w:rsidR="00451207" w:rsidRPr="00BD1091" w:rsidRDefault="00451207" w:rsidP="00985865">
      <w:pPr>
        <w:rPr>
          <w:rFonts w:ascii="Times New Roman" w:hAnsi="Times New Roman" w:cs="Times New Roman"/>
          <w:sz w:val="24"/>
          <w:szCs w:val="24"/>
        </w:rPr>
      </w:pPr>
      <w:r w:rsidRPr="00931C60">
        <w:rPr>
          <w:rFonts w:ascii="Times New Roman" w:hAnsi="Times New Roman" w:cs="Times New Roman"/>
          <w:sz w:val="24"/>
          <w:szCs w:val="24"/>
        </w:rPr>
        <w:t>Giles</w:t>
      </w:r>
      <w:r w:rsidR="00BD1091" w:rsidRPr="00931C60">
        <w:rPr>
          <w:rFonts w:ascii="Times New Roman" w:hAnsi="Times New Roman" w:cs="Times New Roman"/>
          <w:sz w:val="24"/>
          <w:szCs w:val="24"/>
        </w:rPr>
        <w:t xml:space="preserve">, Melanie. “Chariots: Speed, Power, and Journeys to The Afterlife.” </w:t>
      </w:r>
      <w:r w:rsidR="00BD1091" w:rsidRPr="00931C60">
        <w:rPr>
          <w:rFonts w:ascii="Times New Roman" w:hAnsi="Times New Roman" w:cs="Times New Roman"/>
          <w:i/>
          <w:iCs/>
          <w:sz w:val="24"/>
          <w:szCs w:val="24"/>
        </w:rPr>
        <w:t>The Prehistoric Society</w:t>
      </w:r>
      <w:r w:rsidR="00931C60" w:rsidRPr="00931C60">
        <w:rPr>
          <w:rFonts w:ascii="Times New Roman" w:hAnsi="Times New Roman" w:cs="Times New Roman"/>
          <w:i/>
          <w:iCs/>
          <w:sz w:val="24"/>
          <w:szCs w:val="24"/>
        </w:rPr>
        <w:t xml:space="preserve">. </w:t>
      </w:r>
      <w:r w:rsidR="00BD1091" w:rsidRPr="00931C60">
        <w:rPr>
          <w:rFonts w:ascii="Times New Roman" w:hAnsi="Times New Roman" w:cs="Times New Roman"/>
          <w:sz w:val="24"/>
          <w:szCs w:val="24"/>
        </w:rPr>
        <w:t xml:space="preserve">2019. </w:t>
      </w:r>
      <w:hyperlink r:id="rId10" w:history="1">
        <w:r w:rsidR="00931C60" w:rsidRPr="00931C60">
          <w:rPr>
            <w:rStyle w:val="Hyperlink"/>
            <w:rFonts w:ascii="Times New Roman" w:hAnsi="Times New Roman" w:cs="Times New Roman"/>
            <w:sz w:val="24"/>
            <w:szCs w:val="24"/>
          </w:rPr>
          <w:t>https://prehistoricsociety.org/sites/prehistoricsociety.org/files/resources/ps-intros-ia-8-chariots.pdf</w:t>
        </w:r>
      </w:hyperlink>
      <w:r w:rsidR="00931C60">
        <w:rPr>
          <w:rFonts w:ascii="Times New Roman" w:hAnsi="Times New Roman" w:cs="Times New Roman"/>
          <w:sz w:val="24"/>
          <w:szCs w:val="24"/>
        </w:rPr>
        <w:t xml:space="preserve"> </w:t>
      </w:r>
    </w:p>
    <w:p w14:paraId="5B8A3D21" w14:textId="25C3B8F5" w:rsidR="00451207" w:rsidRPr="00931C60" w:rsidRDefault="00451207" w:rsidP="00985865">
      <w:pPr>
        <w:rPr>
          <w:rFonts w:ascii="Times New Roman" w:hAnsi="Times New Roman" w:cs="Times New Roman"/>
          <w:sz w:val="24"/>
          <w:szCs w:val="24"/>
        </w:rPr>
      </w:pPr>
      <w:r w:rsidRPr="00931C60">
        <w:rPr>
          <w:rFonts w:ascii="Times New Roman" w:hAnsi="Times New Roman" w:cs="Times New Roman"/>
          <w:sz w:val="24"/>
          <w:szCs w:val="24"/>
        </w:rPr>
        <w:t>Green</w:t>
      </w:r>
      <w:r w:rsidR="00931C60">
        <w:rPr>
          <w:rFonts w:ascii="Times New Roman" w:hAnsi="Times New Roman" w:cs="Times New Roman"/>
          <w:sz w:val="24"/>
          <w:szCs w:val="24"/>
        </w:rPr>
        <w:t xml:space="preserve">, Miranda. </w:t>
      </w:r>
      <w:r w:rsidR="00931C60">
        <w:rPr>
          <w:rFonts w:ascii="Times New Roman" w:hAnsi="Times New Roman" w:cs="Times New Roman"/>
          <w:i/>
          <w:iCs/>
          <w:sz w:val="24"/>
          <w:szCs w:val="24"/>
        </w:rPr>
        <w:t xml:space="preserve">Symbol and Image in Celtic Religious Art. </w:t>
      </w:r>
      <w:r w:rsidR="00931C60">
        <w:rPr>
          <w:rFonts w:ascii="Times New Roman" w:hAnsi="Times New Roman" w:cs="Times New Roman"/>
          <w:sz w:val="24"/>
          <w:szCs w:val="24"/>
        </w:rPr>
        <w:t xml:space="preserve">London: Routledge (1992). </w:t>
      </w:r>
    </w:p>
    <w:p w14:paraId="4A33301D" w14:textId="77777777" w:rsidR="00985865" w:rsidRPr="00114A10" w:rsidRDefault="00985865" w:rsidP="00985865">
      <w:pPr>
        <w:rPr>
          <w:rFonts w:ascii="Times New Roman" w:hAnsi="Times New Roman" w:cs="Times New Roman"/>
          <w:sz w:val="24"/>
          <w:szCs w:val="24"/>
        </w:rPr>
      </w:pPr>
      <w:proofErr w:type="spellStart"/>
      <w:r w:rsidRPr="00114A10">
        <w:rPr>
          <w:rFonts w:ascii="Times New Roman" w:hAnsi="Times New Roman" w:cs="Times New Roman"/>
          <w:sz w:val="24"/>
          <w:szCs w:val="24"/>
        </w:rPr>
        <w:t>Halkon</w:t>
      </w:r>
      <w:proofErr w:type="spellEnd"/>
      <w:r w:rsidRPr="00114A10">
        <w:rPr>
          <w:rFonts w:ascii="Times New Roman" w:hAnsi="Times New Roman" w:cs="Times New Roman"/>
          <w:sz w:val="24"/>
          <w:szCs w:val="24"/>
        </w:rPr>
        <w:t xml:space="preserve">, Peter, ed. </w:t>
      </w:r>
      <w:r w:rsidRPr="00114A10">
        <w:rPr>
          <w:rFonts w:ascii="Times New Roman" w:hAnsi="Times New Roman" w:cs="Times New Roman"/>
          <w:i/>
          <w:iCs/>
          <w:sz w:val="24"/>
          <w:szCs w:val="24"/>
        </w:rPr>
        <w:t>The Arras Culture of Eastern Yorkshire – Celebrating the Iron Age: Proceedings of “Arras 200 – Celebrating the Iron Age." Royal Archaeological Institute Annual Conference.</w:t>
      </w:r>
      <w:r w:rsidRPr="00114A10">
        <w:rPr>
          <w:rFonts w:ascii="Times New Roman" w:hAnsi="Times New Roman" w:cs="Times New Roman"/>
          <w:sz w:val="24"/>
          <w:szCs w:val="24"/>
        </w:rPr>
        <w:t xml:space="preserve"> Oxbow Books, 2020. </w:t>
      </w:r>
      <w:hyperlink r:id="rId11" w:history="1">
        <w:r w:rsidRPr="00114A10">
          <w:rPr>
            <w:rStyle w:val="Hyperlink"/>
            <w:rFonts w:ascii="Times New Roman" w:hAnsi="Times New Roman" w:cs="Times New Roman"/>
            <w:sz w:val="24"/>
            <w:szCs w:val="24"/>
          </w:rPr>
          <w:t>https://doi.org/10.2307/j.ctv138wskk</w:t>
        </w:r>
      </w:hyperlink>
      <w:r w:rsidRPr="00114A10">
        <w:rPr>
          <w:rFonts w:ascii="Times New Roman" w:hAnsi="Times New Roman" w:cs="Times New Roman"/>
          <w:sz w:val="24"/>
          <w:szCs w:val="24"/>
        </w:rPr>
        <w:t xml:space="preserve">. </w:t>
      </w:r>
    </w:p>
    <w:p w14:paraId="28C9B273" w14:textId="77777777" w:rsidR="00985865" w:rsidRPr="00114A1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Haselgrove, Colin, and Stefan </w:t>
      </w:r>
      <w:proofErr w:type="spellStart"/>
      <w:r w:rsidRPr="00114A10">
        <w:rPr>
          <w:rFonts w:ascii="Times New Roman" w:hAnsi="Times New Roman" w:cs="Times New Roman"/>
          <w:sz w:val="24"/>
          <w:szCs w:val="24"/>
        </w:rPr>
        <w:t>Krmnicek</w:t>
      </w:r>
      <w:proofErr w:type="spellEnd"/>
      <w:r w:rsidRPr="00114A10">
        <w:rPr>
          <w:rFonts w:ascii="Times New Roman" w:hAnsi="Times New Roman" w:cs="Times New Roman"/>
          <w:sz w:val="24"/>
          <w:szCs w:val="24"/>
        </w:rPr>
        <w:t xml:space="preserve">. “The Archaeology of Money.” </w:t>
      </w:r>
      <w:r w:rsidRPr="00114A10">
        <w:rPr>
          <w:rFonts w:ascii="Times New Roman" w:hAnsi="Times New Roman" w:cs="Times New Roman"/>
          <w:i/>
          <w:iCs/>
          <w:sz w:val="24"/>
          <w:szCs w:val="24"/>
        </w:rPr>
        <w:t>Annual Review of Anthropology 41</w:t>
      </w:r>
      <w:r w:rsidRPr="00114A10">
        <w:rPr>
          <w:rFonts w:ascii="Times New Roman" w:hAnsi="Times New Roman" w:cs="Times New Roman"/>
          <w:sz w:val="24"/>
          <w:szCs w:val="24"/>
        </w:rPr>
        <w:t xml:space="preserve"> (2012): 235–50. http://www.jstor.org/stable/23270709 </w:t>
      </w:r>
    </w:p>
    <w:p w14:paraId="5CCFA2C4" w14:textId="77777777" w:rsidR="00985865" w:rsidRPr="00114A1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Ivanovich, Stepanov </w:t>
      </w:r>
      <w:proofErr w:type="spellStart"/>
      <w:r w:rsidRPr="00114A10">
        <w:rPr>
          <w:rFonts w:ascii="Times New Roman" w:hAnsi="Times New Roman" w:cs="Times New Roman"/>
          <w:sz w:val="24"/>
          <w:szCs w:val="24"/>
        </w:rPr>
        <w:t>Aiaal</w:t>
      </w:r>
      <w:proofErr w:type="spellEnd"/>
      <w:r w:rsidRPr="00114A10">
        <w:rPr>
          <w:rFonts w:ascii="Times New Roman" w:hAnsi="Times New Roman" w:cs="Times New Roman"/>
          <w:sz w:val="24"/>
          <w:szCs w:val="24"/>
        </w:rPr>
        <w:t xml:space="preserve">, Popova Natalia </w:t>
      </w:r>
      <w:proofErr w:type="spellStart"/>
      <w:r w:rsidRPr="00114A10">
        <w:rPr>
          <w:rFonts w:ascii="Times New Roman" w:hAnsi="Times New Roman" w:cs="Times New Roman"/>
          <w:sz w:val="24"/>
          <w:szCs w:val="24"/>
        </w:rPr>
        <w:t>Innokentevna</w:t>
      </w:r>
      <w:proofErr w:type="spellEnd"/>
      <w:r w:rsidRPr="00114A10">
        <w:rPr>
          <w:rFonts w:ascii="Times New Roman" w:hAnsi="Times New Roman" w:cs="Times New Roman"/>
          <w:sz w:val="24"/>
          <w:szCs w:val="24"/>
        </w:rPr>
        <w:t xml:space="preserve">, Romanova Ekaterina </w:t>
      </w:r>
      <w:proofErr w:type="spellStart"/>
      <w:r w:rsidRPr="00114A10">
        <w:rPr>
          <w:rFonts w:ascii="Times New Roman" w:hAnsi="Times New Roman" w:cs="Times New Roman"/>
          <w:sz w:val="24"/>
          <w:szCs w:val="24"/>
        </w:rPr>
        <w:t>Nazarovna</w:t>
      </w:r>
      <w:proofErr w:type="spellEnd"/>
      <w:r w:rsidRPr="00114A10">
        <w:rPr>
          <w:rFonts w:ascii="Times New Roman" w:hAnsi="Times New Roman" w:cs="Times New Roman"/>
          <w:sz w:val="24"/>
          <w:szCs w:val="24"/>
        </w:rPr>
        <w:t xml:space="preserve">, Ivanov </w:t>
      </w:r>
      <w:proofErr w:type="spellStart"/>
      <w:r w:rsidRPr="00114A10">
        <w:rPr>
          <w:rFonts w:ascii="Times New Roman" w:hAnsi="Times New Roman" w:cs="Times New Roman"/>
          <w:sz w:val="24"/>
          <w:szCs w:val="24"/>
        </w:rPr>
        <w:t>Revorii</w:t>
      </w:r>
      <w:proofErr w:type="spellEnd"/>
      <w:r w:rsidRPr="00114A10">
        <w:rPr>
          <w:rFonts w:ascii="Times New Roman" w:hAnsi="Times New Roman" w:cs="Times New Roman"/>
          <w:sz w:val="24"/>
          <w:szCs w:val="24"/>
        </w:rPr>
        <w:t xml:space="preserve"> Vasilevich, </w:t>
      </w:r>
      <w:proofErr w:type="spellStart"/>
      <w:r w:rsidRPr="00114A10">
        <w:rPr>
          <w:rFonts w:ascii="Times New Roman" w:hAnsi="Times New Roman" w:cs="Times New Roman"/>
          <w:sz w:val="24"/>
          <w:szCs w:val="24"/>
        </w:rPr>
        <w:t>Boyakova</w:t>
      </w:r>
      <w:proofErr w:type="spellEnd"/>
      <w:r w:rsidRPr="00114A10">
        <w:rPr>
          <w:rFonts w:ascii="Times New Roman" w:hAnsi="Times New Roman" w:cs="Times New Roman"/>
          <w:sz w:val="24"/>
          <w:szCs w:val="24"/>
        </w:rPr>
        <w:t xml:space="preserve"> Sardana </w:t>
      </w:r>
      <w:proofErr w:type="spellStart"/>
      <w:r w:rsidRPr="00114A10">
        <w:rPr>
          <w:rFonts w:ascii="Times New Roman" w:hAnsi="Times New Roman" w:cs="Times New Roman"/>
          <w:sz w:val="24"/>
          <w:szCs w:val="24"/>
        </w:rPr>
        <w:t>Ilinichna</w:t>
      </w:r>
      <w:proofErr w:type="spellEnd"/>
      <w:r w:rsidRPr="00114A10">
        <w:rPr>
          <w:rFonts w:ascii="Times New Roman" w:hAnsi="Times New Roman" w:cs="Times New Roman"/>
          <w:sz w:val="24"/>
          <w:szCs w:val="24"/>
        </w:rPr>
        <w:t xml:space="preserve">, and </w:t>
      </w:r>
      <w:proofErr w:type="spellStart"/>
      <w:r w:rsidRPr="00114A10">
        <w:rPr>
          <w:rFonts w:ascii="Times New Roman" w:hAnsi="Times New Roman" w:cs="Times New Roman"/>
          <w:sz w:val="24"/>
          <w:szCs w:val="24"/>
        </w:rPr>
        <w:t>Khompodoeva</w:t>
      </w:r>
      <w:proofErr w:type="spellEnd"/>
      <w:r w:rsidRPr="00114A10">
        <w:rPr>
          <w:rFonts w:ascii="Times New Roman" w:hAnsi="Times New Roman" w:cs="Times New Roman"/>
          <w:sz w:val="24"/>
          <w:szCs w:val="24"/>
        </w:rPr>
        <w:t xml:space="preserve"> </w:t>
      </w:r>
      <w:proofErr w:type="spellStart"/>
      <w:r w:rsidRPr="00114A10">
        <w:rPr>
          <w:rFonts w:ascii="Times New Roman" w:hAnsi="Times New Roman" w:cs="Times New Roman"/>
          <w:sz w:val="24"/>
          <w:szCs w:val="24"/>
        </w:rPr>
        <w:t>Uigulana</w:t>
      </w:r>
      <w:proofErr w:type="spellEnd"/>
      <w:r w:rsidRPr="00114A10">
        <w:rPr>
          <w:rFonts w:ascii="Times New Roman" w:hAnsi="Times New Roman" w:cs="Times New Roman"/>
          <w:sz w:val="24"/>
          <w:szCs w:val="24"/>
        </w:rPr>
        <w:t xml:space="preserve"> Viktorovna. 2018. “The Horse in the Life and Culture of Northern Nomads”. </w:t>
      </w:r>
      <w:r w:rsidRPr="00114A10">
        <w:rPr>
          <w:rFonts w:ascii="Times New Roman" w:hAnsi="Times New Roman" w:cs="Times New Roman"/>
          <w:i/>
          <w:iCs/>
          <w:sz w:val="24"/>
          <w:szCs w:val="24"/>
        </w:rPr>
        <w:t>Mongolian Journal of Agricultural Sciences</w:t>
      </w:r>
      <w:r w:rsidRPr="00114A10">
        <w:rPr>
          <w:rFonts w:ascii="Times New Roman" w:hAnsi="Times New Roman" w:cs="Times New Roman"/>
          <w:sz w:val="24"/>
          <w:szCs w:val="24"/>
        </w:rPr>
        <w:t xml:space="preserve"> 23 (01):47-51. </w:t>
      </w:r>
      <w:hyperlink r:id="rId12" w:history="1">
        <w:r w:rsidRPr="00114A10">
          <w:rPr>
            <w:rStyle w:val="Hyperlink"/>
            <w:rFonts w:ascii="Times New Roman" w:hAnsi="Times New Roman" w:cs="Times New Roman"/>
            <w:sz w:val="24"/>
            <w:szCs w:val="24"/>
          </w:rPr>
          <w:t>https://doi.org/10.5564/mjas.v23i01.1021</w:t>
        </w:r>
      </w:hyperlink>
      <w:r w:rsidRPr="00114A10">
        <w:rPr>
          <w:rFonts w:ascii="Times New Roman" w:hAnsi="Times New Roman" w:cs="Times New Roman"/>
          <w:sz w:val="24"/>
          <w:szCs w:val="24"/>
        </w:rPr>
        <w:t xml:space="preserve">. </w:t>
      </w:r>
    </w:p>
    <w:p w14:paraId="24A433DD" w14:textId="77777777" w:rsidR="00985865" w:rsidRPr="00114A10" w:rsidRDefault="00985865" w:rsidP="00985865">
      <w:pPr>
        <w:rPr>
          <w:rFonts w:ascii="Times New Roman" w:hAnsi="Times New Roman" w:cs="Times New Roman"/>
          <w:sz w:val="24"/>
          <w:szCs w:val="24"/>
        </w:rPr>
      </w:pPr>
      <w:proofErr w:type="spellStart"/>
      <w:r w:rsidRPr="00114A10">
        <w:rPr>
          <w:rFonts w:ascii="Times New Roman" w:hAnsi="Times New Roman" w:cs="Times New Roman"/>
          <w:sz w:val="24"/>
          <w:szCs w:val="24"/>
        </w:rPr>
        <w:t>Kazakevych</w:t>
      </w:r>
      <w:proofErr w:type="spellEnd"/>
      <w:r w:rsidRPr="00114A10">
        <w:rPr>
          <w:rFonts w:ascii="Times New Roman" w:hAnsi="Times New Roman" w:cs="Times New Roman"/>
          <w:sz w:val="24"/>
          <w:szCs w:val="24"/>
        </w:rPr>
        <w:t xml:space="preserve">, </w:t>
      </w:r>
      <w:proofErr w:type="spellStart"/>
      <w:r w:rsidRPr="00114A10">
        <w:rPr>
          <w:rFonts w:ascii="Times New Roman" w:hAnsi="Times New Roman" w:cs="Times New Roman"/>
          <w:sz w:val="24"/>
          <w:szCs w:val="24"/>
        </w:rPr>
        <w:t>Gennadii</w:t>
      </w:r>
      <w:proofErr w:type="spellEnd"/>
      <w:r w:rsidRPr="00114A10">
        <w:rPr>
          <w:rFonts w:ascii="Times New Roman" w:hAnsi="Times New Roman" w:cs="Times New Roman"/>
          <w:sz w:val="24"/>
          <w:szCs w:val="24"/>
        </w:rPr>
        <w:t xml:space="preserve">. “Horse Rider Image on the Coins of the Eastern Celts and the Cult of War Goddess.” </w:t>
      </w:r>
      <w:r w:rsidRPr="00114A10">
        <w:rPr>
          <w:rFonts w:ascii="Times New Roman" w:hAnsi="Times New Roman" w:cs="Times New Roman"/>
          <w:i/>
          <w:iCs/>
          <w:sz w:val="24"/>
          <w:szCs w:val="24"/>
        </w:rPr>
        <w:t>The Ukrainian Numismatic Annual 5</w:t>
      </w:r>
      <w:r w:rsidRPr="00114A10">
        <w:rPr>
          <w:rFonts w:ascii="Times New Roman" w:hAnsi="Times New Roman" w:cs="Times New Roman"/>
          <w:sz w:val="24"/>
          <w:szCs w:val="24"/>
        </w:rPr>
        <w:t xml:space="preserve"> (2021): 81-92. </w:t>
      </w:r>
      <w:hyperlink r:id="rId13" w:history="1">
        <w:r w:rsidRPr="00114A10">
          <w:rPr>
            <w:rStyle w:val="Hyperlink"/>
            <w:rFonts w:ascii="Times New Roman" w:hAnsi="Times New Roman" w:cs="Times New Roman"/>
            <w:sz w:val="24"/>
            <w:szCs w:val="24"/>
          </w:rPr>
          <w:t>https://doi.org/10.31470/2616-6275-2021-5-81-92</w:t>
        </w:r>
      </w:hyperlink>
      <w:r w:rsidRPr="00114A10">
        <w:rPr>
          <w:rFonts w:ascii="Times New Roman" w:hAnsi="Times New Roman" w:cs="Times New Roman"/>
          <w:sz w:val="24"/>
          <w:szCs w:val="24"/>
        </w:rPr>
        <w:t xml:space="preserve"> </w:t>
      </w:r>
    </w:p>
    <w:p w14:paraId="4A666606" w14:textId="77777777" w:rsidR="00985865" w:rsidRPr="00114A1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Alemu Alene Kebede (2023) “A short history of Awi </w:t>
      </w:r>
      <w:proofErr w:type="spellStart"/>
      <w:r w:rsidRPr="00114A10">
        <w:rPr>
          <w:rFonts w:ascii="Times New Roman" w:hAnsi="Times New Roman" w:cs="Times New Roman"/>
          <w:sz w:val="24"/>
          <w:szCs w:val="24"/>
        </w:rPr>
        <w:t>Agew</w:t>
      </w:r>
      <w:proofErr w:type="spellEnd"/>
      <w:r w:rsidRPr="00114A10">
        <w:rPr>
          <w:rFonts w:ascii="Times New Roman" w:hAnsi="Times New Roman" w:cs="Times New Roman"/>
          <w:sz w:val="24"/>
          <w:szCs w:val="24"/>
        </w:rPr>
        <w:t xml:space="preserve"> horse culture, Northwestern Ethiopia.” </w:t>
      </w:r>
      <w:r w:rsidRPr="00114A10">
        <w:rPr>
          <w:rFonts w:ascii="Times New Roman" w:hAnsi="Times New Roman" w:cs="Times New Roman"/>
          <w:i/>
          <w:iCs/>
          <w:sz w:val="24"/>
          <w:szCs w:val="24"/>
        </w:rPr>
        <w:t>Cogent Arts &amp; Humanities</w:t>
      </w:r>
      <w:r w:rsidRPr="00114A10">
        <w:rPr>
          <w:rFonts w:ascii="Times New Roman" w:hAnsi="Times New Roman" w:cs="Times New Roman"/>
          <w:sz w:val="24"/>
          <w:szCs w:val="24"/>
        </w:rPr>
        <w:t>, 10:1, 2231705, DOI: 10.1080/23311983.2023.2231705</w:t>
      </w:r>
    </w:p>
    <w:p w14:paraId="5564CB9F" w14:textId="71A56AA1" w:rsidR="00985865"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Mays, Melinda. “Inscriptions on British Celtic Coins.” </w:t>
      </w:r>
      <w:r w:rsidRPr="00114A10">
        <w:rPr>
          <w:rFonts w:ascii="Times New Roman" w:hAnsi="Times New Roman" w:cs="Times New Roman"/>
          <w:i/>
          <w:iCs/>
          <w:sz w:val="24"/>
          <w:szCs w:val="24"/>
        </w:rPr>
        <w:t>The Numismatic Chronicle</w:t>
      </w:r>
      <w:r w:rsidRPr="00114A10">
        <w:rPr>
          <w:rFonts w:ascii="Times New Roman" w:hAnsi="Times New Roman" w:cs="Times New Roman"/>
          <w:sz w:val="24"/>
          <w:szCs w:val="24"/>
        </w:rPr>
        <w:t xml:space="preserve"> (1966) 152 (1992): 57–82. </w:t>
      </w:r>
      <w:hyperlink r:id="rId14" w:history="1">
        <w:r w:rsidR="00451207" w:rsidRPr="00EA0539">
          <w:rPr>
            <w:rStyle w:val="Hyperlink"/>
            <w:rFonts w:ascii="Times New Roman" w:hAnsi="Times New Roman" w:cs="Times New Roman"/>
            <w:sz w:val="24"/>
            <w:szCs w:val="24"/>
          </w:rPr>
          <w:t>http://www.jstor.org/stable/42667833</w:t>
        </w:r>
      </w:hyperlink>
      <w:r w:rsidRPr="00114A10">
        <w:rPr>
          <w:rFonts w:ascii="Times New Roman" w:hAnsi="Times New Roman" w:cs="Times New Roman"/>
          <w:sz w:val="24"/>
          <w:szCs w:val="24"/>
        </w:rPr>
        <w:t xml:space="preserve"> </w:t>
      </w:r>
    </w:p>
    <w:p w14:paraId="77713DE3" w14:textId="013585D0" w:rsidR="00451207" w:rsidRPr="00114A10" w:rsidRDefault="00A97FF5" w:rsidP="00985865">
      <w:pPr>
        <w:rPr>
          <w:rFonts w:ascii="Times New Roman" w:hAnsi="Times New Roman" w:cs="Times New Roman"/>
          <w:sz w:val="24"/>
          <w:szCs w:val="24"/>
        </w:rPr>
      </w:pPr>
      <w:r w:rsidRPr="00A97FF5">
        <w:rPr>
          <w:rFonts w:ascii="Times New Roman" w:hAnsi="Times New Roman" w:cs="Times New Roman"/>
          <w:sz w:val="24"/>
          <w:szCs w:val="24"/>
        </w:rPr>
        <w:t>McCormick</w:t>
      </w:r>
      <w:r>
        <w:rPr>
          <w:rFonts w:ascii="Times New Roman" w:hAnsi="Times New Roman" w:cs="Times New Roman"/>
          <w:sz w:val="24"/>
          <w:szCs w:val="24"/>
        </w:rPr>
        <w:t>, Finbar</w:t>
      </w:r>
      <w:r w:rsidRPr="00A97FF5">
        <w:rPr>
          <w:rFonts w:ascii="Times New Roman" w:hAnsi="Times New Roman" w:cs="Times New Roman"/>
          <w:sz w:val="24"/>
          <w:szCs w:val="24"/>
        </w:rPr>
        <w:t xml:space="preserve">. </w:t>
      </w:r>
      <w:r>
        <w:rPr>
          <w:rFonts w:ascii="Times New Roman" w:hAnsi="Times New Roman" w:cs="Times New Roman"/>
          <w:sz w:val="24"/>
          <w:szCs w:val="24"/>
        </w:rPr>
        <w:t>“</w:t>
      </w:r>
      <w:r w:rsidRPr="00A97FF5">
        <w:rPr>
          <w:rFonts w:ascii="Times New Roman" w:hAnsi="Times New Roman" w:cs="Times New Roman"/>
          <w:sz w:val="24"/>
          <w:szCs w:val="24"/>
        </w:rPr>
        <w:t>The horse in early Ireland.</w:t>
      </w:r>
      <w:r>
        <w:rPr>
          <w:rFonts w:ascii="Times New Roman" w:hAnsi="Times New Roman" w:cs="Times New Roman"/>
          <w:sz w:val="24"/>
          <w:szCs w:val="24"/>
        </w:rPr>
        <w:t>”</w:t>
      </w:r>
      <w:r w:rsidRPr="00A97FF5">
        <w:rPr>
          <w:rFonts w:ascii="Times New Roman" w:hAnsi="Times New Roman" w:cs="Times New Roman"/>
          <w:sz w:val="24"/>
          <w:szCs w:val="24"/>
        </w:rPr>
        <w:t xml:space="preserve"> </w:t>
      </w:r>
      <w:proofErr w:type="spellStart"/>
      <w:r w:rsidRPr="00A97FF5">
        <w:rPr>
          <w:rFonts w:ascii="Times New Roman" w:hAnsi="Times New Roman" w:cs="Times New Roman"/>
          <w:i/>
          <w:iCs/>
          <w:sz w:val="24"/>
          <w:szCs w:val="24"/>
        </w:rPr>
        <w:t>Anthropozoologica</w:t>
      </w:r>
      <w:proofErr w:type="spellEnd"/>
      <w:r w:rsidRPr="00A97FF5">
        <w:rPr>
          <w:rFonts w:ascii="Times New Roman" w:hAnsi="Times New Roman" w:cs="Times New Roman"/>
          <w:sz w:val="24"/>
          <w:szCs w:val="24"/>
        </w:rPr>
        <w:t xml:space="preserve"> 42</w:t>
      </w:r>
      <w:r>
        <w:rPr>
          <w:rFonts w:ascii="Times New Roman" w:hAnsi="Times New Roman" w:cs="Times New Roman"/>
          <w:sz w:val="24"/>
          <w:szCs w:val="24"/>
        </w:rPr>
        <w:t>-1 (2007)</w:t>
      </w:r>
      <w:r w:rsidRPr="00A97FF5">
        <w:rPr>
          <w:rFonts w:ascii="Times New Roman" w:hAnsi="Times New Roman" w:cs="Times New Roman"/>
          <w:sz w:val="24"/>
          <w:szCs w:val="24"/>
        </w:rPr>
        <w:t>: 85-104.</w:t>
      </w:r>
    </w:p>
    <w:p w14:paraId="16E46BA1" w14:textId="61D0DCD5" w:rsidR="00985865" w:rsidRDefault="00985865" w:rsidP="00985865">
      <w:pPr>
        <w:rPr>
          <w:rFonts w:ascii="Times New Roman" w:hAnsi="Times New Roman" w:cs="Times New Roman"/>
          <w:sz w:val="24"/>
          <w:szCs w:val="24"/>
        </w:rPr>
      </w:pPr>
      <w:r w:rsidRPr="00114A10">
        <w:rPr>
          <w:rFonts w:ascii="Times New Roman" w:hAnsi="Times New Roman" w:cs="Times New Roman"/>
          <w:sz w:val="24"/>
          <w:szCs w:val="24"/>
        </w:rPr>
        <w:lastRenderedPageBreak/>
        <w:t xml:space="preserve">Nimura, Courtney, Helen Chittock, Peter Hommel, and Chris Gosden, eds. Art in the Eurasian Iron Age: Context, Connections and Scale. Oxbow Books, 2020. </w:t>
      </w:r>
      <w:hyperlink r:id="rId15" w:history="1">
        <w:r w:rsidR="00451207" w:rsidRPr="00EA0539">
          <w:rPr>
            <w:rStyle w:val="Hyperlink"/>
            <w:rFonts w:ascii="Times New Roman" w:hAnsi="Times New Roman" w:cs="Times New Roman"/>
            <w:sz w:val="24"/>
            <w:szCs w:val="24"/>
          </w:rPr>
          <w:t>https://doi.org/10.2307/j.ctv13gvh20</w:t>
        </w:r>
      </w:hyperlink>
      <w:r w:rsidRPr="00114A10">
        <w:rPr>
          <w:rFonts w:ascii="Times New Roman" w:hAnsi="Times New Roman" w:cs="Times New Roman"/>
          <w:sz w:val="24"/>
          <w:szCs w:val="24"/>
        </w:rPr>
        <w:t xml:space="preserve"> </w:t>
      </w:r>
    </w:p>
    <w:p w14:paraId="4A5FFA16" w14:textId="57199E37" w:rsidR="00451207" w:rsidRPr="00A80D0A" w:rsidRDefault="00451207" w:rsidP="00985865">
      <w:pPr>
        <w:rPr>
          <w:rFonts w:ascii="Times New Roman" w:hAnsi="Times New Roman" w:cs="Times New Roman"/>
          <w:sz w:val="24"/>
          <w:szCs w:val="24"/>
        </w:rPr>
      </w:pPr>
      <w:r w:rsidRPr="00BD1091">
        <w:rPr>
          <w:rFonts w:ascii="Times New Roman" w:hAnsi="Times New Roman" w:cs="Times New Roman"/>
          <w:sz w:val="24"/>
          <w:szCs w:val="24"/>
        </w:rPr>
        <w:t>Powell</w:t>
      </w:r>
      <w:r w:rsidR="00A80D0A" w:rsidRPr="00BD1091">
        <w:rPr>
          <w:rFonts w:ascii="Times New Roman" w:hAnsi="Times New Roman" w:cs="Times New Roman"/>
          <w:sz w:val="24"/>
          <w:szCs w:val="24"/>
        </w:rPr>
        <w:t xml:space="preserve">, Eric A.. “Horses and the Heavens.” </w:t>
      </w:r>
      <w:r w:rsidR="00A80D0A" w:rsidRPr="00BD1091">
        <w:rPr>
          <w:rFonts w:ascii="Times New Roman" w:hAnsi="Times New Roman" w:cs="Times New Roman"/>
          <w:i/>
          <w:iCs/>
          <w:sz w:val="24"/>
          <w:szCs w:val="24"/>
        </w:rPr>
        <w:t xml:space="preserve">Archaeology Magazine. </w:t>
      </w:r>
      <w:r w:rsidR="00A80D0A" w:rsidRPr="00BD1091">
        <w:rPr>
          <w:rFonts w:ascii="Times New Roman" w:hAnsi="Times New Roman" w:cs="Times New Roman"/>
          <w:sz w:val="24"/>
          <w:szCs w:val="24"/>
        </w:rPr>
        <w:t xml:space="preserve">July/August 2015. </w:t>
      </w:r>
      <w:hyperlink r:id="rId16" w:history="1">
        <w:r w:rsidR="00A80D0A" w:rsidRPr="00BD1091">
          <w:rPr>
            <w:rStyle w:val="Hyperlink"/>
            <w:rFonts w:ascii="Times New Roman" w:hAnsi="Times New Roman" w:cs="Times New Roman"/>
            <w:sz w:val="24"/>
            <w:szCs w:val="24"/>
          </w:rPr>
          <w:t>https://archaeology.org/issues/july-august-2015/collection/horses-role-in-myth-and-religion/the-story-of-the-horse/</w:t>
        </w:r>
      </w:hyperlink>
      <w:r w:rsidR="00A80D0A">
        <w:rPr>
          <w:rFonts w:ascii="Times New Roman" w:hAnsi="Times New Roman" w:cs="Times New Roman"/>
          <w:sz w:val="24"/>
          <w:szCs w:val="24"/>
        </w:rPr>
        <w:t xml:space="preserve"> </w:t>
      </w:r>
    </w:p>
    <w:p w14:paraId="5401C34C" w14:textId="77777777" w:rsidR="00985865" w:rsidRPr="00114A1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Randall, Clare. “Horse Country: Keeping – and eating – Iron Age horses at Ludgershall.” </w:t>
      </w:r>
      <w:r w:rsidRPr="00114A10">
        <w:rPr>
          <w:rFonts w:ascii="Times New Roman" w:hAnsi="Times New Roman" w:cs="Times New Roman"/>
          <w:i/>
          <w:iCs/>
          <w:sz w:val="24"/>
          <w:szCs w:val="24"/>
        </w:rPr>
        <w:t xml:space="preserve">Cotswolds Archaeology. </w:t>
      </w:r>
      <w:r w:rsidRPr="00114A10">
        <w:rPr>
          <w:rFonts w:ascii="Times New Roman" w:hAnsi="Times New Roman" w:cs="Times New Roman"/>
          <w:sz w:val="24"/>
          <w:szCs w:val="24"/>
        </w:rPr>
        <w:t>7</w:t>
      </w:r>
      <w:r w:rsidRPr="00114A10">
        <w:rPr>
          <w:rFonts w:ascii="Times New Roman" w:hAnsi="Times New Roman" w:cs="Times New Roman"/>
          <w:sz w:val="24"/>
          <w:szCs w:val="24"/>
          <w:vertAlign w:val="superscript"/>
        </w:rPr>
        <w:t>th</w:t>
      </w:r>
      <w:r w:rsidRPr="00114A10">
        <w:rPr>
          <w:rFonts w:ascii="Times New Roman" w:hAnsi="Times New Roman" w:cs="Times New Roman"/>
          <w:sz w:val="24"/>
          <w:szCs w:val="24"/>
        </w:rPr>
        <w:t xml:space="preserve"> June 2022. </w:t>
      </w:r>
    </w:p>
    <w:p w14:paraId="00FAE35F" w14:textId="513D1861" w:rsidR="00451207" w:rsidRDefault="004A5171" w:rsidP="00985865">
      <w:pPr>
        <w:rPr>
          <w:rFonts w:ascii="Times New Roman" w:hAnsi="Times New Roman" w:cs="Times New Roman"/>
          <w:sz w:val="24"/>
          <w:szCs w:val="24"/>
        </w:rPr>
      </w:pPr>
      <w:r w:rsidRPr="004A5171">
        <w:rPr>
          <w:rFonts w:ascii="Times New Roman" w:hAnsi="Times New Roman" w:cs="Times New Roman"/>
          <w:sz w:val="24"/>
          <w:szCs w:val="24"/>
        </w:rPr>
        <w:t>Rosengren, E.</w:t>
      </w:r>
      <w:r>
        <w:rPr>
          <w:rFonts w:ascii="Times New Roman" w:hAnsi="Times New Roman" w:cs="Times New Roman"/>
          <w:sz w:val="24"/>
          <w:szCs w:val="24"/>
        </w:rPr>
        <w:t>. “</w:t>
      </w:r>
      <w:r w:rsidRPr="004A5171">
        <w:rPr>
          <w:rFonts w:ascii="Times New Roman" w:hAnsi="Times New Roman" w:cs="Times New Roman"/>
          <w:sz w:val="24"/>
          <w:szCs w:val="24"/>
        </w:rPr>
        <w:t>The Iron Age horse.</w:t>
      </w:r>
      <w:r>
        <w:rPr>
          <w:rFonts w:ascii="Times New Roman" w:hAnsi="Times New Roman" w:cs="Times New Roman"/>
          <w:sz w:val="24"/>
          <w:szCs w:val="24"/>
        </w:rPr>
        <w:t>”</w:t>
      </w:r>
      <w:r w:rsidRPr="004A5171">
        <w:rPr>
          <w:rFonts w:ascii="Times New Roman" w:hAnsi="Times New Roman" w:cs="Times New Roman"/>
          <w:sz w:val="24"/>
          <w:szCs w:val="24"/>
        </w:rPr>
        <w:t xml:space="preserve"> In</w:t>
      </w:r>
      <w:r w:rsidR="00875AFC">
        <w:rPr>
          <w:rFonts w:ascii="Times New Roman" w:hAnsi="Times New Roman" w:cs="Times New Roman"/>
          <w:sz w:val="24"/>
          <w:szCs w:val="24"/>
        </w:rPr>
        <w:t xml:space="preserve"> </w:t>
      </w:r>
      <w:r w:rsidRPr="00875AFC">
        <w:rPr>
          <w:rFonts w:ascii="Times New Roman" w:hAnsi="Times New Roman" w:cs="Times New Roman"/>
          <w:i/>
          <w:iCs/>
          <w:sz w:val="24"/>
          <w:szCs w:val="24"/>
        </w:rPr>
        <w:t xml:space="preserve">The </w:t>
      </w:r>
      <w:proofErr w:type="spellStart"/>
      <w:r w:rsidRPr="00875AFC">
        <w:rPr>
          <w:rFonts w:ascii="Times New Roman" w:hAnsi="Times New Roman" w:cs="Times New Roman"/>
          <w:i/>
          <w:iCs/>
          <w:sz w:val="24"/>
          <w:szCs w:val="24"/>
        </w:rPr>
        <w:t>Sösdala</w:t>
      </w:r>
      <w:proofErr w:type="spellEnd"/>
      <w:r w:rsidRPr="00875AFC">
        <w:rPr>
          <w:rFonts w:ascii="Times New Roman" w:hAnsi="Times New Roman" w:cs="Times New Roman"/>
          <w:i/>
          <w:iCs/>
          <w:sz w:val="24"/>
          <w:szCs w:val="24"/>
        </w:rPr>
        <w:t xml:space="preserve"> horsemen – and the equestrian elite of fifth century Europe</w:t>
      </w:r>
      <w:r w:rsidR="00875AFC">
        <w:rPr>
          <w:rFonts w:ascii="Times New Roman" w:hAnsi="Times New Roman" w:cs="Times New Roman"/>
          <w:sz w:val="24"/>
          <w:szCs w:val="24"/>
        </w:rPr>
        <w:t xml:space="preserve">, edited by C. Fabech and U. </w:t>
      </w:r>
      <w:proofErr w:type="spellStart"/>
      <w:r w:rsidR="00875AFC" w:rsidRPr="004A5171">
        <w:rPr>
          <w:rFonts w:ascii="Times New Roman" w:hAnsi="Times New Roman" w:cs="Times New Roman"/>
          <w:sz w:val="24"/>
          <w:szCs w:val="24"/>
        </w:rPr>
        <w:t>Näsman</w:t>
      </w:r>
      <w:proofErr w:type="spellEnd"/>
      <w:r w:rsidR="00875AFC">
        <w:rPr>
          <w:rFonts w:ascii="Times New Roman" w:hAnsi="Times New Roman" w:cs="Times New Roman"/>
          <w:sz w:val="24"/>
          <w:szCs w:val="24"/>
        </w:rPr>
        <w:t>.</w:t>
      </w:r>
      <w:r w:rsidR="00A321C7">
        <w:rPr>
          <w:rFonts w:ascii="Times New Roman" w:hAnsi="Times New Roman" w:cs="Times New Roman"/>
          <w:sz w:val="24"/>
          <w:szCs w:val="24"/>
        </w:rPr>
        <w:t xml:space="preserve"> Aarhus:</w:t>
      </w:r>
      <w:r w:rsidR="00875AFC">
        <w:rPr>
          <w:rFonts w:ascii="Times New Roman" w:hAnsi="Times New Roman" w:cs="Times New Roman"/>
          <w:sz w:val="24"/>
          <w:szCs w:val="24"/>
        </w:rPr>
        <w:t xml:space="preserve"> </w:t>
      </w:r>
      <w:r w:rsidRPr="004A5171">
        <w:rPr>
          <w:rFonts w:ascii="Times New Roman" w:hAnsi="Times New Roman" w:cs="Times New Roman"/>
          <w:sz w:val="24"/>
          <w:szCs w:val="24"/>
        </w:rPr>
        <w:t>Jutland Archaeological Society</w:t>
      </w:r>
      <w:r>
        <w:rPr>
          <w:rFonts w:ascii="Times New Roman" w:hAnsi="Times New Roman" w:cs="Times New Roman"/>
          <w:sz w:val="24"/>
          <w:szCs w:val="24"/>
        </w:rPr>
        <w:t xml:space="preserve"> (2017)</w:t>
      </w:r>
      <w:r w:rsidRPr="004A5171">
        <w:rPr>
          <w:rFonts w:ascii="Times New Roman" w:hAnsi="Times New Roman" w:cs="Times New Roman"/>
          <w:sz w:val="24"/>
          <w:szCs w:val="24"/>
        </w:rPr>
        <w:t>.</w:t>
      </w:r>
      <w:r w:rsidR="00875AFC">
        <w:rPr>
          <w:rFonts w:ascii="Times New Roman" w:hAnsi="Times New Roman" w:cs="Times New Roman"/>
          <w:sz w:val="24"/>
          <w:szCs w:val="24"/>
        </w:rPr>
        <w:t xml:space="preserve"> </w:t>
      </w:r>
    </w:p>
    <w:p w14:paraId="774F4483" w14:textId="06384317" w:rsidR="00451207" w:rsidRPr="00451207" w:rsidRDefault="00451207" w:rsidP="00985865">
      <w:pPr>
        <w:rPr>
          <w:rFonts w:ascii="Times New Roman" w:hAnsi="Times New Roman" w:cs="Times New Roman"/>
          <w:sz w:val="24"/>
          <w:szCs w:val="24"/>
        </w:rPr>
      </w:pPr>
      <w:r w:rsidRPr="007931FF">
        <w:rPr>
          <w:rFonts w:ascii="Times New Roman" w:hAnsi="Times New Roman" w:cs="Times New Roman"/>
          <w:sz w:val="24"/>
          <w:szCs w:val="24"/>
        </w:rPr>
        <w:t>Sullivan, Ryan. “</w:t>
      </w:r>
      <w:r w:rsidRPr="007931FF">
        <w:rPr>
          <w:rFonts w:ascii="Times New Roman" w:hAnsi="Times New Roman" w:cs="Times New Roman"/>
          <w:sz w:val="24"/>
          <w:szCs w:val="24"/>
        </w:rPr>
        <w:t>Striking the Sacred: Religious Imagery on British Iron Age Coins</w:t>
      </w:r>
      <w:r w:rsidRPr="007931FF">
        <w:rPr>
          <w:rFonts w:ascii="Times New Roman" w:hAnsi="Times New Roman" w:cs="Times New Roman"/>
          <w:sz w:val="24"/>
          <w:szCs w:val="24"/>
        </w:rPr>
        <w:t xml:space="preserve">.” </w:t>
      </w:r>
      <w:r w:rsidRPr="007931FF">
        <w:rPr>
          <w:rFonts w:ascii="Times New Roman" w:hAnsi="Times New Roman" w:cs="Times New Roman"/>
          <w:i/>
          <w:iCs/>
          <w:sz w:val="24"/>
          <w:szCs w:val="24"/>
        </w:rPr>
        <w:t>M</w:t>
      </w:r>
      <w:r w:rsidR="007931FF" w:rsidRPr="007931FF">
        <w:rPr>
          <w:rFonts w:ascii="Times New Roman" w:hAnsi="Times New Roman" w:cs="Times New Roman"/>
          <w:i/>
          <w:iCs/>
          <w:sz w:val="24"/>
          <w:szCs w:val="24"/>
        </w:rPr>
        <w:t xml:space="preserve">A Archaeology </w:t>
      </w:r>
      <w:r w:rsidRPr="007931FF">
        <w:rPr>
          <w:rFonts w:ascii="Times New Roman" w:hAnsi="Times New Roman" w:cs="Times New Roman"/>
          <w:i/>
          <w:iCs/>
          <w:sz w:val="24"/>
          <w:szCs w:val="24"/>
        </w:rPr>
        <w:t xml:space="preserve">Thesis, </w:t>
      </w:r>
      <w:r w:rsidR="007931FF">
        <w:rPr>
          <w:rFonts w:ascii="Times New Roman" w:hAnsi="Times New Roman" w:cs="Times New Roman"/>
          <w:sz w:val="24"/>
          <w:szCs w:val="24"/>
        </w:rPr>
        <w:t xml:space="preserve">Cardiff: </w:t>
      </w:r>
      <w:r w:rsidRPr="007931FF">
        <w:rPr>
          <w:rFonts w:ascii="Times New Roman" w:hAnsi="Times New Roman" w:cs="Times New Roman"/>
          <w:sz w:val="24"/>
          <w:szCs w:val="24"/>
        </w:rPr>
        <w:t>U</w:t>
      </w:r>
      <w:r w:rsidR="007931FF" w:rsidRPr="007931FF">
        <w:rPr>
          <w:rFonts w:ascii="Times New Roman" w:hAnsi="Times New Roman" w:cs="Times New Roman"/>
          <w:sz w:val="24"/>
          <w:szCs w:val="24"/>
        </w:rPr>
        <w:t>niversity of Cardiff</w:t>
      </w:r>
      <w:r w:rsidRPr="007931FF">
        <w:rPr>
          <w:rFonts w:ascii="Times New Roman" w:hAnsi="Times New Roman" w:cs="Times New Roman"/>
          <w:i/>
          <w:iCs/>
          <w:sz w:val="24"/>
          <w:szCs w:val="24"/>
        </w:rPr>
        <w:t xml:space="preserve"> </w:t>
      </w:r>
      <w:r w:rsidRPr="007931FF">
        <w:rPr>
          <w:rFonts w:ascii="Times New Roman" w:hAnsi="Times New Roman" w:cs="Times New Roman"/>
          <w:sz w:val="24"/>
          <w:szCs w:val="24"/>
        </w:rPr>
        <w:t>(2010).</w:t>
      </w:r>
      <w:r>
        <w:rPr>
          <w:rFonts w:ascii="Times New Roman" w:hAnsi="Times New Roman" w:cs="Times New Roman"/>
          <w:sz w:val="24"/>
          <w:szCs w:val="24"/>
        </w:rPr>
        <w:t xml:space="preserve"> </w:t>
      </w:r>
    </w:p>
    <w:p w14:paraId="4D8997F9" w14:textId="77777777" w:rsidR="00985865" w:rsidRPr="00114A10" w:rsidRDefault="00985865" w:rsidP="00985865">
      <w:pPr>
        <w:rPr>
          <w:rFonts w:ascii="Times New Roman" w:hAnsi="Times New Roman" w:cs="Times New Roman"/>
          <w:sz w:val="24"/>
          <w:szCs w:val="24"/>
        </w:rPr>
      </w:pPr>
      <w:r w:rsidRPr="00114A10">
        <w:rPr>
          <w:rFonts w:ascii="Times New Roman" w:hAnsi="Times New Roman" w:cs="Times New Roman"/>
          <w:sz w:val="24"/>
          <w:szCs w:val="24"/>
        </w:rPr>
        <w:t xml:space="preserve">Van Heesch, Johan. “Celtic Coins and Religious Deposits in Belgium.” In </w:t>
      </w:r>
      <w:r w:rsidRPr="00114A10">
        <w:rPr>
          <w:rFonts w:ascii="Times New Roman" w:hAnsi="Times New Roman" w:cs="Times New Roman"/>
          <w:i/>
          <w:iCs/>
          <w:sz w:val="24"/>
          <w:szCs w:val="24"/>
        </w:rPr>
        <w:t>Ritual and Iron Age Coinage in North-West Europe</w:t>
      </w:r>
      <w:r w:rsidRPr="00114A10">
        <w:rPr>
          <w:rFonts w:ascii="Times New Roman" w:hAnsi="Times New Roman" w:cs="Times New Roman"/>
          <w:sz w:val="24"/>
          <w:szCs w:val="24"/>
        </w:rPr>
        <w:t xml:space="preserve">, edited by C. Haselgrove and D. Wigg. Philipp von </w:t>
      </w:r>
      <w:proofErr w:type="spellStart"/>
      <w:r w:rsidRPr="00114A10">
        <w:rPr>
          <w:rFonts w:ascii="Times New Roman" w:hAnsi="Times New Roman" w:cs="Times New Roman"/>
          <w:sz w:val="24"/>
          <w:szCs w:val="24"/>
        </w:rPr>
        <w:t>Zabern</w:t>
      </w:r>
      <w:proofErr w:type="spellEnd"/>
      <w:r w:rsidRPr="00114A10">
        <w:rPr>
          <w:rFonts w:ascii="Times New Roman" w:hAnsi="Times New Roman" w:cs="Times New Roman"/>
          <w:sz w:val="24"/>
          <w:szCs w:val="24"/>
        </w:rPr>
        <w:t xml:space="preserve">, 2005. </w:t>
      </w:r>
    </w:p>
    <w:p w14:paraId="3297FEA1" w14:textId="77777777" w:rsidR="00985865" w:rsidRPr="00114A10" w:rsidRDefault="00985865" w:rsidP="00985865">
      <w:pPr>
        <w:rPr>
          <w:rFonts w:ascii="Times New Roman" w:hAnsi="Times New Roman" w:cs="Times New Roman"/>
          <w:sz w:val="24"/>
          <w:szCs w:val="24"/>
        </w:rPr>
      </w:pPr>
      <w:proofErr w:type="spellStart"/>
      <w:r w:rsidRPr="00114A10">
        <w:rPr>
          <w:rFonts w:ascii="Times New Roman" w:hAnsi="Times New Roman" w:cs="Times New Roman"/>
          <w:sz w:val="24"/>
          <w:szCs w:val="24"/>
        </w:rPr>
        <w:t>Warmind</w:t>
      </w:r>
      <w:proofErr w:type="spellEnd"/>
      <w:r w:rsidRPr="00114A10">
        <w:rPr>
          <w:rFonts w:ascii="Times New Roman" w:hAnsi="Times New Roman" w:cs="Times New Roman"/>
          <w:sz w:val="24"/>
          <w:szCs w:val="24"/>
        </w:rPr>
        <w:t xml:space="preserve">, Morten. “Once More the Celtic Horse-Goddess.” </w:t>
      </w:r>
      <w:r w:rsidRPr="00114A10">
        <w:rPr>
          <w:rFonts w:ascii="Times New Roman" w:hAnsi="Times New Roman" w:cs="Times New Roman"/>
          <w:i/>
          <w:iCs/>
          <w:sz w:val="24"/>
          <w:szCs w:val="24"/>
        </w:rPr>
        <w:t>Proceedings of the</w:t>
      </w:r>
      <w:r w:rsidRPr="00114A10">
        <w:rPr>
          <w:rFonts w:ascii="Times New Roman" w:hAnsi="Times New Roman" w:cs="Times New Roman"/>
          <w:sz w:val="24"/>
          <w:szCs w:val="24"/>
        </w:rPr>
        <w:t xml:space="preserve"> </w:t>
      </w:r>
      <w:r w:rsidRPr="00114A10">
        <w:rPr>
          <w:rFonts w:ascii="Times New Roman" w:hAnsi="Times New Roman" w:cs="Times New Roman"/>
          <w:i/>
          <w:iCs/>
          <w:sz w:val="24"/>
          <w:szCs w:val="24"/>
        </w:rPr>
        <w:t>Harvard Celtic Colloquium 36</w:t>
      </w:r>
      <w:r w:rsidRPr="00114A10">
        <w:rPr>
          <w:rFonts w:ascii="Times New Roman" w:hAnsi="Times New Roman" w:cs="Times New Roman"/>
          <w:sz w:val="24"/>
          <w:szCs w:val="24"/>
        </w:rPr>
        <w:t xml:space="preserve"> (2016): 231–40. </w:t>
      </w:r>
      <w:hyperlink r:id="rId17" w:history="1">
        <w:r w:rsidRPr="00114A10">
          <w:rPr>
            <w:rStyle w:val="Hyperlink"/>
            <w:rFonts w:ascii="Times New Roman" w:hAnsi="Times New Roman" w:cs="Times New Roman"/>
            <w:sz w:val="24"/>
            <w:szCs w:val="24"/>
          </w:rPr>
          <w:t>http://www.jstor.org/stable/26383351</w:t>
        </w:r>
      </w:hyperlink>
      <w:r w:rsidRPr="00114A10">
        <w:rPr>
          <w:rFonts w:ascii="Times New Roman" w:hAnsi="Times New Roman" w:cs="Times New Roman"/>
          <w:sz w:val="24"/>
          <w:szCs w:val="24"/>
        </w:rPr>
        <w:t xml:space="preserve"> </w:t>
      </w:r>
    </w:p>
    <w:p w14:paraId="648F4BA5" w14:textId="50268EFC" w:rsidR="00922A91" w:rsidRPr="00985865" w:rsidRDefault="00985865">
      <w:pPr>
        <w:rPr>
          <w:rFonts w:ascii="Times New Roman" w:hAnsi="Times New Roman" w:cs="Times New Roman"/>
          <w:sz w:val="24"/>
          <w:szCs w:val="24"/>
        </w:rPr>
      </w:pPr>
      <w:r w:rsidRPr="00114A10">
        <w:rPr>
          <w:rFonts w:ascii="Times New Roman" w:hAnsi="Times New Roman" w:cs="Times New Roman"/>
          <w:sz w:val="24"/>
          <w:szCs w:val="24"/>
        </w:rPr>
        <w:t xml:space="preserve">Wills, Matthew. “What Does it Mean to be Celtic?” </w:t>
      </w:r>
      <w:r w:rsidRPr="00114A10">
        <w:rPr>
          <w:rFonts w:ascii="Times New Roman" w:hAnsi="Times New Roman" w:cs="Times New Roman"/>
          <w:i/>
          <w:iCs/>
          <w:sz w:val="24"/>
          <w:szCs w:val="24"/>
        </w:rPr>
        <w:t>JSTOR Daily</w:t>
      </w:r>
      <w:r w:rsidRPr="00114A10">
        <w:rPr>
          <w:rFonts w:ascii="Times New Roman" w:hAnsi="Times New Roman" w:cs="Times New Roman"/>
          <w:sz w:val="24"/>
          <w:szCs w:val="24"/>
        </w:rPr>
        <w:t xml:space="preserve">. 19th June 2019.  </w:t>
      </w:r>
      <w:hyperlink r:id="rId18" w:history="1">
        <w:r w:rsidRPr="00114A10">
          <w:rPr>
            <w:rStyle w:val="Hyperlink"/>
            <w:rFonts w:ascii="Times New Roman" w:hAnsi="Times New Roman" w:cs="Times New Roman"/>
            <w:sz w:val="24"/>
            <w:szCs w:val="24"/>
          </w:rPr>
          <w:t>https://daily.jstor.org/what-does-it-mean-to-be-celtic/</w:t>
        </w:r>
      </w:hyperlink>
      <w:r w:rsidRPr="00114A10">
        <w:rPr>
          <w:rFonts w:ascii="Times New Roman" w:hAnsi="Times New Roman" w:cs="Times New Roman"/>
          <w:sz w:val="24"/>
          <w:szCs w:val="24"/>
        </w:rPr>
        <w:t xml:space="preserve"> </w:t>
      </w:r>
      <w:r w:rsidRPr="00985865">
        <w:rPr>
          <w:rFonts w:ascii="Times New Roman" w:hAnsi="Times New Roman" w:cs="Times New Roman"/>
          <w:sz w:val="24"/>
          <w:szCs w:val="24"/>
        </w:rPr>
        <w:t xml:space="preserve"> </w:t>
      </w:r>
    </w:p>
    <w:sectPr w:rsidR="00922A91" w:rsidRPr="009858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E47"/>
    <w:rsid w:val="000526E1"/>
    <w:rsid w:val="00097E9F"/>
    <w:rsid w:val="000B059E"/>
    <w:rsid w:val="00113232"/>
    <w:rsid w:val="001179CB"/>
    <w:rsid w:val="00123429"/>
    <w:rsid w:val="00162018"/>
    <w:rsid w:val="001B7CF6"/>
    <w:rsid w:val="001D0D6A"/>
    <w:rsid w:val="001E0BB8"/>
    <w:rsid w:val="001F0F2F"/>
    <w:rsid w:val="00203A6F"/>
    <w:rsid w:val="00316249"/>
    <w:rsid w:val="003E6113"/>
    <w:rsid w:val="003E6D4B"/>
    <w:rsid w:val="004001AA"/>
    <w:rsid w:val="00451207"/>
    <w:rsid w:val="00460950"/>
    <w:rsid w:val="0046296A"/>
    <w:rsid w:val="00477407"/>
    <w:rsid w:val="004868BC"/>
    <w:rsid w:val="004A3BB7"/>
    <w:rsid w:val="004A5171"/>
    <w:rsid w:val="004B74A0"/>
    <w:rsid w:val="004F22EF"/>
    <w:rsid w:val="00510D39"/>
    <w:rsid w:val="00513590"/>
    <w:rsid w:val="00526B9B"/>
    <w:rsid w:val="005B6A9D"/>
    <w:rsid w:val="0060666C"/>
    <w:rsid w:val="00640FFD"/>
    <w:rsid w:val="00652425"/>
    <w:rsid w:val="006600DB"/>
    <w:rsid w:val="00683380"/>
    <w:rsid w:val="00691165"/>
    <w:rsid w:val="006B3BD4"/>
    <w:rsid w:val="006C4054"/>
    <w:rsid w:val="006D1AF9"/>
    <w:rsid w:val="00727867"/>
    <w:rsid w:val="007636EB"/>
    <w:rsid w:val="0076708E"/>
    <w:rsid w:val="007931FF"/>
    <w:rsid w:val="007A64DE"/>
    <w:rsid w:val="007B6FF0"/>
    <w:rsid w:val="007E1033"/>
    <w:rsid w:val="00813E6B"/>
    <w:rsid w:val="0086449D"/>
    <w:rsid w:val="008726CD"/>
    <w:rsid w:val="00873814"/>
    <w:rsid w:val="00875AFC"/>
    <w:rsid w:val="00922442"/>
    <w:rsid w:val="00922A91"/>
    <w:rsid w:val="00931C60"/>
    <w:rsid w:val="00985865"/>
    <w:rsid w:val="009F7E47"/>
    <w:rsid w:val="00A21326"/>
    <w:rsid w:val="00A321C7"/>
    <w:rsid w:val="00A51EA9"/>
    <w:rsid w:val="00A80D0A"/>
    <w:rsid w:val="00A97FF5"/>
    <w:rsid w:val="00AA0016"/>
    <w:rsid w:val="00AF7EDB"/>
    <w:rsid w:val="00B96C84"/>
    <w:rsid w:val="00BD1091"/>
    <w:rsid w:val="00C33E07"/>
    <w:rsid w:val="00C458B1"/>
    <w:rsid w:val="00D16219"/>
    <w:rsid w:val="00D51314"/>
    <w:rsid w:val="00D70F3B"/>
    <w:rsid w:val="00DF3C93"/>
    <w:rsid w:val="00E00014"/>
    <w:rsid w:val="00EE71B8"/>
    <w:rsid w:val="00F717D9"/>
    <w:rsid w:val="00FE0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86B57"/>
  <w15:chartTrackingRefBased/>
  <w15:docId w15:val="{D5880EEA-DB80-4938-914D-84D8B0F01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E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7E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7E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7E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7E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7E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E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E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E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E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7E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7E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7E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7E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7E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E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E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E47"/>
    <w:rPr>
      <w:rFonts w:eastAsiaTheme="majorEastAsia" w:cstheme="majorBidi"/>
      <w:color w:val="272727" w:themeColor="text1" w:themeTint="D8"/>
    </w:rPr>
  </w:style>
  <w:style w:type="paragraph" w:styleId="Title">
    <w:name w:val="Title"/>
    <w:basedOn w:val="Normal"/>
    <w:next w:val="Normal"/>
    <w:link w:val="TitleChar"/>
    <w:uiPriority w:val="10"/>
    <w:qFormat/>
    <w:rsid w:val="009F7E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E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E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E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E47"/>
    <w:pPr>
      <w:spacing w:before="160"/>
      <w:jc w:val="center"/>
    </w:pPr>
    <w:rPr>
      <w:i/>
      <w:iCs/>
      <w:color w:val="404040" w:themeColor="text1" w:themeTint="BF"/>
    </w:rPr>
  </w:style>
  <w:style w:type="character" w:customStyle="1" w:styleId="QuoteChar">
    <w:name w:val="Quote Char"/>
    <w:basedOn w:val="DefaultParagraphFont"/>
    <w:link w:val="Quote"/>
    <w:uiPriority w:val="29"/>
    <w:rsid w:val="009F7E47"/>
    <w:rPr>
      <w:i/>
      <w:iCs/>
      <w:color w:val="404040" w:themeColor="text1" w:themeTint="BF"/>
    </w:rPr>
  </w:style>
  <w:style w:type="paragraph" w:styleId="ListParagraph">
    <w:name w:val="List Paragraph"/>
    <w:basedOn w:val="Normal"/>
    <w:uiPriority w:val="34"/>
    <w:qFormat/>
    <w:rsid w:val="009F7E47"/>
    <w:pPr>
      <w:ind w:left="720"/>
      <w:contextualSpacing/>
    </w:pPr>
  </w:style>
  <w:style w:type="character" w:styleId="IntenseEmphasis">
    <w:name w:val="Intense Emphasis"/>
    <w:basedOn w:val="DefaultParagraphFont"/>
    <w:uiPriority w:val="21"/>
    <w:qFormat/>
    <w:rsid w:val="009F7E47"/>
    <w:rPr>
      <w:i/>
      <w:iCs/>
      <w:color w:val="0F4761" w:themeColor="accent1" w:themeShade="BF"/>
    </w:rPr>
  </w:style>
  <w:style w:type="paragraph" w:styleId="IntenseQuote">
    <w:name w:val="Intense Quote"/>
    <w:basedOn w:val="Normal"/>
    <w:next w:val="Normal"/>
    <w:link w:val="IntenseQuoteChar"/>
    <w:uiPriority w:val="30"/>
    <w:qFormat/>
    <w:rsid w:val="009F7E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7E47"/>
    <w:rPr>
      <w:i/>
      <w:iCs/>
      <w:color w:val="0F4761" w:themeColor="accent1" w:themeShade="BF"/>
    </w:rPr>
  </w:style>
  <w:style w:type="character" w:styleId="IntenseReference">
    <w:name w:val="Intense Reference"/>
    <w:basedOn w:val="DefaultParagraphFont"/>
    <w:uiPriority w:val="32"/>
    <w:qFormat/>
    <w:rsid w:val="009F7E47"/>
    <w:rPr>
      <w:b/>
      <w:bCs/>
      <w:smallCaps/>
      <w:color w:val="0F4761" w:themeColor="accent1" w:themeShade="BF"/>
      <w:spacing w:val="5"/>
    </w:rPr>
  </w:style>
  <w:style w:type="character" w:styleId="Hyperlink">
    <w:name w:val="Hyperlink"/>
    <w:basedOn w:val="DefaultParagraphFont"/>
    <w:uiPriority w:val="99"/>
    <w:unhideWhenUsed/>
    <w:rsid w:val="00A51EA9"/>
    <w:rPr>
      <w:color w:val="467886" w:themeColor="hyperlink"/>
      <w:u w:val="single"/>
    </w:rPr>
  </w:style>
  <w:style w:type="character" w:styleId="UnresolvedMention">
    <w:name w:val="Unresolved Mention"/>
    <w:basedOn w:val="DefaultParagraphFont"/>
    <w:uiPriority w:val="99"/>
    <w:semiHidden/>
    <w:unhideWhenUsed/>
    <w:rsid w:val="004512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025525">
      <w:bodyDiv w:val="1"/>
      <w:marLeft w:val="0"/>
      <w:marRight w:val="0"/>
      <w:marTop w:val="0"/>
      <w:marBottom w:val="0"/>
      <w:divBdr>
        <w:top w:val="none" w:sz="0" w:space="0" w:color="auto"/>
        <w:left w:val="none" w:sz="0" w:space="0" w:color="auto"/>
        <w:bottom w:val="none" w:sz="0" w:space="0" w:color="auto"/>
        <w:right w:val="none" w:sz="0" w:space="0" w:color="auto"/>
      </w:divBdr>
      <w:divsChild>
        <w:div w:id="1441873636">
          <w:marLeft w:val="0"/>
          <w:marRight w:val="0"/>
          <w:marTop w:val="0"/>
          <w:marBottom w:val="0"/>
          <w:divBdr>
            <w:top w:val="none" w:sz="0" w:space="0" w:color="auto"/>
            <w:left w:val="none" w:sz="0" w:space="0" w:color="auto"/>
            <w:bottom w:val="single" w:sz="6" w:space="15" w:color="CCCCCC"/>
            <w:right w:val="none" w:sz="0" w:space="0" w:color="auto"/>
          </w:divBdr>
        </w:div>
      </w:divsChild>
    </w:div>
    <w:div w:id="386420135">
      <w:bodyDiv w:val="1"/>
      <w:marLeft w:val="0"/>
      <w:marRight w:val="0"/>
      <w:marTop w:val="0"/>
      <w:marBottom w:val="0"/>
      <w:divBdr>
        <w:top w:val="none" w:sz="0" w:space="0" w:color="auto"/>
        <w:left w:val="none" w:sz="0" w:space="0" w:color="auto"/>
        <w:bottom w:val="none" w:sz="0" w:space="0" w:color="auto"/>
        <w:right w:val="none" w:sz="0" w:space="0" w:color="auto"/>
      </w:divBdr>
      <w:divsChild>
        <w:div w:id="908005988">
          <w:marLeft w:val="0"/>
          <w:marRight w:val="0"/>
          <w:marTop w:val="0"/>
          <w:marBottom w:val="0"/>
          <w:divBdr>
            <w:top w:val="none" w:sz="0" w:space="0" w:color="auto"/>
            <w:left w:val="none" w:sz="0" w:space="0" w:color="auto"/>
            <w:bottom w:val="single" w:sz="6" w:space="15" w:color="CCCCCC"/>
            <w:right w:val="none" w:sz="0" w:space="0" w:color="auto"/>
          </w:divBdr>
        </w:div>
      </w:divsChild>
    </w:div>
    <w:div w:id="1224636151">
      <w:bodyDiv w:val="1"/>
      <w:marLeft w:val="0"/>
      <w:marRight w:val="0"/>
      <w:marTop w:val="0"/>
      <w:marBottom w:val="0"/>
      <w:divBdr>
        <w:top w:val="none" w:sz="0" w:space="0" w:color="auto"/>
        <w:left w:val="none" w:sz="0" w:space="0" w:color="auto"/>
        <w:bottom w:val="none" w:sz="0" w:space="0" w:color="auto"/>
        <w:right w:val="none" w:sz="0" w:space="0" w:color="auto"/>
      </w:divBdr>
      <w:divsChild>
        <w:div w:id="195242859">
          <w:marLeft w:val="0"/>
          <w:marRight w:val="0"/>
          <w:marTop w:val="0"/>
          <w:marBottom w:val="0"/>
          <w:divBdr>
            <w:top w:val="none" w:sz="0" w:space="0" w:color="auto"/>
            <w:left w:val="none" w:sz="0" w:space="0" w:color="auto"/>
            <w:bottom w:val="single" w:sz="6" w:space="15" w:color="CCCCCC"/>
            <w:right w:val="none" w:sz="0" w:space="0" w:color="auto"/>
          </w:divBdr>
        </w:div>
      </w:divsChild>
    </w:div>
    <w:div w:id="2003465191">
      <w:bodyDiv w:val="1"/>
      <w:marLeft w:val="0"/>
      <w:marRight w:val="0"/>
      <w:marTop w:val="0"/>
      <w:marBottom w:val="0"/>
      <w:divBdr>
        <w:top w:val="none" w:sz="0" w:space="0" w:color="auto"/>
        <w:left w:val="none" w:sz="0" w:space="0" w:color="auto"/>
        <w:bottom w:val="none" w:sz="0" w:space="0" w:color="auto"/>
        <w:right w:val="none" w:sz="0" w:space="0" w:color="auto"/>
      </w:divBdr>
      <w:divsChild>
        <w:div w:id="1999112686">
          <w:marLeft w:val="0"/>
          <w:marRight w:val="0"/>
          <w:marTop w:val="0"/>
          <w:marBottom w:val="0"/>
          <w:divBdr>
            <w:top w:val="none" w:sz="0" w:space="0" w:color="auto"/>
            <w:left w:val="none" w:sz="0" w:space="0" w:color="auto"/>
            <w:bottom w:val="single" w:sz="6" w:space="15" w:color="CCCCCC"/>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museum.org/collection/object/H_1847-0208-82" TargetMode="External"/><Relationship Id="rId13" Type="http://schemas.openxmlformats.org/officeDocument/2006/relationships/hyperlink" Target="https://doi.org/10.31470/2616-6275-2021-5-81-92" TargetMode="External"/><Relationship Id="rId18" Type="http://schemas.openxmlformats.org/officeDocument/2006/relationships/hyperlink" Target="https://daily.jstor.org/what-does-it-mean-to-be-celtic/" TargetMode="External"/><Relationship Id="rId3" Type="http://schemas.openxmlformats.org/officeDocument/2006/relationships/webSettings" Target="webSettings.xml"/><Relationship Id="rId7" Type="http://schemas.openxmlformats.org/officeDocument/2006/relationships/hyperlink" Target="https://www.britishmuseum.org/collection/object/C_2014-4014-1_1" TargetMode="External"/><Relationship Id="rId12" Type="http://schemas.openxmlformats.org/officeDocument/2006/relationships/hyperlink" Target="https://doi.org/10.5564/mjas.v23i01.1021" TargetMode="External"/><Relationship Id="rId17" Type="http://schemas.openxmlformats.org/officeDocument/2006/relationships/hyperlink" Target="http://www.jstor.org/stable/26383351" TargetMode="External"/><Relationship Id="rId2" Type="http://schemas.openxmlformats.org/officeDocument/2006/relationships/settings" Target="settings.xml"/><Relationship Id="rId16" Type="http://schemas.openxmlformats.org/officeDocument/2006/relationships/hyperlink" Target="https://archaeology.org/issues/july-august-2015/collection/horses-role-in-myth-and-religion/the-story-of-the-hors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xarc.net/issue-2012-2/ea/iron-age-horse-bridle-reconstructed-design-action-and-usability" TargetMode="External"/><Relationship Id="rId11" Type="http://schemas.openxmlformats.org/officeDocument/2006/relationships/hyperlink" Target="https://doi.org/10.2307/j.ctv138wskk" TargetMode="External"/><Relationship Id="rId5" Type="http://schemas.openxmlformats.org/officeDocument/2006/relationships/hyperlink" Target="https://www.jstor.org/stable/26800037" TargetMode="External"/><Relationship Id="rId15" Type="http://schemas.openxmlformats.org/officeDocument/2006/relationships/hyperlink" Target="https://doi.org/10.2307/j.ctv13gvh20" TargetMode="External"/><Relationship Id="rId10" Type="http://schemas.openxmlformats.org/officeDocument/2006/relationships/hyperlink" Target="https://prehistoricsociety.org/sites/prehistoricsociety.org/files/resources/ps-intros-ia-8-chariots.pdf" TargetMode="External"/><Relationship Id="rId19" Type="http://schemas.openxmlformats.org/officeDocument/2006/relationships/fontTable" Target="fontTable.xml"/><Relationship Id="rId4" Type="http://schemas.openxmlformats.org/officeDocument/2006/relationships/hyperlink" Target="https://doi.org/10.1007/s10761-019-00502-1" TargetMode="External"/><Relationship Id="rId9" Type="http://schemas.openxmlformats.org/officeDocument/2006/relationships/hyperlink" Target="https://doi.org/10.2307/526880" TargetMode="External"/><Relationship Id="rId14" Type="http://schemas.openxmlformats.org/officeDocument/2006/relationships/hyperlink" Target="http://www.jstor.org/stable/426678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957</TotalTime>
  <Pages>6</Pages>
  <Words>2487</Words>
  <Characters>14181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Webb</dc:creator>
  <cp:keywords/>
  <dc:description/>
  <cp:lastModifiedBy>Kira Webb</cp:lastModifiedBy>
  <cp:revision>47</cp:revision>
  <dcterms:created xsi:type="dcterms:W3CDTF">2024-12-28T21:36:00Z</dcterms:created>
  <dcterms:modified xsi:type="dcterms:W3CDTF">2024-12-30T01:31:00Z</dcterms:modified>
</cp:coreProperties>
</file>