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ECE36E" w14:textId="77777777" w:rsidR="00A87F06" w:rsidRDefault="00A87F06">
      <w:pPr>
        <w:suppressAutoHyphens w:val="0"/>
        <w:rPr>
          <w:rFonts w:ascii="Times New Roman" w:eastAsia="DengXian" w:hAnsi="Times New Roman"/>
          <w:sz w:val="32"/>
          <w:szCs w:val="32"/>
          <w:lang w:eastAsia="zh-CN"/>
        </w:rPr>
      </w:pPr>
    </w:p>
    <w:p w14:paraId="1DDDEB13" w14:textId="77777777" w:rsidR="00A87F06" w:rsidRDefault="00A87F06">
      <w:pPr>
        <w:suppressAutoHyphens w:val="0"/>
        <w:rPr>
          <w:rFonts w:ascii="Times New Roman" w:eastAsia="DengXian" w:hAnsi="Times New Roman"/>
          <w:sz w:val="32"/>
          <w:szCs w:val="32"/>
          <w:lang w:eastAsia="zh-CN"/>
        </w:rPr>
      </w:pPr>
    </w:p>
    <w:p w14:paraId="658FF1E5" w14:textId="77777777" w:rsidR="00A87F06" w:rsidRDefault="00A87F06">
      <w:pPr>
        <w:suppressAutoHyphens w:val="0"/>
        <w:rPr>
          <w:rFonts w:ascii="Times New Roman" w:eastAsia="DengXian" w:hAnsi="Times New Roman"/>
          <w:sz w:val="32"/>
          <w:szCs w:val="32"/>
          <w:lang w:eastAsia="zh-CN"/>
        </w:rPr>
      </w:pPr>
    </w:p>
    <w:p w14:paraId="5E3FCEA8" w14:textId="77777777" w:rsidR="00A87F06" w:rsidRDefault="003F609A">
      <w:pPr>
        <w:suppressAutoHyphens w:val="0"/>
        <w:rPr>
          <w:rFonts w:ascii="Times New Roman" w:eastAsia="DengXian" w:hAnsi="Times New Roman"/>
          <w:sz w:val="32"/>
          <w:szCs w:val="32"/>
          <w:lang w:eastAsia="zh-CN"/>
        </w:rPr>
      </w:pPr>
      <w:r>
        <w:rPr>
          <w:rFonts w:ascii="Times New Roman" w:eastAsia="DengXian" w:hAnsi="Times New Roman"/>
          <w:sz w:val="32"/>
          <w:szCs w:val="32"/>
          <w:lang w:eastAsia="zh-CN"/>
        </w:rPr>
        <w:t>I acknowledge the use of Chat GPT [https://chatgpt.com/] on 15/01/2025 to help with my assignment ECEY7002. </w:t>
      </w:r>
    </w:p>
    <w:p w14:paraId="50E7F585" w14:textId="77777777" w:rsidR="00A87F06" w:rsidRDefault="003F609A">
      <w:pPr>
        <w:suppressAutoHyphens w:val="0"/>
        <w:rPr>
          <w:rFonts w:ascii="Times New Roman" w:eastAsia="DengXian" w:hAnsi="Times New Roman"/>
          <w:sz w:val="32"/>
          <w:szCs w:val="32"/>
          <w:lang w:eastAsia="zh-CN"/>
        </w:rPr>
      </w:pPr>
      <w:r>
        <w:rPr>
          <w:rFonts w:ascii="Times New Roman" w:eastAsia="DengXian" w:hAnsi="Times New Roman"/>
          <w:sz w:val="32"/>
          <w:szCs w:val="32"/>
          <w:lang w:eastAsia="zh-CN"/>
        </w:rPr>
        <w:t>I used the prompt(s): </w:t>
      </w:r>
    </w:p>
    <w:p w14:paraId="6DC2DE22" w14:textId="49F8E878" w:rsidR="00A87F06" w:rsidRDefault="003F609A">
      <w:pPr>
        <w:suppressAutoHyphens w:val="0"/>
      </w:pPr>
      <w:r>
        <w:rPr>
          <w:rFonts w:ascii="Times New Roman" w:eastAsia="DengXian" w:hAnsi="Times New Roman"/>
          <w:sz w:val="32"/>
          <w:szCs w:val="32"/>
          <w:lang w:eastAsia="zh-CN"/>
        </w:rPr>
        <w:br/>
      </w:r>
      <w:r>
        <w:rPr>
          <w:rFonts w:ascii="Times New Roman" w:eastAsia="DengXian" w:hAnsi="Times New Roman"/>
          <w:sz w:val="32"/>
          <w:szCs w:val="32"/>
          <w:lang w:eastAsia="zh-CN"/>
        </w:rPr>
        <w:t xml:space="preserve"> 1. Examples of the structure of </w:t>
      </w:r>
      <w:r w:rsidR="00A15FF2">
        <w:rPr>
          <w:rFonts w:ascii="Times New Roman" w:eastAsia="DengXian" w:hAnsi="Times New Roman"/>
          <w:sz w:val="32"/>
          <w:szCs w:val="32"/>
          <w:lang w:eastAsia="zh-CN"/>
        </w:rPr>
        <w:t>the assignment of all learning outcomes</w:t>
      </w:r>
      <w:r>
        <w:rPr>
          <w:rFonts w:ascii="Times New Roman" w:eastAsia="DengXian" w:hAnsi="Times New Roman"/>
          <w:sz w:val="32"/>
          <w:szCs w:val="32"/>
          <w:lang w:eastAsia="zh-CN"/>
        </w:rPr>
        <w:br/>
      </w:r>
      <w:r>
        <w:rPr>
          <w:rFonts w:ascii="Times New Roman" w:eastAsia="DengXian" w:hAnsi="Times New Roman"/>
          <w:sz w:val="32"/>
          <w:szCs w:val="32"/>
          <w:lang w:eastAsia="zh-CN"/>
        </w:rPr>
        <w:t xml:space="preserve"> </w:t>
      </w:r>
      <w:proofErr w:type="gramStart"/>
      <w:r>
        <w:rPr>
          <w:rFonts w:ascii="Times New Roman" w:eastAsia="DengXian" w:hAnsi="Times New Roman"/>
          <w:sz w:val="32"/>
          <w:szCs w:val="32"/>
          <w:lang w:eastAsia="zh-CN"/>
        </w:rPr>
        <w:t>2</w:t>
      </w:r>
      <w:proofErr w:type="gramEnd"/>
      <w:r>
        <w:rPr>
          <w:rFonts w:ascii="Times New Roman" w:eastAsia="DengXian" w:hAnsi="Times New Roman"/>
          <w:sz w:val="32"/>
          <w:szCs w:val="32"/>
          <w:lang w:eastAsia="zh-CN"/>
        </w:rPr>
        <w:t xml:space="preserve">. </w:t>
      </w:r>
      <w:r w:rsidR="00E471F0">
        <w:rPr>
          <w:rFonts w:ascii="Times New Roman" w:eastAsia="DengXian" w:hAnsi="Times New Roman"/>
          <w:sz w:val="32"/>
          <w:szCs w:val="32"/>
          <w:lang w:eastAsia="zh-CN"/>
        </w:rPr>
        <w:t>List and structure</w:t>
      </w:r>
      <w:r w:rsidR="00A15FF2">
        <w:rPr>
          <w:rFonts w:ascii="Times New Roman" w:eastAsia="DengXian" w:hAnsi="Times New Roman"/>
          <w:sz w:val="32"/>
          <w:szCs w:val="32"/>
          <w:lang w:eastAsia="zh-CN"/>
        </w:rPr>
        <w:t xml:space="preserve"> of historical policies relating to children and young people. </w:t>
      </w:r>
      <w:r>
        <w:rPr>
          <w:rFonts w:ascii="Times New Roman" w:eastAsia="DengXian" w:hAnsi="Times New Roman"/>
          <w:sz w:val="32"/>
          <w:szCs w:val="32"/>
          <w:lang w:eastAsia="zh-CN"/>
        </w:rPr>
        <w:br/>
      </w:r>
    </w:p>
    <w:p w14:paraId="67D0B0FD" w14:textId="77777777" w:rsidR="00A87F06" w:rsidRDefault="003F609A">
      <w:pPr>
        <w:suppressAutoHyphens w:val="0"/>
        <w:rPr>
          <w:rFonts w:ascii="Times New Roman" w:eastAsia="DengXian" w:hAnsi="Times New Roman"/>
          <w:sz w:val="32"/>
          <w:szCs w:val="32"/>
          <w:lang w:eastAsia="zh-CN"/>
        </w:rPr>
      </w:pPr>
      <w:r>
        <w:rPr>
          <w:rFonts w:ascii="Times New Roman" w:eastAsia="DengXian" w:hAnsi="Times New Roman"/>
          <w:sz w:val="32"/>
          <w:szCs w:val="32"/>
          <w:lang w:eastAsia="zh-CN"/>
        </w:rPr>
        <w:t xml:space="preserve">I </w:t>
      </w:r>
      <w:r>
        <w:rPr>
          <w:rFonts w:ascii="Times New Roman" w:eastAsia="DengXian" w:hAnsi="Times New Roman"/>
          <w:sz w:val="32"/>
          <w:szCs w:val="32"/>
          <w:lang w:eastAsia="zh-CN"/>
        </w:rPr>
        <w:t>confirm that I have not presented any AI generated text as my own work</w:t>
      </w:r>
    </w:p>
    <w:p w14:paraId="4C22D6D1" w14:textId="77777777" w:rsidR="00A87F06" w:rsidRDefault="003F609A">
      <w:pPr>
        <w:suppressAutoHyphens w:val="0"/>
        <w:rPr>
          <w:rFonts w:ascii="Times New Roman" w:eastAsia="DengXian" w:hAnsi="Times New Roman"/>
          <w:sz w:val="32"/>
          <w:szCs w:val="32"/>
          <w:lang w:eastAsia="zh-CN"/>
        </w:rPr>
      </w:pPr>
      <w:r>
        <w:rPr>
          <w:rFonts w:ascii="Times New Roman" w:eastAsia="DengXian" w:hAnsi="Times New Roman"/>
          <w:sz w:val="32"/>
          <w:szCs w:val="32"/>
          <w:lang w:eastAsia="zh-CN"/>
        </w:rPr>
        <w:br/>
      </w:r>
      <w:r>
        <w:rPr>
          <w:rFonts w:ascii="Times New Roman" w:eastAsia="DengXian" w:hAnsi="Times New Roman"/>
          <w:sz w:val="32"/>
          <w:szCs w:val="32"/>
          <w:lang w:eastAsia="zh-CN"/>
        </w:rPr>
        <w:t xml:space="preserve">I confirm I have copies of my drafts, notes, and other resources I used before, and after the use of AI tools which I may </w:t>
      </w:r>
      <w:proofErr w:type="gramStart"/>
      <w:r>
        <w:rPr>
          <w:rFonts w:ascii="Times New Roman" w:eastAsia="DengXian" w:hAnsi="Times New Roman"/>
          <w:sz w:val="32"/>
          <w:szCs w:val="32"/>
          <w:lang w:eastAsia="zh-CN"/>
        </w:rPr>
        <w:t>be asked</w:t>
      </w:r>
      <w:proofErr w:type="gramEnd"/>
      <w:r>
        <w:rPr>
          <w:rFonts w:ascii="Times New Roman" w:eastAsia="DengXian" w:hAnsi="Times New Roman"/>
          <w:sz w:val="32"/>
          <w:szCs w:val="32"/>
          <w:lang w:eastAsia="zh-CN"/>
        </w:rPr>
        <w:t xml:space="preserve"> to provide in evidence</w:t>
      </w:r>
    </w:p>
    <w:p w14:paraId="729F65F6" w14:textId="77777777" w:rsidR="003537B4" w:rsidRDefault="003537B4">
      <w:pPr>
        <w:jc w:val="both"/>
        <w:rPr>
          <w:rFonts w:ascii="Tahoma" w:hAnsi="Tahoma" w:cs="Tahoma"/>
          <w:color w:val="FF0000"/>
        </w:rPr>
      </w:pPr>
    </w:p>
    <w:p w14:paraId="67CE6AED" w14:textId="77777777" w:rsidR="003537B4" w:rsidRDefault="003537B4">
      <w:pPr>
        <w:jc w:val="both"/>
        <w:rPr>
          <w:rFonts w:ascii="Tahoma" w:hAnsi="Tahoma" w:cs="Tahoma"/>
          <w:color w:val="FF0000"/>
        </w:rPr>
      </w:pPr>
    </w:p>
    <w:p w14:paraId="27EEC8D0" w14:textId="77777777" w:rsidR="003537B4" w:rsidRDefault="003537B4">
      <w:pPr>
        <w:jc w:val="both"/>
        <w:rPr>
          <w:rFonts w:ascii="Tahoma" w:hAnsi="Tahoma" w:cs="Tahoma"/>
          <w:color w:val="FF0000"/>
        </w:rPr>
      </w:pPr>
    </w:p>
    <w:p w14:paraId="5E48E21B" w14:textId="77777777" w:rsidR="003537B4" w:rsidRDefault="003537B4">
      <w:pPr>
        <w:jc w:val="both"/>
        <w:rPr>
          <w:rFonts w:ascii="Tahoma" w:hAnsi="Tahoma" w:cs="Tahoma"/>
          <w:color w:val="FF0000"/>
        </w:rPr>
      </w:pPr>
    </w:p>
    <w:p w14:paraId="6A14AA0A" w14:textId="77777777" w:rsidR="003537B4" w:rsidRDefault="003537B4">
      <w:pPr>
        <w:jc w:val="both"/>
        <w:rPr>
          <w:rFonts w:ascii="Tahoma" w:hAnsi="Tahoma" w:cs="Tahoma"/>
          <w:color w:val="FF0000"/>
        </w:rPr>
      </w:pPr>
    </w:p>
    <w:p w14:paraId="7423ED28" w14:textId="77777777" w:rsidR="003537B4" w:rsidRDefault="003537B4">
      <w:pPr>
        <w:jc w:val="both"/>
        <w:rPr>
          <w:rFonts w:ascii="Tahoma" w:hAnsi="Tahoma" w:cs="Tahoma"/>
          <w:color w:val="FF0000"/>
        </w:rPr>
      </w:pPr>
    </w:p>
    <w:p w14:paraId="4CD74EB2" w14:textId="77777777" w:rsidR="003537B4" w:rsidRDefault="003537B4">
      <w:pPr>
        <w:jc w:val="both"/>
        <w:rPr>
          <w:rFonts w:ascii="Tahoma" w:hAnsi="Tahoma" w:cs="Tahoma"/>
          <w:color w:val="FF0000"/>
        </w:rPr>
      </w:pPr>
    </w:p>
    <w:p w14:paraId="55520C62" w14:textId="77777777" w:rsidR="003537B4" w:rsidRDefault="003537B4">
      <w:pPr>
        <w:jc w:val="both"/>
        <w:rPr>
          <w:rFonts w:ascii="Tahoma" w:hAnsi="Tahoma" w:cs="Tahoma"/>
          <w:color w:val="FF0000"/>
        </w:rPr>
      </w:pPr>
    </w:p>
    <w:p w14:paraId="10769DCF" w14:textId="77777777" w:rsidR="003537B4" w:rsidRDefault="003537B4">
      <w:pPr>
        <w:jc w:val="both"/>
        <w:rPr>
          <w:rFonts w:ascii="Tahoma" w:hAnsi="Tahoma" w:cs="Tahoma"/>
          <w:color w:val="FF0000"/>
        </w:rPr>
      </w:pPr>
    </w:p>
    <w:p w14:paraId="1BF23E09" w14:textId="77777777" w:rsidR="003537B4" w:rsidRDefault="003537B4">
      <w:pPr>
        <w:jc w:val="both"/>
        <w:rPr>
          <w:rFonts w:ascii="Tahoma" w:hAnsi="Tahoma" w:cs="Tahoma"/>
          <w:color w:val="FF0000"/>
        </w:rPr>
      </w:pPr>
    </w:p>
    <w:p w14:paraId="12DE9A36" w14:textId="77777777" w:rsidR="003537B4" w:rsidRDefault="003537B4">
      <w:pPr>
        <w:jc w:val="both"/>
        <w:rPr>
          <w:rFonts w:ascii="Tahoma" w:hAnsi="Tahoma" w:cs="Tahoma"/>
          <w:color w:val="FF0000"/>
        </w:rPr>
      </w:pPr>
    </w:p>
    <w:p w14:paraId="7E03B6B6" w14:textId="3742A5C7" w:rsidR="001E6639" w:rsidRPr="003537B4" w:rsidRDefault="001E6639">
      <w:pPr>
        <w:jc w:val="both"/>
        <w:rPr>
          <w:rFonts w:ascii="Tahoma" w:hAnsi="Tahoma" w:cs="Tahoma"/>
        </w:rPr>
      </w:pPr>
      <w:r w:rsidRPr="003537B4">
        <w:rPr>
          <w:rFonts w:ascii="Tahoma" w:hAnsi="Tahoma" w:cs="Tahoma"/>
        </w:rPr>
        <w:t>According to Ball (2015) a</w:t>
      </w:r>
      <w:r w:rsidR="003F609A" w:rsidRPr="003537B4">
        <w:rPr>
          <w:rFonts w:ascii="Tahoma" w:hAnsi="Tahoma" w:cs="Tahoma"/>
        </w:rPr>
        <w:t xml:space="preserve"> policy </w:t>
      </w:r>
      <w:proofErr w:type="gramStart"/>
      <w:r w:rsidR="003F609A" w:rsidRPr="003537B4">
        <w:rPr>
          <w:rFonts w:ascii="Tahoma" w:hAnsi="Tahoma" w:cs="Tahoma"/>
        </w:rPr>
        <w:t>is referred</w:t>
      </w:r>
      <w:proofErr w:type="gramEnd"/>
      <w:r w:rsidR="003F609A" w:rsidRPr="003537B4">
        <w:rPr>
          <w:rFonts w:ascii="Tahoma" w:hAnsi="Tahoma" w:cs="Tahoma"/>
        </w:rPr>
        <w:t xml:space="preserve"> to as a set of guidelines or principles established by various governments, organisations or institutions that have the overall responsibility of addressing or guiding a particular issue’s decision making. </w:t>
      </w:r>
    </w:p>
    <w:p w14:paraId="30C20375" w14:textId="53EBA775" w:rsidR="00A87F06" w:rsidRPr="003537B4" w:rsidRDefault="003F609A">
      <w:pPr>
        <w:jc w:val="both"/>
        <w:rPr>
          <w:rFonts w:ascii="Tahoma" w:hAnsi="Tahoma" w:cs="Tahoma"/>
        </w:rPr>
      </w:pPr>
      <w:r w:rsidRPr="003537B4">
        <w:rPr>
          <w:rFonts w:ascii="Tahoma" w:hAnsi="Tahoma" w:cs="Tahoma"/>
        </w:rPr>
        <w:t xml:space="preserve">In relation to children and young people, policies need and should </w:t>
      </w:r>
      <w:proofErr w:type="gramStart"/>
      <w:r w:rsidRPr="003537B4">
        <w:rPr>
          <w:rFonts w:ascii="Tahoma" w:hAnsi="Tahoma" w:cs="Tahoma"/>
        </w:rPr>
        <w:t>be designed</w:t>
      </w:r>
      <w:proofErr w:type="gramEnd"/>
      <w:r w:rsidRPr="003537B4">
        <w:rPr>
          <w:rFonts w:ascii="Tahoma" w:hAnsi="Tahoma" w:cs="Tahoma"/>
        </w:rPr>
        <w:t xml:space="preserve"> and implemented to address their overall needs and wellbeing and shaped in a positive way. </w:t>
      </w:r>
      <w:r w:rsidR="00A52D58" w:rsidRPr="003537B4">
        <w:rPr>
          <w:rFonts w:ascii="Tahoma" w:hAnsi="Tahoma" w:cs="Tahoma"/>
        </w:rPr>
        <w:t>(</w:t>
      </w:r>
      <w:r w:rsidR="00696E02" w:rsidRPr="003537B4">
        <w:rPr>
          <w:rFonts w:ascii="Tahoma" w:hAnsi="Tahoma" w:cs="Tahoma"/>
        </w:rPr>
        <w:t>National Academies of Sciences, Board on Children, Youth, Committee</w:t>
      </w:r>
      <w:r w:rsidR="00A52D58" w:rsidRPr="003537B4">
        <w:rPr>
          <w:rFonts w:ascii="Tahoma" w:hAnsi="Tahoma" w:cs="Tahoma"/>
        </w:rPr>
        <w:t>,</w:t>
      </w:r>
      <w:r w:rsidR="00696E02" w:rsidRPr="003537B4">
        <w:rPr>
          <w:rFonts w:ascii="Tahoma" w:hAnsi="Tahoma" w:cs="Tahoma"/>
        </w:rPr>
        <w:t> </w:t>
      </w:r>
      <w:r w:rsidR="00696E02" w:rsidRPr="003537B4">
        <w:rPr>
          <w:rFonts w:ascii="Tahoma" w:hAnsi="Tahoma" w:cs="Tahoma"/>
        </w:rPr>
        <w:t>2019).</w:t>
      </w:r>
    </w:p>
    <w:p w14:paraId="1E0B5D52" w14:textId="159E0079" w:rsidR="00A87F06" w:rsidRPr="003537B4" w:rsidRDefault="003F609A">
      <w:pPr>
        <w:jc w:val="both"/>
        <w:rPr>
          <w:rFonts w:ascii="Tahoma" w:hAnsi="Tahoma" w:cs="Tahoma"/>
        </w:rPr>
      </w:pPr>
      <w:r w:rsidRPr="003537B4">
        <w:rPr>
          <w:rFonts w:ascii="Tahoma" w:hAnsi="Tahoma" w:cs="Tahoma"/>
        </w:rPr>
        <w:t xml:space="preserve">Policies can often influence whether children and young people </w:t>
      </w:r>
      <w:proofErr w:type="gramStart"/>
      <w:r w:rsidRPr="003537B4">
        <w:rPr>
          <w:rFonts w:ascii="Tahoma" w:hAnsi="Tahoma" w:cs="Tahoma"/>
        </w:rPr>
        <w:t>are seen</w:t>
      </w:r>
      <w:proofErr w:type="gramEnd"/>
      <w:r w:rsidRPr="003537B4">
        <w:rPr>
          <w:rFonts w:ascii="Tahoma" w:hAnsi="Tahoma" w:cs="Tahoma"/>
        </w:rPr>
        <w:t xml:space="preserve"> as dependent or as active and essential members of society. Therefore, when focused on education, healthcare and protection from harm, policies need to recognise, as well as evidence that children and young people have their own rights and entitlements. </w:t>
      </w:r>
      <w:r w:rsidR="00696E02" w:rsidRPr="003537B4">
        <w:rPr>
          <w:rFonts w:ascii="Tahoma" w:hAnsi="Tahoma" w:cs="Tahoma"/>
        </w:rPr>
        <w:t xml:space="preserve">(Pecora et al, 2018). </w:t>
      </w:r>
      <w:r w:rsidRPr="003537B4">
        <w:rPr>
          <w:rFonts w:ascii="Tahoma" w:hAnsi="Tahoma" w:cs="Tahoma"/>
        </w:rPr>
        <w:t>However, on the contrary, policies that neglect children and young people’s voices or treat them as dependents,</w:t>
      </w:r>
      <w:r w:rsidR="00A52D58" w:rsidRPr="003537B4">
        <w:rPr>
          <w:rFonts w:ascii="Tahoma" w:hAnsi="Tahoma" w:cs="Tahoma"/>
        </w:rPr>
        <w:t xml:space="preserve"> and according to France et al,. </w:t>
      </w:r>
      <w:r w:rsidR="00367173" w:rsidRPr="003537B4">
        <w:rPr>
          <w:rFonts w:ascii="Tahoma" w:hAnsi="Tahoma" w:cs="Tahoma"/>
        </w:rPr>
        <w:t>(</w:t>
      </w:r>
      <w:r w:rsidR="00A52D58" w:rsidRPr="003537B4">
        <w:rPr>
          <w:rFonts w:ascii="Tahoma" w:hAnsi="Tahoma" w:cs="Tahoma"/>
        </w:rPr>
        <w:t>2010</w:t>
      </w:r>
      <w:r w:rsidR="00367173" w:rsidRPr="003537B4">
        <w:rPr>
          <w:rFonts w:ascii="Tahoma" w:hAnsi="Tahoma" w:cs="Tahoma"/>
        </w:rPr>
        <w:t>)</w:t>
      </w:r>
      <w:r w:rsidR="00A52D58" w:rsidRPr="003537B4">
        <w:rPr>
          <w:rFonts w:ascii="Tahoma" w:hAnsi="Tahoma" w:cs="Tahoma"/>
        </w:rPr>
        <w:t xml:space="preserve"> it</w:t>
      </w:r>
      <w:r w:rsidRPr="003537B4">
        <w:rPr>
          <w:rFonts w:ascii="Tahoma" w:hAnsi="Tahoma" w:cs="Tahoma"/>
        </w:rPr>
        <w:t xml:space="preserve"> can have the overall conception that they are within a passive stage of their lives and therefore the development, implementation, as well as enforcement of policies are vital in determining societal attitudes towards individuals, which will influence their opportunities, </w:t>
      </w:r>
      <w:proofErr w:type="gramStart"/>
      <w:r w:rsidRPr="003537B4">
        <w:rPr>
          <w:rFonts w:ascii="Tahoma" w:hAnsi="Tahoma" w:cs="Tahoma"/>
        </w:rPr>
        <w:t>rights</w:t>
      </w:r>
      <w:proofErr w:type="gramEnd"/>
      <w:r w:rsidRPr="003537B4">
        <w:rPr>
          <w:rFonts w:ascii="Tahoma" w:hAnsi="Tahoma" w:cs="Tahoma"/>
        </w:rPr>
        <w:t xml:space="preserve"> and overall development.</w:t>
      </w:r>
    </w:p>
    <w:p w14:paraId="3507E702" w14:textId="77777777" w:rsidR="00A87F06" w:rsidRPr="003537B4" w:rsidRDefault="003F609A">
      <w:pPr>
        <w:jc w:val="both"/>
        <w:rPr>
          <w:rFonts w:ascii="Tahoma" w:hAnsi="Tahoma" w:cs="Tahoma"/>
        </w:rPr>
      </w:pPr>
      <w:r w:rsidRPr="003537B4">
        <w:rPr>
          <w:rFonts w:ascii="Tahoma" w:hAnsi="Tahoma" w:cs="Tahoma"/>
        </w:rPr>
        <w:t>Cairney (2015) states that policy analysis needs to emphasise the importance of understanding the complexities of development. He differentiates between theories designed for scientific analysis and those aimed at practical applications. Cairney highlights the role of psychology and dynamics of policymaking in effective policy analysis. Moreover, Cairney's policy analysis framework supports children and young people with the emphasise being on the importance of evidence based decision making and collaborati</w:t>
      </w:r>
      <w:r w:rsidRPr="003537B4">
        <w:rPr>
          <w:rFonts w:ascii="Tahoma" w:hAnsi="Tahoma" w:cs="Tahoma"/>
        </w:rPr>
        <w:t xml:space="preserve">ve approaches. His work reinforces the importance of policies being inclusive to the </w:t>
      </w:r>
      <w:proofErr w:type="gramStart"/>
      <w:r w:rsidRPr="003537B4">
        <w:rPr>
          <w:rFonts w:ascii="Tahoma" w:hAnsi="Tahoma" w:cs="Tahoma"/>
        </w:rPr>
        <w:t>many</w:t>
      </w:r>
      <w:proofErr w:type="gramEnd"/>
      <w:r w:rsidRPr="003537B4">
        <w:rPr>
          <w:rFonts w:ascii="Tahoma" w:hAnsi="Tahoma" w:cs="Tahoma"/>
        </w:rPr>
        <w:t xml:space="preserve"> diverse needs of children and young people, ensuring that their rights and wellbeing are prioritised at all times. Cairney's analysis encourages the involvement of various multi agencies, including young people themselves, in the policy process, which helps create a more effective, as well as better suited policies when addressing the challenges within different contexts faced by children and young people.</w:t>
      </w:r>
    </w:p>
    <w:p w14:paraId="0B3617DD" w14:textId="6C58D278" w:rsidR="00A87F06" w:rsidRPr="003537B4" w:rsidRDefault="003F609A">
      <w:pPr>
        <w:jc w:val="both"/>
        <w:rPr>
          <w:rFonts w:ascii="Tahoma" w:hAnsi="Tahoma" w:cs="Tahoma"/>
        </w:rPr>
      </w:pPr>
      <w:r w:rsidRPr="003537B4">
        <w:rPr>
          <w:rFonts w:ascii="Tahoma" w:hAnsi="Tahoma" w:cs="Tahoma"/>
        </w:rPr>
        <w:t xml:space="preserve">Over time, policies relating to children and young people, as well as their communities, have undergone significant transformations, having </w:t>
      </w:r>
      <w:proofErr w:type="gramStart"/>
      <w:r w:rsidRPr="003537B4">
        <w:rPr>
          <w:rFonts w:ascii="Tahoma" w:hAnsi="Tahoma" w:cs="Tahoma"/>
        </w:rPr>
        <w:t>been formed</w:t>
      </w:r>
      <w:proofErr w:type="gramEnd"/>
      <w:r w:rsidRPr="003537B4">
        <w:rPr>
          <w:rFonts w:ascii="Tahoma" w:hAnsi="Tahoma" w:cs="Tahoma"/>
        </w:rPr>
        <w:t xml:space="preserve"> by changing social as well as cultural and political frameworks. Policies which have ranged from child protection and welfare, to promoting children’s rights, inclusion and participation</w:t>
      </w:r>
      <w:r w:rsidR="000C4C3C">
        <w:rPr>
          <w:rFonts w:ascii="Tahoma" w:hAnsi="Tahoma" w:cs="Tahoma"/>
        </w:rPr>
        <w:t xml:space="preserve"> and have continued</w:t>
      </w:r>
      <w:r w:rsidRPr="003537B4">
        <w:rPr>
          <w:rFonts w:ascii="Tahoma" w:hAnsi="Tahoma" w:cs="Tahoma"/>
        </w:rPr>
        <w:t xml:space="preserve"> to aim to improve the lives and wellbeing of children and young people.</w:t>
      </w:r>
      <w:r w:rsidR="004249CD" w:rsidRPr="003537B4">
        <w:rPr>
          <w:rFonts w:ascii="Tahoma" w:hAnsi="Tahoma" w:cs="Tahoma"/>
          <w:shd w:val="clear" w:color="auto" w:fill="FAFAFA"/>
        </w:rPr>
        <w:t xml:space="preserve"> </w:t>
      </w:r>
      <w:r w:rsidR="004249CD" w:rsidRPr="003537B4">
        <w:rPr>
          <w:rFonts w:ascii="Tahoma" w:hAnsi="Tahoma" w:cs="Tahoma"/>
        </w:rPr>
        <w:t xml:space="preserve">Policies such as Future in Mind (2015), the Five Year Forward View for Mental Health (2016), and the NHS Long Term Plan (2019) have </w:t>
      </w:r>
      <w:proofErr w:type="gramStart"/>
      <w:r w:rsidR="000C4C3C">
        <w:rPr>
          <w:rFonts w:ascii="Tahoma" w:hAnsi="Tahoma" w:cs="Tahoma"/>
        </w:rPr>
        <w:t>been driven</w:t>
      </w:r>
      <w:proofErr w:type="gramEnd"/>
      <w:r w:rsidR="000C4C3C">
        <w:rPr>
          <w:rFonts w:ascii="Tahoma" w:hAnsi="Tahoma" w:cs="Tahoma"/>
        </w:rPr>
        <w:t xml:space="preserve"> with a view to improving </w:t>
      </w:r>
      <w:r w:rsidR="004249CD" w:rsidRPr="003537B4">
        <w:rPr>
          <w:rFonts w:ascii="Tahoma" w:hAnsi="Tahoma" w:cs="Tahoma"/>
        </w:rPr>
        <w:t>mental health outcomes for children and young people. These policies have</w:t>
      </w:r>
      <w:r w:rsidR="000C4C3C">
        <w:rPr>
          <w:rFonts w:ascii="Tahoma" w:hAnsi="Tahoma" w:cs="Tahoma"/>
        </w:rPr>
        <w:t xml:space="preserve"> </w:t>
      </w:r>
      <w:r w:rsidR="000C4C3C">
        <w:rPr>
          <w:rFonts w:ascii="Tahoma" w:hAnsi="Tahoma" w:cs="Tahoma"/>
        </w:rPr>
        <w:lastRenderedPageBreak/>
        <w:t>also</w:t>
      </w:r>
      <w:r w:rsidR="004249CD" w:rsidRPr="003537B4">
        <w:rPr>
          <w:rFonts w:ascii="Tahoma" w:hAnsi="Tahoma" w:cs="Tahoma"/>
        </w:rPr>
        <w:t xml:space="preserve"> </w:t>
      </w:r>
      <w:r w:rsidR="000C4C3C">
        <w:rPr>
          <w:rFonts w:ascii="Tahoma" w:hAnsi="Tahoma" w:cs="Tahoma"/>
        </w:rPr>
        <w:t xml:space="preserve">aimed to </w:t>
      </w:r>
      <w:r w:rsidR="004249CD" w:rsidRPr="003537B4">
        <w:rPr>
          <w:rFonts w:ascii="Tahoma" w:hAnsi="Tahoma" w:cs="Tahoma"/>
        </w:rPr>
        <w:t xml:space="preserve">expand access to mental health services through education settings </w:t>
      </w:r>
      <w:r w:rsidR="000C4C3C">
        <w:rPr>
          <w:rFonts w:ascii="Tahoma" w:hAnsi="Tahoma" w:cs="Tahoma"/>
        </w:rPr>
        <w:t xml:space="preserve">as well as </w:t>
      </w:r>
      <w:r w:rsidR="004249CD" w:rsidRPr="003537B4">
        <w:rPr>
          <w:rFonts w:ascii="Tahoma" w:hAnsi="Tahoma" w:cs="Tahoma"/>
        </w:rPr>
        <w:t>Young People’s Mental Health Services</w:t>
      </w:r>
      <w:r w:rsidR="004249CD" w:rsidRPr="003537B4">
        <w:rPr>
          <w:rFonts w:ascii="Tahoma" w:hAnsi="Tahoma" w:cs="Tahoma"/>
        </w:rPr>
        <w:t>.</w:t>
      </w:r>
    </w:p>
    <w:p w14:paraId="353E2E7C" w14:textId="4A05B3E9" w:rsidR="00A87F06" w:rsidRPr="003537B4" w:rsidRDefault="003F609A">
      <w:pPr>
        <w:jc w:val="both"/>
        <w:rPr>
          <w:rFonts w:ascii="Tahoma" w:hAnsi="Tahoma" w:cs="Tahoma"/>
        </w:rPr>
      </w:pPr>
      <w:r w:rsidRPr="003537B4">
        <w:rPr>
          <w:rFonts w:ascii="Tahoma" w:hAnsi="Tahoma" w:cs="Tahoma"/>
        </w:rPr>
        <w:t xml:space="preserve">However, </w:t>
      </w:r>
      <w:r w:rsidR="00247630" w:rsidRPr="003537B4">
        <w:rPr>
          <w:rFonts w:ascii="Tahoma" w:hAnsi="Tahoma" w:cs="Tahoma"/>
        </w:rPr>
        <w:t>according to The Equality and Human Rights Commission (2022)</w:t>
      </w:r>
      <w:r w:rsidRPr="003537B4">
        <w:rPr>
          <w:rFonts w:ascii="Tahoma" w:hAnsi="Tahoma" w:cs="Tahoma"/>
        </w:rPr>
        <w:t xml:space="preserve">, this has not always been the situation and therefore, understanding historical, as well as current policy contexts, is vital when assessing the impact on practice. These policies not only need to influence the services provided for children and young people, but they also need to reach the communities whereby they live. </w:t>
      </w:r>
    </w:p>
    <w:p w14:paraId="2D8A238A" w14:textId="51DD9C46" w:rsidR="00A87F06" w:rsidRPr="003537B4" w:rsidRDefault="002B3DB3">
      <w:pPr>
        <w:jc w:val="both"/>
        <w:rPr>
          <w:rFonts w:ascii="Tahoma" w:hAnsi="Tahoma" w:cs="Tahoma"/>
        </w:rPr>
      </w:pPr>
      <w:r w:rsidRPr="003537B4">
        <w:rPr>
          <w:rFonts w:ascii="Tahoma" w:hAnsi="Tahoma" w:cs="Tahoma"/>
        </w:rPr>
        <w:t xml:space="preserve">Weible et al,. (2012) stated that </w:t>
      </w:r>
      <w:proofErr w:type="gramStart"/>
      <w:r w:rsidRPr="003537B4">
        <w:rPr>
          <w:rFonts w:ascii="Tahoma" w:hAnsi="Tahoma" w:cs="Tahoma"/>
        </w:rPr>
        <w:t>s</w:t>
      </w:r>
      <w:r w:rsidR="003F609A" w:rsidRPr="003537B4">
        <w:rPr>
          <w:rFonts w:ascii="Tahoma" w:hAnsi="Tahoma" w:cs="Tahoma"/>
        </w:rPr>
        <w:t>everal</w:t>
      </w:r>
      <w:proofErr w:type="gramEnd"/>
      <w:r w:rsidR="003F609A" w:rsidRPr="003537B4">
        <w:rPr>
          <w:rFonts w:ascii="Tahoma" w:hAnsi="Tahoma" w:cs="Tahoma"/>
        </w:rPr>
        <w:t xml:space="preserve"> factors influence the development of policies, including the allocation of resources, as well as the appropriateness of approaches used. Therefore, it is important to recognise that how policies past and present have influenced services for children and young people.</w:t>
      </w:r>
    </w:p>
    <w:p w14:paraId="20AE9CB0" w14:textId="1BA1226D" w:rsidR="004854E3" w:rsidRPr="003537B4" w:rsidRDefault="004854E3">
      <w:pPr>
        <w:jc w:val="both"/>
        <w:rPr>
          <w:rFonts w:ascii="Tahoma" w:hAnsi="Tahoma" w:cs="Tahoma"/>
        </w:rPr>
      </w:pPr>
      <w:r w:rsidRPr="003537B4">
        <w:rPr>
          <w:rFonts w:ascii="Tahoma" w:hAnsi="Tahoma" w:cs="Tahoma"/>
        </w:rPr>
        <w:t>According to Gash and Tichenor (2022)</w:t>
      </w:r>
      <w:r w:rsidRPr="003537B4">
        <w:rPr>
          <w:rFonts w:ascii="Tahoma" w:hAnsi="Tahoma" w:cs="Tahoma"/>
        </w:rPr>
        <w:t xml:space="preserve"> b</w:t>
      </w:r>
      <w:r w:rsidR="003F609A" w:rsidRPr="003537B4">
        <w:rPr>
          <w:rFonts w:ascii="Tahoma" w:hAnsi="Tahoma" w:cs="Tahoma"/>
        </w:rPr>
        <w:t xml:space="preserve">efore the 20th Century, children and young people </w:t>
      </w:r>
      <w:proofErr w:type="gramStart"/>
      <w:r w:rsidR="003F609A" w:rsidRPr="003537B4">
        <w:rPr>
          <w:rFonts w:ascii="Tahoma" w:hAnsi="Tahoma" w:cs="Tahoma"/>
        </w:rPr>
        <w:t>were primarily seen</w:t>
      </w:r>
      <w:proofErr w:type="gramEnd"/>
      <w:r w:rsidR="003F609A" w:rsidRPr="003537B4">
        <w:rPr>
          <w:rFonts w:ascii="Tahoma" w:hAnsi="Tahoma" w:cs="Tahoma"/>
        </w:rPr>
        <w:t xml:space="preserve"> through the perspective of social control, with no standards of protection. </w:t>
      </w:r>
      <w:r w:rsidR="003F609A" w:rsidRPr="003537B4">
        <w:rPr>
          <w:rFonts w:ascii="Tahoma" w:hAnsi="Tahoma" w:cs="Tahoma"/>
        </w:rPr>
        <w:t xml:space="preserve">Therefore, there was limited acknowledgment of childhood, and it </w:t>
      </w:r>
      <w:proofErr w:type="gramStart"/>
      <w:r w:rsidR="003F609A" w:rsidRPr="003537B4">
        <w:rPr>
          <w:rFonts w:ascii="Tahoma" w:hAnsi="Tahoma" w:cs="Tahoma"/>
        </w:rPr>
        <w:t>was not viewed</w:t>
      </w:r>
      <w:proofErr w:type="gramEnd"/>
      <w:r w:rsidR="003F609A" w:rsidRPr="003537B4">
        <w:rPr>
          <w:rFonts w:ascii="Tahoma" w:hAnsi="Tahoma" w:cs="Tahoma"/>
        </w:rPr>
        <w:t xml:space="preserve"> as a unique or safeguarded phase of general life. Within society, children </w:t>
      </w:r>
      <w:proofErr w:type="gramStart"/>
      <w:r w:rsidR="003F609A" w:rsidRPr="003537B4">
        <w:rPr>
          <w:rFonts w:ascii="Tahoma" w:hAnsi="Tahoma" w:cs="Tahoma"/>
        </w:rPr>
        <w:t>were regarded</w:t>
      </w:r>
      <w:proofErr w:type="gramEnd"/>
      <w:r w:rsidR="003F609A" w:rsidRPr="003537B4">
        <w:rPr>
          <w:rFonts w:ascii="Tahoma" w:hAnsi="Tahoma" w:cs="Tahoma"/>
        </w:rPr>
        <w:t xml:space="preserve"> as the ‘property’ of their parents, as well as quite often the state they lived within. Therefore, without formal protection laws or the concept of any children</w:t>
      </w:r>
      <w:r w:rsidR="000C4C3C">
        <w:rPr>
          <w:rFonts w:ascii="Tahoma" w:hAnsi="Tahoma" w:cs="Tahoma"/>
        </w:rPr>
        <w:t>’s</w:t>
      </w:r>
      <w:r w:rsidR="003F609A" w:rsidRPr="003537B4">
        <w:rPr>
          <w:rFonts w:ascii="Tahoma" w:hAnsi="Tahoma" w:cs="Tahoma"/>
        </w:rPr>
        <w:t xml:space="preserve"> rights, their childhood </w:t>
      </w:r>
      <w:proofErr w:type="gramStart"/>
      <w:r w:rsidR="003F609A" w:rsidRPr="003537B4">
        <w:rPr>
          <w:rFonts w:ascii="Tahoma" w:hAnsi="Tahoma" w:cs="Tahoma"/>
        </w:rPr>
        <w:t>was not seen</w:t>
      </w:r>
      <w:proofErr w:type="gramEnd"/>
      <w:r w:rsidR="003F609A" w:rsidRPr="003537B4">
        <w:rPr>
          <w:rFonts w:ascii="Tahoma" w:hAnsi="Tahoma" w:cs="Tahoma"/>
        </w:rPr>
        <w:t xml:space="preserve"> as a distinct or developmental stage that deserved any form of specialised care or education. Furthermore, children’s wellbeing consisted primarily, the responsibility of their parents, and their care </w:t>
      </w:r>
      <w:proofErr w:type="gramStart"/>
      <w:r w:rsidR="003F609A" w:rsidRPr="003537B4">
        <w:rPr>
          <w:rFonts w:ascii="Tahoma" w:hAnsi="Tahoma" w:cs="Tahoma"/>
        </w:rPr>
        <w:t>was typically conducted</w:t>
      </w:r>
      <w:proofErr w:type="gramEnd"/>
      <w:r w:rsidR="003F609A" w:rsidRPr="003537B4">
        <w:rPr>
          <w:rFonts w:ascii="Tahoma" w:hAnsi="Tahoma" w:cs="Tahoma"/>
        </w:rPr>
        <w:t xml:space="preserve"> by the family unit. Therefore, there was minimal intervention from society or the state, as this </w:t>
      </w:r>
      <w:proofErr w:type="gramStart"/>
      <w:r w:rsidR="003F609A" w:rsidRPr="003537B4">
        <w:rPr>
          <w:rFonts w:ascii="Tahoma" w:hAnsi="Tahoma" w:cs="Tahoma"/>
        </w:rPr>
        <w:t>was perceived</w:t>
      </w:r>
      <w:proofErr w:type="gramEnd"/>
      <w:r w:rsidR="003F609A" w:rsidRPr="003537B4">
        <w:rPr>
          <w:rFonts w:ascii="Tahoma" w:hAnsi="Tahoma" w:cs="Tahoma"/>
        </w:rPr>
        <w:t xml:space="preserve"> as not customary.</w:t>
      </w:r>
      <w:r w:rsidRPr="003537B4">
        <w:rPr>
          <w:rFonts w:ascii="Tahoma" w:hAnsi="Tahoma" w:cs="Tahoma"/>
        </w:rPr>
        <w:t xml:space="preserve"> </w:t>
      </w:r>
      <w:r w:rsidRPr="003537B4">
        <w:rPr>
          <w:rFonts w:ascii="Tahoma" w:hAnsi="Tahoma" w:cs="Tahoma"/>
        </w:rPr>
        <w:t>(Gutman &amp; Vorhaus, 2012).</w:t>
      </w:r>
    </w:p>
    <w:p w14:paraId="5B60CBCF" w14:textId="364A808B" w:rsidR="004854E3" w:rsidRPr="003537B4" w:rsidRDefault="003F609A">
      <w:pPr>
        <w:jc w:val="both"/>
        <w:rPr>
          <w:rFonts w:ascii="Tahoma" w:hAnsi="Tahoma" w:cs="Tahoma"/>
        </w:rPr>
      </w:pPr>
      <w:r w:rsidRPr="003537B4">
        <w:rPr>
          <w:rFonts w:ascii="Tahoma" w:hAnsi="Tahoma" w:cs="Tahoma"/>
        </w:rPr>
        <w:t xml:space="preserve">The Industrial Revolution marked a significant turning point in the recognition of child labour and the beginning of child wellbeing and welfare policies. Severe consequences were evident as children’s health, development and future opportunities all deteriorated. </w:t>
      </w:r>
      <w:r w:rsidR="004854E3" w:rsidRPr="003537B4">
        <w:rPr>
          <w:rFonts w:ascii="Tahoma" w:hAnsi="Tahoma" w:cs="Tahoma"/>
        </w:rPr>
        <w:t>According to Tuttle (</w:t>
      </w:r>
      <w:proofErr w:type="gramStart"/>
      <w:r w:rsidR="004854E3" w:rsidRPr="003537B4">
        <w:rPr>
          <w:rFonts w:ascii="Tahoma" w:hAnsi="Tahoma" w:cs="Tahoma"/>
        </w:rPr>
        <w:t>20</w:t>
      </w:r>
      <w:r w:rsidR="00A319B3" w:rsidRPr="003537B4">
        <w:rPr>
          <w:rFonts w:ascii="Tahoma" w:hAnsi="Tahoma" w:cs="Tahoma"/>
        </w:rPr>
        <w:t>00</w:t>
      </w:r>
      <w:proofErr w:type="gramEnd"/>
      <w:r w:rsidR="00A319B3" w:rsidRPr="003537B4">
        <w:rPr>
          <w:rFonts w:ascii="Tahoma" w:hAnsi="Tahoma" w:cs="Tahoma"/>
        </w:rPr>
        <w:t>)</w:t>
      </w:r>
      <w:r w:rsidR="004854E3" w:rsidRPr="003537B4">
        <w:rPr>
          <w:rFonts w:ascii="Tahoma" w:hAnsi="Tahoma" w:cs="Tahoma"/>
        </w:rPr>
        <w:t xml:space="preserve"> c</w:t>
      </w:r>
      <w:r w:rsidRPr="003537B4">
        <w:rPr>
          <w:rFonts w:ascii="Tahoma" w:hAnsi="Tahoma" w:cs="Tahoma"/>
        </w:rPr>
        <w:t xml:space="preserve">hildren, particularly from lower class families, were expected to contribute to the family’s income from a young age and were sent to work in factories, farms, or homes, working alongside adults in not only unsafe, but also unsanitary conditions. </w:t>
      </w:r>
    </w:p>
    <w:p w14:paraId="47F0A812" w14:textId="1D9EA12D" w:rsidR="00A87F06" w:rsidRPr="003537B4" w:rsidRDefault="003F609A">
      <w:pPr>
        <w:jc w:val="both"/>
        <w:rPr>
          <w:rFonts w:ascii="Tahoma" w:hAnsi="Tahoma" w:cs="Tahoma"/>
        </w:rPr>
      </w:pPr>
      <w:r w:rsidRPr="003537B4">
        <w:rPr>
          <w:rFonts w:ascii="Tahoma" w:hAnsi="Tahoma" w:cs="Tahoma"/>
        </w:rPr>
        <w:t xml:space="preserve">Whilst their small size made them ideal for certain tasks, children </w:t>
      </w:r>
      <w:proofErr w:type="gramStart"/>
      <w:r w:rsidRPr="003537B4">
        <w:rPr>
          <w:rFonts w:ascii="Tahoma" w:hAnsi="Tahoma" w:cs="Tahoma"/>
        </w:rPr>
        <w:t>were also left</w:t>
      </w:r>
      <w:proofErr w:type="gramEnd"/>
      <w:r w:rsidRPr="003537B4">
        <w:rPr>
          <w:rFonts w:ascii="Tahoma" w:hAnsi="Tahoma" w:cs="Tahoma"/>
        </w:rPr>
        <w:t xml:space="preserve"> vulnerable to injury as well as exploitation, and their gruelling workload left them exhausted, malnourished, with long term physical difficulties, as well as being trapped within the poverty cycle. They were subject to long hours, dangerous conditions, and minimal pay, and </w:t>
      </w:r>
      <w:proofErr w:type="gramStart"/>
      <w:r w:rsidRPr="003537B4">
        <w:rPr>
          <w:rFonts w:ascii="Tahoma" w:hAnsi="Tahoma" w:cs="Tahoma"/>
        </w:rPr>
        <w:t>were rarely afforded</w:t>
      </w:r>
      <w:proofErr w:type="gramEnd"/>
      <w:r w:rsidRPr="003537B4">
        <w:rPr>
          <w:rFonts w:ascii="Tahoma" w:hAnsi="Tahoma" w:cs="Tahoma"/>
        </w:rPr>
        <w:t xml:space="preserve"> the protections we might expect in society today. Child labour </w:t>
      </w:r>
      <w:proofErr w:type="gramStart"/>
      <w:r w:rsidRPr="003537B4">
        <w:rPr>
          <w:rFonts w:ascii="Tahoma" w:hAnsi="Tahoma" w:cs="Tahoma"/>
        </w:rPr>
        <w:t>was not seen</w:t>
      </w:r>
      <w:proofErr w:type="gramEnd"/>
      <w:r w:rsidRPr="003537B4">
        <w:rPr>
          <w:rFonts w:ascii="Tahoma" w:hAnsi="Tahoma" w:cs="Tahoma"/>
        </w:rPr>
        <w:t xml:space="preserve"> as an issue and instead was seen as a natural extension of their role within their own family unit. The exploitation of child</w:t>
      </w:r>
      <w:r w:rsidRPr="003537B4">
        <w:rPr>
          <w:rFonts w:ascii="Tahoma" w:hAnsi="Tahoma" w:cs="Tahoma"/>
        </w:rPr>
        <w:t xml:space="preserve">ren within industries during the Industrial Revolution is a dark reminder of the mentality perceived at that time, with the absence of legislative protection having </w:t>
      </w:r>
      <w:proofErr w:type="gramStart"/>
      <w:r w:rsidRPr="003537B4">
        <w:rPr>
          <w:rFonts w:ascii="Tahoma" w:hAnsi="Tahoma" w:cs="Tahoma"/>
        </w:rPr>
        <w:t>a huge impact</w:t>
      </w:r>
      <w:proofErr w:type="gramEnd"/>
      <w:r w:rsidRPr="003537B4">
        <w:rPr>
          <w:rFonts w:ascii="Tahoma" w:hAnsi="Tahoma" w:cs="Tahoma"/>
        </w:rPr>
        <w:t xml:space="preserve"> on children’s welfare, education and health. Therefore, this period saw public </w:t>
      </w:r>
      <w:r w:rsidRPr="003537B4">
        <w:rPr>
          <w:rFonts w:ascii="Tahoma" w:hAnsi="Tahoma" w:cs="Tahoma"/>
        </w:rPr>
        <w:lastRenderedPageBreak/>
        <w:t>awareness of the adversities faced by child labour, which in time, eventually led to the development of early child protection laws.</w:t>
      </w:r>
      <w:r w:rsidR="00A319B3" w:rsidRPr="003537B4">
        <w:rPr>
          <w:rFonts w:ascii="Tahoma" w:hAnsi="Tahoma" w:cs="Tahoma"/>
        </w:rPr>
        <w:t xml:space="preserve"> (Humphries, 2013).</w:t>
      </w:r>
    </w:p>
    <w:p w14:paraId="766CA862" w14:textId="4F3A3F9E" w:rsidR="00A87F06" w:rsidRPr="003537B4" w:rsidRDefault="003F609A">
      <w:pPr>
        <w:jc w:val="both"/>
        <w:rPr>
          <w:rFonts w:ascii="Tahoma" w:hAnsi="Tahoma" w:cs="Tahoma"/>
          <w:b/>
          <w:bCs/>
        </w:rPr>
      </w:pPr>
      <w:r w:rsidRPr="003537B4">
        <w:rPr>
          <w:rFonts w:ascii="Tahoma" w:hAnsi="Tahoma" w:cs="Tahoma"/>
        </w:rPr>
        <w:t xml:space="preserve">Through the determination within Parliament to regulate factory conditions, The Factory Act </w:t>
      </w:r>
      <w:r w:rsidR="009D1C17" w:rsidRPr="003537B4">
        <w:rPr>
          <w:rFonts w:ascii="Tahoma" w:hAnsi="Tahoma" w:cs="Tahoma"/>
        </w:rPr>
        <w:t>(</w:t>
      </w:r>
      <w:r w:rsidRPr="003537B4">
        <w:rPr>
          <w:rFonts w:ascii="Tahoma" w:hAnsi="Tahoma" w:cs="Tahoma"/>
        </w:rPr>
        <w:t>1833</w:t>
      </w:r>
      <w:r w:rsidR="009D1C17" w:rsidRPr="003537B4">
        <w:rPr>
          <w:rFonts w:ascii="Tahoma" w:hAnsi="Tahoma" w:cs="Tahoma"/>
        </w:rPr>
        <w:t>)</w:t>
      </w:r>
      <w:r w:rsidRPr="003537B4">
        <w:rPr>
          <w:rFonts w:ascii="Tahoma" w:hAnsi="Tahoma" w:cs="Tahoma"/>
        </w:rPr>
        <w:t xml:space="preserve">, was one of the earliest milestones that recognised the need for child protection. This Act </w:t>
      </w:r>
      <w:proofErr w:type="gramStart"/>
      <w:r w:rsidRPr="003537B4">
        <w:rPr>
          <w:rFonts w:ascii="Tahoma" w:hAnsi="Tahoma" w:cs="Tahoma"/>
        </w:rPr>
        <w:t>was driven</w:t>
      </w:r>
      <w:proofErr w:type="gramEnd"/>
      <w:r w:rsidRPr="003537B4">
        <w:rPr>
          <w:rFonts w:ascii="Tahoma" w:hAnsi="Tahoma" w:cs="Tahoma"/>
        </w:rPr>
        <w:t xml:space="preserve"> mainly by anti-slavery campaigners who compared the treatment of some workers, including children to that of slaves. The law </w:t>
      </w:r>
      <w:proofErr w:type="gramStart"/>
      <w:r w:rsidRPr="003537B4">
        <w:rPr>
          <w:rFonts w:ascii="Tahoma" w:hAnsi="Tahoma" w:cs="Tahoma"/>
        </w:rPr>
        <w:t>was designed</w:t>
      </w:r>
      <w:proofErr w:type="gramEnd"/>
      <w:r w:rsidRPr="003537B4">
        <w:rPr>
          <w:rFonts w:ascii="Tahoma" w:hAnsi="Tahoma" w:cs="Tahoma"/>
        </w:rPr>
        <w:t xml:space="preserve"> to limit all types of labour, as it prohibited that no children under the age of nine years should be working in factories as well as restricting the hours that children could actually work. Therefore, this was the first acknowledgement in </w:t>
      </w:r>
      <w:proofErr w:type="gramStart"/>
      <w:r w:rsidRPr="003537B4">
        <w:rPr>
          <w:rFonts w:ascii="Tahoma" w:hAnsi="Tahoma" w:cs="Tahoma"/>
        </w:rPr>
        <w:t>many</w:t>
      </w:r>
      <w:proofErr w:type="gramEnd"/>
      <w:r w:rsidRPr="003537B4">
        <w:rPr>
          <w:rFonts w:ascii="Tahoma" w:hAnsi="Tahoma" w:cs="Tahoma"/>
        </w:rPr>
        <w:t xml:space="preserve"> ways that children were v</w:t>
      </w:r>
      <w:r w:rsidRPr="003537B4">
        <w:rPr>
          <w:rFonts w:ascii="Tahoma" w:hAnsi="Tahoma" w:cs="Tahoma"/>
        </w:rPr>
        <w:t>ulnerable and needed state protection.</w:t>
      </w:r>
      <w:r w:rsidR="00A529F6" w:rsidRPr="003537B4">
        <w:rPr>
          <w:rFonts w:ascii="Tahoma" w:hAnsi="Tahoma" w:cs="Tahoma"/>
        </w:rPr>
        <w:t xml:space="preserve"> (</w:t>
      </w:r>
      <w:r w:rsidR="00A529F6" w:rsidRPr="003537B4">
        <w:rPr>
          <w:rFonts w:ascii="Tahoma" w:hAnsi="Tahoma" w:cs="Tahoma"/>
        </w:rPr>
        <w:t>Bhabha, 2016</w:t>
      </w:r>
      <w:r w:rsidR="00A529F6" w:rsidRPr="003537B4">
        <w:rPr>
          <w:rFonts w:ascii="Tahoma" w:hAnsi="Tahoma" w:cs="Tahoma"/>
        </w:rPr>
        <w:t>)</w:t>
      </w:r>
    </w:p>
    <w:p w14:paraId="41849C61" w14:textId="17815719" w:rsidR="00A87F06" w:rsidRPr="003537B4" w:rsidRDefault="003F609A">
      <w:pPr>
        <w:jc w:val="both"/>
        <w:rPr>
          <w:rFonts w:ascii="Tahoma" w:hAnsi="Tahoma" w:cs="Tahoma"/>
        </w:rPr>
      </w:pPr>
      <w:r w:rsidRPr="003537B4">
        <w:rPr>
          <w:rFonts w:ascii="Tahoma" w:hAnsi="Tahoma" w:cs="Tahoma"/>
        </w:rPr>
        <w:t>The acknowledge of children’s rights significantly progressed in relation to children’s rights and wellbeing was endorsed in the 20</w:t>
      </w:r>
      <w:r w:rsidRPr="003537B4">
        <w:rPr>
          <w:rFonts w:ascii="Tahoma" w:hAnsi="Tahoma" w:cs="Tahoma"/>
          <w:vertAlign w:val="superscript"/>
        </w:rPr>
        <w:t>th</w:t>
      </w:r>
      <w:r w:rsidRPr="003537B4">
        <w:rPr>
          <w:rFonts w:ascii="Tahoma" w:hAnsi="Tahoma" w:cs="Tahoma"/>
        </w:rPr>
        <w:t xml:space="preserve"> Century, especially in the aftermath of the Second World War</w:t>
      </w:r>
      <w:proofErr w:type="gramStart"/>
      <w:r w:rsidRPr="003537B4">
        <w:rPr>
          <w:rFonts w:ascii="Tahoma" w:hAnsi="Tahoma" w:cs="Tahoma"/>
        </w:rPr>
        <w:t xml:space="preserve">.  </w:t>
      </w:r>
      <w:proofErr w:type="gramEnd"/>
      <w:r w:rsidR="008709DB" w:rsidRPr="003537B4">
        <w:rPr>
          <w:rFonts w:ascii="Tahoma" w:hAnsi="Tahoma" w:cs="Tahoma"/>
        </w:rPr>
        <w:t>Cottre</w:t>
      </w:r>
      <w:r w:rsidR="00054AD4" w:rsidRPr="003537B4">
        <w:rPr>
          <w:rFonts w:ascii="Tahoma" w:hAnsi="Tahoma" w:cs="Tahoma"/>
        </w:rPr>
        <w:t>ll (2013) explained that t</w:t>
      </w:r>
      <w:r w:rsidRPr="003537B4">
        <w:rPr>
          <w:rFonts w:ascii="Tahoma" w:hAnsi="Tahoma" w:cs="Tahoma"/>
        </w:rPr>
        <w:t xml:space="preserve">his resulted in societies becoming more aware of both the social, as well as the psychological effects the war had on children and young people and subsequently thereafter there was an intensified focus on education, </w:t>
      </w:r>
      <w:proofErr w:type="gramStart"/>
      <w:r w:rsidRPr="003537B4">
        <w:rPr>
          <w:rFonts w:ascii="Tahoma" w:hAnsi="Tahoma" w:cs="Tahoma"/>
        </w:rPr>
        <w:t>welfare</w:t>
      </w:r>
      <w:proofErr w:type="gramEnd"/>
      <w:r w:rsidRPr="003537B4">
        <w:rPr>
          <w:rFonts w:ascii="Tahoma" w:hAnsi="Tahoma" w:cs="Tahoma"/>
        </w:rPr>
        <w:t xml:space="preserve"> and mental health.</w:t>
      </w:r>
    </w:p>
    <w:p w14:paraId="17701AEB" w14:textId="77777777" w:rsidR="00A87F06" w:rsidRPr="003537B4" w:rsidRDefault="003F609A">
      <w:pPr>
        <w:jc w:val="both"/>
        <w:rPr>
          <w:rFonts w:ascii="Tahoma" w:hAnsi="Tahoma" w:cs="Tahoma"/>
        </w:rPr>
      </w:pPr>
      <w:r w:rsidRPr="003537B4">
        <w:rPr>
          <w:rFonts w:ascii="Tahoma" w:hAnsi="Tahoma" w:cs="Tahoma"/>
        </w:rPr>
        <w:t>In 1989 The United Nations Convention on the Rights of the Child was a fundamental document that formally recognised the rights of children and young people with specific needs and that they had their own entitlements. This Convention established a framework that was a global framework for protecting children and young people’s wellbeing, as well as focussing and reinforcing their rights to education, healthcare, participation in decisions that affected them throughout their life, as well as protection from</w:t>
      </w:r>
      <w:r w:rsidRPr="003537B4">
        <w:rPr>
          <w:rFonts w:ascii="Tahoma" w:hAnsi="Tahoma" w:cs="Tahoma"/>
        </w:rPr>
        <w:t xml:space="preserve"> violence. This document provides a set of fifty four articles aimed at ensuring the survival, </w:t>
      </w:r>
      <w:proofErr w:type="gramStart"/>
      <w:r w:rsidRPr="003537B4">
        <w:rPr>
          <w:rFonts w:ascii="Tahoma" w:hAnsi="Tahoma" w:cs="Tahoma"/>
        </w:rPr>
        <w:t>development</w:t>
      </w:r>
      <w:proofErr w:type="gramEnd"/>
      <w:r w:rsidRPr="003537B4">
        <w:rPr>
          <w:rFonts w:ascii="Tahoma" w:hAnsi="Tahoma" w:cs="Tahoma"/>
        </w:rPr>
        <w:t xml:space="preserve"> and participation of children (Unicef, 2022).</w:t>
      </w:r>
    </w:p>
    <w:p w14:paraId="42C56F81" w14:textId="64A2D6F8" w:rsidR="00A87F06" w:rsidRPr="003537B4" w:rsidRDefault="003F609A">
      <w:pPr>
        <w:jc w:val="both"/>
        <w:rPr>
          <w:rFonts w:ascii="Tahoma" w:hAnsi="Tahoma" w:cs="Tahoma"/>
        </w:rPr>
      </w:pPr>
      <w:r w:rsidRPr="003537B4">
        <w:rPr>
          <w:rFonts w:ascii="Tahoma" w:hAnsi="Tahoma" w:cs="Tahoma"/>
        </w:rPr>
        <w:t xml:space="preserve">The Convention manifested a huge transformation, as children </w:t>
      </w:r>
      <w:proofErr w:type="gramStart"/>
      <w:r w:rsidRPr="003537B4">
        <w:rPr>
          <w:rFonts w:ascii="Tahoma" w:hAnsi="Tahoma" w:cs="Tahoma"/>
        </w:rPr>
        <w:t>were then viewed</w:t>
      </w:r>
      <w:proofErr w:type="gramEnd"/>
      <w:r w:rsidRPr="003537B4">
        <w:rPr>
          <w:rFonts w:ascii="Tahoma" w:hAnsi="Tahoma" w:cs="Tahoma"/>
        </w:rPr>
        <w:t xml:space="preserve"> as recipients who should be recognised as individuals with their own individual rights, therefore highly influencing both national and international polices.</w:t>
      </w:r>
      <w:r w:rsidR="0054222B">
        <w:rPr>
          <w:rFonts w:ascii="Tahoma" w:hAnsi="Tahoma" w:cs="Tahoma"/>
        </w:rPr>
        <w:t xml:space="preserve"> </w:t>
      </w:r>
      <w:r w:rsidR="0054222B" w:rsidRPr="0054222B">
        <w:rPr>
          <w:rFonts w:ascii="Tahoma" w:hAnsi="Tahoma" w:cs="Tahoma"/>
        </w:rPr>
        <w:t xml:space="preserve">The Children’s Commissioner for Wales </w:t>
      </w:r>
      <w:r w:rsidR="0054222B">
        <w:rPr>
          <w:rFonts w:ascii="Tahoma" w:hAnsi="Tahoma" w:cs="Tahoma"/>
        </w:rPr>
        <w:t xml:space="preserve">further </w:t>
      </w:r>
      <w:r w:rsidR="0054222B" w:rsidRPr="0054222B">
        <w:rPr>
          <w:rFonts w:ascii="Tahoma" w:hAnsi="Tahoma" w:cs="Tahoma"/>
        </w:rPr>
        <w:t>supports policies for children and young people by advocating their rights a</w:t>
      </w:r>
      <w:r w:rsidR="002617E9">
        <w:rPr>
          <w:rFonts w:ascii="Tahoma" w:hAnsi="Tahoma" w:cs="Tahoma"/>
        </w:rPr>
        <w:t xml:space="preserve">s well as they have opportunities to express their opinions and decisions that their voices </w:t>
      </w:r>
      <w:proofErr w:type="gramStart"/>
      <w:r w:rsidR="002617E9">
        <w:rPr>
          <w:rFonts w:ascii="Tahoma" w:hAnsi="Tahoma" w:cs="Tahoma"/>
        </w:rPr>
        <w:t>are heard</w:t>
      </w:r>
      <w:proofErr w:type="gramEnd"/>
      <w:r w:rsidR="002617E9">
        <w:rPr>
          <w:rFonts w:ascii="Tahoma" w:hAnsi="Tahoma" w:cs="Tahoma"/>
        </w:rPr>
        <w:t>.</w:t>
      </w:r>
      <w:r w:rsidR="0054222B" w:rsidRPr="0054222B">
        <w:rPr>
          <w:rFonts w:ascii="Tahoma" w:hAnsi="Tahoma" w:cs="Tahoma"/>
        </w:rPr>
        <w:t xml:space="preserve"> </w:t>
      </w:r>
      <w:r w:rsidR="002617E9">
        <w:rPr>
          <w:rFonts w:ascii="Tahoma" w:hAnsi="Tahoma" w:cs="Tahoma"/>
        </w:rPr>
        <w:t xml:space="preserve">Furthermore, </w:t>
      </w:r>
      <w:r w:rsidR="0054222B" w:rsidRPr="0054222B">
        <w:rPr>
          <w:rFonts w:ascii="Tahoma" w:hAnsi="Tahoma" w:cs="Tahoma"/>
        </w:rPr>
        <w:t xml:space="preserve">The Commissioner monitors </w:t>
      </w:r>
      <w:r w:rsidR="006043DC">
        <w:rPr>
          <w:rFonts w:ascii="Tahoma" w:hAnsi="Tahoma" w:cs="Tahoma"/>
        </w:rPr>
        <w:t xml:space="preserve">and regulates </w:t>
      </w:r>
      <w:r w:rsidR="0054222B" w:rsidRPr="0054222B">
        <w:rPr>
          <w:rFonts w:ascii="Tahoma" w:hAnsi="Tahoma" w:cs="Tahoma"/>
        </w:rPr>
        <w:t>government policies</w:t>
      </w:r>
      <w:r w:rsidR="008018D6">
        <w:rPr>
          <w:rFonts w:ascii="Tahoma" w:hAnsi="Tahoma" w:cs="Tahoma"/>
        </w:rPr>
        <w:t xml:space="preserve">, ensuring they are </w:t>
      </w:r>
      <w:r w:rsidR="00A764D0">
        <w:rPr>
          <w:rFonts w:ascii="Tahoma" w:hAnsi="Tahoma" w:cs="Tahoma"/>
        </w:rPr>
        <w:t>aligning</w:t>
      </w:r>
      <w:r w:rsidR="0054222B" w:rsidRPr="0054222B">
        <w:rPr>
          <w:rFonts w:ascii="Tahoma" w:hAnsi="Tahoma" w:cs="Tahoma"/>
        </w:rPr>
        <w:t xml:space="preserve"> with the United Nations Convention on the Rights of the Child (UNCRC)</w:t>
      </w:r>
      <w:r w:rsidR="008018D6">
        <w:rPr>
          <w:rFonts w:ascii="Tahoma" w:hAnsi="Tahoma" w:cs="Tahoma"/>
        </w:rPr>
        <w:t xml:space="preserve">. </w:t>
      </w:r>
      <w:r w:rsidR="00A764D0">
        <w:rPr>
          <w:rFonts w:ascii="Tahoma" w:hAnsi="Tahoma" w:cs="Tahoma"/>
        </w:rPr>
        <w:t>Additionally,</w:t>
      </w:r>
      <w:r w:rsidR="008018D6">
        <w:rPr>
          <w:rFonts w:ascii="Tahoma" w:hAnsi="Tahoma" w:cs="Tahoma"/>
        </w:rPr>
        <w:t xml:space="preserve"> The Commissioner has responsibility for </w:t>
      </w:r>
      <w:r w:rsidR="0054222B" w:rsidRPr="0054222B">
        <w:rPr>
          <w:rFonts w:ascii="Tahoma" w:hAnsi="Tahoma" w:cs="Tahoma"/>
        </w:rPr>
        <w:t>providing independent advice and recommendations</w:t>
      </w:r>
      <w:r w:rsidR="008018D6">
        <w:rPr>
          <w:rFonts w:ascii="Tahoma" w:hAnsi="Tahoma" w:cs="Tahoma"/>
        </w:rPr>
        <w:t xml:space="preserve"> with a view to improving their overall w</w:t>
      </w:r>
      <w:r w:rsidR="0054222B" w:rsidRPr="0054222B">
        <w:rPr>
          <w:rFonts w:ascii="Tahoma" w:hAnsi="Tahoma" w:cs="Tahoma"/>
        </w:rPr>
        <w:t xml:space="preserve">ellbeing. Through </w:t>
      </w:r>
      <w:r w:rsidR="00A764D0">
        <w:rPr>
          <w:rFonts w:ascii="Tahoma" w:hAnsi="Tahoma" w:cs="Tahoma"/>
        </w:rPr>
        <w:t>various c</w:t>
      </w:r>
      <w:r w:rsidR="0054222B" w:rsidRPr="0054222B">
        <w:rPr>
          <w:rFonts w:ascii="Tahoma" w:hAnsi="Tahoma" w:cs="Tahoma"/>
        </w:rPr>
        <w:t xml:space="preserve">onsultations and engagement with children and young people, </w:t>
      </w:r>
      <w:r w:rsidR="00A764D0">
        <w:rPr>
          <w:rFonts w:ascii="Tahoma" w:hAnsi="Tahoma" w:cs="Tahoma"/>
        </w:rPr>
        <w:t xml:space="preserve">highly </w:t>
      </w:r>
      <w:r w:rsidR="0054222B" w:rsidRPr="0054222B">
        <w:rPr>
          <w:rFonts w:ascii="Tahoma" w:hAnsi="Tahoma" w:cs="Tahoma"/>
        </w:rPr>
        <w:t xml:space="preserve">influences policy development </w:t>
      </w:r>
      <w:r w:rsidR="00A764D0">
        <w:rPr>
          <w:rFonts w:ascii="Tahoma" w:hAnsi="Tahoma" w:cs="Tahoma"/>
        </w:rPr>
        <w:t>with</w:t>
      </w:r>
      <w:r w:rsidR="0054222B" w:rsidRPr="0054222B">
        <w:rPr>
          <w:rFonts w:ascii="Tahoma" w:hAnsi="Tahoma" w:cs="Tahoma"/>
        </w:rPr>
        <w:t xml:space="preserve">in </w:t>
      </w:r>
      <w:r w:rsidR="00A764D0">
        <w:rPr>
          <w:rFonts w:ascii="Tahoma" w:hAnsi="Tahoma" w:cs="Tahoma"/>
        </w:rPr>
        <w:t>the remit of educa</w:t>
      </w:r>
      <w:r w:rsidR="0054222B" w:rsidRPr="0054222B">
        <w:rPr>
          <w:rFonts w:ascii="Tahoma" w:hAnsi="Tahoma" w:cs="Tahoma"/>
        </w:rPr>
        <w:t>tion, health, and social care.</w:t>
      </w:r>
    </w:p>
    <w:p w14:paraId="2B53824E" w14:textId="4BB2EAD7" w:rsidR="00A87F06" w:rsidRPr="003537B4" w:rsidRDefault="003F609A">
      <w:pPr>
        <w:jc w:val="both"/>
        <w:rPr>
          <w:rFonts w:ascii="Tahoma" w:hAnsi="Tahoma" w:cs="Tahoma"/>
        </w:rPr>
      </w:pPr>
      <w:r w:rsidRPr="003537B4">
        <w:rPr>
          <w:rFonts w:ascii="Tahoma" w:hAnsi="Tahoma" w:cs="Tahoma"/>
        </w:rPr>
        <w:t xml:space="preserve">The impact of the United Nations Convention on the Rights of the Child continued to grow and The Children Act 1989 </w:t>
      </w:r>
      <w:proofErr w:type="gramStart"/>
      <w:r w:rsidRPr="003537B4">
        <w:rPr>
          <w:rFonts w:ascii="Tahoma" w:hAnsi="Tahoma" w:cs="Tahoma"/>
        </w:rPr>
        <w:t>was introduced</w:t>
      </w:r>
      <w:proofErr w:type="gramEnd"/>
      <w:r w:rsidRPr="003537B4">
        <w:rPr>
          <w:rFonts w:ascii="Tahoma" w:hAnsi="Tahoma" w:cs="Tahoma"/>
        </w:rPr>
        <w:t xml:space="preserve">, whereby children’s welfare was made a primary concern by both society and the state. Duty </w:t>
      </w:r>
      <w:proofErr w:type="gramStart"/>
      <w:r w:rsidRPr="003537B4">
        <w:rPr>
          <w:rFonts w:ascii="Tahoma" w:hAnsi="Tahoma" w:cs="Tahoma"/>
        </w:rPr>
        <w:t>was placed</w:t>
      </w:r>
      <w:proofErr w:type="gramEnd"/>
      <w:r w:rsidRPr="003537B4">
        <w:rPr>
          <w:rFonts w:ascii="Tahoma" w:hAnsi="Tahoma" w:cs="Tahoma"/>
        </w:rPr>
        <w:t xml:space="preserve"> on all Local </w:t>
      </w:r>
      <w:r w:rsidRPr="003537B4">
        <w:rPr>
          <w:rFonts w:ascii="Tahoma" w:hAnsi="Tahoma" w:cs="Tahoma"/>
        </w:rPr>
        <w:lastRenderedPageBreak/>
        <w:t xml:space="preserve">Authorities to protect children from harm, as well as promoting their development and ensuring their overall wellbeing. This act also reinforced the concept of how children’s best interests needing to </w:t>
      </w:r>
      <w:proofErr w:type="gramStart"/>
      <w:r w:rsidRPr="003537B4">
        <w:rPr>
          <w:rFonts w:ascii="Tahoma" w:hAnsi="Tahoma" w:cs="Tahoma"/>
        </w:rPr>
        <w:t>be considered</w:t>
      </w:r>
      <w:proofErr w:type="gramEnd"/>
      <w:r w:rsidRPr="003537B4">
        <w:rPr>
          <w:rFonts w:ascii="Tahoma" w:hAnsi="Tahoma" w:cs="Tahoma"/>
        </w:rPr>
        <w:t xml:space="preserve"> to ensure that they have a voice in matters that will affect their lives, thus meeting their full potential. </w:t>
      </w:r>
      <w:r w:rsidR="00A0307D" w:rsidRPr="003537B4">
        <w:rPr>
          <w:rFonts w:ascii="Tahoma" w:hAnsi="Tahoma" w:cs="Tahoma"/>
        </w:rPr>
        <w:t>(The Children Act, 1989)</w:t>
      </w:r>
    </w:p>
    <w:p w14:paraId="3DBAA707" w14:textId="77777777" w:rsidR="00A87F06" w:rsidRPr="003537B4" w:rsidRDefault="003F609A">
      <w:pPr>
        <w:jc w:val="both"/>
        <w:rPr>
          <w:rFonts w:ascii="Tahoma" w:hAnsi="Tahoma" w:cs="Tahoma"/>
        </w:rPr>
      </w:pPr>
      <w:r w:rsidRPr="003537B4">
        <w:rPr>
          <w:rFonts w:ascii="Tahoma" w:hAnsi="Tahoma" w:cs="Tahoma"/>
        </w:rPr>
        <w:t xml:space="preserve">Furthermore, The Children Act 1989 highlighted and reinforced the commitment to protecting children’s rights as well as ensuring that child protection practices </w:t>
      </w:r>
      <w:proofErr w:type="gramStart"/>
      <w:r w:rsidRPr="003537B4">
        <w:rPr>
          <w:rFonts w:ascii="Tahoma" w:hAnsi="Tahoma" w:cs="Tahoma"/>
        </w:rPr>
        <w:t>were underpinned</w:t>
      </w:r>
      <w:proofErr w:type="gramEnd"/>
      <w:r w:rsidRPr="003537B4">
        <w:rPr>
          <w:rFonts w:ascii="Tahoma" w:hAnsi="Tahoma" w:cs="Tahoma"/>
        </w:rPr>
        <w:t xml:space="preserve"> by legal frameworks that emphasised their right to a voice. This </w:t>
      </w:r>
      <w:proofErr w:type="gramStart"/>
      <w:r w:rsidRPr="003537B4">
        <w:rPr>
          <w:rFonts w:ascii="Tahoma" w:hAnsi="Tahoma" w:cs="Tahoma"/>
        </w:rPr>
        <w:t>is also reinforced</w:t>
      </w:r>
      <w:proofErr w:type="gramEnd"/>
      <w:r w:rsidRPr="003537B4">
        <w:rPr>
          <w:rFonts w:ascii="Tahoma" w:hAnsi="Tahoma" w:cs="Tahoma"/>
        </w:rPr>
        <w:t xml:space="preserve"> by Cardno’s framework (2022) and how analysing policies relating to children and young people not only prioritises their rights, but involves them in decision making, therefore with the end result of developing policies that are adapted to the needs of children and young people.</w:t>
      </w:r>
    </w:p>
    <w:p w14:paraId="3CA69654" w14:textId="199113E8" w:rsidR="00A87F06" w:rsidRPr="003537B4" w:rsidRDefault="003F609A">
      <w:pPr>
        <w:jc w:val="both"/>
        <w:rPr>
          <w:rFonts w:ascii="Tahoma" w:hAnsi="Tahoma" w:cs="Tahoma"/>
        </w:rPr>
      </w:pPr>
      <w:r w:rsidRPr="003537B4">
        <w:rPr>
          <w:rFonts w:ascii="Tahoma" w:hAnsi="Tahoma" w:cs="Tahoma"/>
        </w:rPr>
        <w:t xml:space="preserve">Within society, children </w:t>
      </w:r>
      <w:proofErr w:type="gramStart"/>
      <w:r w:rsidRPr="003537B4">
        <w:rPr>
          <w:rFonts w:ascii="Tahoma" w:hAnsi="Tahoma" w:cs="Tahoma"/>
        </w:rPr>
        <w:t>were generally seen</w:t>
      </w:r>
      <w:proofErr w:type="gramEnd"/>
      <w:r w:rsidRPr="003537B4">
        <w:rPr>
          <w:rFonts w:ascii="Tahoma" w:hAnsi="Tahoma" w:cs="Tahoma"/>
        </w:rPr>
        <w:t xml:space="preserve"> as the ‘property’ of their parents and were therefore subject to the same rules and regulations that applied to all adults. Little recognition </w:t>
      </w:r>
      <w:proofErr w:type="gramStart"/>
      <w:r w:rsidRPr="003537B4">
        <w:rPr>
          <w:rFonts w:ascii="Tahoma" w:hAnsi="Tahoma" w:cs="Tahoma"/>
        </w:rPr>
        <w:t>was given</w:t>
      </w:r>
      <w:proofErr w:type="gramEnd"/>
      <w:r w:rsidRPr="003537B4">
        <w:rPr>
          <w:rFonts w:ascii="Tahoma" w:hAnsi="Tahoma" w:cs="Tahoma"/>
        </w:rPr>
        <w:t xml:space="preserve"> to a child or young person’s individual needs. However, within the 20</w:t>
      </w:r>
      <w:r w:rsidRPr="003537B4">
        <w:rPr>
          <w:rFonts w:ascii="Tahoma" w:hAnsi="Tahoma" w:cs="Tahoma"/>
          <w:vertAlign w:val="superscript"/>
        </w:rPr>
        <w:t>th</w:t>
      </w:r>
      <w:r w:rsidRPr="003537B4">
        <w:rPr>
          <w:rFonts w:ascii="Tahoma" w:hAnsi="Tahoma" w:cs="Tahoma"/>
        </w:rPr>
        <w:t xml:space="preserve"> Century and over time, children and young people became recognised as needing a childhood that distinguished their distinct stages of life, thus requiring specific care, as well as a good education and protection from harm</w:t>
      </w:r>
      <w:r w:rsidR="000C6D8C" w:rsidRPr="003537B4">
        <w:rPr>
          <w:rFonts w:ascii="Tahoma" w:hAnsi="Tahoma" w:cs="Tahoma"/>
        </w:rPr>
        <w:t xml:space="preserve"> (Heywood, 2013).</w:t>
      </w:r>
    </w:p>
    <w:p w14:paraId="5DE1E5BD" w14:textId="77777777" w:rsidR="00A87F06" w:rsidRPr="003537B4" w:rsidRDefault="003F609A">
      <w:pPr>
        <w:jc w:val="both"/>
        <w:rPr>
          <w:rFonts w:ascii="Tahoma" w:hAnsi="Tahoma" w:cs="Tahoma"/>
        </w:rPr>
      </w:pPr>
      <w:r w:rsidRPr="003537B4">
        <w:rPr>
          <w:rFonts w:ascii="Tahoma" w:hAnsi="Tahoma" w:cs="Tahoma"/>
        </w:rPr>
        <w:t xml:space="preserve">This change </w:t>
      </w:r>
      <w:proofErr w:type="gramStart"/>
      <w:r w:rsidRPr="003537B4">
        <w:rPr>
          <w:rFonts w:ascii="Tahoma" w:hAnsi="Tahoma" w:cs="Tahoma"/>
        </w:rPr>
        <w:t>was highly influenced</w:t>
      </w:r>
      <w:proofErr w:type="gramEnd"/>
      <w:r w:rsidRPr="003537B4">
        <w:rPr>
          <w:rFonts w:ascii="Tahoma" w:hAnsi="Tahoma" w:cs="Tahoma"/>
        </w:rPr>
        <w:t xml:space="preserve"> by social figures who advocated the </w:t>
      </w:r>
      <w:r w:rsidRPr="003537B4">
        <w:rPr>
          <w:rFonts w:ascii="Tahoma" w:hAnsi="Tahoma" w:cs="Tahoma"/>
        </w:rPr>
        <w:t xml:space="preserve">rights and welfare of children. Catherine Booth was the co-founder of The Salvation Army and was momentous in influencing The Salvation Army's ethos, guiding its early </w:t>
      </w:r>
      <w:proofErr w:type="gramStart"/>
      <w:r w:rsidRPr="003537B4">
        <w:rPr>
          <w:rFonts w:ascii="Tahoma" w:hAnsi="Tahoma" w:cs="Tahoma"/>
        </w:rPr>
        <w:t>development</w:t>
      </w:r>
      <w:proofErr w:type="gramEnd"/>
      <w:r w:rsidRPr="003537B4">
        <w:rPr>
          <w:rFonts w:ascii="Tahoma" w:hAnsi="Tahoma" w:cs="Tahoma"/>
        </w:rPr>
        <w:t xml:space="preserve"> and earning her the title "The Mother of The Salvation Army." One of Catherine's most enduring legacies was her advocacy for women's rights (Alabama, </w:t>
      </w:r>
      <w:proofErr w:type="gramStart"/>
      <w:r w:rsidRPr="003537B4">
        <w:rPr>
          <w:rFonts w:ascii="Tahoma" w:hAnsi="Tahoma" w:cs="Tahoma"/>
        </w:rPr>
        <w:t>Louisiana</w:t>
      </w:r>
      <w:proofErr w:type="gramEnd"/>
      <w:r w:rsidRPr="003537B4">
        <w:rPr>
          <w:rFonts w:ascii="Tahoma" w:hAnsi="Tahoma" w:cs="Tahoma"/>
        </w:rPr>
        <w:t xml:space="preserve"> and Mississippi Division, 2024).</w:t>
      </w:r>
    </w:p>
    <w:p w14:paraId="3E37599A" w14:textId="77777777" w:rsidR="00A87F06" w:rsidRPr="003537B4" w:rsidRDefault="003F609A">
      <w:pPr>
        <w:jc w:val="both"/>
        <w:rPr>
          <w:rFonts w:ascii="Tahoma" w:hAnsi="Tahoma" w:cs="Tahoma"/>
        </w:rPr>
      </w:pPr>
      <w:r w:rsidRPr="003537B4">
        <w:rPr>
          <w:rFonts w:ascii="Tahoma" w:hAnsi="Tahoma" w:cs="Tahoma"/>
        </w:rPr>
        <w:t xml:space="preserve">Furthermore, Mary Ellen Wilson, who had suffered long term abuse from her foster mother and was the first child to </w:t>
      </w:r>
      <w:proofErr w:type="gramStart"/>
      <w:r w:rsidRPr="003537B4">
        <w:rPr>
          <w:rFonts w:ascii="Tahoma" w:hAnsi="Tahoma" w:cs="Tahoma"/>
        </w:rPr>
        <w:t>be taken</w:t>
      </w:r>
      <w:proofErr w:type="gramEnd"/>
      <w:r w:rsidRPr="003537B4">
        <w:rPr>
          <w:rFonts w:ascii="Tahoma" w:hAnsi="Tahoma" w:cs="Tahoma"/>
        </w:rPr>
        <w:t xml:space="preserve"> under the care of Social Services in America (Jalongo, 2006) and both women played crucial roles in bringing the concept of child abuse and neglect to the forefront. Their actions played an important part in reforming children’s welfare and also contributed to the development of Early Protection Laws. </w:t>
      </w:r>
    </w:p>
    <w:p w14:paraId="6C754FE5" w14:textId="0AFC6FAD" w:rsidR="00A87F06" w:rsidRPr="003537B4" w:rsidRDefault="003F609A">
      <w:pPr>
        <w:jc w:val="both"/>
        <w:rPr>
          <w:rFonts w:ascii="Tahoma" w:hAnsi="Tahoma" w:cs="Tahoma"/>
        </w:rPr>
      </w:pPr>
      <w:r w:rsidRPr="003537B4">
        <w:rPr>
          <w:rFonts w:ascii="Tahoma" w:hAnsi="Tahoma" w:cs="Tahoma"/>
        </w:rPr>
        <w:t xml:space="preserve">Therefore, children </w:t>
      </w:r>
      <w:proofErr w:type="gramStart"/>
      <w:r w:rsidRPr="003537B4">
        <w:rPr>
          <w:rFonts w:ascii="Tahoma" w:hAnsi="Tahoma" w:cs="Tahoma"/>
        </w:rPr>
        <w:t>were now recognised</w:t>
      </w:r>
      <w:proofErr w:type="gramEnd"/>
      <w:r w:rsidRPr="003537B4">
        <w:rPr>
          <w:rFonts w:ascii="Tahoma" w:hAnsi="Tahoma" w:cs="Tahoma"/>
        </w:rPr>
        <w:t xml:space="preserve"> as individuals with rights, as opposed to extensions of their parents or society and this has been central to reshaping how policies were and are created and implemented. In society today, children have the right to protection, </w:t>
      </w:r>
      <w:proofErr w:type="gramStart"/>
      <w:r w:rsidRPr="003537B4">
        <w:rPr>
          <w:rFonts w:ascii="Tahoma" w:hAnsi="Tahoma" w:cs="Tahoma"/>
        </w:rPr>
        <w:t>education</w:t>
      </w:r>
      <w:proofErr w:type="gramEnd"/>
      <w:r w:rsidRPr="003537B4">
        <w:rPr>
          <w:rFonts w:ascii="Tahoma" w:hAnsi="Tahoma" w:cs="Tahoma"/>
        </w:rPr>
        <w:t xml:space="preserve"> and participation within policies both in national and international legislation</w:t>
      </w:r>
      <w:r w:rsidR="000C6D8C" w:rsidRPr="003537B4">
        <w:rPr>
          <w:rFonts w:ascii="Tahoma" w:hAnsi="Tahoma" w:cs="Tahoma"/>
        </w:rPr>
        <w:t xml:space="preserve"> (Carroll, 2021).</w:t>
      </w:r>
    </w:p>
    <w:p w14:paraId="6B86F40F" w14:textId="6CAAD5F5" w:rsidR="00A87F06" w:rsidRPr="003537B4" w:rsidRDefault="003F609A">
      <w:pPr>
        <w:jc w:val="both"/>
        <w:rPr>
          <w:rFonts w:ascii="Tahoma" w:hAnsi="Tahoma" w:cs="Tahoma"/>
        </w:rPr>
      </w:pPr>
      <w:r w:rsidRPr="003537B4">
        <w:rPr>
          <w:rFonts w:ascii="Tahoma" w:hAnsi="Tahoma" w:cs="Tahoma"/>
        </w:rPr>
        <w:t xml:space="preserve">In the aftermath of the Second World War, there was a global change of a child focussed approach on both policy as well as societal attitudes. After the vast suffering caused by the War, whereby children had endured not only widespread trauma but displacement, policies aimed at safeguarding children’s health and wellbeing </w:t>
      </w:r>
      <w:proofErr w:type="gramStart"/>
      <w:r w:rsidRPr="003537B4">
        <w:rPr>
          <w:rFonts w:ascii="Tahoma" w:hAnsi="Tahoma" w:cs="Tahoma"/>
        </w:rPr>
        <w:t>were created</w:t>
      </w:r>
      <w:proofErr w:type="gramEnd"/>
      <w:r w:rsidRPr="003537B4">
        <w:rPr>
          <w:rFonts w:ascii="Tahoma" w:hAnsi="Tahoma" w:cs="Tahoma"/>
        </w:rPr>
        <w:t xml:space="preserve"> to ensure positive future opportunities. The United Nations and other international organisations became involved in advocating the concept of children’s </w:t>
      </w:r>
      <w:r w:rsidRPr="003537B4">
        <w:rPr>
          <w:rFonts w:ascii="Tahoma" w:hAnsi="Tahoma" w:cs="Tahoma"/>
        </w:rPr>
        <w:lastRenderedPageBreak/>
        <w:t>rights then lead to the adoption of the Universal Declaration of Human Rights (1948) and later in the Century proceeded to the United Convention on the Rights of the Child.</w:t>
      </w:r>
      <w:r w:rsidR="005D669A" w:rsidRPr="003537B4">
        <w:rPr>
          <w:rFonts w:ascii="Tahoma" w:hAnsi="Tahoma" w:cs="Tahoma"/>
        </w:rPr>
        <w:t xml:space="preserve"> (United Nations, 1948)</w:t>
      </w:r>
      <w:r w:rsidR="00D86D33" w:rsidRPr="003537B4">
        <w:rPr>
          <w:rFonts w:ascii="Tahoma" w:hAnsi="Tahoma" w:cs="Tahoma"/>
        </w:rPr>
        <w:t>.</w:t>
      </w:r>
    </w:p>
    <w:p w14:paraId="334DC4A2" w14:textId="67A56231" w:rsidR="00A87F06" w:rsidRPr="003537B4" w:rsidRDefault="003F609A">
      <w:pPr>
        <w:jc w:val="both"/>
        <w:rPr>
          <w:rFonts w:ascii="Tahoma" w:hAnsi="Tahoma" w:cs="Tahoma"/>
        </w:rPr>
      </w:pPr>
      <w:r w:rsidRPr="003537B4">
        <w:rPr>
          <w:rFonts w:ascii="Tahoma" w:hAnsi="Tahoma" w:cs="Tahoma"/>
        </w:rPr>
        <w:t xml:space="preserve">The importance of education, healthcare and social services, and its impact on shaping the lives of children, was increasingly acknowledged post war. Governments were keen to expand different social welfare programmes as children’s mental health increased and became a growing concern. Therefore, </w:t>
      </w:r>
      <w:r w:rsidR="00297AD0" w:rsidRPr="003537B4">
        <w:rPr>
          <w:rFonts w:ascii="Tahoma" w:hAnsi="Tahoma" w:cs="Tahoma"/>
        </w:rPr>
        <w:t xml:space="preserve">according to </w:t>
      </w:r>
      <w:r w:rsidR="00297AD0" w:rsidRPr="003537B4">
        <w:rPr>
          <w:rFonts w:ascii="Tahoma" w:hAnsi="Tahoma" w:cs="Tahoma"/>
        </w:rPr>
        <w:t xml:space="preserve">Lowthian et al., </w:t>
      </w:r>
      <w:r w:rsidR="002E06DA" w:rsidRPr="003537B4">
        <w:rPr>
          <w:rFonts w:ascii="Tahoma" w:hAnsi="Tahoma" w:cs="Tahoma"/>
        </w:rPr>
        <w:t>(</w:t>
      </w:r>
      <w:r w:rsidR="00297AD0" w:rsidRPr="003537B4">
        <w:rPr>
          <w:rFonts w:ascii="Tahoma" w:hAnsi="Tahoma" w:cs="Tahoma"/>
        </w:rPr>
        <w:t>2024)</w:t>
      </w:r>
      <w:r w:rsidR="002E06DA" w:rsidRPr="003537B4">
        <w:rPr>
          <w:rFonts w:ascii="Tahoma" w:hAnsi="Tahoma" w:cs="Tahoma"/>
        </w:rPr>
        <w:t xml:space="preserve"> </w:t>
      </w:r>
      <w:r w:rsidRPr="003537B4">
        <w:rPr>
          <w:rFonts w:ascii="Tahoma" w:hAnsi="Tahoma" w:cs="Tahoma"/>
        </w:rPr>
        <w:t xml:space="preserve">the increase of educational as well as psychological research, helped to structure services and thus implement new policies to include these in building a positive approach towards childhood development. </w:t>
      </w:r>
    </w:p>
    <w:p w14:paraId="497D44F5" w14:textId="77777777" w:rsidR="00A87F06" w:rsidRPr="003537B4" w:rsidRDefault="003F609A">
      <w:pPr>
        <w:jc w:val="both"/>
        <w:rPr>
          <w:rFonts w:ascii="Tahoma" w:hAnsi="Tahoma" w:cs="Tahoma"/>
        </w:rPr>
      </w:pPr>
      <w:r w:rsidRPr="003537B4">
        <w:rPr>
          <w:rFonts w:ascii="Tahoma" w:hAnsi="Tahoma" w:cs="Tahoma"/>
        </w:rPr>
        <w:t>In the latter half of the 20</w:t>
      </w:r>
      <w:r w:rsidRPr="003537B4">
        <w:rPr>
          <w:rFonts w:ascii="Tahoma" w:hAnsi="Tahoma" w:cs="Tahoma"/>
          <w:vertAlign w:val="superscript"/>
        </w:rPr>
        <w:t>th</w:t>
      </w:r>
      <w:r w:rsidRPr="003537B4">
        <w:rPr>
          <w:rFonts w:ascii="Tahoma" w:hAnsi="Tahoma" w:cs="Tahoma"/>
        </w:rPr>
        <w:t xml:space="preserve"> Century, Children’s Rights Movement advocated and aimed to empower children and young people which led to influencing broader societal movements in promoting human rights, equality and justice as well as strengthening the view that children and young people were not merely dependents but, were individuals who were and are entitled to their own rights.</w:t>
      </w:r>
    </w:p>
    <w:p w14:paraId="400EDBCF" w14:textId="5481E4CD" w:rsidR="00A87F06" w:rsidRPr="003537B4" w:rsidRDefault="003F609A">
      <w:pPr>
        <w:jc w:val="both"/>
        <w:rPr>
          <w:rFonts w:ascii="Tahoma" w:hAnsi="Tahoma" w:cs="Tahoma"/>
        </w:rPr>
      </w:pPr>
      <w:r w:rsidRPr="003537B4">
        <w:rPr>
          <w:rFonts w:ascii="Tahoma" w:hAnsi="Tahoma" w:cs="Tahoma"/>
        </w:rPr>
        <w:t xml:space="preserve">In the context of the present day, policies relating to children, young people and their communities continue to develop, which reflects the understanding of children’s rights as well as their societal needs. </w:t>
      </w:r>
      <w:r w:rsidR="00FD166F" w:rsidRPr="003537B4">
        <w:rPr>
          <w:rFonts w:ascii="Tahoma" w:hAnsi="Tahoma" w:cs="Tahoma"/>
        </w:rPr>
        <w:t>Tisdall (2015) stated that t</w:t>
      </w:r>
      <w:r w:rsidRPr="003537B4">
        <w:rPr>
          <w:rFonts w:ascii="Tahoma" w:hAnsi="Tahoma" w:cs="Tahoma"/>
        </w:rPr>
        <w:t xml:space="preserve">he structure and development of each of these policies has </w:t>
      </w:r>
      <w:proofErr w:type="gramStart"/>
      <w:r w:rsidRPr="003537B4">
        <w:rPr>
          <w:rFonts w:ascii="Tahoma" w:hAnsi="Tahoma" w:cs="Tahoma"/>
        </w:rPr>
        <w:t>been strongly influenced</w:t>
      </w:r>
      <w:proofErr w:type="gramEnd"/>
      <w:r w:rsidRPr="003537B4">
        <w:rPr>
          <w:rFonts w:ascii="Tahoma" w:hAnsi="Tahoma" w:cs="Tahoma"/>
        </w:rPr>
        <w:t xml:space="preserve"> by the advancements made in not only recognising children and young people as individuals with their own inherent rights, but also acknowledgment of the complex factors that impact their wellbeing. </w:t>
      </w:r>
    </w:p>
    <w:p w14:paraId="1513607B" w14:textId="77777777" w:rsidR="00A87F06" w:rsidRPr="003537B4" w:rsidRDefault="003F609A">
      <w:pPr>
        <w:jc w:val="both"/>
        <w:rPr>
          <w:rFonts w:ascii="Tahoma" w:hAnsi="Tahoma" w:cs="Tahoma"/>
        </w:rPr>
      </w:pPr>
      <w:r w:rsidRPr="003537B4">
        <w:rPr>
          <w:rFonts w:ascii="Tahoma" w:hAnsi="Tahoma" w:cs="Tahoma"/>
        </w:rPr>
        <w:t xml:space="preserve">Within the current context of education, another significant area of policy in where governments have introduced improvements to ensure access to quality education for all children, regardless of their background. </w:t>
      </w:r>
    </w:p>
    <w:p w14:paraId="2368FEB7" w14:textId="268BADF0" w:rsidR="00A87F06" w:rsidRPr="003537B4" w:rsidRDefault="003F609A">
      <w:pPr>
        <w:jc w:val="both"/>
        <w:rPr>
          <w:rFonts w:ascii="Tahoma" w:hAnsi="Tahoma" w:cs="Tahoma"/>
        </w:rPr>
      </w:pPr>
      <w:r w:rsidRPr="003537B4">
        <w:rPr>
          <w:rFonts w:ascii="Tahoma" w:hAnsi="Tahoma" w:cs="Tahoma"/>
        </w:rPr>
        <w:t xml:space="preserve">Within the UK, for example, The Education Act 2002 expanded and developed the framework for children’s rights in education, reinforcing that children need to </w:t>
      </w:r>
      <w:proofErr w:type="gramStart"/>
      <w:r w:rsidRPr="003537B4">
        <w:rPr>
          <w:rFonts w:ascii="Tahoma" w:hAnsi="Tahoma" w:cs="Tahoma"/>
        </w:rPr>
        <w:t>be provided</w:t>
      </w:r>
      <w:proofErr w:type="gramEnd"/>
      <w:r w:rsidRPr="003537B4">
        <w:rPr>
          <w:rFonts w:ascii="Tahoma" w:hAnsi="Tahoma" w:cs="Tahoma"/>
        </w:rPr>
        <w:t xml:space="preserve"> with an education that promotes their overall development. Additionally, policies targeting children with Additional Learning Needs (ALN), such as The Children and Families Act </w:t>
      </w:r>
      <w:r w:rsidR="00A105AE" w:rsidRPr="003537B4">
        <w:rPr>
          <w:rFonts w:ascii="Tahoma" w:hAnsi="Tahoma" w:cs="Tahoma"/>
        </w:rPr>
        <w:t>2</w:t>
      </w:r>
      <w:r w:rsidRPr="003537B4">
        <w:rPr>
          <w:rFonts w:ascii="Tahoma" w:hAnsi="Tahoma" w:cs="Tahoma"/>
        </w:rPr>
        <w:t>014, emphasises the need for inclusivity and tailors the required support to ensure that children with additional needs receive adequate resources and opportunities to thrive, therefore reaching their full potential.</w:t>
      </w:r>
    </w:p>
    <w:p w14:paraId="0E007685" w14:textId="77777777" w:rsidR="00A87F06" w:rsidRPr="003537B4" w:rsidRDefault="003F609A">
      <w:pPr>
        <w:jc w:val="both"/>
        <w:rPr>
          <w:rFonts w:ascii="Tahoma" w:hAnsi="Tahoma" w:cs="Tahoma"/>
        </w:rPr>
      </w:pPr>
      <w:r w:rsidRPr="003537B4">
        <w:rPr>
          <w:rFonts w:ascii="Tahoma" w:hAnsi="Tahoma" w:cs="Tahoma"/>
        </w:rPr>
        <w:t xml:space="preserve">With the importance of protecting children and young people from harm and abuse, child protection policies are another essential area of focus. Therefore, national policies have </w:t>
      </w:r>
      <w:proofErr w:type="gramStart"/>
      <w:r w:rsidRPr="003537B4">
        <w:rPr>
          <w:rFonts w:ascii="Tahoma" w:hAnsi="Tahoma" w:cs="Tahoma"/>
        </w:rPr>
        <w:t>been designed</w:t>
      </w:r>
      <w:proofErr w:type="gramEnd"/>
      <w:r w:rsidRPr="003537B4">
        <w:rPr>
          <w:rFonts w:ascii="Tahoma" w:hAnsi="Tahoma" w:cs="Tahoma"/>
        </w:rPr>
        <w:t xml:space="preserve"> to ensure that all children are protected from abuse, neglect as well as exploitation. Within the UK, The Children Act 2004 integrated multiple aspects of child protection, thus emphasising the need for integrated services and multi-agency approaches to safeguarding children effectively. The policy also reinforced that Local Authorities, schools and health care practitioners needed to work together to </w:t>
      </w:r>
      <w:r w:rsidRPr="003537B4">
        <w:rPr>
          <w:rFonts w:ascii="Tahoma" w:hAnsi="Tahoma" w:cs="Tahoma"/>
        </w:rPr>
        <w:lastRenderedPageBreak/>
        <w:t>create a united approach to safeguarding, therefore demonstrating a more collaborative approa</w:t>
      </w:r>
      <w:r w:rsidRPr="003537B4">
        <w:rPr>
          <w:rFonts w:ascii="Tahoma" w:hAnsi="Tahoma" w:cs="Tahoma"/>
        </w:rPr>
        <w:t>ch to addressing children and young peoples’ welfare.</w:t>
      </w:r>
    </w:p>
    <w:p w14:paraId="42CF7D18" w14:textId="77777777" w:rsidR="00A87F06" w:rsidRPr="003537B4" w:rsidRDefault="003F609A">
      <w:pPr>
        <w:jc w:val="both"/>
        <w:rPr>
          <w:rFonts w:ascii="Tahoma" w:hAnsi="Tahoma" w:cs="Tahoma"/>
        </w:rPr>
      </w:pPr>
      <w:r w:rsidRPr="003537B4">
        <w:rPr>
          <w:rFonts w:ascii="Tahoma" w:hAnsi="Tahoma" w:cs="Tahoma"/>
        </w:rPr>
        <w:t xml:space="preserve">The current position on children and young people policies has significantly impacted contemporary practice. Within safeguarding and child protection, professionals such as social workers, health care providers and those working in education </w:t>
      </w:r>
      <w:proofErr w:type="gramStart"/>
      <w:r w:rsidRPr="003537B4">
        <w:rPr>
          <w:rFonts w:ascii="Tahoma" w:hAnsi="Tahoma" w:cs="Tahoma"/>
        </w:rPr>
        <w:t>are required</w:t>
      </w:r>
      <w:proofErr w:type="gramEnd"/>
      <w:r w:rsidRPr="003537B4">
        <w:rPr>
          <w:rFonts w:ascii="Tahoma" w:hAnsi="Tahoma" w:cs="Tahoma"/>
        </w:rPr>
        <w:t xml:space="preserve"> to adhere to the legal framework that reinforces the protection of children and young people from any form of abuse, ensuing their rights are respected. For example, social workers have a responsibility to assess and intervene in specialist cases should a child or young person be at risk of harm, whilst ensuring this is done so professionally and in line with the principles outlined within The Children Act 1989 (NSPCC, 2024) as well as the United Nation Convention on the Rights of the Child. Th</w:t>
      </w:r>
      <w:r w:rsidRPr="003537B4">
        <w:rPr>
          <w:rFonts w:ascii="Tahoma" w:hAnsi="Tahoma" w:cs="Tahoma"/>
        </w:rPr>
        <w:t xml:space="preserve">is has then been successful, as it has led to a more structured and standardised approach to practice, whereby all practitioners </w:t>
      </w:r>
      <w:proofErr w:type="gramStart"/>
      <w:r w:rsidRPr="003537B4">
        <w:rPr>
          <w:rFonts w:ascii="Tahoma" w:hAnsi="Tahoma" w:cs="Tahoma"/>
        </w:rPr>
        <w:t>are guided</w:t>
      </w:r>
      <w:proofErr w:type="gramEnd"/>
      <w:r w:rsidRPr="003537B4">
        <w:rPr>
          <w:rFonts w:ascii="Tahoma" w:hAnsi="Tahoma" w:cs="Tahoma"/>
        </w:rPr>
        <w:t xml:space="preserve"> by clear legal and ethical considerations. </w:t>
      </w:r>
    </w:p>
    <w:p w14:paraId="21A70B44" w14:textId="77777777" w:rsidR="00A87F06" w:rsidRPr="003537B4" w:rsidRDefault="003F609A">
      <w:pPr>
        <w:jc w:val="both"/>
        <w:rPr>
          <w:rFonts w:ascii="Tahoma" w:hAnsi="Tahoma" w:cs="Tahoma"/>
        </w:rPr>
      </w:pPr>
      <w:r w:rsidRPr="003537B4">
        <w:rPr>
          <w:rFonts w:ascii="Tahoma" w:hAnsi="Tahoma" w:cs="Tahoma"/>
        </w:rPr>
        <w:t xml:space="preserve">Since policies have </w:t>
      </w:r>
      <w:proofErr w:type="gramStart"/>
      <w:r w:rsidRPr="003537B4">
        <w:rPr>
          <w:rFonts w:ascii="Tahoma" w:hAnsi="Tahoma" w:cs="Tahoma"/>
        </w:rPr>
        <w:t>been aimed</w:t>
      </w:r>
      <w:proofErr w:type="gramEnd"/>
      <w:r w:rsidRPr="003537B4">
        <w:rPr>
          <w:rFonts w:ascii="Tahoma" w:hAnsi="Tahoma" w:cs="Tahoma"/>
        </w:rPr>
        <w:t xml:space="preserve"> at inclusivity in education, children and young people with additional learning needs have been further supported as schools are required to support individuals with different disabilities and must implement individual development plans (IDP), ensuring that their educational needs are met and tailored to their abilities. Additionally, </w:t>
      </w:r>
      <w:proofErr w:type="gramStart"/>
      <w:r w:rsidRPr="003537B4">
        <w:rPr>
          <w:rFonts w:ascii="Tahoma" w:hAnsi="Tahoma" w:cs="Tahoma"/>
        </w:rPr>
        <w:t>emotional</w:t>
      </w:r>
      <w:proofErr w:type="gramEnd"/>
      <w:r w:rsidRPr="003537B4">
        <w:rPr>
          <w:rFonts w:ascii="Tahoma" w:hAnsi="Tahoma" w:cs="Tahoma"/>
        </w:rPr>
        <w:t xml:space="preserve"> and mental health support for children and young people as been driven by policies such as The Mental Health Act 1983 and 2007 whereby educators have a re</w:t>
      </w:r>
      <w:r w:rsidRPr="003537B4">
        <w:rPr>
          <w:rFonts w:ascii="Tahoma" w:hAnsi="Tahoma" w:cs="Tahoma"/>
        </w:rPr>
        <w:t>sponsibility to promote a proactive role in support mental health (Mind, 2025). These policies have also led to the collaboration of mental health professionals within educational settings, thus creating opportunities for early intervention and identification of issues to support children and young people’s emotional wellbeing.</w:t>
      </w:r>
    </w:p>
    <w:p w14:paraId="20680726" w14:textId="77777777" w:rsidR="00A87F06" w:rsidRPr="003537B4" w:rsidRDefault="003F609A">
      <w:pPr>
        <w:jc w:val="both"/>
        <w:rPr>
          <w:rFonts w:ascii="Tahoma" w:hAnsi="Tahoma" w:cs="Tahoma"/>
        </w:rPr>
      </w:pPr>
      <w:r w:rsidRPr="003537B4">
        <w:rPr>
          <w:rFonts w:ascii="Tahoma" w:hAnsi="Tahoma" w:cs="Tahoma"/>
        </w:rPr>
        <w:t>Whilst there has been a change in recognising children as active participants in decisions that affect their lives, this has also had a positive impact and influenced practices in youth services. Policies advocating participation as well as empowerment, encourage young people to express their opinions, ensuring that they are also involved in decisions relating to their care and future. The implementation of various youth forums and child advocacy initiatives has become a successful part of creating safe spa</w:t>
      </w:r>
      <w:r w:rsidRPr="003537B4">
        <w:rPr>
          <w:rFonts w:ascii="Tahoma" w:hAnsi="Tahoma" w:cs="Tahoma"/>
        </w:rPr>
        <w:t xml:space="preserve">ces whereby young people feel comfortable to express themselves, as well as influence policies and practice. This </w:t>
      </w:r>
      <w:proofErr w:type="gramStart"/>
      <w:r w:rsidRPr="003537B4">
        <w:rPr>
          <w:rFonts w:ascii="Tahoma" w:hAnsi="Tahoma" w:cs="Tahoma"/>
        </w:rPr>
        <w:t>is reinforced</w:t>
      </w:r>
      <w:proofErr w:type="gramEnd"/>
      <w:r w:rsidRPr="003537B4">
        <w:rPr>
          <w:rFonts w:ascii="Tahoma" w:hAnsi="Tahoma" w:cs="Tahoma"/>
        </w:rPr>
        <w:t xml:space="preserve"> by Corney..et al (2022) who stated that the inclusion of young people in decisions that affect them has long been acknowledged as important to professional youth work practice.</w:t>
      </w:r>
    </w:p>
    <w:p w14:paraId="51E6EF4E" w14:textId="1C11DF77" w:rsidR="00A87F06" w:rsidRPr="003537B4" w:rsidRDefault="003F609A">
      <w:pPr>
        <w:jc w:val="both"/>
        <w:rPr>
          <w:rFonts w:ascii="Tahoma" w:hAnsi="Tahoma" w:cs="Tahoma"/>
        </w:rPr>
      </w:pPr>
      <w:r w:rsidRPr="003537B4">
        <w:rPr>
          <w:rFonts w:ascii="Tahoma" w:hAnsi="Tahoma" w:cs="Tahoma"/>
        </w:rPr>
        <w:t xml:space="preserve">Contemporary policies concerning children and young people aim to reflect broader societal values, prioritising equality, inclusion, and empowerment. Moreover, policies that promote diversity and inclusion ensure that children and young people, regardless of their background and including those from minority immigrant and disadvantages communities, </w:t>
      </w:r>
      <w:proofErr w:type="gramStart"/>
      <w:r w:rsidRPr="003537B4">
        <w:rPr>
          <w:rFonts w:ascii="Tahoma" w:hAnsi="Tahoma" w:cs="Tahoma"/>
        </w:rPr>
        <w:t>are given</w:t>
      </w:r>
      <w:proofErr w:type="gramEnd"/>
      <w:r w:rsidRPr="003537B4">
        <w:rPr>
          <w:rFonts w:ascii="Tahoma" w:hAnsi="Tahoma" w:cs="Tahoma"/>
        </w:rPr>
        <w:t xml:space="preserve"> equal opportunities to succeed. </w:t>
      </w:r>
      <w:r w:rsidR="00E06A94" w:rsidRPr="003537B4">
        <w:rPr>
          <w:rFonts w:ascii="Tahoma" w:hAnsi="Tahoma" w:cs="Tahoma"/>
        </w:rPr>
        <w:t>Evans et al., (2012) explained that t</w:t>
      </w:r>
      <w:r w:rsidRPr="003537B4">
        <w:rPr>
          <w:rFonts w:ascii="Tahoma" w:hAnsi="Tahoma" w:cs="Tahoma"/>
        </w:rPr>
        <w:t xml:space="preserve">hese policies should be eliminating discrimination at all levels to ensure that </w:t>
      </w:r>
      <w:r w:rsidRPr="003537B4">
        <w:rPr>
          <w:rFonts w:ascii="Tahoma" w:hAnsi="Tahoma" w:cs="Tahoma"/>
        </w:rPr>
        <w:lastRenderedPageBreak/>
        <w:t>children and young people receive their entitlements regardless of their background. Therefore, this reflects greater recognition of not only social justice, but also that children and young people receive the support and resources they need to thrive.</w:t>
      </w:r>
    </w:p>
    <w:p w14:paraId="23776D83" w14:textId="77777777" w:rsidR="00A87F06" w:rsidRPr="003537B4" w:rsidRDefault="003F609A">
      <w:pPr>
        <w:jc w:val="both"/>
        <w:rPr>
          <w:rFonts w:ascii="Tahoma" w:hAnsi="Tahoma" w:cs="Tahoma"/>
        </w:rPr>
      </w:pPr>
      <w:r w:rsidRPr="003537B4">
        <w:rPr>
          <w:rFonts w:ascii="Tahoma" w:hAnsi="Tahoma" w:cs="Tahoma"/>
        </w:rPr>
        <w:t xml:space="preserve">Whilst policies </w:t>
      </w:r>
      <w:proofErr w:type="gramStart"/>
      <w:r w:rsidRPr="003537B4">
        <w:rPr>
          <w:rFonts w:ascii="Tahoma" w:hAnsi="Tahoma" w:cs="Tahoma"/>
        </w:rPr>
        <w:t>are designed</w:t>
      </w:r>
      <w:proofErr w:type="gramEnd"/>
      <w:r w:rsidRPr="003537B4">
        <w:rPr>
          <w:rFonts w:ascii="Tahoma" w:hAnsi="Tahoma" w:cs="Tahoma"/>
        </w:rPr>
        <w:t xml:space="preserve"> to promote positive outcomes for individuals, the success often depends on the resources available, the commitment of the practitioners and if the overall aim of the policy is achievable. Translating policy into practice in the context of children and young people, as well as their communities, is a complex process that involves enablers and barriers that will influence its translation.</w:t>
      </w:r>
    </w:p>
    <w:p w14:paraId="345BE1E1" w14:textId="77777777" w:rsidR="00A87F06" w:rsidRPr="003537B4" w:rsidRDefault="003F609A">
      <w:pPr>
        <w:jc w:val="both"/>
        <w:rPr>
          <w:rFonts w:ascii="Tahoma" w:hAnsi="Tahoma" w:cs="Tahoma"/>
        </w:rPr>
      </w:pPr>
      <w:r w:rsidRPr="003537B4">
        <w:rPr>
          <w:rFonts w:ascii="Tahoma" w:hAnsi="Tahoma" w:cs="Tahoma"/>
        </w:rPr>
        <w:t xml:space="preserve">One enabler would relate to the existence of clear and comprehensive legislative framework and guidelines. Legislation such as The Children Act 1989 and the United Nation Convention on the Rights of the </w:t>
      </w:r>
      <w:r w:rsidRPr="003537B4">
        <w:rPr>
          <w:rFonts w:ascii="Tahoma" w:hAnsi="Tahoma" w:cs="Tahoma"/>
        </w:rPr>
        <w:t xml:space="preserve">Child 1989, have definitive guidelines and provide a solid foundation, giving all practitioners clear direction of their roles and responsibilities and expected outcomes. Professionals working with children and young people can work to achieve a common goal and there are clear responsibilities for governments, local </w:t>
      </w:r>
      <w:proofErr w:type="gramStart"/>
      <w:r w:rsidRPr="003537B4">
        <w:rPr>
          <w:rFonts w:ascii="Tahoma" w:hAnsi="Tahoma" w:cs="Tahoma"/>
        </w:rPr>
        <w:t>authorities</w:t>
      </w:r>
      <w:proofErr w:type="gramEnd"/>
      <w:r w:rsidRPr="003537B4">
        <w:rPr>
          <w:rFonts w:ascii="Tahoma" w:hAnsi="Tahoma" w:cs="Tahoma"/>
        </w:rPr>
        <w:t xml:space="preserve"> and practitioners to create a collaborative approach to children and young people’s welfare, protection and rights. Therefore, practitioners </w:t>
      </w:r>
      <w:proofErr w:type="gramStart"/>
      <w:r w:rsidRPr="003537B4">
        <w:rPr>
          <w:rFonts w:ascii="Tahoma" w:hAnsi="Tahoma" w:cs="Tahoma"/>
        </w:rPr>
        <w:t>are better equipped</w:t>
      </w:r>
      <w:proofErr w:type="gramEnd"/>
      <w:r w:rsidRPr="003537B4">
        <w:rPr>
          <w:rFonts w:ascii="Tahoma" w:hAnsi="Tahoma" w:cs="Tahoma"/>
        </w:rPr>
        <w:t xml:space="preserve"> to implement policies</w:t>
      </w:r>
      <w:r w:rsidRPr="003537B4">
        <w:rPr>
          <w:rFonts w:ascii="Tahoma" w:hAnsi="Tahoma" w:cs="Tahoma"/>
        </w:rPr>
        <w:t xml:space="preserve"> effectively, ensuring that all decisions and actions align with both legal and ethical protocol.</w:t>
      </w:r>
    </w:p>
    <w:p w14:paraId="43F53D58" w14:textId="4D712190" w:rsidR="00A87F06" w:rsidRPr="003537B4" w:rsidRDefault="003F609A">
      <w:pPr>
        <w:jc w:val="both"/>
        <w:rPr>
          <w:rFonts w:ascii="Tahoma" w:hAnsi="Tahoma" w:cs="Tahoma"/>
        </w:rPr>
      </w:pPr>
      <w:r w:rsidRPr="003537B4">
        <w:rPr>
          <w:rFonts w:ascii="Tahoma" w:hAnsi="Tahoma" w:cs="Tahoma"/>
        </w:rPr>
        <w:t xml:space="preserve">When implementing policies, within the confines of children and young people, multi agencies and professionals including social workers, health care providers and legal teams </w:t>
      </w:r>
      <w:proofErr w:type="gramStart"/>
      <w:r w:rsidRPr="003537B4">
        <w:rPr>
          <w:rFonts w:ascii="Tahoma" w:hAnsi="Tahoma" w:cs="Tahoma"/>
        </w:rPr>
        <w:t>are required</w:t>
      </w:r>
      <w:proofErr w:type="gramEnd"/>
      <w:r w:rsidRPr="003537B4">
        <w:rPr>
          <w:rFonts w:ascii="Tahoma" w:hAnsi="Tahoma" w:cs="Tahoma"/>
        </w:rPr>
        <w:t xml:space="preserve"> to share a range of information, therefore ensuring that any risks are identified immediately. For examples, Safeguarding Boards</w:t>
      </w:r>
      <w:r w:rsidR="00E06A94" w:rsidRPr="003537B4">
        <w:rPr>
          <w:rFonts w:ascii="Tahoma" w:hAnsi="Tahoma" w:cs="Tahoma"/>
        </w:rPr>
        <w:t xml:space="preserve"> who follow Wales Safeguarding Procedures (2020)</w:t>
      </w:r>
      <w:r w:rsidRPr="003537B4">
        <w:rPr>
          <w:rFonts w:ascii="Tahoma" w:hAnsi="Tahoma" w:cs="Tahoma"/>
        </w:rPr>
        <w:t xml:space="preserve"> and other professionals may facilitate the exchange of expertise which strengthens policy implementation. Again, this </w:t>
      </w:r>
      <w:proofErr w:type="gramStart"/>
      <w:r w:rsidRPr="003537B4">
        <w:rPr>
          <w:rFonts w:ascii="Tahoma" w:hAnsi="Tahoma" w:cs="Tahoma"/>
        </w:rPr>
        <w:t>is highlighted</w:t>
      </w:r>
      <w:proofErr w:type="gramEnd"/>
      <w:r w:rsidRPr="003537B4">
        <w:rPr>
          <w:rFonts w:ascii="Tahoma" w:hAnsi="Tahoma" w:cs="Tahoma"/>
        </w:rPr>
        <w:t xml:space="preserve"> in The Children Act 2004 and the importance of integrated services and the need for different agencies to work together to safeguard children effectively is the focus.</w:t>
      </w:r>
      <w:r w:rsidR="00E06A94" w:rsidRPr="003537B4">
        <w:rPr>
          <w:rFonts w:ascii="Tahoma" w:hAnsi="Tahoma" w:cs="Tahoma"/>
        </w:rPr>
        <w:t xml:space="preserve"> (Social Care Wales, 2020).</w:t>
      </w:r>
    </w:p>
    <w:p w14:paraId="323F332F" w14:textId="77777777" w:rsidR="00A87F06" w:rsidRPr="003537B4" w:rsidRDefault="003F609A">
      <w:pPr>
        <w:jc w:val="both"/>
        <w:rPr>
          <w:rFonts w:ascii="Tahoma" w:hAnsi="Tahoma" w:cs="Tahoma"/>
        </w:rPr>
      </w:pPr>
      <w:r w:rsidRPr="003537B4">
        <w:rPr>
          <w:rFonts w:ascii="Tahoma" w:hAnsi="Tahoma" w:cs="Tahoma"/>
        </w:rPr>
        <w:t xml:space="preserve">It is vital that practitioners </w:t>
      </w:r>
      <w:proofErr w:type="gramStart"/>
      <w:r w:rsidRPr="003537B4">
        <w:rPr>
          <w:rFonts w:ascii="Tahoma" w:hAnsi="Tahoma" w:cs="Tahoma"/>
        </w:rPr>
        <w:t>are trained</w:t>
      </w:r>
      <w:proofErr w:type="gramEnd"/>
      <w:r w:rsidRPr="003537B4">
        <w:rPr>
          <w:rFonts w:ascii="Tahoma" w:hAnsi="Tahoma" w:cs="Tahoma"/>
        </w:rPr>
        <w:t xml:space="preserve"> accordingly when translating policy into practice. Practitioners have the responsibility of providing their knowledge and skills, applying them effectively on aspects such as new laws, sharing best practice and working with children, young </w:t>
      </w:r>
      <w:proofErr w:type="gramStart"/>
      <w:r w:rsidRPr="003537B4">
        <w:rPr>
          <w:rFonts w:ascii="Tahoma" w:hAnsi="Tahoma" w:cs="Tahoma"/>
        </w:rPr>
        <w:t>people</w:t>
      </w:r>
      <w:proofErr w:type="gramEnd"/>
      <w:r w:rsidRPr="003537B4">
        <w:rPr>
          <w:rFonts w:ascii="Tahoma" w:hAnsi="Tahoma" w:cs="Tahoma"/>
        </w:rPr>
        <w:t xml:space="preserve"> and their families in line and consistent with current policy. For example, practitioners who are trained in the principles of the United Nation Convention on the Rights of a Child 1989 could be better equipped to upload the rights in practice, as train</w:t>
      </w:r>
      <w:r w:rsidRPr="003537B4">
        <w:rPr>
          <w:rFonts w:ascii="Tahoma" w:hAnsi="Tahoma" w:cs="Tahoma"/>
        </w:rPr>
        <w:t>ing ensures that the latest research and updated knowledge of evolving policies equips them with the tools to implement effectively.</w:t>
      </w:r>
    </w:p>
    <w:p w14:paraId="3D9B603A" w14:textId="706C4A5C" w:rsidR="00A87F06" w:rsidRPr="003537B4" w:rsidRDefault="003F609A">
      <w:pPr>
        <w:jc w:val="both"/>
        <w:rPr>
          <w:rFonts w:ascii="Tahoma" w:hAnsi="Tahoma" w:cs="Tahoma"/>
        </w:rPr>
      </w:pPr>
      <w:r w:rsidRPr="003537B4">
        <w:rPr>
          <w:rFonts w:ascii="Tahoma" w:hAnsi="Tahoma" w:cs="Tahoma"/>
        </w:rPr>
        <w:t xml:space="preserve">However, a significant barrier and major obstacle to translating policy into practice is lack of resources and funding. When policies </w:t>
      </w:r>
      <w:proofErr w:type="gramStart"/>
      <w:r w:rsidRPr="003537B4">
        <w:rPr>
          <w:rFonts w:ascii="Tahoma" w:hAnsi="Tahoma" w:cs="Tahoma"/>
        </w:rPr>
        <w:t>are implemented</w:t>
      </w:r>
      <w:proofErr w:type="gramEnd"/>
      <w:r w:rsidRPr="003537B4">
        <w:rPr>
          <w:rFonts w:ascii="Tahoma" w:hAnsi="Tahoma" w:cs="Tahoma"/>
        </w:rPr>
        <w:t xml:space="preserve">, particularly those aimed at improving children and young people’s wellbeing and safeguarding, there may be a requirement of substantial financial investment, which is not always </w:t>
      </w:r>
      <w:r w:rsidRPr="003537B4">
        <w:rPr>
          <w:rFonts w:ascii="Tahoma" w:hAnsi="Tahoma" w:cs="Tahoma"/>
        </w:rPr>
        <w:lastRenderedPageBreak/>
        <w:t xml:space="preserve">available. </w:t>
      </w:r>
      <w:r w:rsidR="00F037D5" w:rsidRPr="003537B4">
        <w:rPr>
          <w:rFonts w:ascii="Tahoma" w:hAnsi="Tahoma" w:cs="Tahoma"/>
        </w:rPr>
        <w:t xml:space="preserve">(Mugambwa et al., </w:t>
      </w:r>
      <w:r w:rsidR="00F037D5" w:rsidRPr="003537B4">
        <w:rPr>
          <w:rFonts w:ascii="Tahoma" w:hAnsi="Tahoma" w:cs="Tahoma"/>
        </w:rPr>
        <w:t>(</w:t>
      </w:r>
      <w:r w:rsidR="00F037D5" w:rsidRPr="003537B4">
        <w:rPr>
          <w:rFonts w:ascii="Tahoma" w:hAnsi="Tahoma" w:cs="Tahoma"/>
        </w:rPr>
        <w:t>2020</w:t>
      </w:r>
      <w:r w:rsidR="00F037D5" w:rsidRPr="003537B4">
        <w:rPr>
          <w:rFonts w:ascii="Tahoma" w:hAnsi="Tahoma" w:cs="Tahoma"/>
        </w:rPr>
        <w:t>) states s</w:t>
      </w:r>
      <w:r w:rsidRPr="003537B4">
        <w:rPr>
          <w:rFonts w:ascii="Tahoma" w:hAnsi="Tahoma" w:cs="Tahoma"/>
        </w:rPr>
        <w:t>imilarly</w:t>
      </w:r>
      <w:r w:rsidR="00F037D5" w:rsidRPr="003537B4">
        <w:rPr>
          <w:rFonts w:ascii="Tahoma" w:hAnsi="Tahoma" w:cs="Tahoma"/>
        </w:rPr>
        <w:t xml:space="preserve"> that</w:t>
      </w:r>
      <w:r w:rsidRPr="003537B4">
        <w:rPr>
          <w:rFonts w:ascii="Tahoma" w:hAnsi="Tahoma" w:cs="Tahoma"/>
        </w:rPr>
        <w:t xml:space="preserve"> inadequate funding can lead to shortages of resources, negatively impacting the policy’s implementation. In turn, this could then result in insufficient staffing levels and lack of access to educational materials, therefore preventing children and young people’s needs </w:t>
      </w:r>
      <w:proofErr w:type="gramStart"/>
      <w:r w:rsidRPr="003537B4">
        <w:rPr>
          <w:rFonts w:ascii="Tahoma" w:hAnsi="Tahoma" w:cs="Tahoma"/>
        </w:rPr>
        <w:t>being met</w:t>
      </w:r>
      <w:proofErr w:type="gramEnd"/>
      <w:r w:rsidRPr="003537B4">
        <w:rPr>
          <w:rFonts w:ascii="Tahoma" w:hAnsi="Tahoma" w:cs="Tahoma"/>
        </w:rPr>
        <w:t>.</w:t>
      </w:r>
    </w:p>
    <w:p w14:paraId="0CC755DC" w14:textId="77777777" w:rsidR="00A87F06" w:rsidRPr="003537B4" w:rsidRDefault="003F609A">
      <w:pPr>
        <w:jc w:val="both"/>
        <w:rPr>
          <w:rFonts w:ascii="Tahoma" w:hAnsi="Tahoma" w:cs="Tahoma"/>
        </w:rPr>
      </w:pPr>
      <w:r w:rsidRPr="003537B4">
        <w:rPr>
          <w:rFonts w:ascii="Tahoma" w:hAnsi="Tahoma" w:cs="Tahoma"/>
        </w:rPr>
        <w:t xml:space="preserve">Another barrier could be amongst practitioners, whereby they are resistance to changes within their organisation. Some professionals could become overwhelmed when new policies are introduced, particularly if they feel inadequate or unsupported in </w:t>
      </w:r>
      <w:proofErr w:type="gramStart"/>
      <w:r w:rsidRPr="003537B4">
        <w:rPr>
          <w:rFonts w:ascii="Tahoma" w:hAnsi="Tahoma" w:cs="Tahoma"/>
        </w:rPr>
        <w:t>new approaches</w:t>
      </w:r>
      <w:proofErr w:type="gramEnd"/>
      <w:r w:rsidRPr="003537B4">
        <w:rPr>
          <w:rFonts w:ascii="Tahoma" w:hAnsi="Tahoma" w:cs="Tahoma"/>
        </w:rPr>
        <w:t>. This could also be due to increased workloads and therefore they are sceptical about the effectiveness that the policies may bring.</w:t>
      </w:r>
    </w:p>
    <w:p w14:paraId="563582A8" w14:textId="47027F14" w:rsidR="00A87F06" w:rsidRPr="003537B4" w:rsidRDefault="003F609A">
      <w:pPr>
        <w:jc w:val="both"/>
        <w:rPr>
          <w:rFonts w:ascii="Tahoma" w:hAnsi="Tahoma" w:cs="Tahoma"/>
        </w:rPr>
      </w:pPr>
      <w:r w:rsidRPr="003537B4">
        <w:rPr>
          <w:rFonts w:ascii="Tahoma" w:hAnsi="Tahoma" w:cs="Tahoma"/>
        </w:rPr>
        <w:t xml:space="preserve">Lastly a further barrier could be cultural and societal barriers, this could include the attitudes of individuals who follow certain beliefs or cultures. </w:t>
      </w:r>
      <w:r w:rsidR="00367173" w:rsidRPr="003537B4">
        <w:rPr>
          <w:rFonts w:ascii="Tahoma" w:hAnsi="Tahoma" w:cs="Tahoma"/>
        </w:rPr>
        <w:t>According to Chapin et al, (2023) t</w:t>
      </w:r>
      <w:r w:rsidRPr="003537B4">
        <w:rPr>
          <w:rFonts w:ascii="Tahoma" w:hAnsi="Tahoma" w:cs="Tahoma"/>
        </w:rPr>
        <w:t xml:space="preserve">here may be an established believe about children and young people’s roles, </w:t>
      </w:r>
      <w:proofErr w:type="gramStart"/>
      <w:r w:rsidRPr="003537B4">
        <w:rPr>
          <w:rFonts w:ascii="Tahoma" w:hAnsi="Tahoma" w:cs="Tahoma"/>
        </w:rPr>
        <w:t>rights</w:t>
      </w:r>
      <w:proofErr w:type="gramEnd"/>
      <w:r w:rsidRPr="003537B4">
        <w:rPr>
          <w:rFonts w:ascii="Tahoma" w:hAnsi="Tahoma" w:cs="Tahoma"/>
        </w:rPr>
        <w:t xml:space="preserve"> and responsibilities that conflict with the principles outlined in policy implementation. For example, </w:t>
      </w:r>
      <w:proofErr w:type="gramStart"/>
      <w:r w:rsidRPr="003537B4">
        <w:rPr>
          <w:rFonts w:ascii="Tahoma" w:hAnsi="Tahoma" w:cs="Tahoma"/>
        </w:rPr>
        <w:t>some</w:t>
      </w:r>
      <w:proofErr w:type="gramEnd"/>
      <w:r w:rsidRPr="003537B4">
        <w:rPr>
          <w:rFonts w:ascii="Tahoma" w:hAnsi="Tahoma" w:cs="Tahoma"/>
        </w:rPr>
        <w:t xml:space="preserve"> communities may have a resistance to policies that promote children and young people’s participation or challenge their traditional gender roles and expectations. Therefore, it is vital that these issues </w:t>
      </w:r>
      <w:proofErr w:type="gramStart"/>
      <w:r w:rsidRPr="003537B4">
        <w:rPr>
          <w:rFonts w:ascii="Tahoma" w:hAnsi="Tahoma" w:cs="Tahoma"/>
        </w:rPr>
        <w:t>are discussed</w:t>
      </w:r>
      <w:proofErr w:type="gramEnd"/>
      <w:r w:rsidRPr="003537B4">
        <w:rPr>
          <w:rFonts w:ascii="Tahoma" w:hAnsi="Tahoma" w:cs="Tahoma"/>
        </w:rPr>
        <w:t xml:space="preserve"> thoroughly through community engagement to ensure that everyone’s values are reflected.</w:t>
      </w:r>
      <w:r w:rsidRPr="003537B4">
        <w:rPr>
          <w:rFonts w:ascii="Tahoma" w:hAnsi="Tahoma" w:cs="Tahoma"/>
        </w:rPr>
        <w:t xml:space="preserve"> </w:t>
      </w:r>
      <w:r w:rsidRPr="003537B4">
        <w:rPr>
          <w:rFonts w:ascii="Tahoma" w:hAnsi="Tahoma" w:cs="Tahoma"/>
        </w:rPr>
        <w:t>This links with</w:t>
      </w:r>
      <w:r w:rsidRPr="003537B4">
        <w:rPr>
          <w:rFonts w:ascii="Tahoma" w:hAnsi="Tahoma" w:cs="Tahoma"/>
        </w:rPr>
        <w:t xml:space="preserve"> Rogoff’s theory which highlights the importance of family as the first and key context for a child’s learning and development. She further explains that families play a crucial role in their child’s cognitive development and believed they </w:t>
      </w:r>
      <w:proofErr w:type="gramStart"/>
      <w:r w:rsidRPr="003537B4">
        <w:rPr>
          <w:rFonts w:ascii="Tahoma" w:hAnsi="Tahoma" w:cs="Tahoma"/>
        </w:rPr>
        <w:t>were shaped</w:t>
      </w:r>
      <w:proofErr w:type="gramEnd"/>
      <w:r w:rsidRPr="003537B4">
        <w:rPr>
          <w:rFonts w:ascii="Tahoma" w:hAnsi="Tahoma" w:cs="Tahoma"/>
        </w:rPr>
        <w:t xml:space="preserve"> by social interactions as well as cultural contexts. Rogoff further stated by providing opportunities for guided participation in everyday activities, children will learn through collaboration with more knowledgeable family members as the family environment sh</w:t>
      </w:r>
      <w:r w:rsidRPr="003537B4">
        <w:rPr>
          <w:rFonts w:ascii="Tahoma" w:hAnsi="Tahoma" w:cs="Tahoma"/>
        </w:rPr>
        <w:t xml:space="preserve">apes how children and young people learn and understand the world and are deeply influenced by cultural values, </w:t>
      </w:r>
      <w:proofErr w:type="gramStart"/>
      <w:r w:rsidRPr="003537B4">
        <w:rPr>
          <w:rFonts w:ascii="Tahoma" w:hAnsi="Tahoma" w:cs="Tahoma"/>
        </w:rPr>
        <w:t>traditions</w:t>
      </w:r>
      <w:proofErr w:type="gramEnd"/>
      <w:r w:rsidRPr="003537B4">
        <w:rPr>
          <w:rFonts w:ascii="Tahoma" w:hAnsi="Tahoma" w:cs="Tahoma"/>
        </w:rPr>
        <w:t xml:space="preserve"> and family dynamics (Rogoff et al,. 2018).</w:t>
      </w:r>
    </w:p>
    <w:p w14:paraId="5DE2478A" w14:textId="3F0CBC87" w:rsidR="00A87F06" w:rsidRPr="003537B4" w:rsidRDefault="003F609A">
      <w:pPr>
        <w:jc w:val="both"/>
        <w:rPr>
          <w:rFonts w:ascii="Tahoma" w:hAnsi="Tahoma" w:cs="Tahoma"/>
        </w:rPr>
      </w:pPr>
      <w:r w:rsidRPr="003537B4">
        <w:rPr>
          <w:rFonts w:ascii="Tahoma" w:hAnsi="Tahoma" w:cs="Tahoma"/>
        </w:rPr>
        <w:t xml:space="preserve">Furthermore, it must </w:t>
      </w:r>
      <w:proofErr w:type="gramStart"/>
      <w:r w:rsidRPr="003537B4">
        <w:rPr>
          <w:rFonts w:ascii="Tahoma" w:hAnsi="Tahoma" w:cs="Tahoma"/>
        </w:rPr>
        <w:t>be considered</w:t>
      </w:r>
      <w:proofErr w:type="gramEnd"/>
      <w:r w:rsidRPr="003537B4">
        <w:rPr>
          <w:rFonts w:ascii="Tahoma" w:hAnsi="Tahoma" w:cs="Tahoma"/>
        </w:rPr>
        <w:t xml:space="preserve"> that influential figures as well as organisations can play a crucial role in driving forward policy changes for children and young people. Awareness can </w:t>
      </w:r>
      <w:proofErr w:type="gramStart"/>
      <w:r w:rsidRPr="003537B4">
        <w:rPr>
          <w:rFonts w:ascii="Tahoma" w:hAnsi="Tahoma" w:cs="Tahoma"/>
        </w:rPr>
        <w:t>be raised</w:t>
      </w:r>
      <w:proofErr w:type="gramEnd"/>
      <w:r w:rsidRPr="003537B4">
        <w:rPr>
          <w:rFonts w:ascii="Tahoma" w:hAnsi="Tahoma" w:cs="Tahoma"/>
        </w:rPr>
        <w:t xml:space="preserve"> of key issues through various platforms, ensuring that the needs and rights for children and young people are prioritised. For example, an influential leader such as Greta Thunberg has brought global attention relating to climate change and has influenced public opinion, as well as possible policy decisions. Great Ormand Street Hospi</w:t>
      </w:r>
      <w:r w:rsidRPr="003537B4">
        <w:rPr>
          <w:rFonts w:ascii="Tahoma" w:hAnsi="Tahoma" w:cs="Tahoma"/>
        </w:rPr>
        <w:t>tal work tirelessly to ensure that policies relating to children and young people are improved and shape healthcare for the better</w:t>
      </w:r>
      <w:proofErr w:type="gramStart"/>
      <w:r w:rsidRPr="003537B4">
        <w:rPr>
          <w:rFonts w:ascii="Tahoma" w:hAnsi="Tahoma" w:cs="Tahoma"/>
        </w:rPr>
        <w:t>.</w:t>
      </w:r>
      <w:r w:rsidR="00180342" w:rsidRPr="003537B4">
        <w:rPr>
          <w:rFonts w:ascii="Tahoma" w:hAnsi="Tahoma" w:cs="Tahoma"/>
        </w:rPr>
        <w:t xml:space="preserve">  </w:t>
      </w:r>
      <w:proofErr w:type="gramEnd"/>
      <w:r w:rsidR="00180342" w:rsidRPr="003537B4">
        <w:rPr>
          <w:rFonts w:ascii="Tahoma" w:hAnsi="Tahoma" w:cs="Tahoma"/>
        </w:rPr>
        <w:t xml:space="preserve">According to </w:t>
      </w:r>
      <w:r w:rsidR="00180342" w:rsidRPr="003537B4">
        <w:rPr>
          <w:rFonts w:ascii="Tahoma" w:hAnsi="Tahoma" w:cs="Tahoma"/>
        </w:rPr>
        <w:t xml:space="preserve">Livingstone &amp; Third </w:t>
      </w:r>
      <w:r w:rsidR="00180342" w:rsidRPr="003537B4">
        <w:rPr>
          <w:rFonts w:ascii="Tahoma" w:hAnsi="Tahoma" w:cs="Tahoma"/>
        </w:rPr>
        <w:t>(</w:t>
      </w:r>
      <w:r w:rsidR="00180342" w:rsidRPr="003537B4">
        <w:rPr>
          <w:rFonts w:ascii="Tahoma" w:hAnsi="Tahoma" w:cs="Tahoma"/>
        </w:rPr>
        <w:t>2017</w:t>
      </w:r>
      <w:r w:rsidR="00180342" w:rsidRPr="003537B4">
        <w:rPr>
          <w:rFonts w:ascii="Tahoma" w:hAnsi="Tahoma" w:cs="Tahoma"/>
        </w:rPr>
        <w:t>)</w:t>
      </w:r>
      <w:r w:rsidRPr="003537B4">
        <w:rPr>
          <w:rFonts w:ascii="Tahoma" w:hAnsi="Tahoma" w:cs="Tahoma"/>
        </w:rPr>
        <w:t xml:space="preserve"> </w:t>
      </w:r>
      <w:r w:rsidR="00180342" w:rsidRPr="003537B4">
        <w:rPr>
          <w:rFonts w:ascii="Tahoma" w:hAnsi="Tahoma" w:cs="Tahoma"/>
        </w:rPr>
        <w:t>an individual’s</w:t>
      </w:r>
      <w:r w:rsidRPr="003537B4">
        <w:rPr>
          <w:rFonts w:ascii="Tahoma" w:hAnsi="Tahoma" w:cs="Tahoma"/>
        </w:rPr>
        <w:t xml:space="preserve"> expertise as well as their advocacy and general connections, can enable them to effectively influence different policy makers and therefore drive meaningful change, thus creating a positive and better environment for children and young people.</w:t>
      </w:r>
    </w:p>
    <w:p w14:paraId="4CDF512C" w14:textId="77777777" w:rsidR="00A87F06" w:rsidRPr="003537B4" w:rsidRDefault="003F609A">
      <w:pPr>
        <w:jc w:val="both"/>
        <w:rPr>
          <w:rFonts w:ascii="Tahoma" w:hAnsi="Tahoma" w:cs="Tahoma"/>
        </w:rPr>
      </w:pPr>
      <w:r w:rsidRPr="003537B4">
        <w:rPr>
          <w:rFonts w:ascii="Tahoma" w:hAnsi="Tahoma" w:cs="Tahoma"/>
        </w:rPr>
        <w:t xml:space="preserve">Moreover, whilst media platforms can be powerful and significantly influence policy for children and young people, media coverage can also shape public opinion and raise </w:t>
      </w:r>
      <w:r w:rsidRPr="003537B4">
        <w:rPr>
          <w:rFonts w:ascii="Tahoma" w:hAnsi="Tahoma" w:cs="Tahoma"/>
        </w:rPr>
        <w:lastRenderedPageBreak/>
        <w:t xml:space="preserve">awareness about issues that are prominent in affecting young people, which in turn can pressure policymakers to make changes and take action. For example, media reports on controversial topics such as mental health and education, could lead to the implementation or development of new policies, or there could be opportunities with the restructuring of existing ones. This highlights the voices and experiences of young people, allowing their perspectives to </w:t>
      </w:r>
      <w:proofErr w:type="gramStart"/>
      <w:r w:rsidRPr="003537B4">
        <w:rPr>
          <w:rFonts w:ascii="Tahoma" w:hAnsi="Tahoma" w:cs="Tahoma"/>
        </w:rPr>
        <w:t>be considered</w:t>
      </w:r>
      <w:proofErr w:type="gramEnd"/>
      <w:r w:rsidRPr="003537B4">
        <w:rPr>
          <w:rFonts w:ascii="Tahoma" w:hAnsi="Tahoma" w:cs="Tahoma"/>
        </w:rPr>
        <w:t xml:space="preserve"> in policy decisions. A survey on digita</w:t>
      </w:r>
      <w:r w:rsidRPr="003537B4">
        <w:rPr>
          <w:rFonts w:ascii="Tahoma" w:hAnsi="Tahoma" w:cs="Tahoma"/>
        </w:rPr>
        <w:t xml:space="preserve">l access </w:t>
      </w:r>
      <w:proofErr w:type="gramStart"/>
      <w:r w:rsidRPr="003537B4">
        <w:rPr>
          <w:rFonts w:ascii="Tahoma" w:hAnsi="Tahoma" w:cs="Tahoma"/>
        </w:rPr>
        <w:t>carried out</w:t>
      </w:r>
      <w:proofErr w:type="gramEnd"/>
      <w:r w:rsidRPr="003537B4">
        <w:rPr>
          <w:rFonts w:ascii="Tahoma" w:hAnsi="Tahoma" w:cs="Tahoma"/>
        </w:rPr>
        <w:t xml:space="preserve"> by Ofcom (2022) showed that during 2021, 99% of households with children (aged 0-17) had internet access and used it in the home. Therefore, this therefore emphasises how powerful media platforms can be.</w:t>
      </w:r>
    </w:p>
    <w:p w14:paraId="2E39EF3C" w14:textId="77777777" w:rsidR="00A87F06" w:rsidRPr="003537B4" w:rsidRDefault="00A87F06">
      <w:pPr>
        <w:jc w:val="both"/>
        <w:rPr>
          <w:rFonts w:ascii="Tahoma" w:hAnsi="Tahoma" w:cs="Tahoma"/>
        </w:rPr>
      </w:pPr>
    </w:p>
    <w:p w14:paraId="7F9B9A00" w14:textId="77777777" w:rsidR="00A87F06" w:rsidRPr="003537B4" w:rsidRDefault="003F609A">
      <w:pPr>
        <w:jc w:val="both"/>
        <w:rPr>
          <w:rFonts w:ascii="Tahoma" w:hAnsi="Tahoma" w:cs="Tahoma"/>
        </w:rPr>
      </w:pPr>
      <w:r w:rsidRPr="003537B4">
        <w:rPr>
          <w:rFonts w:ascii="Tahoma" w:hAnsi="Tahoma" w:cs="Tahoma"/>
        </w:rPr>
        <w:t xml:space="preserve">Overall, the implementation of policies relating to children and young people aimed at improving their wellbeing, rights and protection can be a complicated process, as it </w:t>
      </w:r>
      <w:proofErr w:type="gramStart"/>
      <w:r w:rsidRPr="003537B4">
        <w:rPr>
          <w:rFonts w:ascii="Tahoma" w:hAnsi="Tahoma" w:cs="Tahoma"/>
        </w:rPr>
        <w:t>is shaped</w:t>
      </w:r>
      <w:proofErr w:type="gramEnd"/>
      <w:r w:rsidRPr="003537B4">
        <w:rPr>
          <w:rFonts w:ascii="Tahoma" w:hAnsi="Tahoma" w:cs="Tahoma"/>
        </w:rPr>
        <w:t xml:space="preserve"> by several enablers as well as barriers. From early perspectives that viewed children as ‘property’ or ‘labourers</w:t>
      </w:r>
      <w:proofErr w:type="gramStart"/>
      <w:r w:rsidRPr="003537B4">
        <w:rPr>
          <w:rFonts w:ascii="Tahoma" w:hAnsi="Tahoma" w:cs="Tahoma"/>
        </w:rPr>
        <w:t>’,</w:t>
      </w:r>
      <w:proofErr w:type="gramEnd"/>
      <w:r w:rsidRPr="003537B4">
        <w:rPr>
          <w:rFonts w:ascii="Tahoma" w:hAnsi="Tahoma" w:cs="Tahoma"/>
        </w:rPr>
        <w:t xml:space="preserve"> the 19</w:t>
      </w:r>
      <w:r w:rsidRPr="003537B4">
        <w:rPr>
          <w:rFonts w:ascii="Tahoma" w:hAnsi="Tahoma" w:cs="Tahoma"/>
          <w:vertAlign w:val="superscript"/>
        </w:rPr>
        <w:t>th</w:t>
      </w:r>
      <w:r w:rsidRPr="003537B4">
        <w:rPr>
          <w:rFonts w:ascii="Tahoma" w:hAnsi="Tahoma" w:cs="Tahoma"/>
        </w:rPr>
        <w:t xml:space="preserve"> and 20</w:t>
      </w:r>
      <w:r w:rsidRPr="003537B4">
        <w:rPr>
          <w:rFonts w:ascii="Tahoma" w:hAnsi="Tahoma" w:cs="Tahoma"/>
          <w:vertAlign w:val="superscript"/>
        </w:rPr>
        <w:t>th</w:t>
      </w:r>
      <w:r w:rsidRPr="003537B4">
        <w:rPr>
          <w:rFonts w:ascii="Tahoma" w:hAnsi="Tahoma" w:cs="Tahoma"/>
        </w:rPr>
        <w:t xml:space="preserve"> centuries have marked key moments in recognising children and young people as individuals with their own rights. The Industrial Revolution led to the introduction of early child labour laws, while the post war period saw the establishment of children's rights through international agreements and whilst legislations such as The United Nations on the Convention of the</w:t>
      </w:r>
      <w:r w:rsidRPr="003537B4">
        <w:rPr>
          <w:rFonts w:ascii="Tahoma" w:hAnsi="Tahoma" w:cs="Tahoma"/>
        </w:rPr>
        <w:t xml:space="preserve"> Rights of the Child 1989 and then more national frameworks such as The Children Act 1989 and 2004, policy has significantly advanced and now recognises the rights of children and young people as individuals. However, the translation of these policies into practice remains challenging and it is essential that all policy makers and practitioners work collaboratively to address each barrier of implementation, as well as promote a culture of flexibility and responsibility to the needs of children and young peo</w:t>
      </w:r>
      <w:r w:rsidRPr="003537B4">
        <w:rPr>
          <w:rFonts w:ascii="Tahoma" w:hAnsi="Tahoma" w:cs="Tahoma"/>
        </w:rPr>
        <w:t xml:space="preserve">ple. </w:t>
      </w:r>
    </w:p>
    <w:p w14:paraId="0F6FDD9A" w14:textId="77777777" w:rsidR="00A87F06" w:rsidRPr="003537B4" w:rsidRDefault="003F609A">
      <w:pPr>
        <w:jc w:val="both"/>
        <w:rPr>
          <w:rFonts w:ascii="Tahoma" w:hAnsi="Tahoma" w:cs="Tahoma"/>
        </w:rPr>
      </w:pPr>
      <w:r w:rsidRPr="003537B4">
        <w:rPr>
          <w:rFonts w:ascii="Tahoma" w:hAnsi="Tahoma" w:cs="Tahoma"/>
        </w:rPr>
        <w:t xml:space="preserve">By overcoming these challenges and barriers, polices will be more effectively translated into practice and therefore improve outcomes for children and young people, ensuring their welfare, </w:t>
      </w:r>
      <w:proofErr w:type="gramStart"/>
      <w:r w:rsidRPr="003537B4">
        <w:rPr>
          <w:rFonts w:ascii="Tahoma" w:hAnsi="Tahoma" w:cs="Tahoma"/>
        </w:rPr>
        <w:t>protection</w:t>
      </w:r>
      <w:proofErr w:type="gramEnd"/>
      <w:r w:rsidRPr="003537B4">
        <w:rPr>
          <w:rFonts w:ascii="Tahoma" w:hAnsi="Tahoma" w:cs="Tahoma"/>
        </w:rPr>
        <w:t xml:space="preserve"> and overall participation in society.</w:t>
      </w:r>
    </w:p>
    <w:p w14:paraId="51950A20" w14:textId="77777777" w:rsidR="00A87F06" w:rsidRPr="003537B4" w:rsidRDefault="00A87F06">
      <w:pPr>
        <w:jc w:val="both"/>
        <w:rPr>
          <w:rFonts w:ascii="Tahoma" w:hAnsi="Tahoma" w:cs="Tahoma"/>
        </w:rPr>
      </w:pPr>
    </w:p>
    <w:p w14:paraId="5DB25BC5" w14:textId="77777777" w:rsidR="00A87F06" w:rsidRDefault="00A87F06">
      <w:pPr>
        <w:jc w:val="both"/>
        <w:rPr>
          <w:rFonts w:ascii="Tahoma" w:hAnsi="Tahoma" w:cs="Tahoma"/>
          <w:b/>
          <w:bCs/>
        </w:rPr>
      </w:pPr>
    </w:p>
    <w:p w14:paraId="1E776EDB" w14:textId="77777777" w:rsidR="00A87F06" w:rsidRDefault="00A87F06">
      <w:pPr>
        <w:jc w:val="both"/>
        <w:rPr>
          <w:rFonts w:ascii="Tahoma" w:hAnsi="Tahoma" w:cs="Tahoma"/>
          <w:b/>
          <w:bCs/>
        </w:rPr>
      </w:pPr>
    </w:p>
    <w:p w14:paraId="66E49CAD" w14:textId="77777777" w:rsidR="00A87F06" w:rsidRDefault="00A87F06">
      <w:pPr>
        <w:jc w:val="both"/>
        <w:rPr>
          <w:rFonts w:ascii="Tahoma" w:hAnsi="Tahoma" w:cs="Tahoma"/>
          <w:b/>
          <w:bCs/>
        </w:rPr>
      </w:pPr>
    </w:p>
    <w:p w14:paraId="6B5B7FDF" w14:textId="77777777" w:rsidR="00A87F06" w:rsidRDefault="00A87F06">
      <w:pPr>
        <w:jc w:val="both"/>
        <w:rPr>
          <w:rFonts w:ascii="Tahoma" w:hAnsi="Tahoma" w:cs="Tahoma"/>
          <w:b/>
          <w:bCs/>
        </w:rPr>
      </w:pPr>
    </w:p>
    <w:p w14:paraId="213C8B7E" w14:textId="77777777" w:rsidR="00F70AF8" w:rsidRDefault="00F70AF8">
      <w:pPr>
        <w:jc w:val="center"/>
        <w:rPr>
          <w:rFonts w:ascii="Tahoma" w:hAnsi="Tahoma" w:cs="Tahoma"/>
          <w:sz w:val="32"/>
          <w:szCs w:val="32"/>
        </w:rPr>
      </w:pPr>
    </w:p>
    <w:p w14:paraId="2AE332BA" w14:textId="77777777" w:rsidR="00F70AF8" w:rsidRDefault="00F70AF8">
      <w:pPr>
        <w:jc w:val="center"/>
        <w:rPr>
          <w:rFonts w:ascii="Tahoma" w:hAnsi="Tahoma" w:cs="Tahoma"/>
          <w:sz w:val="32"/>
          <w:szCs w:val="32"/>
        </w:rPr>
      </w:pPr>
    </w:p>
    <w:p w14:paraId="38A49C19" w14:textId="77777777" w:rsidR="00F70AF8" w:rsidRDefault="00F70AF8">
      <w:pPr>
        <w:jc w:val="center"/>
        <w:rPr>
          <w:rFonts w:ascii="Tahoma" w:hAnsi="Tahoma" w:cs="Tahoma"/>
          <w:sz w:val="32"/>
          <w:szCs w:val="32"/>
        </w:rPr>
      </w:pPr>
    </w:p>
    <w:p w14:paraId="474F5027" w14:textId="77777777" w:rsidR="00F70AF8" w:rsidRDefault="00F70AF8">
      <w:pPr>
        <w:jc w:val="center"/>
        <w:rPr>
          <w:rFonts w:ascii="Tahoma" w:hAnsi="Tahoma" w:cs="Tahoma"/>
          <w:sz w:val="32"/>
          <w:szCs w:val="32"/>
        </w:rPr>
      </w:pPr>
    </w:p>
    <w:p w14:paraId="737F8E0D" w14:textId="77777777" w:rsidR="00F70AF8" w:rsidRDefault="00F70AF8">
      <w:pPr>
        <w:jc w:val="center"/>
        <w:rPr>
          <w:rFonts w:ascii="Tahoma" w:hAnsi="Tahoma" w:cs="Tahoma"/>
          <w:sz w:val="32"/>
          <w:szCs w:val="32"/>
        </w:rPr>
      </w:pPr>
    </w:p>
    <w:p w14:paraId="710BA5EF" w14:textId="77777777" w:rsidR="00F70AF8" w:rsidRDefault="00F70AF8">
      <w:pPr>
        <w:jc w:val="center"/>
        <w:rPr>
          <w:rFonts w:ascii="Tahoma" w:hAnsi="Tahoma" w:cs="Tahoma"/>
          <w:sz w:val="32"/>
          <w:szCs w:val="32"/>
        </w:rPr>
      </w:pPr>
    </w:p>
    <w:p w14:paraId="2DBD3B36" w14:textId="77777777" w:rsidR="00F70AF8" w:rsidRDefault="00F70AF8">
      <w:pPr>
        <w:jc w:val="center"/>
        <w:rPr>
          <w:rFonts w:ascii="Tahoma" w:hAnsi="Tahoma" w:cs="Tahoma"/>
          <w:sz w:val="32"/>
          <w:szCs w:val="32"/>
        </w:rPr>
      </w:pPr>
    </w:p>
    <w:p w14:paraId="2BE250E2" w14:textId="77777777" w:rsidR="00F70AF8" w:rsidRDefault="00F70AF8">
      <w:pPr>
        <w:jc w:val="center"/>
        <w:rPr>
          <w:rFonts w:ascii="Tahoma" w:hAnsi="Tahoma" w:cs="Tahoma"/>
          <w:sz w:val="32"/>
          <w:szCs w:val="32"/>
        </w:rPr>
      </w:pPr>
    </w:p>
    <w:p w14:paraId="00734423" w14:textId="77777777" w:rsidR="00F70AF8" w:rsidRDefault="003F609A" w:rsidP="00F70AF8">
      <w:pPr>
        <w:jc w:val="center"/>
        <w:rPr>
          <w:rFonts w:ascii="Tahoma" w:hAnsi="Tahoma" w:cs="Tahoma"/>
          <w:sz w:val="32"/>
          <w:szCs w:val="32"/>
        </w:rPr>
      </w:pPr>
      <w:r>
        <w:rPr>
          <w:rFonts w:ascii="Tahoma" w:hAnsi="Tahoma" w:cs="Tahoma"/>
          <w:sz w:val="32"/>
          <w:szCs w:val="32"/>
        </w:rPr>
        <w:t>References</w:t>
      </w:r>
    </w:p>
    <w:p w14:paraId="6C1CDC77" w14:textId="20CA001E" w:rsidR="00A87F06" w:rsidRDefault="003F609A" w:rsidP="00F70AF8">
      <w:pPr>
        <w:jc w:val="both"/>
      </w:pPr>
      <w:hyperlink r:id="rId7" w:history="1">
        <w:r>
          <w:rPr>
            <w:rStyle w:val="Hyperlink"/>
            <w:rFonts w:ascii="Tahoma" w:hAnsi="Tahoma" w:cs="Tahoma"/>
            <w:color w:val="auto"/>
            <w:u w:val="none"/>
          </w:rPr>
          <w:br/>
        </w:r>
        <w:r>
          <w:rPr>
            <w:rStyle w:val="Hyperlink"/>
            <w:rFonts w:ascii="Tahoma" w:hAnsi="Tahoma" w:cs="Tahoma"/>
            <w:color w:val="auto"/>
            <w:u w:val="none"/>
          </w:rPr>
          <w:t>Alabama, Louisiana and Mississippi Division</w:t>
        </w:r>
      </w:hyperlink>
      <w:r>
        <w:rPr>
          <w:rFonts w:ascii="Tahoma" w:hAnsi="Tahoma" w:cs="Tahoma"/>
        </w:rPr>
        <w:t xml:space="preserve"> (2024) ‘</w:t>
      </w:r>
      <w:r>
        <w:rPr>
          <w:rFonts w:ascii="Tahoma" w:hAnsi="Tahoma" w:cs="Tahoma"/>
          <w:i/>
          <w:iCs/>
        </w:rPr>
        <w:t xml:space="preserve">Catherine Booth: The Mother of The Salvation Army’ </w:t>
      </w:r>
      <w:r>
        <w:rPr>
          <w:rFonts w:ascii="Tahoma" w:hAnsi="Tahoma" w:cs="Tahoma"/>
        </w:rPr>
        <w:t xml:space="preserve">Available at: </w:t>
      </w:r>
      <w:hyperlink r:id="rId8" w:history="1">
        <w:r>
          <w:rPr>
            <w:rStyle w:val="Hyperlink"/>
            <w:rFonts w:ascii="Tahoma" w:hAnsi="Tahoma" w:cs="Tahoma"/>
          </w:rPr>
          <w:t>https://southernusa.salvationarmy.org/ala-lou-mis/news/catherine-booth-the-mother-of-the-salvation-army/#:~:text=Catherine%20was%20pivotal%20in%20shaping,her%20advocacy%20for%20women's%20rights</w:t>
        </w:r>
      </w:hyperlink>
      <w:r>
        <w:rPr>
          <w:rFonts w:ascii="Tahoma" w:hAnsi="Tahoma" w:cs="Tahoma"/>
        </w:rPr>
        <w:t>. [Accessed on: 15/01/2025].</w:t>
      </w:r>
    </w:p>
    <w:p w14:paraId="2949D144" w14:textId="3910501A" w:rsidR="001E6639" w:rsidRDefault="001E6639">
      <w:pPr>
        <w:jc w:val="both"/>
        <w:rPr>
          <w:rFonts w:ascii="Tahoma" w:hAnsi="Tahoma" w:cs="Tahoma"/>
        </w:rPr>
      </w:pPr>
      <w:r w:rsidRPr="001E6639">
        <w:rPr>
          <w:rFonts w:ascii="Tahoma" w:hAnsi="Tahoma" w:cs="Tahoma"/>
        </w:rPr>
        <w:t>Ball, S.J., 2015. What is policy? 21 years later: Reflections on the possibilities of policy research. </w:t>
      </w:r>
      <w:r w:rsidRPr="001E6639">
        <w:rPr>
          <w:rFonts w:ascii="Tahoma" w:hAnsi="Tahoma" w:cs="Tahoma"/>
          <w:i/>
          <w:iCs/>
        </w:rPr>
        <w:t>Discourse: Studies in the cultural politics of education</w:t>
      </w:r>
      <w:r w:rsidRPr="001E6639">
        <w:rPr>
          <w:rFonts w:ascii="Tahoma" w:hAnsi="Tahoma" w:cs="Tahoma"/>
        </w:rPr>
        <w:t>, </w:t>
      </w:r>
      <w:r w:rsidRPr="001E6639">
        <w:rPr>
          <w:rFonts w:ascii="Tahoma" w:hAnsi="Tahoma" w:cs="Tahoma"/>
          <w:i/>
          <w:iCs/>
        </w:rPr>
        <w:t>36</w:t>
      </w:r>
      <w:r w:rsidRPr="001E6639">
        <w:rPr>
          <w:rFonts w:ascii="Tahoma" w:hAnsi="Tahoma" w:cs="Tahoma"/>
        </w:rPr>
        <w:t>(3), pp.306-313.</w:t>
      </w:r>
    </w:p>
    <w:p w14:paraId="17B5447C" w14:textId="16B95ACA" w:rsidR="0050649C" w:rsidRDefault="0050649C">
      <w:pPr>
        <w:jc w:val="both"/>
        <w:rPr>
          <w:rFonts w:ascii="Tahoma" w:hAnsi="Tahoma" w:cs="Tahoma"/>
        </w:rPr>
      </w:pPr>
      <w:r w:rsidRPr="0050649C">
        <w:rPr>
          <w:rFonts w:ascii="Tahoma" w:hAnsi="Tahoma" w:cs="Tahoma"/>
        </w:rPr>
        <w:t xml:space="preserve">Bhabha, J. (2016). </w:t>
      </w:r>
      <w:r w:rsidRPr="0050649C">
        <w:rPr>
          <w:rFonts w:ascii="Tahoma" w:hAnsi="Tahoma" w:cs="Tahoma"/>
          <w:i/>
          <w:iCs/>
        </w:rPr>
        <w:t>Child Protection: Children's Rights in Theory and Practice</w:t>
      </w:r>
      <w:r w:rsidRPr="0050649C">
        <w:rPr>
          <w:rFonts w:ascii="Tahoma" w:hAnsi="Tahoma" w:cs="Tahoma"/>
        </w:rPr>
        <w:t>. Cambridge: Cambridge University Press, pp. 78-82.</w:t>
      </w:r>
    </w:p>
    <w:p w14:paraId="2A42A543" w14:textId="0C9D0DBF" w:rsidR="00A87F06" w:rsidRDefault="003F609A">
      <w:pPr>
        <w:jc w:val="both"/>
      </w:pPr>
      <w:r>
        <w:rPr>
          <w:rFonts w:ascii="Tahoma" w:hAnsi="Tahoma" w:cs="Tahoma"/>
        </w:rPr>
        <w:t>Cairney, P., Kippin, S., St Denny, E. and Mitchell, H., 2022. Policy design for territorial equity in multi‐level and m</w:t>
      </w:r>
      <w:r>
        <w:rPr>
          <w:rFonts w:ascii="Tahoma" w:hAnsi="Tahoma" w:cs="Tahoma"/>
        </w:rPr>
        <w:t>ulti‐sectoral political systems: Comparing health and education strategies. </w:t>
      </w:r>
      <w:r>
        <w:rPr>
          <w:rFonts w:ascii="Tahoma" w:hAnsi="Tahoma" w:cs="Tahoma"/>
          <w:i/>
          <w:iCs/>
        </w:rPr>
        <w:t>Regional Science Policy &amp; Practice</w:t>
      </w:r>
      <w:r>
        <w:rPr>
          <w:rFonts w:ascii="Tahoma" w:hAnsi="Tahoma" w:cs="Tahoma"/>
        </w:rPr>
        <w:t>, </w:t>
      </w:r>
      <w:r>
        <w:rPr>
          <w:rFonts w:ascii="Tahoma" w:hAnsi="Tahoma" w:cs="Tahoma"/>
          <w:i/>
          <w:iCs/>
        </w:rPr>
        <w:t>14</w:t>
      </w:r>
      <w:r>
        <w:rPr>
          <w:rFonts w:ascii="Tahoma" w:hAnsi="Tahoma" w:cs="Tahoma"/>
        </w:rPr>
        <w:t>(5), pp.1051-1062.</w:t>
      </w:r>
    </w:p>
    <w:p w14:paraId="59CAC1B2" w14:textId="77777777" w:rsidR="00A87F06" w:rsidRDefault="003F609A">
      <w:pPr>
        <w:jc w:val="both"/>
      </w:pPr>
      <w:r>
        <w:rPr>
          <w:rFonts w:ascii="Tahoma" w:hAnsi="Tahoma" w:cs="Tahoma"/>
        </w:rPr>
        <w:t>Cardano, M., 2020. </w:t>
      </w:r>
      <w:r>
        <w:rPr>
          <w:rFonts w:ascii="Tahoma" w:hAnsi="Tahoma" w:cs="Tahoma"/>
          <w:i/>
          <w:iCs/>
        </w:rPr>
        <w:t>Defending qualitative research: Design, analysis, and textualization</w:t>
      </w:r>
      <w:r>
        <w:rPr>
          <w:rFonts w:ascii="Tahoma" w:hAnsi="Tahoma" w:cs="Tahoma"/>
        </w:rPr>
        <w:t>. Routledge.</w:t>
      </w:r>
    </w:p>
    <w:p w14:paraId="00EB2124" w14:textId="5BB40547" w:rsidR="000C6D8C" w:rsidRDefault="000C6D8C">
      <w:pPr>
        <w:jc w:val="both"/>
        <w:rPr>
          <w:rFonts w:ascii="Tahoma" w:hAnsi="Tahoma" w:cs="Tahoma"/>
        </w:rPr>
      </w:pPr>
      <w:r w:rsidRPr="000C6D8C">
        <w:rPr>
          <w:rFonts w:ascii="Tahoma" w:hAnsi="Tahoma" w:cs="Tahoma"/>
        </w:rPr>
        <w:t xml:space="preserve">Carroll, P. (2021). 'The Rights of Children: Tensions Between Protection and Participation', in </w:t>
      </w:r>
      <w:r w:rsidRPr="000C6D8C">
        <w:rPr>
          <w:rFonts w:ascii="Tahoma" w:hAnsi="Tahoma" w:cs="Tahoma"/>
          <w:i/>
          <w:iCs/>
        </w:rPr>
        <w:t>The Palgrave Handbook of Positive Peace</w:t>
      </w:r>
      <w:r w:rsidRPr="000C6D8C">
        <w:rPr>
          <w:rFonts w:ascii="Tahoma" w:hAnsi="Tahoma" w:cs="Tahoma"/>
        </w:rPr>
        <w:t>. London: Palgrave Macmillan, pp. 543-556.</w:t>
      </w:r>
    </w:p>
    <w:p w14:paraId="24CF9D53" w14:textId="57631C99" w:rsidR="00367173" w:rsidRDefault="00367173">
      <w:pPr>
        <w:jc w:val="both"/>
        <w:rPr>
          <w:rFonts w:ascii="Tahoma" w:hAnsi="Tahoma" w:cs="Tahoma"/>
        </w:rPr>
      </w:pPr>
      <w:r w:rsidRPr="00367173">
        <w:rPr>
          <w:rFonts w:ascii="Tahoma" w:hAnsi="Tahoma" w:cs="Tahoma"/>
        </w:rPr>
        <w:t>Chapin, R.K. and Lewis, M., 2023. </w:t>
      </w:r>
      <w:r w:rsidRPr="00367173">
        <w:rPr>
          <w:rFonts w:ascii="Tahoma" w:hAnsi="Tahoma" w:cs="Tahoma"/>
          <w:i/>
          <w:iCs/>
        </w:rPr>
        <w:t>Social policy for effective practice: A strengths approach</w:t>
      </w:r>
      <w:r w:rsidRPr="00367173">
        <w:rPr>
          <w:rFonts w:ascii="Tahoma" w:hAnsi="Tahoma" w:cs="Tahoma"/>
        </w:rPr>
        <w:t>. Routledge.</w:t>
      </w:r>
    </w:p>
    <w:p w14:paraId="5275B902" w14:textId="4BD34ECC" w:rsidR="00A87F06" w:rsidRDefault="003F609A">
      <w:pPr>
        <w:jc w:val="both"/>
        <w:rPr>
          <w:rFonts w:ascii="Tahoma" w:hAnsi="Tahoma" w:cs="Tahoma"/>
        </w:rPr>
      </w:pPr>
      <w:r>
        <w:rPr>
          <w:rFonts w:ascii="Tahoma" w:hAnsi="Tahoma" w:cs="Tahoma"/>
        </w:rPr>
        <w:t xml:space="preserve">Corney, T., Cooper, T., Shier, H. and Williamson, H., 2022. Youth participation: Adultism, </w:t>
      </w:r>
      <w:r>
        <w:rPr>
          <w:rFonts w:ascii="Tahoma" w:hAnsi="Tahoma" w:cs="Tahoma"/>
        </w:rPr>
        <w:t xml:space="preserve">human </w:t>
      </w:r>
      <w:proofErr w:type="gramStart"/>
      <w:r>
        <w:rPr>
          <w:rFonts w:ascii="Tahoma" w:hAnsi="Tahoma" w:cs="Tahoma"/>
        </w:rPr>
        <w:t>rights</w:t>
      </w:r>
      <w:proofErr w:type="gramEnd"/>
      <w:r>
        <w:rPr>
          <w:rFonts w:ascii="Tahoma" w:hAnsi="Tahoma" w:cs="Tahoma"/>
        </w:rPr>
        <w:t xml:space="preserve"> and professional youth work. </w:t>
      </w:r>
      <w:r>
        <w:rPr>
          <w:rFonts w:ascii="Tahoma" w:hAnsi="Tahoma" w:cs="Tahoma"/>
          <w:i/>
          <w:iCs/>
        </w:rPr>
        <w:t>Children &amp; Society</w:t>
      </w:r>
      <w:r>
        <w:rPr>
          <w:rFonts w:ascii="Tahoma" w:hAnsi="Tahoma" w:cs="Tahoma"/>
        </w:rPr>
        <w:t>, </w:t>
      </w:r>
      <w:r>
        <w:rPr>
          <w:rFonts w:ascii="Tahoma" w:hAnsi="Tahoma" w:cs="Tahoma"/>
          <w:i/>
          <w:iCs/>
        </w:rPr>
        <w:t>36</w:t>
      </w:r>
      <w:r>
        <w:rPr>
          <w:rFonts w:ascii="Tahoma" w:hAnsi="Tahoma" w:cs="Tahoma"/>
        </w:rPr>
        <w:t>(4), pp.677-690.</w:t>
      </w:r>
    </w:p>
    <w:p w14:paraId="3126D696" w14:textId="03678A04" w:rsidR="00C707C6" w:rsidRDefault="00C707C6">
      <w:pPr>
        <w:jc w:val="both"/>
        <w:rPr>
          <w:rFonts w:ascii="Tahoma" w:hAnsi="Tahoma" w:cs="Tahoma"/>
        </w:rPr>
      </w:pPr>
      <w:r w:rsidRPr="00C707C6">
        <w:rPr>
          <w:rFonts w:ascii="Tahoma" w:hAnsi="Tahoma" w:cs="Tahoma"/>
        </w:rPr>
        <w:t xml:space="preserve">Cottrell, S. (2013). </w:t>
      </w:r>
      <w:r w:rsidRPr="00C707C6">
        <w:rPr>
          <w:rFonts w:ascii="Tahoma" w:hAnsi="Tahoma" w:cs="Tahoma"/>
          <w:i/>
          <w:iCs/>
        </w:rPr>
        <w:t>Critical Thinking Skills: Developing Effective Analysis and Argument</w:t>
      </w:r>
      <w:r w:rsidRPr="00C707C6">
        <w:rPr>
          <w:rFonts w:ascii="Tahoma" w:hAnsi="Tahoma" w:cs="Tahoma"/>
        </w:rPr>
        <w:t>. Basingstoke: Palgrave Macmillan, pp. 78-82.</w:t>
      </w:r>
    </w:p>
    <w:p w14:paraId="6E6E7B2D" w14:textId="3A02FFC0" w:rsidR="00247630" w:rsidRDefault="00247630">
      <w:pPr>
        <w:jc w:val="both"/>
        <w:rPr>
          <w:rFonts w:ascii="Tahoma" w:hAnsi="Tahoma" w:cs="Tahoma"/>
        </w:rPr>
      </w:pPr>
      <w:r w:rsidRPr="00247630">
        <w:rPr>
          <w:rFonts w:ascii="Tahoma" w:hAnsi="Tahoma" w:cs="Tahoma"/>
        </w:rPr>
        <w:lastRenderedPageBreak/>
        <w:t>Equality and Human Rights Commission (2022) </w:t>
      </w:r>
      <w:r>
        <w:rPr>
          <w:rFonts w:ascii="Tahoma" w:hAnsi="Tahoma" w:cs="Tahoma"/>
        </w:rPr>
        <w:t>‘</w:t>
      </w:r>
      <w:r w:rsidRPr="00247630">
        <w:rPr>
          <w:rFonts w:ascii="Tahoma" w:hAnsi="Tahoma" w:cs="Tahoma"/>
          <w:i/>
          <w:iCs/>
        </w:rPr>
        <w:t>Children’s Rights in Great Britain - Submission to the UN Committee on the Rights of the Child</w:t>
      </w:r>
      <w:r>
        <w:rPr>
          <w:rFonts w:ascii="Tahoma" w:hAnsi="Tahoma" w:cs="Tahoma"/>
          <w:i/>
          <w:iCs/>
        </w:rPr>
        <w:t>’</w:t>
      </w:r>
      <w:r w:rsidRPr="00247630">
        <w:rPr>
          <w:rFonts w:ascii="Tahoma" w:hAnsi="Tahoma" w:cs="Tahoma"/>
        </w:rPr>
        <w:t xml:space="preserve">. </w:t>
      </w:r>
      <w:r>
        <w:rPr>
          <w:rFonts w:ascii="Tahoma" w:hAnsi="Tahoma" w:cs="Tahoma"/>
        </w:rPr>
        <w:t xml:space="preserve">Available at: </w:t>
      </w:r>
      <w:hyperlink r:id="rId9" w:history="1">
        <w:r w:rsidRPr="00B66D81">
          <w:rPr>
            <w:rStyle w:val="Hyperlink"/>
            <w:rFonts w:ascii="Tahoma" w:hAnsi="Tahoma" w:cs="Tahoma"/>
          </w:rPr>
          <w:t>https://www.equalityhumanrights.com/sites/default/files/11706_ehrc_executive_summary_report_english_accessi_1.2.pdf</w:t>
        </w:r>
      </w:hyperlink>
      <w:r>
        <w:rPr>
          <w:rFonts w:ascii="Tahoma" w:hAnsi="Tahoma" w:cs="Tahoma"/>
        </w:rPr>
        <w:t xml:space="preserve"> [Accessed: 12/01/2025).</w:t>
      </w:r>
    </w:p>
    <w:p w14:paraId="7EE2DB5A" w14:textId="2E8C5852" w:rsidR="00E06A94" w:rsidRDefault="00E06A94" w:rsidP="00A02AA1">
      <w:pPr>
        <w:rPr>
          <w:rFonts w:ascii="Tahoma" w:hAnsi="Tahoma" w:cs="Tahoma"/>
        </w:rPr>
      </w:pPr>
      <w:r w:rsidRPr="00E06A94">
        <w:rPr>
          <w:rFonts w:ascii="Tahoma" w:hAnsi="Tahoma" w:cs="Tahoma"/>
        </w:rPr>
        <w:t xml:space="preserve">Evans, B. &amp; Honeyford, E-J. (2012). 'Brighter futures, greener lives': children and young people in UK sustainable development policy. In </w:t>
      </w:r>
      <w:r w:rsidRPr="00E06A94">
        <w:rPr>
          <w:rFonts w:ascii="Tahoma" w:hAnsi="Tahoma" w:cs="Tahoma"/>
          <w:i/>
          <w:iCs/>
        </w:rPr>
        <w:t>Critical Geographies of Childhood and Youth: Contemporary Policy and Practice</w:t>
      </w:r>
      <w:r w:rsidRPr="00E06A94">
        <w:rPr>
          <w:rFonts w:ascii="Tahoma" w:hAnsi="Tahoma" w:cs="Tahoma"/>
        </w:rPr>
        <w:t>. Oxford: Policy Press, pp. 61-78.</w:t>
      </w:r>
    </w:p>
    <w:p w14:paraId="13BD2FA8" w14:textId="60061915" w:rsidR="00A02AA1" w:rsidRPr="00A22687" w:rsidRDefault="00A02AA1" w:rsidP="00A02AA1">
      <w:pPr>
        <w:rPr>
          <w:rFonts w:ascii="Tahoma" w:hAnsi="Tahoma" w:cs="Tahoma"/>
        </w:rPr>
      </w:pPr>
      <w:r w:rsidRPr="00A22687">
        <w:rPr>
          <w:rFonts w:ascii="Tahoma" w:hAnsi="Tahoma" w:cs="Tahoma"/>
        </w:rPr>
        <w:t xml:space="preserve">Factory Act 1833 (1833). </w:t>
      </w:r>
      <w:r w:rsidRPr="00A22687">
        <w:rPr>
          <w:rFonts w:ascii="Tahoma" w:hAnsi="Tahoma" w:cs="Tahoma"/>
          <w:i/>
          <w:iCs/>
        </w:rPr>
        <w:t>An Act to Regulate the Hours of Labour of Children in Factories</w:t>
      </w:r>
      <w:r w:rsidRPr="00A22687">
        <w:rPr>
          <w:rFonts w:ascii="Tahoma" w:hAnsi="Tahoma" w:cs="Tahoma"/>
        </w:rPr>
        <w:t>. London: UK Parliament.</w:t>
      </w:r>
    </w:p>
    <w:p w14:paraId="6693C8D2" w14:textId="521E45F4" w:rsidR="00A52D58" w:rsidRDefault="00A52D58">
      <w:pPr>
        <w:jc w:val="both"/>
        <w:rPr>
          <w:rFonts w:ascii="Tahoma" w:hAnsi="Tahoma" w:cs="Tahoma"/>
        </w:rPr>
      </w:pPr>
      <w:r w:rsidRPr="00A52D58">
        <w:rPr>
          <w:rFonts w:ascii="Tahoma" w:hAnsi="Tahoma" w:cs="Tahoma"/>
        </w:rPr>
        <w:t>France, A., Freiberg, K. and Homel, R., 2010. Beyond risk factors: Towards a holistic prevention paradigm for children and young people. </w:t>
      </w:r>
      <w:r w:rsidRPr="00A52D58">
        <w:rPr>
          <w:rFonts w:ascii="Tahoma" w:hAnsi="Tahoma" w:cs="Tahoma"/>
          <w:i/>
          <w:iCs/>
        </w:rPr>
        <w:t>British Journal of Social Work</w:t>
      </w:r>
      <w:r w:rsidRPr="00A52D58">
        <w:rPr>
          <w:rFonts w:ascii="Tahoma" w:hAnsi="Tahoma" w:cs="Tahoma"/>
        </w:rPr>
        <w:t>, </w:t>
      </w:r>
      <w:r w:rsidRPr="00A52D58">
        <w:rPr>
          <w:rFonts w:ascii="Tahoma" w:hAnsi="Tahoma" w:cs="Tahoma"/>
          <w:i/>
          <w:iCs/>
        </w:rPr>
        <w:t>40</w:t>
      </w:r>
      <w:r w:rsidRPr="00A52D58">
        <w:rPr>
          <w:rFonts w:ascii="Tahoma" w:hAnsi="Tahoma" w:cs="Tahoma"/>
        </w:rPr>
        <w:t>(4), pp.1192-1210.</w:t>
      </w:r>
    </w:p>
    <w:p w14:paraId="63940504" w14:textId="31C4F99F" w:rsidR="004854E3" w:rsidRPr="004854E3" w:rsidRDefault="004854E3">
      <w:pPr>
        <w:jc w:val="both"/>
        <w:rPr>
          <w:rFonts w:ascii="Tahoma" w:hAnsi="Tahoma" w:cs="Tahoma"/>
        </w:rPr>
      </w:pPr>
      <w:r w:rsidRPr="004854E3">
        <w:rPr>
          <w:rFonts w:ascii="Tahoma" w:hAnsi="Tahoma" w:cs="Tahoma"/>
        </w:rPr>
        <w:t xml:space="preserve">Gash, A. L., &amp; Tichenor, D. J. (2022). </w:t>
      </w:r>
      <w:r w:rsidRPr="004854E3">
        <w:rPr>
          <w:rFonts w:ascii="Tahoma" w:hAnsi="Tahoma" w:cs="Tahoma"/>
          <w:i/>
          <w:iCs/>
        </w:rPr>
        <w:t>Governing Children: Paternalism, Membership, Subjugation, and Abandonment.</w:t>
      </w:r>
      <w:r w:rsidRPr="004854E3">
        <w:rPr>
          <w:rFonts w:ascii="Tahoma" w:hAnsi="Tahoma" w:cs="Tahoma"/>
        </w:rPr>
        <w:t xml:space="preserve"> In </w:t>
      </w:r>
      <w:r w:rsidRPr="004854E3">
        <w:rPr>
          <w:rFonts w:ascii="Tahoma" w:hAnsi="Tahoma" w:cs="Tahoma"/>
          <w:i/>
          <w:iCs/>
        </w:rPr>
        <w:t>Democracy's Child: Young People and the Politics of Control, Leverage, and Agency</w:t>
      </w:r>
      <w:r w:rsidRPr="004854E3">
        <w:rPr>
          <w:rFonts w:ascii="Tahoma" w:hAnsi="Tahoma" w:cs="Tahoma"/>
        </w:rPr>
        <w:t xml:space="preserve"> (pp. 27-80). Oxford University Press. https://doi.org/10.1093/oso/9780197581667.003.0002</w:t>
      </w:r>
    </w:p>
    <w:p w14:paraId="0947586C" w14:textId="77777777" w:rsidR="00A87F06" w:rsidRDefault="003F609A">
      <w:pPr>
        <w:jc w:val="both"/>
        <w:rPr>
          <w:rFonts w:ascii="Tahoma" w:hAnsi="Tahoma" w:cs="Tahoma"/>
        </w:rPr>
      </w:pPr>
      <w:r>
        <w:rPr>
          <w:rFonts w:ascii="Tahoma" w:hAnsi="Tahoma" w:cs="Tahoma"/>
        </w:rPr>
        <w:t>Green, R.J., 2008. Catherine Booth, the Salvation Army, and the Purity Crusade of 1885. </w:t>
      </w:r>
      <w:r>
        <w:rPr>
          <w:rFonts w:ascii="Tahoma" w:hAnsi="Tahoma" w:cs="Tahoma"/>
          <w:i/>
          <w:iCs/>
        </w:rPr>
        <w:t>Priscilla Papers</w:t>
      </w:r>
      <w:r>
        <w:rPr>
          <w:rFonts w:ascii="Tahoma" w:hAnsi="Tahoma" w:cs="Tahoma"/>
        </w:rPr>
        <w:t>, </w:t>
      </w:r>
      <w:r>
        <w:rPr>
          <w:rFonts w:ascii="Tahoma" w:hAnsi="Tahoma" w:cs="Tahoma"/>
          <w:i/>
          <w:iCs/>
        </w:rPr>
        <w:t>22</w:t>
      </w:r>
      <w:r>
        <w:rPr>
          <w:rFonts w:ascii="Tahoma" w:hAnsi="Tahoma" w:cs="Tahoma"/>
        </w:rPr>
        <w:t>(3), pp.9-18.</w:t>
      </w:r>
    </w:p>
    <w:p w14:paraId="3D03048F" w14:textId="54774776" w:rsidR="004854E3" w:rsidRPr="004854E3" w:rsidRDefault="004854E3">
      <w:pPr>
        <w:jc w:val="both"/>
        <w:rPr>
          <w:rFonts w:ascii="Tahoma" w:hAnsi="Tahoma" w:cs="Tahoma"/>
        </w:rPr>
      </w:pPr>
      <w:r w:rsidRPr="004854E3">
        <w:rPr>
          <w:rFonts w:ascii="Tahoma" w:hAnsi="Tahoma" w:cs="Tahoma"/>
        </w:rPr>
        <w:t xml:space="preserve">Gutman, L., &amp; Vorhaus, J. (2012) </w:t>
      </w:r>
      <w:r>
        <w:rPr>
          <w:rFonts w:ascii="Tahoma" w:hAnsi="Tahoma" w:cs="Tahoma"/>
        </w:rPr>
        <w:t>‘</w:t>
      </w:r>
      <w:r w:rsidRPr="004854E3">
        <w:rPr>
          <w:rFonts w:ascii="Tahoma" w:hAnsi="Tahoma" w:cs="Tahoma"/>
          <w:i/>
          <w:iCs/>
        </w:rPr>
        <w:t>The Relationship between Children’s Wellbeing and their Educational Outcomes.</w:t>
      </w:r>
      <w:r w:rsidRPr="004854E3">
        <w:rPr>
          <w:rFonts w:ascii="Tahoma" w:hAnsi="Tahoma" w:cs="Tahoma"/>
        </w:rPr>
        <w:t xml:space="preserve"> Institute of Education, University of London. </w:t>
      </w:r>
      <w:r>
        <w:rPr>
          <w:rFonts w:ascii="Tahoma" w:hAnsi="Tahoma" w:cs="Tahoma"/>
        </w:rPr>
        <w:t xml:space="preserve">Available at: </w:t>
      </w:r>
      <w:hyperlink r:id="rId10" w:history="1">
        <w:r w:rsidRPr="00B66D81">
          <w:rPr>
            <w:rStyle w:val="Hyperlink"/>
            <w:rFonts w:ascii="Tahoma" w:hAnsi="Tahoma" w:cs="Tahoma"/>
          </w:rPr>
          <w:t>https://assets.publishing.service.gov.uk/media/5a747ef340f0b604dd7ae609/DFE-RR253.pdf</w:t>
        </w:r>
      </w:hyperlink>
      <w:r>
        <w:rPr>
          <w:rFonts w:ascii="Tahoma" w:hAnsi="Tahoma" w:cs="Tahoma"/>
        </w:rPr>
        <w:t>. [Accessed: 12/01/2025].</w:t>
      </w:r>
    </w:p>
    <w:p w14:paraId="3E36D1E9" w14:textId="50C7A30F" w:rsidR="000C6D8C" w:rsidRDefault="000C6D8C">
      <w:pPr>
        <w:jc w:val="both"/>
        <w:rPr>
          <w:rFonts w:ascii="Tahoma" w:hAnsi="Tahoma" w:cs="Tahoma"/>
        </w:rPr>
      </w:pPr>
      <w:r w:rsidRPr="000C6D8C">
        <w:rPr>
          <w:rFonts w:ascii="Tahoma" w:hAnsi="Tahoma" w:cs="Tahoma"/>
        </w:rPr>
        <w:t xml:space="preserve">Heywood, C. (2013). </w:t>
      </w:r>
      <w:r w:rsidRPr="000C6D8C">
        <w:rPr>
          <w:rFonts w:ascii="Tahoma" w:hAnsi="Tahoma" w:cs="Tahoma"/>
          <w:i/>
          <w:iCs/>
        </w:rPr>
        <w:t>A History of Childhood: Children and Childhood in the West from Medieval to Modern Times</w:t>
      </w:r>
      <w:r w:rsidRPr="000C6D8C">
        <w:rPr>
          <w:rFonts w:ascii="Tahoma" w:hAnsi="Tahoma" w:cs="Tahoma"/>
        </w:rPr>
        <w:t>. Cambridge: Polity Press, pp. 230-235.</w:t>
      </w:r>
    </w:p>
    <w:p w14:paraId="54712389" w14:textId="581FAB90" w:rsidR="00A319B3" w:rsidRDefault="00A319B3">
      <w:pPr>
        <w:jc w:val="both"/>
        <w:rPr>
          <w:rFonts w:ascii="Tahoma" w:hAnsi="Tahoma" w:cs="Tahoma"/>
        </w:rPr>
      </w:pPr>
      <w:r w:rsidRPr="00A319B3">
        <w:rPr>
          <w:rFonts w:ascii="Tahoma" w:hAnsi="Tahoma" w:cs="Tahoma"/>
        </w:rPr>
        <w:t xml:space="preserve">Humphries, J. (2013). 'Childhood and child labour in the British industrial revolution', </w:t>
      </w:r>
      <w:r w:rsidRPr="00A319B3">
        <w:rPr>
          <w:rFonts w:ascii="Tahoma" w:hAnsi="Tahoma" w:cs="Tahoma"/>
          <w:i/>
          <w:iCs/>
        </w:rPr>
        <w:t>Economic History Review</w:t>
      </w:r>
      <w:r w:rsidRPr="00A319B3">
        <w:rPr>
          <w:rFonts w:ascii="Tahoma" w:hAnsi="Tahoma" w:cs="Tahoma"/>
        </w:rPr>
        <w:t>, 66(2), pp. 395-418</w:t>
      </w:r>
    </w:p>
    <w:p w14:paraId="1117E0C8" w14:textId="136D1C22" w:rsidR="00A87F06" w:rsidRDefault="003F609A">
      <w:pPr>
        <w:jc w:val="both"/>
      </w:pPr>
      <w:r>
        <w:rPr>
          <w:rFonts w:ascii="Tahoma" w:hAnsi="Tahoma" w:cs="Tahoma"/>
        </w:rPr>
        <w:t>Jalongo, M.R., 2006. The story of Mary Ellen Wilson: Tracing the origins of child protection in America. </w:t>
      </w:r>
      <w:r>
        <w:rPr>
          <w:rFonts w:ascii="Tahoma" w:hAnsi="Tahoma" w:cs="Tahoma"/>
          <w:i/>
          <w:iCs/>
        </w:rPr>
        <w:t>Early Childhood Education Journal</w:t>
      </w:r>
      <w:r>
        <w:rPr>
          <w:rFonts w:ascii="Tahoma" w:hAnsi="Tahoma" w:cs="Tahoma"/>
        </w:rPr>
        <w:t>, </w:t>
      </w:r>
      <w:r>
        <w:rPr>
          <w:rFonts w:ascii="Tahoma" w:hAnsi="Tahoma" w:cs="Tahoma"/>
          <w:i/>
          <w:iCs/>
        </w:rPr>
        <w:t>34</w:t>
      </w:r>
      <w:r>
        <w:rPr>
          <w:rFonts w:ascii="Tahoma" w:hAnsi="Tahoma" w:cs="Tahoma"/>
        </w:rPr>
        <w:t>, pp.1-4.</w:t>
      </w:r>
    </w:p>
    <w:p w14:paraId="366AEA2D" w14:textId="6B671621" w:rsidR="003537B4" w:rsidRDefault="003537B4" w:rsidP="004249CD">
      <w:pPr>
        <w:rPr>
          <w:rFonts w:ascii="Tahoma" w:hAnsi="Tahoma" w:cs="Tahoma"/>
        </w:rPr>
      </w:pPr>
      <w:r w:rsidRPr="003537B4">
        <w:rPr>
          <w:rFonts w:ascii="Tahoma" w:hAnsi="Tahoma" w:cs="Tahoma"/>
        </w:rPr>
        <w:t xml:space="preserve">Khaw, K. W., Alnoor, A., Tiberius, V., Ganesan, Y. &amp; Atshan, N. A. (2023). 'Reactions towards organizational change: a systematic literature review', </w:t>
      </w:r>
      <w:r w:rsidRPr="003537B4">
        <w:rPr>
          <w:rFonts w:ascii="Tahoma" w:hAnsi="Tahoma" w:cs="Tahoma"/>
          <w:i/>
          <w:iCs/>
        </w:rPr>
        <w:t>Current Psychology</w:t>
      </w:r>
      <w:r w:rsidRPr="003537B4">
        <w:rPr>
          <w:rFonts w:ascii="Tahoma" w:hAnsi="Tahoma" w:cs="Tahoma"/>
        </w:rPr>
        <w:t xml:space="preserve">, 42, pp. 19137–19160. Available at: https://link.springer.com/article/10.1007/s12144-022-03070-6 </w:t>
      </w:r>
      <w:r>
        <w:rPr>
          <w:rFonts w:ascii="Tahoma" w:hAnsi="Tahoma" w:cs="Tahoma"/>
        </w:rPr>
        <w:t>[</w:t>
      </w:r>
      <w:r w:rsidRPr="003537B4">
        <w:rPr>
          <w:rFonts w:ascii="Tahoma" w:hAnsi="Tahoma" w:cs="Tahoma"/>
        </w:rPr>
        <w:t xml:space="preserve">Accessed: </w:t>
      </w:r>
      <w:r>
        <w:rPr>
          <w:rFonts w:ascii="Tahoma" w:hAnsi="Tahoma" w:cs="Tahoma"/>
        </w:rPr>
        <w:t>12/01/2025]</w:t>
      </w:r>
      <w:r w:rsidRPr="003537B4">
        <w:rPr>
          <w:rFonts w:ascii="Tahoma" w:hAnsi="Tahoma" w:cs="Tahoma"/>
        </w:rPr>
        <w:t>.</w:t>
      </w:r>
    </w:p>
    <w:p w14:paraId="3DF167F5" w14:textId="3EA695C4" w:rsidR="00180342" w:rsidRDefault="00180342" w:rsidP="004249CD">
      <w:pPr>
        <w:rPr>
          <w:rFonts w:ascii="Tahoma" w:hAnsi="Tahoma" w:cs="Tahoma"/>
        </w:rPr>
      </w:pPr>
      <w:r w:rsidRPr="00180342">
        <w:rPr>
          <w:rFonts w:ascii="Tahoma" w:hAnsi="Tahoma" w:cs="Tahoma"/>
        </w:rPr>
        <w:t xml:space="preserve">Livingstone, S. &amp; Third, A. (2017). </w:t>
      </w:r>
      <w:r w:rsidRPr="00180342">
        <w:rPr>
          <w:rFonts w:ascii="Tahoma" w:hAnsi="Tahoma" w:cs="Tahoma"/>
          <w:i/>
          <w:iCs/>
        </w:rPr>
        <w:t>Children and Young People’s Rights in the Digital Age: An Emerging Agenda</w:t>
      </w:r>
      <w:r w:rsidRPr="00180342">
        <w:rPr>
          <w:rFonts w:ascii="Tahoma" w:hAnsi="Tahoma" w:cs="Tahoma"/>
        </w:rPr>
        <w:t xml:space="preserve">. New Media &amp; Society, 19(11), pp. 1765-1775. Available at: </w:t>
      </w:r>
      <w:r w:rsidRPr="00180342">
        <w:rPr>
          <w:rFonts w:ascii="Tahoma" w:hAnsi="Tahoma" w:cs="Tahoma"/>
        </w:rPr>
        <w:lastRenderedPageBreak/>
        <w:t>https://eprints.lse.ac.uk/68759/7/Livingstone_Children%20and%20young%20peoples%20rights_2017_author%20LSERO.pdf (Accessed: 19 January 2025).</w:t>
      </w:r>
    </w:p>
    <w:p w14:paraId="53470E31" w14:textId="20462475" w:rsidR="004249CD" w:rsidRPr="004249CD" w:rsidRDefault="004249CD" w:rsidP="004249CD">
      <w:pPr>
        <w:rPr>
          <w:rFonts w:ascii="Tahoma" w:hAnsi="Tahoma" w:cs="Tahoma"/>
        </w:rPr>
      </w:pPr>
      <w:r w:rsidRPr="004249CD">
        <w:rPr>
          <w:rFonts w:ascii="Tahoma" w:hAnsi="Tahoma" w:cs="Tahoma"/>
        </w:rPr>
        <w:t>Local Government Association (2021)</w:t>
      </w:r>
      <w:r w:rsidR="00247630">
        <w:rPr>
          <w:rFonts w:ascii="Tahoma" w:hAnsi="Tahoma" w:cs="Tahoma"/>
        </w:rPr>
        <w:t xml:space="preserve"> ‘</w:t>
      </w:r>
      <w:r w:rsidRPr="004249CD">
        <w:rPr>
          <w:rFonts w:ascii="Tahoma" w:hAnsi="Tahoma" w:cs="Tahoma"/>
          <w:i/>
          <w:iCs/>
        </w:rPr>
        <w:t>Children and young people’s mental health: An independent review into policy success and challenges over the last decade</w:t>
      </w:r>
      <w:r w:rsidR="00247630">
        <w:rPr>
          <w:rFonts w:ascii="Tahoma" w:hAnsi="Tahoma" w:cs="Tahoma"/>
          <w:i/>
          <w:iCs/>
        </w:rPr>
        <w:t>’</w:t>
      </w:r>
      <w:r w:rsidRPr="004249CD">
        <w:rPr>
          <w:rFonts w:ascii="Tahoma" w:hAnsi="Tahoma" w:cs="Tahoma"/>
        </w:rPr>
        <w:t xml:space="preserve">. </w:t>
      </w:r>
      <w:r w:rsidR="00247630">
        <w:rPr>
          <w:rFonts w:ascii="Tahoma" w:hAnsi="Tahoma" w:cs="Tahoma"/>
        </w:rPr>
        <w:t>Available at:</w:t>
      </w:r>
      <w:r w:rsidRPr="004249CD">
        <w:rPr>
          <w:rFonts w:ascii="Tahoma" w:hAnsi="Tahoma" w:cs="Tahoma"/>
        </w:rPr>
        <w:t>https://www.local.gov.uk/publications/children-and-young-peoples-mental-health-independent-review-policy-success-and.</w:t>
      </w:r>
      <w:r w:rsidR="00247630">
        <w:rPr>
          <w:rFonts w:ascii="Tahoma" w:hAnsi="Tahoma" w:cs="Tahoma"/>
        </w:rPr>
        <w:t xml:space="preserve"> [Accessed: 14/01/2025].</w:t>
      </w:r>
    </w:p>
    <w:p w14:paraId="7E3405E9" w14:textId="397FC6D9" w:rsidR="009872B8" w:rsidRDefault="009872B8">
      <w:pPr>
        <w:rPr>
          <w:rFonts w:ascii="Tahoma" w:hAnsi="Tahoma" w:cs="Tahoma"/>
        </w:rPr>
      </w:pPr>
      <w:r w:rsidRPr="009872B8">
        <w:rPr>
          <w:rFonts w:ascii="Tahoma" w:hAnsi="Tahoma" w:cs="Tahoma"/>
        </w:rPr>
        <w:t xml:space="preserve">Lowthian, E., Moore, G., Evans, A., Anthony, R., Rahman, M. A., Daniel, R., Brophy, S., Scourfield, J., Taylor, C., Paranjothy, S. &amp; Long, S. (2024). 'Receipt of social services intervention in childhood, educational attainment and emergency hospital admissions: longitudinal analyses of national administrative health, social care, and education data in Wales, UK', </w:t>
      </w:r>
      <w:r w:rsidRPr="009872B8">
        <w:rPr>
          <w:rFonts w:ascii="Tahoma" w:hAnsi="Tahoma" w:cs="Tahoma"/>
          <w:i/>
          <w:iCs/>
        </w:rPr>
        <w:t>BMC Public Health</w:t>
      </w:r>
      <w:r w:rsidRPr="009872B8">
        <w:rPr>
          <w:rFonts w:ascii="Tahoma" w:hAnsi="Tahoma" w:cs="Tahoma"/>
        </w:rPr>
        <w:t xml:space="preserve">, 24, Article number: 2912. Available at: </w:t>
      </w:r>
      <w:hyperlink r:id="rId11" w:history="1">
        <w:r w:rsidR="00456280" w:rsidRPr="00B66D81">
          <w:rPr>
            <w:rStyle w:val="Hyperlink"/>
            <w:rFonts w:ascii="Tahoma" w:hAnsi="Tahoma" w:cs="Tahoma"/>
          </w:rPr>
          <w:t>https://bmcpublichealth.biomedcentral.com/articles/10.1186/s12889-024-20204-6</w:t>
        </w:r>
      </w:hyperlink>
      <w:r w:rsidRPr="009872B8">
        <w:rPr>
          <w:rFonts w:ascii="Tahoma" w:hAnsi="Tahoma" w:cs="Tahoma"/>
        </w:rPr>
        <w:t xml:space="preserve"> </w:t>
      </w:r>
      <w:r w:rsidR="00456280">
        <w:rPr>
          <w:rFonts w:ascii="Tahoma" w:hAnsi="Tahoma" w:cs="Tahoma"/>
        </w:rPr>
        <w:t>[</w:t>
      </w:r>
      <w:r w:rsidRPr="009872B8">
        <w:rPr>
          <w:rFonts w:ascii="Tahoma" w:hAnsi="Tahoma" w:cs="Tahoma"/>
        </w:rPr>
        <w:t xml:space="preserve">Accessed: </w:t>
      </w:r>
      <w:r w:rsidR="008D51FB">
        <w:rPr>
          <w:rFonts w:ascii="Tahoma" w:hAnsi="Tahoma" w:cs="Tahoma"/>
        </w:rPr>
        <w:t>12/01/</w:t>
      </w:r>
      <w:r w:rsidRPr="009872B8">
        <w:rPr>
          <w:rFonts w:ascii="Tahoma" w:hAnsi="Tahoma" w:cs="Tahoma"/>
        </w:rPr>
        <w:t xml:space="preserve"> 2025</w:t>
      </w:r>
      <w:r w:rsidR="00456280">
        <w:rPr>
          <w:rFonts w:ascii="Tahoma" w:hAnsi="Tahoma" w:cs="Tahoma"/>
        </w:rPr>
        <w:t>]</w:t>
      </w:r>
      <w:r w:rsidRPr="009872B8">
        <w:rPr>
          <w:rFonts w:ascii="Tahoma" w:hAnsi="Tahoma" w:cs="Tahoma"/>
        </w:rPr>
        <w:t>.</w:t>
      </w:r>
    </w:p>
    <w:p w14:paraId="5C171F50" w14:textId="2CD3AEE3" w:rsidR="00A87F06" w:rsidRDefault="003F609A">
      <w:pPr>
        <w:rPr>
          <w:rFonts w:ascii="Tahoma" w:hAnsi="Tahoma" w:cs="Tahoma"/>
        </w:rPr>
      </w:pPr>
      <w:r>
        <w:rPr>
          <w:rFonts w:ascii="Tahoma" w:hAnsi="Tahoma" w:cs="Tahoma"/>
        </w:rPr>
        <w:t>Mind (2025) ‘</w:t>
      </w:r>
      <w:r>
        <w:rPr>
          <w:rFonts w:ascii="Tahoma" w:hAnsi="Tahoma" w:cs="Tahoma"/>
          <w:i/>
          <w:iCs/>
        </w:rPr>
        <w:t>What is the Mental Health Act?</w:t>
      </w:r>
      <w:r>
        <w:rPr>
          <w:rFonts w:ascii="Tahoma" w:hAnsi="Tahoma" w:cs="Tahoma"/>
        </w:rPr>
        <w:t xml:space="preserve">’ Available at: </w:t>
      </w:r>
      <w:hyperlink r:id="rId12" w:history="1">
        <w:r>
          <w:rPr>
            <w:rStyle w:val="Hyperlink"/>
            <w:rFonts w:ascii="Tahoma" w:hAnsi="Tahoma" w:cs="Tahoma"/>
          </w:rPr>
          <w:t>https://www.mind.org.uk/about-us/our-policy-work/mental-health-act-reform/</w:t>
        </w:r>
      </w:hyperlink>
      <w:r>
        <w:rPr>
          <w:rFonts w:ascii="Tahoma" w:hAnsi="Tahoma" w:cs="Tahoma"/>
        </w:rPr>
        <w:t xml:space="preserve"> [Accessed on: 12/01/2025].</w:t>
      </w:r>
    </w:p>
    <w:p w14:paraId="4B5BBE2D" w14:textId="77777777" w:rsidR="00F037D5" w:rsidRDefault="00F037D5">
      <w:pPr>
        <w:rPr>
          <w:rFonts w:ascii="Tahoma" w:hAnsi="Tahoma" w:cs="Tahoma"/>
        </w:rPr>
      </w:pPr>
    </w:p>
    <w:p w14:paraId="031BBD16" w14:textId="77777777" w:rsidR="00F037D5" w:rsidRDefault="00F037D5">
      <w:pPr>
        <w:rPr>
          <w:rFonts w:ascii="Tahoma" w:hAnsi="Tahoma" w:cs="Tahoma"/>
        </w:rPr>
      </w:pPr>
    </w:p>
    <w:p w14:paraId="56F9FD5D" w14:textId="04CDD318" w:rsidR="00F037D5" w:rsidRDefault="00F037D5">
      <w:pPr>
        <w:rPr>
          <w:rFonts w:ascii="Tahoma" w:hAnsi="Tahoma" w:cs="Tahoma"/>
        </w:rPr>
      </w:pPr>
      <w:r w:rsidRPr="00F037D5">
        <w:rPr>
          <w:rFonts w:ascii="Tahoma" w:hAnsi="Tahoma" w:cs="Tahoma"/>
        </w:rPr>
        <w:t xml:space="preserve">Mugambwa, J., Nabeta, I. N., Ngoma, M., Rudaheranwa, N., Kaberuka, W. &amp; Munene, J. C. (2020). 'Enabling Collaborative Governance through Systems Modeling Methods', in </w:t>
      </w:r>
      <w:r w:rsidRPr="00F037D5">
        <w:rPr>
          <w:rFonts w:ascii="Tahoma" w:hAnsi="Tahoma" w:cs="Tahoma"/>
          <w:i/>
          <w:iCs/>
        </w:rPr>
        <w:t>Policy Implementation: A Review of Selected Literature</w:t>
      </w:r>
      <w:r w:rsidRPr="00F037D5">
        <w:rPr>
          <w:rFonts w:ascii="Tahoma" w:hAnsi="Tahoma" w:cs="Tahoma"/>
        </w:rPr>
        <w:t xml:space="preserve">. SpringerLink. Available at: https://link.springer.com/chapter/10.1007/978-3-030-42970-6_5 </w:t>
      </w:r>
      <w:r>
        <w:rPr>
          <w:rFonts w:ascii="Tahoma" w:hAnsi="Tahoma" w:cs="Tahoma"/>
        </w:rPr>
        <w:t>[</w:t>
      </w:r>
      <w:r w:rsidRPr="00F037D5">
        <w:rPr>
          <w:rFonts w:ascii="Tahoma" w:hAnsi="Tahoma" w:cs="Tahoma"/>
        </w:rPr>
        <w:t xml:space="preserve">Accessed: </w:t>
      </w:r>
      <w:r>
        <w:rPr>
          <w:rFonts w:ascii="Tahoma" w:hAnsi="Tahoma" w:cs="Tahoma"/>
        </w:rPr>
        <w:t>12/01/2025]</w:t>
      </w:r>
      <w:r w:rsidRPr="00F037D5">
        <w:rPr>
          <w:rFonts w:ascii="Tahoma" w:hAnsi="Tahoma" w:cs="Tahoma"/>
        </w:rPr>
        <w:t>.</w:t>
      </w:r>
    </w:p>
    <w:p w14:paraId="2B43A1E1" w14:textId="5341DB0B" w:rsidR="00117369" w:rsidRDefault="00117369">
      <w:pPr>
        <w:rPr>
          <w:rFonts w:ascii="Tahoma" w:hAnsi="Tahoma" w:cs="Tahoma"/>
        </w:rPr>
      </w:pPr>
      <w:r w:rsidRPr="00117369">
        <w:rPr>
          <w:rFonts w:ascii="Tahoma" w:hAnsi="Tahoma" w:cs="Tahoma"/>
        </w:rPr>
        <w:t>National Academies of Sciences, Board on Children, Youth, Committee on Fostering Healthy Mental, Behavioral Development Among Children and Youth, 2019. Fostering healthy mental, emotional, and behavioral development in children and youth: A national agenda.</w:t>
      </w:r>
    </w:p>
    <w:p w14:paraId="7E1924EA" w14:textId="77777777" w:rsidR="00A87F06" w:rsidRDefault="003F609A">
      <w:r>
        <w:rPr>
          <w:rFonts w:ascii="Tahoma" w:hAnsi="Tahoma" w:cs="Tahoma"/>
        </w:rPr>
        <w:t>NSPCC (2024) ‘</w:t>
      </w:r>
      <w:r>
        <w:rPr>
          <w:rFonts w:ascii="Tahoma" w:hAnsi="Tahoma" w:cs="Tahoma"/>
          <w:i/>
          <w:iCs/>
        </w:rPr>
        <w:t xml:space="preserve">Child Protection System in Wales’ </w:t>
      </w:r>
      <w:r>
        <w:rPr>
          <w:rFonts w:ascii="Tahoma" w:hAnsi="Tahoma" w:cs="Tahoma"/>
        </w:rPr>
        <w:t>Available at: https://learning.nspcc.org.uk/child-protection-system/wales#:~:text=In%20Wales%2C%20the%20Children%20Act,to%20both%20England%20and%20Wales. [Accessed on: 14/01/2025].</w:t>
      </w:r>
    </w:p>
    <w:p w14:paraId="25AA1195" w14:textId="77777777" w:rsidR="00A87F06" w:rsidRDefault="003F609A">
      <w:r>
        <w:rPr>
          <w:rFonts w:ascii="Tahoma" w:hAnsi="Tahoma" w:cs="Tahoma"/>
        </w:rPr>
        <w:t>Ofcom (2022) ‘</w:t>
      </w:r>
      <w:r>
        <w:rPr>
          <w:rFonts w:ascii="Tahoma" w:hAnsi="Tahoma" w:cs="Tahoma"/>
          <w:i/>
          <w:iCs/>
        </w:rPr>
        <w:t>Children and Parents: Media use and attitude reports’</w:t>
      </w:r>
      <w:r>
        <w:rPr>
          <w:rFonts w:ascii="Tahoma" w:hAnsi="Tahoma" w:cs="Tahoma"/>
        </w:rPr>
        <w:t xml:space="preserve"> Available at: </w:t>
      </w:r>
      <w:hyperlink r:id="rId13" w:history="1">
        <w:r>
          <w:rPr>
            <w:rStyle w:val="Hyperlink"/>
            <w:rFonts w:ascii="Tahoma" w:hAnsi="Tahoma" w:cs="Tahoma"/>
          </w:rPr>
          <w:t>https://www.ofcom.org.uk/siteassets/resources/documents/research-and-data/media-literacy-research/children/childrens-media-use-and-attitudes-2022/childrens-media-use-and-attitudes-report-2022.pdf?v=327686</w:t>
        </w:r>
      </w:hyperlink>
      <w:r>
        <w:rPr>
          <w:rFonts w:ascii="Tahoma" w:hAnsi="Tahoma" w:cs="Tahoma"/>
        </w:rPr>
        <w:t xml:space="preserve"> [Accessed on: 15/01/2025].</w:t>
      </w:r>
    </w:p>
    <w:p w14:paraId="5502E31C" w14:textId="2B78D345" w:rsidR="00696E02" w:rsidRDefault="00696E02">
      <w:pPr>
        <w:jc w:val="both"/>
        <w:rPr>
          <w:rFonts w:ascii="Tahoma" w:hAnsi="Tahoma" w:cs="Tahoma"/>
        </w:rPr>
      </w:pPr>
      <w:r w:rsidRPr="00696E02">
        <w:rPr>
          <w:rFonts w:ascii="Tahoma" w:hAnsi="Tahoma" w:cs="Tahoma"/>
        </w:rPr>
        <w:lastRenderedPageBreak/>
        <w:t>Pecora, P.J., Whittaker, J.K., Barth, R.P., Borja, S. and Vesneski, W., 2018. </w:t>
      </w:r>
      <w:r w:rsidRPr="00696E02">
        <w:rPr>
          <w:rFonts w:ascii="Tahoma" w:hAnsi="Tahoma" w:cs="Tahoma"/>
          <w:i/>
          <w:iCs/>
        </w:rPr>
        <w:t>The child welfare challenge: Policy, practice, and research</w:t>
      </w:r>
      <w:r w:rsidRPr="00696E02">
        <w:rPr>
          <w:rFonts w:ascii="Tahoma" w:hAnsi="Tahoma" w:cs="Tahoma"/>
        </w:rPr>
        <w:t>. Routledge.</w:t>
      </w:r>
    </w:p>
    <w:p w14:paraId="08713C40" w14:textId="6ACF8CF9" w:rsidR="00A87F06" w:rsidRDefault="003F609A">
      <w:pPr>
        <w:jc w:val="both"/>
      </w:pPr>
      <w:r>
        <w:rPr>
          <w:rFonts w:ascii="Tahoma" w:hAnsi="Tahoma" w:cs="Tahoma"/>
        </w:rPr>
        <w:t>Rogoff, B., Dahl, A. and Callanan, M., 2018. The importance of understanding children’s lived experience. </w:t>
      </w:r>
      <w:r>
        <w:rPr>
          <w:rFonts w:ascii="Tahoma" w:hAnsi="Tahoma" w:cs="Tahoma"/>
          <w:i/>
          <w:iCs/>
        </w:rPr>
        <w:t>Developmental Review</w:t>
      </w:r>
      <w:r>
        <w:rPr>
          <w:rFonts w:ascii="Tahoma" w:hAnsi="Tahoma" w:cs="Tahoma"/>
        </w:rPr>
        <w:t>, </w:t>
      </w:r>
      <w:r>
        <w:rPr>
          <w:rFonts w:ascii="Tahoma" w:hAnsi="Tahoma" w:cs="Tahoma"/>
          <w:i/>
          <w:iCs/>
        </w:rPr>
        <w:t>50</w:t>
      </w:r>
      <w:r>
        <w:rPr>
          <w:rFonts w:ascii="Tahoma" w:hAnsi="Tahoma" w:cs="Tahoma"/>
        </w:rPr>
        <w:t>, pp.5-15.</w:t>
      </w:r>
    </w:p>
    <w:p w14:paraId="049A0E89" w14:textId="5DCF1603" w:rsidR="00E06A94" w:rsidRDefault="00E06A94">
      <w:pPr>
        <w:rPr>
          <w:rFonts w:ascii="Tahoma" w:hAnsi="Tahoma" w:cs="Tahoma"/>
        </w:rPr>
      </w:pPr>
      <w:r w:rsidRPr="00E06A94">
        <w:rPr>
          <w:rFonts w:ascii="Tahoma" w:hAnsi="Tahoma" w:cs="Tahoma"/>
        </w:rPr>
        <w:t xml:space="preserve">Social Care Wales (2020). </w:t>
      </w:r>
      <w:r w:rsidRPr="00E06A94">
        <w:rPr>
          <w:rFonts w:ascii="Tahoma" w:hAnsi="Tahoma" w:cs="Tahoma"/>
          <w:i/>
          <w:iCs/>
        </w:rPr>
        <w:t>Wales Safeguarding Procedures</w:t>
      </w:r>
      <w:r w:rsidRPr="00E06A94">
        <w:rPr>
          <w:rFonts w:ascii="Tahoma" w:hAnsi="Tahoma" w:cs="Tahoma"/>
        </w:rPr>
        <w:t>. Available at: https://www.safeguarding.wales/en/ (Accessed: 19 January 2025).</w:t>
      </w:r>
    </w:p>
    <w:p w14:paraId="0D0BB0F8" w14:textId="252C464F" w:rsidR="00A22687" w:rsidRPr="00A22687" w:rsidRDefault="00FD166F">
      <w:pPr>
        <w:rPr>
          <w:rFonts w:ascii="Tahoma" w:hAnsi="Tahoma" w:cs="Tahoma"/>
        </w:rPr>
      </w:pPr>
      <w:r w:rsidRPr="00FD166F">
        <w:rPr>
          <w:rFonts w:ascii="Tahoma" w:hAnsi="Tahoma" w:cs="Tahoma"/>
        </w:rPr>
        <w:t xml:space="preserve">Tisdall, E. K. M. (2015). 'Children's Rights and Children's Wellbeing: Equivalent Policy Concepts?', </w:t>
      </w:r>
      <w:r w:rsidRPr="00FD166F">
        <w:rPr>
          <w:rFonts w:ascii="Tahoma" w:hAnsi="Tahoma" w:cs="Tahoma"/>
          <w:i/>
          <w:iCs/>
        </w:rPr>
        <w:t>Journal of Social Policy</w:t>
      </w:r>
      <w:r w:rsidRPr="00FD166F">
        <w:rPr>
          <w:rFonts w:ascii="Tahoma" w:hAnsi="Tahoma" w:cs="Tahoma"/>
        </w:rPr>
        <w:t xml:space="preserve">, 44(4), pp. 807-823. Available at: </w:t>
      </w:r>
      <w:hyperlink r:id="rId14" w:history="1">
        <w:r w:rsidRPr="00B66D81">
          <w:rPr>
            <w:rStyle w:val="Hyperlink"/>
            <w:rFonts w:ascii="Tahoma" w:hAnsi="Tahoma" w:cs="Tahoma"/>
          </w:rPr>
          <w:t>https://www.cambridge.org/core/journals/journal-of-social-policy/article/abs/childrens-rights-and-childrens-wellbeing-equivalent-policy-concepts/0D1FC782106C97A6CAFE68F821D5BA12</w:t>
        </w:r>
      </w:hyperlink>
      <w:r>
        <w:rPr>
          <w:rFonts w:ascii="Tahoma" w:hAnsi="Tahoma" w:cs="Tahoma"/>
        </w:rPr>
        <w:t xml:space="preserve"> [Accessed: 12[/01/2025].</w:t>
      </w:r>
    </w:p>
    <w:p w14:paraId="556DC468" w14:textId="7DB7BE47" w:rsidR="00A319B3" w:rsidRDefault="00A319B3">
      <w:pPr>
        <w:rPr>
          <w:rFonts w:ascii="Tahoma" w:hAnsi="Tahoma" w:cs="Tahoma"/>
        </w:rPr>
      </w:pPr>
      <w:r w:rsidRPr="00A319B3">
        <w:rPr>
          <w:rFonts w:ascii="Tahoma" w:hAnsi="Tahoma" w:cs="Tahoma"/>
        </w:rPr>
        <w:t>Tuttle, C. (</w:t>
      </w:r>
      <w:proofErr w:type="gramStart"/>
      <w:r w:rsidRPr="00A319B3">
        <w:rPr>
          <w:rFonts w:ascii="Tahoma" w:hAnsi="Tahoma" w:cs="Tahoma"/>
        </w:rPr>
        <w:t>2000</w:t>
      </w:r>
      <w:proofErr w:type="gramEnd"/>
      <w:r w:rsidRPr="00A319B3">
        <w:rPr>
          <w:rFonts w:ascii="Tahoma" w:hAnsi="Tahoma" w:cs="Tahoma"/>
        </w:rPr>
        <w:t xml:space="preserve">). </w:t>
      </w:r>
      <w:r w:rsidRPr="00A319B3">
        <w:rPr>
          <w:rFonts w:ascii="Tahoma" w:hAnsi="Tahoma" w:cs="Tahoma"/>
          <w:i/>
          <w:iCs/>
        </w:rPr>
        <w:t>Hard at Work in Factories and Mines: The Economics of Child Labor During the British Industrial Revolution</w:t>
      </w:r>
      <w:r w:rsidRPr="00A319B3">
        <w:rPr>
          <w:rFonts w:ascii="Tahoma" w:hAnsi="Tahoma" w:cs="Tahoma"/>
        </w:rPr>
        <w:t>. Boulder, Colo.: Westview Press.</w:t>
      </w:r>
    </w:p>
    <w:p w14:paraId="7B2122C9" w14:textId="6F14ABC9" w:rsidR="00A87F06" w:rsidRDefault="003F609A">
      <w:pPr>
        <w:rPr>
          <w:rFonts w:ascii="Tahoma" w:hAnsi="Tahoma" w:cs="Tahoma"/>
        </w:rPr>
      </w:pPr>
      <w:r>
        <w:rPr>
          <w:rFonts w:ascii="Tahoma" w:hAnsi="Tahoma" w:cs="Tahoma"/>
        </w:rPr>
        <w:t>Unicef (2022) ‘</w:t>
      </w:r>
      <w:r>
        <w:rPr>
          <w:rFonts w:ascii="Tahoma" w:hAnsi="Tahoma" w:cs="Tahoma"/>
          <w:i/>
          <w:iCs/>
        </w:rPr>
        <w:t xml:space="preserve">How we Protect Children’s Rights with the UN Convention on the rights of the </w:t>
      </w:r>
      <w:r>
        <w:rPr>
          <w:rFonts w:ascii="Tahoma" w:hAnsi="Tahoma" w:cs="Tahoma"/>
          <w:i/>
          <w:iCs/>
        </w:rPr>
        <w:t xml:space="preserve">child’ </w:t>
      </w:r>
      <w:r>
        <w:rPr>
          <w:rFonts w:ascii="Tahoma" w:hAnsi="Tahoma" w:cs="Tahoma"/>
        </w:rPr>
        <w:t xml:space="preserve">Available at: </w:t>
      </w:r>
      <w:hyperlink r:id="rId15" w:history="1">
        <w:r>
          <w:rPr>
            <w:rStyle w:val="Hyperlink"/>
            <w:rFonts w:ascii="Tahoma" w:hAnsi="Tahoma" w:cs="Tahoma"/>
          </w:rPr>
          <w:t>https://www.unicef.org.uk/what-we-do/un-convention-child-rights/</w:t>
        </w:r>
      </w:hyperlink>
      <w:r>
        <w:rPr>
          <w:rFonts w:ascii="Tahoma" w:hAnsi="Tahoma" w:cs="Tahoma"/>
        </w:rPr>
        <w:t xml:space="preserve"> [Accessed on: 14/01/2025].</w:t>
      </w:r>
    </w:p>
    <w:p w14:paraId="7F2E7362" w14:textId="77777777" w:rsidR="0036537B" w:rsidRPr="0036537B" w:rsidRDefault="0036537B" w:rsidP="0036537B">
      <w:pPr>
        <w:rPr>
          <w:rFonts w:ascii="Tahoma" w:hAnsi="Tahoma" w:cs="Tahoma"/>
        </w:rPr>
      </w:pPr>
      <w:r w:rsidRPr="0036537B">
        <w:rPr>
          <w:rFonts w:ascii="Tahoma" w:hAnsi="Tahoma" w:cs="Tahoma"/>
        </w:rPr>
        <w:t xml:space="preserve">United Nations (1948). </w:t>
      </w:r>
      <w:r w:rsidRPr="0036537B">
        <w:rPr>
          <w:rFonts w:ascii="Tahoma" w:hAnsi="Tahoma" w:cs="Tahoma"/>
          <w:i/>
          <w:iCs/>
        </w:rPr>
        <w:t>Universal Declaration of Human Rights</w:t>
      </w:r>
      <w:r w:rsidRPr="0036537B">
        <w:rPr>
          <w:rFonts w:ascii="Tahoma" w:hAnsi="Tahoma" w:cs="Tahoma"/>
        </w:rPr>
        <w:t>. Available at: https://www.un.org/en/about-us/universal-declaration-of-human-rights (Accessed: 19 January 2025).</w:t>
      </w:r>
    </w:p>
    <w:p w14:paraId="40CE3405" w14:textId="572F713D" w:rsidR="00BA249E" w:rsidRDefault="00BA249E">
      <w:pPr>
        <w:rPr>
          <w:rFonts w:ascii="Tahoma" w:hAnsi="Tahoma" w:cs="Tahoma"/>
        </w:rPr>
      </w:pPr>
      <w:r w:rsidRPr="00BA249E">
        <w:rPr>
          <w:rFonts w:ascii="Tahoma" w:hAnsi="Tahoma" w:cs="Tahoma"/>
        </w:rPr>
        <w:t xml:space="preserve">United Nations (1989). </w:t>
      </w:r>
      <w:r w:rsidRPr="00BA249E">
        <w:rPr>
          <w:rFonts w:ascii="Tahoma" w:hAnsi="Tahoma" w:cs="Tahoma"/>
          <w:i/>
          <w:iCs/>
        </w:rPr>
        <w:t>Convention on the Rights of the Child</w:t>
      </w:r>
      <w:r w:rsidRPr="00BA249E">
        <w:rPr>
          <w:rFonts w:ascii="Tahoma" w:hAnsi="Tahoma" w:cs="Tahoma"/>
        </w:rPr>
        <w:t>. Available at: https://www.ohchr.org/en/instruments-mechanisms/instruments/convention-rights-child (Accessed: 19 January 2025).</w:t>
      </w:r>
    </w:p>
    <w:p w14:paraId="01ABBB9D" w14:textId="41AE7BB5" w:rsidR="004249CD" w:rsidRDefault="002B3DB3">
      <w:pPr>
        <w:rPr>
          <w:rFonts w:ascii="Tahoma" w:hAnsi="Tahoma" w:cs="Tahoma"/>
        </w:rPr>
      </w:pPr>
      <w:r w:rsidRPr="002B3DB3">
        <w:rPr>
          <w:rFonts w:ascii="Tahoma" w:hAnsi="Tahoma" w:cs="Tahoma"/>
        </w:rPr>
        <w:t xml:space="preserve">Weible, C. M., Heikkila, T., deLeon, P., &amp; Sabatier, P. A. (2012) </w:t>
      </w:r>
      <w:r>
        <w:rPr>
          <w:rFonts w:ascii="Tahoma" w:hAnsi="Tahoma" w:cs="Tahoma"/>
        </w:rPr>
        <w:t>‘</w:t>
      </w:r>
      <w:r w:rsidRPr="002B3DB3">
        <w:rPr>
          <w:rFonts w:ascii="Tahoma" w:hAnsi="Tahoma" w:cs="Tahoma"/>
          <w:i/>
          <w:iCs/>
        </w:rPr>
        <w:t>Understanding and influencing the policy process.</w:t>
      </w:r>
      <w:r w:rsidRPr="002B3DB3">
        <w:rPr>
          <w:rFonts w:ascii="Tahoma" w:hAnsi="Tahoma" w:cs="Tahoma"/>
        </w:rPr>
        <w:t xml:space="preserve"> Policy Sciences</w:t>
      </w:r>
      <w:proofErr w:type="gramStart"/>
      <w:r>
        <w:rPr>
          <w:rFonts w:ascii="Tahoma" w:hAnsi="Tahoma" w:cs="Tahoma"/>
        </w:rPr>
        <w:t>’</w:t>
      </w:r>
      <w:r w:rsidRPr="002B3DB3">
        <w:rPr>
          <w:rFonts w:ascii="Tahoma" w:hAnsi="Tahoma" w:cs="Tahoma"/>
        </w:rPr>
        <w:t>,</w:t>
      </w:r>
      <w:proofErr w:type="gramEnd"/>
      <w:r w:rsidRPr="002B3DB3">
        <w:rPr>
          <w:rFonts w:ascii="Tahoma" w:hAnsi="Tahoma" w:cs="Tahoma"/>
        </w:rPr>
        <w:t xml:space="preserve"> 45(1), 1-21. </w:t>
      </w:r>
      <w:r>
        <w:rPr>
          <w:rFonts w:ascii="Tahoma" w:hAnsi="Tahoma" w:cs="Tahoma"/>
        </w:rPr>
        <w:t xml:space="preserve">Available at: </w:t>
      </w:r>
      <w:hyperlink r:id="rId16" w:history="1">
        <w:r w:rsidRPr="00B66D81">
          <w:rPr>
            <w:rStyle w:val="Hyperlink"/>
            <w:rFonts w:ascii="Tahoma" w:hAnsi="Tahoma" w:cs="Tahoma"/>
          </w:rPr>
          <w:t>https://doi.org/10.1007/s11077-011-9143-5</w:t>
        </w:r>
      </w:hyperlink>
      <w:r>
        <w:rPr>
          <w:rFonts w:ascii="Tahoma" w:hAnsi="Tahoma" w:cs="Tahoma"/>
        </w:rPr>
        <w:t xml:space="preserve"> [Accessed: 12/01/2025].</w:t>
      </w:r>
    </w:p>
    <w:p w14:paraId="29F72FE1" w14:textId="77777777" w:rsidR="002B3DB3" w:rsidRDefault="002B3DB3">
      <w:pPr>
        <w:rPr>
          <w:rFonts w:ascii="Tahoma" w:hAnsi="Tahoma" w:cs="Tahoma"/>
        </w:rPr>
      </w:pPr>
    </w:p>
    <w:sectPr w:rsidR="002B3DB3">
      <w:headerReference w:type="default" r:id="rId17"/>
      <w:footerReference w:type="default" r:id="rId18"/>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D510A6" w14:textId="77777777" w:rsidR="003F609A" w:rsidRDefault="003F609A">
      <w:pPr>
        <w:spacing w:after="0" w:line="240" w:lineRule="auto"/>
      </w:pPr>
      <w:r>
        <w:separator/>
      </w:r>
    </w:p>
  </w:endnote>
  <w:endnote w:type="continuationSeparator" w:id="0">
    <w:p w14:paraId="03324502" w14:textId="77777777" w:rsidR="003F609A" w:rsidRDefault="003F60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1784E9" w14:textId="77777777" w:rsidR="003F609A" w:rsidRDefault="003F609A">
    <w:pPr>
      <w:pStyle w:val="Footer"/>
      <w:jc w:val="right"/>
    </w:pPr>
    <w:r>
      <w:fldChar w:fldCharType="begin"/>
    </w:r>
    <w:r>
      <w:instrText xml:space="preserve"> PAGE </w:instrText>
    </w:r>
    <w:r>
      <w:fldChar w:fldCharType="separate"/>
    </w:r>
    <w:r>
      <w:t>2</w:t>
    </w:r>
    <w:r>
      <w:fldChar w:fldCharType="end"/>
    </w:r>
  </w:p>
  <w:p w14:paraId="36529B1D" w14:textId="77777777" w:rsidR="003F609A" w:rsidRDefault="003F60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A54F62" w14:textId="77777777" w:rsidR="003F609A" w:rsidRDefault="003F609A">
      <w:pPr>
        <w:spacing w:after="0" w:line="240" w:lineRule="auto"/>
      </w:pPr>
      <w:r>
        <w:rPr>
          <w:color w:val="000000"/>
        </w:rPr>
        <w:separator/>
      </w:r>
    </w:p>
  </w:footnote>
  <w:footnote w:type="continuationSeparator" w:id="0">
    <w:p w14:paraId="342A8ED9" w14:textId="77777777" w:rsidR="003F609A" w:rsidRDefault="003F60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E00AE9" w14:textId="77777777" w:rsidR="003F609A" w:rsidRDefault="003F609A">
    <w:pPr>
      <w:pStyle w:val="Header"/>
    </w:pPr>
    <w:r>
      <w:t>Karen Llewellyn</w:t>
    </w:r>
    <w:r>
      <w:tab/>
      <w:t>ECEY7002</w:t>
    </w:r>
    <w:r>
      <w:tab/>
      <w:t>Part One</w:t>
    </w:r>
  </w:p>
  <w:p w14:paraId="230F91CB" w14:textId="77777777" w:rsidR="003F609A" w:rsidRDefault="003F60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C3678C"/>
    <w:multiLevelType w:val="multilevel"/>
    <w:tmpl w:val="7D6AC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2804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A87F06"/>
    <w:rsid w:val="0005143A"/>
    <w:rsid w:val="00054AD4"/>
    <w:rsid w:val="000C4C3C"/>
    <w:rsid w:val="000C6D8C"/>
    <w:rsid w:val="00117369"/>
    <w:rsid w:val="00173CDB"/>
    <w:rsid w:val="00180342"/>
    <w:rsid w:val="00192C72"/>
    <w:rsid w:val="001E4C78"/>
    <w:rsid w:val="001E6639"/>
    <w:rsid w:val="00200917"/>
    <w:rsid w:val="00247630"/>
    <w:rsid w:val="002617E9"/>
    <w:rsid w:val="00297AD0"/>
    <w:rsid w:val="002B3DB3"/>
    <w:rsid w:val="002E06DA"/>
    <w:rsid w:val="003537B4"/>
    <w:rsid w:val="0036537B"/>
    <w:rsid w:val="00367173"/>
    <w:rsid w:val="00384E42"/>
    <w:rsid w:val="003F609A"/>
    <w:rsid w:val="004249CD"/>
    <w:rsid w:val="00456280"/>
    <w:rsid w:val="004854E3"/>
    <w:rsid w:val="004E05B2"/>
    <w:rsid w:val="0050649C"/>
    <w:rsid w:val="00517BC5"/>
    <w:rsid w:val="0054222B"/>
    <w:rsid w:val="005D669A"/>
    <w:rsid w:val="00601534"/>
    <w:rsid w:val="006043DC"/>
    <w:rsid w:val="00696E02"/>
    <w:rsid w:val="006E6B76"/>
    <w:rsid w:val="007272F8"/>
    <w:rsid w:val="007C4319"/>
    <w:rsid w:val="008018D6"/>
    <w:rsid w:val="00855264"/>
    <w:rsid w:val="008709DB"/>
    <w:rsid w:val="008D51FB"/>
    <w:rsid w:val="008F4311"/>
    <w:rsid w:val="008F6D9C"/>
    <w:rsid w:val="00955EDA"/>
    <w:rsid w:val="009872B8"/>
    <w:rsid w:val="009D1C17"/>
    <w:rsid w:val="009F7826"/>
    <w:rsid w:val="00A02AA1"/>
    <w:rsid w:val="00A0307D"/>
    <w:rsid w:val="00A105AE"/>
    <w:rsid w:val="00A15FF2"/>
    <w:rsid w:val="00A22687"/>
    <w:rsid w:val="00A24DFC"/>
    <w:rsid w:val="00A319B3"/>
    <w:rsid w:val="00A529F6"/>
    <w:rsid w:val="00A52D58"/>
    <w:rsid w:val="00A747E7"/>
    <w:rsid w:val="00A764D0"/>
    <w:rsid w:val="00A86B94"/>
    <w:rsid w:val="00A87F06"/>
    <w:rsid w:val="00B5695B"/>
    <w:rsid w:val="00B73A69"/>
    <w:rsid w:val="00BA249E"/>
    <w:rsid w:val="00C666D8"/>
    <w:rsid w:val="00C707C6"/>
    <w:rsid w:val="00C743EC"/>
    <w:rsid w:val="00D11036"/>
    <w:rsid w:val="00D73429"/>
    <w:rsid w:val="00D86D33"/>
    <w:rsid w:val="00E06A94"/>
    <w:rsid w:val="00E471F0"/>
    <w:rsid w:val="00F037D5"/>
    <w:rsid w:val="00F25CCC"/>
    <w:rsid w:val="00F45F8E"/>
    <w:rsid w:val="00F70AF8"/>
    <w:rsid w:val="00FB4041"/>
    <w:rsid w:val="00FD1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D074A"/>
  <w15:docId w15:val="{43476249-19B0-4EB3-A605-E80651F4F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NormalWeb">
    <w:name w:val="Normal (Web)"/>
    <w:basedOn w:val="Normal"/>
    <w:uiPriority w:val="99"/>
    <w:rPr>
      <w:rFonts w:ascii="Times New Roman" w:hAnsi="Times New Roman"/>
    </w:rPr>
  </w:style>
  <w:style w:type="character" w:customStyle="1" w:styleId="mx-05">
    <w:name w:val="mx-0.5"/>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946882">
      <w:bodyDiv w:val="1"/>
      <w:marLeft w:val="0"/>
      <w:marRight w:val="0"/>
      <w:marTop w:val="0"/>
      <w:marBottom w:val="0"/>
      <w:divBdr>
        <w:top w:val="none" w:sz="0" w:space="0" w:color="auto"/>
        <w:left w:val="none" w:sz="0" w:space="0" w:color="auto"/>
        <w:bottom w:val="none" w:sz="0" w:space="0" w:color="auto"/>
        <w:right w:val="none" w:sz="0" w:space="0" w:color="auto"/>
      </w:divBdr>
    </w:div>
    <w:div w:id="342512940">
      <w:bodyDiv w:val="1"/>
      <w:marLeft w:val="0"/>
      <w:marRight w:val="0"/>
      <w:marTop w:val="0"/>
      <w:marBottom w:val="0"/>
      <w:divBdr>
        <w:top w:val="none" w:sz="0" w:space="0" w:color="auto"/>
        <w:left w:val="none" w:sz="0" w:space="0" w:color="auto"/>
        <w:bottom w:val="none" w:sz="0" w:space="0" w:color="auto"/>
        <w:right w:val="none" w:sz="0" w:space="0" w:color="auto"/>
      </w:divBdr>
      <w:divsChild>
        <w:div w:id="874392784">
          <w:marLeft w:val="0"/>
          <w:marRight w:val="0"/>
          <w:marTop w:val="0"/>
          <w:marBottom w:val="0"/>
          <w:divBdr>
            <w:top w:val="none" w:sz="0" w:space="0" w:color="auto"/>
            <w:left w:val="none" w:sz="0" w:space="0" w:color="auto"/>
            <w:bottom w:val="none" w:sz="0" w:space="0" w:color="auto"/>
            <w:right w:val="none" w:sz="0" w:space="0" w:color="auto"/>
          </w:divBdr>
          <w:divsChild>
            <w:div w:id="1585989498">
              <w:marLeft w:val="0"/>
              <w:marRight w:val="0"/>
              <w:marTop w:val="0"/>
              <w:marBottom w:val="0"/>
              <w:divBdr>
                <w:top w:val="none" w:sz="0" w:space="0" w:color="auto"/>
                <w:left w:val="none" w:sz="0" w:space="0" w:color="auto"/>
                <w:bottom w:val="none" w:sz="0" w:space="0" w:color="auto"/>
                <w:right w:val="none" w:sz="0" w:space="0" w:color="auto"/>
              </w:divBdr>
              <w:divsChild>
                <w:div w:id="172171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213854">
          <w:marLeft w:val="0"/>
          <w:marRight w:val="0"/>
          <w:marTop w:val="0"/>
          <w:marBottom w:val="0"/>
          <w:divBdr>
            <w:top w:val="none" w:sz="0" w:space="0" w:color="auto"/>
            <w:left w:val="none" w:sz="0" w:space="0" w:color="auto"/>
            <w:bottom w:val="none" w:sz="0" w:space="0" w:color="auto"/>
            <w:right w:val="none" w:sz="0" w:space="0" w:color="auto"/>
          </w:divBdr>
          <w:divsChild>
            <w:div w:id="99873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408436">
      <w:bodyDiv w:val="1"/>
      <w:marLeft w:val="0"/>
      <w:marRight w:val="0"/>
      <w:marTop w:val="0"/>
      <w:marBottom w:val="0"/>
      <w:divBdr>
        <w:top w:val="none" w:sz="0" w:space="0" w:color="auto"/>
        <w:left w:val="none" w:sz="0" w:space="0" w:color="auto"/>
        <w:bottom w:val="none" w:sz="0" w:space="0" w:color="auto"/>
        <w:right w:val="none" w:sz="0" w:space="0" w:color="auto"/>
      </w:divBdr>
      <w:divsChild>
        <w:div w:id="1322657805">
          <w:marLeft w:val="0"/>
          <w:marRight w:val="0"/>
          <w:marTop w:val="0"/>
          <w:marBottom w:val="0"/>
          <w:divBdr>
            <w:top w:val="none" w:sz="0" w:space="0" w:color="auto"/>
            <w:left w:val="none" w:sz="0" w:space="0" w:color="auto"/>
            <w:bottom w:val="none" w:sz="0" w:space="0" w:color="auto"/>
            <w:right w:val="none" w:sz="0" w:space="0" w:color="auto"/>
          </w:divBdr>
          <w:divsChild>
            <w:div w:id="2042902030">
              <w:marLeft w:val="0"/>
              <w:marRight w:val="0"/>
              <w:marTop w:val="0"/>
              <w:marBottom w:val="0"/>
              <w:divBdr>
                <w:top w:val="none" w:sz="0" w:space="0" w:color="auto"/>
                <w:left w:val="none" w:sz="0" w:space="0" w:color="auto"/>
                <w:bottom w:val="none" w:sz="0" w:space="0" w:color="auto"/>
                <w:right w:val="none" w:sz="0" w:space="0" w:color="auto"/>
              </w:divBdr>
              <w:divsChild>
                <w:div w:id="203410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115518">
          <w:marLeft w:val="0"/>
          <w:marRight w:val="0"/>
          <w:marTop w:val="0"/>
          <w:marBottom w:val="0"/>
          <w:divBdr>
            <w:top w:val="none" w:sz="0" w:space="0" w:color="auto"/>
            <w:left w:val="none" w:sz="0" w:space="0" w:color="auto"/>
            <w:bottom w:val="none" w:sz="0" w:space="0" w:color="auto"/>
            <w:right w:val="none" w:sz="0" w:space="0" w:color="auto"/>
          </w:divBdr>
          <w:divsChild>
            <w:div w:id="212831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617726">
      <w:bodyDiv w:val="1"/>
      <w:marLeft w:val="0"/>
      <w:marRight w:val="0"/>
      <w:marTop w:val="0"/>
      <w:marBottom w:val="0"/>
      <w:divBdr>
        <w:top w:val="none" w:sz="0" w:space="0" w:color="auto"/>
        <w:left w:val="none" w:sz="0" w:space="0" w:color="auto"/>
        <w:bottom w:val="none" w:sz="0" w:space="0" w:color="auto"/>
        <w:right w:val="none" w:sz="0" w:space="0" w:color="auto"/>
      </w:divBdr>
      <w:divsChild>
        <w:div w:id="1122578069">
          <w:marLeft w:val="0"/>
          <w:marRight w:val="0"/>
          <w:marTop w:val="0"/>
          <w:marBottom w:val="0"/>
          <w:divBdr>
            <w:top w:val="none" w:sz="0" w:space="0" w:color="auto"/>
            <w:left w:val="none" w:sz="0" w:space="0" w:color="auto"/>
            <w:bottom w:val="none" w:sz="0" w:space="0" w:color="auto"/>
            <w:right w:val="none" w:sz="0" w:space="0" w:color="auto"/>
          </w:divBdr>
          <w:divsChild>
            <w:div w:id="488667403">
              <w:marLeft w:val="0"/>
              <w:marRight w:val="0"/>
              <w:marTop w:val="0"/>
              <w:marBottom w:val="0"/>
              <w:divBdr>
                <w:top w:val="none" w:sz="0" w:space="0" w:color="auto"/>
                <w:left w:val="none" w:sz="0" w:space="0" w:color="auto"/>
                <w:bottom w:val="none" w:sz="0" w:space="0" w:color="auto"/>
                <w:right w:val="none" w:sz="0" w:space="0" w:color="auto"/>
              </w:divBdr>
              <w:divsChild>
                <w:div w:id="1554006051">
                  <w:marLeft w:val="0"/>
                  <w:marRight w:val="0"/>
                  <w:marTop w:val="0"/>
                  <w:marBottom w:val="0"/>
                  <w:divBdr>
                    <w:top w:val="none" w:sz="0" w:space="0" w:color="auto"/>
                    <w:left w:val="none" w:sz="0" w:space="0" w:color="auto"/>
                    <w:bottom w:val="none" w:sz="0" w:space="0" w:color="auto"/>
                    <w:right w:val="none" w:sz="0" w:space="0" w:color="auto"/>
                  </w:divBdr>
                  <w:divsChild>
                    <w:div w:id="2026321456">
                      <w:marLeft w:val="0"/>
                      <w:marRight w:val="0"/>
                      <w:marTop w:val="0"/>
                      <w:marBottom w:val="0"/>
                      <w:divBdr>
                        <w:top w:val="none" w:sz="0" w:space="0" w:color="auto"/>
                        <w:left w:val="none" w:sz="0" w:space="0" w:color="auto"/>
                        <w:bottom w:val="none" w:sz="0" w:space="0" w:color="auto"/>
                        <w:right w:val="none" w:sz="0" w:space="0" w:color="auto"/>
                      </w:divBdr>
                      <w:divsChild>
                        <w:div w:id="1063258082">
                          <w:marLeft w:val="0"/>
                          <w:marRight w:val="0"/>
                          <w:marTop w:val="0"/>
                          <w:marBottom w:val="0"/>
                          <w:divBdr>
                            <w:top w:val="none" w:sz="0" w:space="0" w:color="auto"/>
                            <w:left w:val="none" w:sz="0" w:space="0" w:color="auto"/>
                            <w:bottom w:val="none" w:sz="0" w:space="0" w:color="auto"/>
                            <w:right w:val="none" w:sz="0" w:space="0" w:color="auto"/>
                          </w:divBdr>
                          <w:divsChild>
                            <w:div w:id="81121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5164852">
      <w:bodyDiv w:val="1"/>
      <w:marLeft w:val="0"/>
      <w:marRight w:val="0"/>
      <w:marTop w:val="0"/>
      <w:marBottom w:val="0"/>
      <w:divBdr>
        <w:top w:val="none" w:sz="0" w:space="0" w:color="auto"/>
        <w:left w:val="none" w:sz="0" w:space="0" w:color="auto"/>
        <w:bottom w:val="none" w:sz="0" w:space="0" w:color="auto"/>
        <w:right w:val="none" w:sz="0" w:space="0" w:color="auto"/>
      </w:divBdr>
    </w:div>
    <w:div w:id="1229458303">
      <w:bodyDiv w:val="1"/>
      <w:marLeft w:val="0"/>
      <w:marRight w:val="0"/>
      <w:marTop w:val="0"/>
      <w:marBottom w:val="0"/>
      <w:divBdr>
        <w:top w:val="none" w:sz="0" w:space="0" w:color="auto"/>
        <w:left w:val="none" w:sz="0" w:space="0" w:color="auto"/>
        <w:bottom w:val="none" w:sz="0" w:space="0" w:color="auto"/>
        <w:right w:val="none" w:sz="0" w:space="0" w:color="auto"/>
      </w:divBdr>
      <w:divsChild>
        <w:div w:id="1129587202">
          <w:marLeft w:val="0"/>
          <w:marRight w:val="0"/>
          <w:marTop w:val="0"/>
          <w:marBottom w:val="0"/>
          <w:divBdr>
            <w:top w:val="none" w:sz="0" w:space="0" w:color="auto"/>
            <w:left w:val="none" w:sz="0" w:space="0" w:color="auto"/>
            <w:bottom w:val="none" w:sz="0" w:space="0" w:color="auto"/>
            <w:right w:val="none" w:sz="0" w:space="0" w:color="auto"/>
          </w:divBdr>
          <w:divsChild>
            <w:div w:id="201983518">
              <w:marLeft w:val="0"/>
              <w:marRight w:val="0"/>
              <w:marTop w:val="0"/>
              <w:marBottom w:val="0"/>
              <w:divBdr>
                <w:top w:val="none" w:sz="0" w:space="0" w:color="auto"/>
                <w:left w:val="none" w:sz="0" w:space="0" w:color="auto"/>
                <w:bottom w:val="none" w:sz="0" w:space="0" w:color="auto"/>
                <w:right w:val="none" w:sz="0" w:space="0" w:color="auto"/>
              </w:divBdr>
              <w:divsChild>
                <w:div w:id="1524247172">
                  <w:marLeft w:val="0"/>
                  <w:marRight w:val="0"/>
                  <w:marTop w:val="0"/>
                  <w:marBottom w:val="0"/>
                  <w:divBdr>
                    <w:top w:val="none" w:sz="0" w:space="0" w:color="auto"/>
                    <w:left w:val="none" w:sz="0" w:space="0" w:color="auto"/>
                    <w:bottom w:val="none" w:sz="0" w:space="0" w:color="auto"/>
                    <w:right w:val="none" w:sz="0" w:space="0" w:color="auto"/>
                  </w:divBdr>
                  <w:divsChild>
                    <w:div w:id="112091125">
                      <w:marLeft w:val="0"/>
                      <w:marRight w:val="0"/>
                      <w:marTop w:val="0"/>
                      <w:marBottom w:val="0"/>
                      <w:divBdr>
                        <w:top w:val="none" w:sz="0" w:space="0" w:color="auto"/>
                        <w:left w:val="none" w:sz="0" w:space="0" w:color="auto"/>
                        <w:bottom w:val="none" w:sz="0" w:space="0" w:color="auto"/>
                        <w:right w:val="none" w:sz="0" w:space="0" w:color="auto"/>
                      </w:divBdr>
                      <w:divsChild>
                        <w:div w:id="490800939">
                          <w:marLeft w:val="0"/>
                          <w:marRight w:val="0"/>
                          <w:marTop w:val="0"/>
                          <w:marBottom w:val="0"/>
                          <w:divBdr>
                            <w:top w:val="none" w:sz="0" w:space="0" w:color="auto"/>
                            <w:left w:val="none" w:sz="0" w:space="0" w:color="auto"/>
                            <w:bottom w:val="none" w:sz="0" w:space="0" w:color="auto"/>
                            <w:right w:val="none" w:sz="0" w:space="0" w:color="auto"/>
                          </w:divBdr>
                          <w:divsChild>
                            <w:div w:id="7308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outhernusa.salvationarmy.org/ala-lou-mis/news/catherine-booth-the-mother-of-the-salvation-army/#:~:text=Catherine%20was%20pivotal%20in%20shaping,her%20advocacy%20for%20women's%20rights" TargetMode="External"/><Relationship Id="rId13" Type="http://schemas.openxmlformats.org/officeDocument/2006/relationships/hyperlink" Target="https://www.ofcom.org.uk/siteassets/resources/documents/research-and-data/media-literacy-research/children/childrens-media-use-and-attitudes-2022/childrens-media-use-and-attitudes-report-2022.pdf?v=327686"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outhernusa.salvationarmy.org/ala-lou-mis/" TargetMode="External"/><Relationship Id="rId12" Type="http://schemas.openxmlformats.org/officeDocument/2006/relationships/hyperlink" Target="https://www.mind.org.uk/about-us/our-policy-work/mental-health-act-refor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oi.org/10.1007/s11077-011-9143-5"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mcpublichealth.biomedcentral.com/articles/10.1186/s12889-024-20204-6" TargetMode="External"/><Relationship Id="rId5" Type="http://schemas.openxmlformats.org/officeDocument/2006/relationships/footnotes" Target="footnotes.xml"/><Relationship Id="rId15" Type="http://schemas.openxmlformats.org/officeDocument/2006/relationships/hyperlink" Target="https://www.unicef.org.uk/what-we-do/un-convention-child-rights/" TargetMode="External"/><Relationship Id="rId10" Type="http://schemas.openxmlformats.org/officeDocument/2006/relationships/hyperlink" Target="https://assets.publishing.service.gov.uk/media/5a747ef340f0b604dd7ae609/DFE-RR253.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qualityhumanrights.com/sites/default/files/11706_ehrc_executive_summary_report_english_accessi_1.2.pdf" TargetMode="External"/><Relationship Id="rId14" Type="http://schemas.openxmlformats.org/officeDocument/2006/relationships/hyperlink" Target="https://www.cambridge.org/core/journals/journal-of-social-policy/article/abs/childrens-rights-and-childrens-wellbeing-equivalent-policy-concepts/0D1FC782106C97A6CAFE68F821D5BA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5552</Words>
  <Characters>31649</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llewellyn</dc:creator>
  <dc:description/>
  <cp:lastModifiedBy>karen llewellyn</cp:lastModifiedBy>
  <cp:revision>2</cp:revision>
  <dcterms:created xsi:type="dcterms:W3CDTF">2025-01-19T22:25:00Z</dcterms:created>
  <dcterms:modified xsi:type="dcterms:W3CDTF">2025-01-19T22:25:00Z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37e60344ec890b99e2c9fa79f1e2c1ec4a578d98b4debb43d846883bcbe502ec</vt:lpwstr>
  </property>
</Properties>
</file>