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C3757" w14:textId="77777777" w:rsidR="00043028" w:rsidRPr="00043028" w:rsidRDefault="00043028" w:rsidP="00043028">
      <w:pPr>
        <w:rPr>
          <w:b/>
          <w:bCs/>
        </w:rPr>
      </w:pPr>
      <w:r w:rsidRPr="00043028">
        <w:rPr>
          <w:b/>
          <w:bCs/>
        </w:rPr>
        <w:t>National Health Service Pharmacy Services: Development, Contemporary Practice, and Impact on Quality of Life</w:t>
      </w:r>
    </w:p>
    <w:p w14:paraId="4183E62A" w14:textId="77777777" w:rsidR="00043028" w:rsidRPr="00043028" w:rsidRDefault="00043028" w:rsidP="00043028">
      <w:r w:rsidRPr="00043028">
        <w:t>Pharmacy services are a fundamental pillar of healthcare delivery in the United Kingdom, ensuring safe access to medicines and providing clinical expertise in their use. Operating within the framework of the National Health Service (NHS), pharmacists contribute to patient safety, public health, and long-term condition management. The profession has evolved significantly from its historical roots, shaped by scientific progress, regulatory reform, and increasing demand for accessible healthcare. This essay explores the origins of pharmacy services, critically evaluates their modern function, and discusses their significance in enhancing service users’ quality of life.</w:t>
      </w:r>
    </w:p>
    <w:p w14:paraId="7C219FC3" w14:textId="77777777" w:rsidR="00043028" w:rsidRPr="00043028" w:rsidRDefault="00043028" w:rsidP="00043028">
      <w:pPr>
        <w:rPr>
          <w:b/>
          <w:bCs/>
        </w:rPr>
      </w:pPr>
      <w:r w:rsidRPr="00043028">
        <w:rPr>
          <w:b/>
          <w:bCs/>
        </w:rPr>
        <w:t>Historical Origins and Context</w:t>
      </w:r>
    </w:p>
    <w:p w14:paraId="30FAF91F" w14:textId="77777777" w:rsidR="00043028" w:rsidRPr="00043028" w:rsidRDefault="00043028" w:rsidP="00043028">
      <w:r w:rsidRPr="00043028">
        <w:t>The professionalisation of pharmacy in Britain accelerated during the nineteenth century. The establishment of the Royal Pharmaceutical Society (RPS) in 1841 marked a turning point in regulating standards of education and ethical practice. This reflected broader public health concerns during the Industrial Revolution, when urbanisation and industrial labour increased demand for safe, standardised medicines.</w:t>
      </w:r>
    </w:p>
    <w:p w14:paraId="2733E8B7" w14:textId="77777777" w:rsidR="00043028" w:rsidRPr="00043028" w:rsidRDefault="00043028" w:rsidP="00043028">
      <w:r w:rsidRPr="00043028">
        <w:t>Initially, pharmacists (formerly apothecaries) compounded medicines manually. However, the rise of industrial pharmaceutical manufacturing in the late nineteenth and early twentieth centuries shifted their role from preparation to dispensing and quality assurance (Anderson, 2005). The creation of the NHS in 1948 further transformed pharmacy services by embedding them within a universal healthcare system, ensuring equitable access to prescribed medicines (Bellingham, 2009).</w:t>
      </w:r>
    </w:p>
    <w:p w14:paraId="0D736EC7" w14:textId="77777777" w:rsidR="00043028" w:rsidRPr="00043028" w:rsidRDefault="00043028" w:rsidP="00043028">
      <w:r w:rsidRPr="00043028">
        <w:t>By the late twentieth century, the concept of “pharmaceutical care” redefined the pharmacist’s role as patient-centred rather than product-centred. Hepler and Strand (1990) argued that pharmacists should take responsibility for optimising medication outcomes, a philosophy that continues to shape modern practice.</w:t>
      </w:r>
    </w:p>
    <w:p w14:paraId="206D87E9" w14:textId="77777777" w:rsidR="00043028" w:rsidRPr="00043028" w:rsidRDefault="00043028" w:rsidP="00043028">
      <w:pPr>
        <w:rPr>
          <w:b/>
          <w:bCs/>
        </w:rPr>
      </w:pPr>
      <w:r w:rsidRPr="00043028">
        <w:rPr>
          <w:b/>
          <w:bCs/>
        </w:rPr>
        <w:t>How Pharmacy Services Function Today</w:t>
      </w:r>
    </w:p>
    <w:p w14:paraId="2503B14A" w14:textId="77777777" w:rsidR="00043028" w:rsidRPr="00043028" w:rsidRDefault="00043028" w:rsidP="00043028">
      <w:r w:rsidRPr="00043028">
        <w:t>Today, pharmacy services operate across community, hospital, and primary care settings. Community pharmacies dispense prescriptions, provide over-the-counter advice, and deliver clinical services such as vaccinations and health screenings. Hospital pharmacists collaborate within multidisciplinary teams to ensure safe prescribing and reduce medication errors. Increasing numbers of pharmacists are qualified as independent prescribers, enhancing their clinical autonomy.</w:t>
      </w:r>
    </w:p>
    <w:p w14:paraId="19B52DD7" w14:textId="77777777" w:rsidR="00043028" w:rsidRPr="00043028" w:rsidRDefault="00043028" w:rsidP="00043028">
      <w:r w:rsidRPr="00043028">
        <w:t xml:space="preserve">A major strength of modern pharmacy practice is medicines optimisation—ensuring that patients receive the right medicine, at the right dose, with minimal harm. The RPS (2013) highlights that structured medication reviews can significantly improve adherence and clinical outcomes. Furthermore, adverse drug reactions account for a </w:t>
      </w:r>
      <w:r w:rsidRPr="00043028">
        <w:lastRenderedPageBreak/>
        <w:t>notable proportion of hospital admissions, particularly among older adults (</w:t>
      </w:r>
      <w:proofErr w:type="spellStart"/>
      <w:r w:rsidRPr="00043028">
        <w:t>Pirmohamed</w:t>
      </w:r>
      <w:proofErr w:type="spellEnd"/>
      <w:r w:rsidRPr="00043028">
        <w:t xml:space="preserve"> et al., 2004). Pharmacists play a crucial role in mitigating these risks through patient counselling and prescription monitoring.</w:t>
      </w:r>
    </w:p>
    <w:p w14:paraId="56AC4F4B" w14:textId="77777777" w:rsidR="00043028" w:rsidRPr="00043028" w:rsidRDefault="00043028" w:rsidP="00043028">
      <w:r w:rsidRPr="00043028">
        <w:t xml:space="preserve">However, challenges persist. Rising prescription volumes, funding pressures, and workforce shortages strain community pharmacies. Public awareness of </w:t>
      </w:r>
      <w:proofErr w:type="gramStart"/>
      <w:r w:rsidRPr="00043028">
        <w:t>pharmacists’</w:t>
      </w:r>
      <w:proofErr w:type="gramEnd"/>
      <w:r w:rsidRPr="00043028">
        <w:t xml:space="preserve"> expanded clinical capabilities remains limited, potentially underutilising their expertise. Additionally, medicine supply chain disruptions can compromise service efficiency. Despite these concerns, policy initiatives such as the NHS Long Term Plan emphasise expanding pharmacists’ roles in primary care to reduce GP workload and improve access (NHS England, 2019).</w:t>
      </w:r>
    </w:p>
    <w:p w14:paraId="2B6AE74F" w14:textId="77777777" w:rsidR="00043028" w:rsidRPr="00043028" w:rsidRDefault="00043028" w:rsidP="00043028">
      <w:r w:rsidRPr="00043028">
        <w:t>Technological developments, including electronic prescribing and shared care records, have enhanced safety and coordination. Nevertheless, maintaining patient-centred communication amidst increasing workload remains an ongoing concern.</w:t>
      </w:r>
    </w:p>
    <w:p w14:paraId="3F388D3A" w14:textId="77777777" w:rsidR="00043028" w:rsidRPr="00043028" w:rsidRDefault="00043028" w:rsidP="00043028">
      <w:pPr>
        <w:rPr>
          <w:b/>
          <w:bCs/>
        </w:rPr>
      </w:pPr>
      <w:r w:rsidRPr="00043028">
        <w:rPr>
          <w:b/>
          <w:bCs/>
        </w:rPr>
        <w:t>Significance in Enhancing Quality of Life</w:t>
      </w:r>
    </w:p>
    <w:p w14:paraId="778EC781" w14:textId="77777777" w:rsidR="00043028" w:rsidRPr="00043028" w:rsidRDefault="00043028" w:rsidP="00043028">
      <w:r w:rsidRPr="00043028">
        <w:t>Pharmacy services significantly enhance quality of life by promoting safe, effective, and accessible healthcare. Effective medication management supports individuals living with chronic illnesses such as hypertension, asthma, and diabetes, reducing complications and hospital admissions (Holloway &amp; van Dijk, 2011). By improving adherence and minimising harm, pharmacists contribute directly to prolonged independence and wellbeing.</w:t>
      </w:r>
    </w:p>
    <w:p w14:paraId="3B888D1C" w14:textId="77777777" w:rsidR="00043028" w:rsidRPr="00043028" w:rsidRDefault="00043028" w:rsidP="00043028">
      <w:r w:rsidRPr="00043028">
        <w:t>Community pharmacies are often located within neighbourhood settings, making them highly accessible. This accessibility reduces health inequalities by providing timely advice without appointments. Services such as smoking cessation, vaccination programmes, and weight management interventions further strengthen public health outcomes.</w:t>
      </w:r>
    </w:p>
    <w:p w14:paraId="009A3EB9" w14:textId="77777777" w:rsidR="00043028" w:rsidRPr="00043028" w:rsidRDefault="00043028" w:rsidP="00043028">
      <w:r w:rsidRPr="00043028">
        <w:t>Moreover, pharmacists empower patients through education. Clear explanations regarding side effects, interactions, and correct usage foster confidence and autonomy. For elderly patients managing multiple medications, personalised medication reviews can prevent confusion and enhance safety. In this way, pharmacy services extend beyond dispensing to holistic patient support.</w:t>
      </w:r>
    </w:p>
    <w:p w14:paraId="3864E0A0" w14:textId="77777777" w:rsidR="00043028" w:rsidRPr="00043028" w:rsidRDefault="00043028" w:rsidP="00043028">
      <w:pPr>
        <w:rPr>
          <w:b/>
          <w:bCs/>
        </w:rPr>
      </w:pPr>
      <w:r w:rsidRPr="00043028">
        <w:rPr>
          <w:b/>
          <w:bCs/>
        </w:rPr>
        <w:t>Conclusion</w:t>
      </w:r>
    </w:p>
    <w:p w14:paraId="110A346B" w14:textId="77777777" w:rsidR="00043028" w:rsidRPr="00043028" w:rsidRDefault="00043028" w:rsidP="00043028">
      <w:r w:rsidRPr="00043028">
        <w:t xml:space="preserve">Pharmacy services have evolved from traditional compounding practices to a clinically focused profession embedded within the NHS. Influenced by regulatory reform, pharmaceutical innovation, and patient-centred care models, pharmacists now play a vital role in medicines optimisation and public health. Despite workforce and funding challenges, their contribution to reducing medication-related harm and improving chronic disease management is substantial. Ultimately, pharmacy services enhance </w:t>
      </w:r>
      <w:r w:rsidRPr="00043028">
        <w:lastRenderedPageBreak/>
        <w:t>quality of life by ensuring safe access to medicines, promoting informed self-management, and strengthening community-based healthcare provision.</w:t>
      </w:r>
    </w:p>
    <w:p w14:paraId="4F89A717" w14:textId="77777777" w:rsidR="00043028" w:rsidRPr="00043028" w:rsidRDefault="00043028" w:rsidP="00043028">
      <w:r w:rsidRPr="00043028">
        <w:pict w14:anchorId="53A78167">
          <v:rect id="_x0000_i1031" style="width:0;height:1.5pt" o:hralign="center" o:hrstd="t" o:hr="t" fillcolor="#a0a0a0" stroked="f"/>
        </w:pict>
      </w:r>
    </w:p>
    <w:p w14:paraId="6EDBFC5D" w14:textId="77777777" w:rsidR="00043028" w:rsidRPr="00043028" w:rsidRDefault="00043028" w:rsidP="00043028">
      <w:pPr>
        <w:rPr>
          <w:b/>
          <w:bCs/>
        </w:rPr>
      </w:pPr>
      <w:r w:rsidRPr="00043028">
        <w:rPr>
          <w:b/>
          <w:bCs/>
        </w:rPr>
        <w:t>References</w:t>
      </w:r>
    </w:p>
    <w:p w14:paraId="086D61EB" w14:textId="77777777" w:rsidR="00043028" w:rsidRPr="00043028" w:rsidRDefault="00043028" w:rsidP="00043028">
      <w:r w:rsidRPr="00043028">
        <w:t xml:space="preserve">Anderson, S. (2005) ‘The state of the world’s pharmacy: a portrait of the pharmacy profession’, </w:t>
      </w:r>
      <w:r w:rsidRPr="00043028">
        <w:rPr>
          <w:i/>
          <w:iCs/>
        </w:rPr>
        <w:t>Journal of Interprofessional Care</w:t>
      </w:r>
      <w:r w:rsidRPr="00043028">
        <w:t>, 19(1), pp. 5–15.</w:t>
      </w:r>
    </w:p>
    <w:p w14:paraId="675217A9" w14:textId="77777777" w:rsidR="00043028" w:rsidRPr="00043028" w:rsidRDefault="00043028" w:rsidP="00043028">
      <w:r w:rsidRPr="00043028">
        <w:t xml:space="preserve">Bellingham, C. (2009) </w:t>
      </w:r>
      <w:r w:rsidRPr="00043028">
        <w:rPr>
          <w:i/>
          <w:iCs/>
        </w:rPr>
        <w:t>Pharmacy and the NHS: A Historical Perspective</w:t>
      </w:r>
      <w:r w:rsidRPr="00043028">
        <w:t>. London: Pharmaceutical Press.</w:t>
      </w:r>
    </w:p>
    <w:p w14:paraId="53629D70" w14:textId="77777777" w:rsidR="00043028" w:rsidRPr="00043028" w:rsidRDefault="00043028" w:rsidP="00043028">
      <w:r w:rsidRPr="00043028">
        <w:t xml:space="preserve">Hepler, C.D. and Strand, L.M. (1990) ‘Opportunities and responsibilities in pharmaceutical care’, </w:t>
      </w:r>
      <w:r w:rsidRPr="00043028">
        <w:rPr>
          <w:i/>
          <w:iCs/>
        </w:rPr>
        <w:t>American Journal of Hospital Pharmacy</w:t>
      </w:r>
      <w:r w:rsidRPr="00043028">
        <w:t>, 47(3), pp. 533–543.</w:t>
      </w:r>
    </w:p>
    <w:p w14:paraId="093EB2E0" w14:textId="77777777" w:rsidR="00043028" w:rsidRPr="00043028" w:rsidRDefault="00043028" w:rsidP="00043028">
      <w:r w:rsidRPr="00043028">
        <w:t xml:space="preserve">Holloway, K. and van Dijk, L. (2011) </w:t>
      </w:r>
      <w:r w:rsidRPr="00043028">
        <w:rPr>
          <w:i/>
          <w:iCs/>
        </w:rPr>
        <w:t>The World Medicines Situation 2011: Rational Use of Medicines</w:t>
      </w:r>
      <w:r w:rsidRPr="00043028">
        <w:t>. Geneva: World Health Organization.</w:t>
      </w:r>
    </w:p>
    <w:p w14:paraId="4560DF0A" w14:textId="77777777" w:rsidR="00043028" w:rsidRPr="00043028" w:rsidRDefault="00043028" w:rsidP="00043028">
      <w:r w:rsidRPr="00043028">
        <w:t xml:space="preserve">NHS England (2019) </w:t>
      </w:r>
      <w:r w:rsidRPr="00043028">
        <w:rPr>
          <w:i/>
          <w:iCs/>
        </w:rPr>
        <w:t>The NHS Long Term Plan</w:t>
      </w:r>
      <w:r w:rsidRPr="00043028">
        <w:t>. London: NHS England.</w:t>
      </w:r>
    </w:p>
    <w:p w14:paraId="30596E28" w14:textId="77777777" w:rsidR="00043028" w:rsidRPr="00043028" w:rsidRDefault="00043028" w:rsidP="00043028">
      <w:proofErr w:type="spellStart"/>
      <w:r w:rsidRPr="00043028">
        <w:t>Pirmohamed</w:t>
      </w:r>
      <w:proofErr w:type="spellEnd"/>
      <w:r w:rsidRPr="00043028">
        <w:t xml:space="preserve">, M. et al. (2004) ‘Adverse drug reactions as cause of admission to hospital: prospective analysis’, </w:t>
      </w:r>
      <w:r w:rsidRPr="00043028">
        <w:rPr>
          <w:i/>
          <w:iCs/>
        </w:rPr>
        <w:t>BMJ</w:t>
      </w:r>
      <w:r w:rsidRPr="00043028">
        <w:t>, 329(7456), pp. 15–19.</w:t>
      </w:r>
    </w:p>
    <w:p w14:paraId="5D4E0F55" w14:textId="77777777" w:rsidR="00043028" w:rsidRPr="00043028" w:rsidRDefault="00043028" w:rsidP="00043028">
      <w:r w:rsidRPr="00043028">
        <w:t xml:space="preserve">Care Quality Commission (2023) </w:t>
      </w:r>
      <w:r w:rsidRPr="00043028">
        <w:rPr>
          <w:i/>
          <w:iCs/>
        </w:rPr>
        <w:t>How CQC regulates: Adult social care services</w:t>
      </w:r>
      <w:r w:rsidRPr="00043028">
        <w:t xml:space="preserve">. London: CQC. Available at: </w:t>
      </w:r>
      <w:hyperlink r:id="rId7" w:tgtFrame="_new" w:history="1">
        <w:r w:rsidRPr="00043028">
          <w:rPr>
            <w:rStyle w:val="Hyperlink"/>
          </w:rPr>
          <w:t>https://www.cqc.org.uk</w:t>
        </w:r>
      </w:hyperlink>
    </w:p>
    <w:p w14:paraId="16AF1EB4" w14:textId="77777777" w:rsidR="00043028" w:rsidRPr="00043028" w:rsidRDefault="00043028" w:rsidP="00043028">
      <w:r w:rsidRPr="00043028">
        <w:t xml:space="preserve">Department of Health and Social Care (2014) </w:t>
      </w:r>
      <w:r w:rsidRPr="00043028">
        <w:rPr>
          <w:i/>
          <w:iCs/>
        </w:rPr>
        <w:t>Care Act 2014: Statutory guidance</w:t>
      </w:r>
      <w:r w:rsidRPr="00043028">
        <w:t>. London: DHSC.</w:t>
      </w:r>
    </w:p>
    <w:p w14:paraId="573992F1" w14:textId="77777777" w:rsidR="00043028" w:rsidRPr="00043028" w:rsidRDefault="00043028" w:rsidP="00043028">
      <w:r w:rsidRPr="00043028">
        <w:t xml:space="preserve">HM Government (2008) </w:t>
      </w:r>
      <w:r w:rsidRPr="00043028">
        <w:rPr>
          <w:i/>
          <w:iCs/>
        </w:rPr>
        <w:t>Health and Social Care Act 2008</w:t>
      </w:r>
      <w:r w:rsidRPr="00043028">
        <w:t>. London: The Stationery Office.</w:t>
      </w:r>
    </w:p>
    <w:p w14:paraId="56C70031" w14:textId="77777777" w:rsidR="00043028" w:rsidRPr="00043028" w:rsidRDefault="00043028" w:rsidP="00043028">
      <w:r w:rsidRPr="00043028">
        <w:t xml:space="preserve">National Health Service (2023) </w:t>
      </w:r>
      <w:r w:rsidRPr="00043028">
        <w:rPr>
          <w:i/>
          <w:iCs/>
        </w:rPr>
        <w:t>Residential care and support services</w:t>
      </w:r>
      <w:r w:rsidRPr="00043028">
        <w:t xml:space="preserve">. Available at: </w:t>
      </w:r>
      <w:hyperlink r:id="rId8" w:tgtFrame="_new" w:history="1">
        <w:r w:rsidRPr="00043028">
          <w:rPr>
            <w:rStyle w:val="Hyperlink"/>
          </w:rPr>
          <w:t>https://www.nhs.uk</w:t>
        </w:r>
      </w:hyperlink>
    </w:p>
    <w:p w14:paraId="2B5F2D12" w14:textId="77777777" w:rsidR="00043028" w:rsidRPr="00043028" w:rsidRDefault="00043028" w:rsidP="00043028">
      <w:r w:rsidRPr="00043028">
        <w:t xml:space="preserve">The King’s Fund (2018) </w:t>
      </w:r>
      <w:r w:rsidRPr="00043028">
        <w:rPr>
          <w:i/>
          <w:iCs/>
        </w:rPr>
        <w:t>A brief history of residential care homes</w:t>
      </w:r>
      <w:r w:rsidRPr="00043028">
        <w:t>. London: The King’s Fund.</w:t>
      </w:r>
    </w:p>
    <w:p w14:paraId="7D50DA23" w14:textId="77777777" w:rsidR="00043028" w:rsidRPr="00043028" w:rsidRDefault="00043028" w:rsidP="00043028">
      <w:r w:rsidRPr="00043028">
        <w:t xml:space="preserve">The King’s Fund (2023) </w:t>
      </w:r>
      <w:r w:rsidRPr="00043028">
        <w:rPr>
          <w:i/>
          <w:iCs/>
        </w:rPr>
        <w:t>Social care 360: The state of social care in England</w:t>
      </w:r>
      <w:r w:rsidRPr="00043028">
        <w:t>. London: The King’s Fund.</w:t>
      </w:r>
    </w:p>
    <w:p w14:paraId="21CD5F50" w14:textId="77777777" w:rsidR="00043028" w:rsidRPr="00043028" w:rsidRDefault="00043028" w:rsidP="00043028">
      <w:r w:rsidRPr="00043028">
        <w:t xml:space="preserve">Office for National Statistics (2022) </w:t>
      </w:r>
      <w:r w:rsidRPr="00043028">
        <w:rPr>
          <w:i/>
          <w:iCs/>
        </w:rPr>
        <w:t>Living longer: ageing population in the UK</w:t>
      </w:r>
      <w:r w:rsidRPr="00043028">
        <w:t>. London: ONS.</w:t>
      </w:r>
    </w:p>
    <w:p w14:paraId="75B71FB6" w14:textId="77777777" w:rsidR="00043028" w:rsidRDefault="00043028"/>
    <w:p w14:paraId="52846DE1" w14:textId="77777777" w:rsidR="00043028" w:rsidRDefault="00043028"/>
    <w:p w14:paraId="49843938" w14:textId="77777777" w:rsidR="00043028" w:rsidRDefault="00043028"/>
    <w:p w14:paraId="42843BA6" w14:textId="77777777" w:rsidR="00043028" w:rsidRDefault="00043028"/>
    <w:p w14:paraId="1380B340" w14:textId="77777777" w:rsidR="00043028" w:rsidRDefault="00043028"/>
    <w:p w14:paraId="6EF26B8D" w14:textId="6DE48BC7" w:rsidR="00043028" w:rsidRDefault="00043028">
      <w:r>
        <w:rPr>
          <w:noProof/>
        </w:rPr>
        <w:drawing>
          <wp:inline distT="0" distB="0" distL="0" distR="0" wp14:anchorId="5638C3C6" wp14:editId="4B69626F">
            <wp:extent cx="5723890" cy="8101330"/>
            <wp:effectExtent l="0" t="0" r="0" b="0"/>
            <wp:docPr id="804345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3890" cy="8101330"/>
                    </a:xfrm>
                    <a:prstGeom prst="rect">
                      <a:avLst/>
                    </a:prstGeom>
                    <a:noFill/>
                    <a:ln>
                      <a:noFill/>
                    </a:ln>
                  </pic:spPr>
                </pic:pic>
              </a:graphicData>
            </a:graphic>
          </wp:inline>
        </w:drawing>
      </w:r>
    </w:p>
    <w:sectPr w:rsidR="000430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028"/>
    <w:rsid w:val="00043028"/>
    <w:rsid w:val="005A3E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0E573"/>
  <w15:chartTrackingRefBased/>
  <w15:docId w15:val="{CEAF6AC4-5B3D-494A-877B-D05490AE7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0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30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30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30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30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30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30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30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30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0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30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30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30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30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30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30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30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3028"/>
    <w:rPr>
      <w:rFonts w:eastAsiaTheme="majorEastAsia" w:cstheme="majorBidi"/>
      <w:color w:val="272727" w:themeColor="text1" w:themeTint="D8"/>
    </w:rPr>
  </w:style>
  <w:style w:type="paragraph" w:styleId="Title">
    <w:name w:val="Title"/>
    <w:basedOn w:val="Normal"/>
    <w:next w:val="Normal"/>
    <w:link w:val="TitleChar"/>
    <w:uiPriority w:val="10"/>
    <w:qFormat/>
    <w:rsid w:val="000430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30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30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30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3028"/>
    <w:pPr>
      <w:spacing w:before="160"/>
      <w:jc w:val="center"/>
    </w:pPr>
    <w:rPr>
      <w:i/>
      <w:iCs/>
      <w:color w:val="404040" w:themeColor="text1" w:themeTint="BF"/>
    </w:rPr>
  </w:style>
  <w:style w:type="character" w:customStyle="1" w:styleId="QuoteChar">
    <w:name w:val="Quote Char"/>
    <w:basedOn w:val="DefaultParagraphFont"/>
    <w:link w:val="Quote"/>
    <w:uiPriority w:val="29"/>
    <w:rsid w:val="00043028"/>
    <w:rPr>
      <w:i/>
      <w:iCs/>
      <w:color w:val="404040" w:themeColor="text1" w:themeTint="BF"/>
    </w:rPr>
  </w:style>
  <w:style w:type="paragraph" w:styleId="ListParagraph">
    <w:name w:val="List Paragraph"/>
    <w:basedOn w:val="Normal"/>
    <w:uiPriority w:val="34"/>
    <w:qFormat/>
    <w:rsid w:val="00043028"/>
    <w:pPr>
      <w:ind w:left="720"/>
      <w:contextualSpacing/>
    </w:pPr>
  </w:style>
  <w:style w:type="character" w:styleId="IntenseEmphasis">
    <w:name w:val="Intense Emphasis"/>
    <w:basedOn w:val="DefaultParagraphFont"/>
    <w:uiPriority w:val="21"/>
    <w:qFormat/>
    <w:rsid w:val="00043028"/>
    <w:rPr>
      <w:i/>
      <w:iCs/>
      <w:color w:val="0F4761" w:themeColor="accent1" w:themeShade="BF"/>
    </w:rPr>
  </w:style>
  <w:style w:type="paragraph" w:styleId="IntenseQuote">
    <w:name w:val="Intense Quote"/>
    <w:basedOn w:val="Normal"/>
    <w:next w:val="Normal"/>
    <w:link w:val="IntenseQuoteChar"/>
    <w:uiPriority w:val="30"/>
    <w:qFormat/>
    <w:rsid w:val="00043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3028"/>
    <w:rPr>
      <w:i/>
      <w:iCs/>
      <w:color w:val="0F4761" w:themeColor="accent1" w:themeShade="BF"/>
    </w:rPr>
  </w:style>
  <w:style w:type="character" w:styleId="IntenseReference">
    <w:name w:val="Intense Reference"/>
    <w:basedOn w:val="DefaultParagraphFont"/>
    <w:uiPriority w:val="32"/>
    <w:qFormat/>
    <w:rsid w:val="00043028"/>
    <w:rPr>
      <w:b/>
      <w:bCs/>
      <w:smallCaps/>
      <w:color w:val="0F4761" w:themeColor="accent1" w:themeShade="BF"/>
      <w:spacing w:val="5"/>
    </w:rPr>
  </w:style>
  <w:style w:type="character" w:styleId="Hyperlink">
    <w:name w:val="Hyperlink"/>
    <w:basedOn w:val="DefaultParagraphFont"/>
    <w:uiPriority w:val="99"/>
    <w:unhideWhenUsed/>
    <w:rsid w:val="00043028"/>
    <w:rPr>
      <w:color w:val="467886" w:themeColor="hyperlink"/>
      <w:u w:val="single"/>
    </w:rPr>
  </w:style>
  <w:style w:type="character" w:styleId="UnresolvedMention">
    <w:name w:val="Unresolved Mention"/>
    <w:basedOn w:val="DefaultParagraphFont"/>
    <w:uiPriority w:val="99"/>
    <w:semiHidden/>
    <w:unhideWhenUsed/>
    <w:rsid w:val="00043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customXml" Target="../customXml/item3.xml"/><Relationship Id="rId7" Type="http://schemas.openxmlformats.org/officeDocument/2006/relationships/hyperlink" Target="https://www.cqc.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64B7CD-136C-4B51-B116-B48D4DFE8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29EBF0-BB11-413F-85B0-982E7E8C2160}">
  <ds:schemaRefs>
    <ds:schemaRef ds:uri="http://schemas.microsoft.com/sharepoint/v3/contenttype/forms"/>
  </ds:schemaRefs>
</ds:datastoreItem>
</file>

<file path=customXml/itemProps3.xml><?xml version="1.0" encoding="utf-8"?>
<ds:datastoreItem xmlns:ds="http://schemas.openxmlformats.org/officeDocument/2006/customXml" ds:itemID="{7F30E63E-6B79-46D5-8F32-09119F58E1C0}">
  <ds:schemaRefs>
    <ds:schemaRef ds:uri="http://purl.org/dc/elements/1.1/"/>
    <ds:schemaRef ds:uri="http://purl.org/dc/dcmitype/"/>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3ef5847a-e696-4fee-a2c0-6c3f8756832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1078</Words>
  <Characters>6150</Characters>
  <Application>Microsoft Office Word</Application>
  <DocSecurity>0</DocSecurity>
  <Lines>51</Lines>
  <Paragraphs>14</Paragraphs>
  <ScaleCrop>false</ScaleCrop>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Andrei Pistroescu (2509012)</dc:creator>
  <cp:keywords/>
  <dc:description/>
  <cp:lastModifiedBy>Cristian Andrei Pistroescu (2509012)</cp:lastModifiedBy>
  <cp:revision>1</cp:revision>
  <dcterms:created xsi:type="dcterms:W3CDTF">2026-02-23T00:28:00Z</dcterms:created>
  <dcterms:modified xsi:type="dcterms:W3CDTF">2026-02-23T00:37:00Z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