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CF121" w14:textId="7AB83309" w:rsidR="00DC2F23" w:rsidRPr="00D1682D" w:rsidRDefault="00DC2F23" w:rsidP="00C452C7">
      <w:pPr>
        <w:spacing w:after="0" w:line="360" w:lineRule="auto"/>
        <w:contextualSpacing/>
        <w:jc w:val="both"/>
        <w:rPr>
          <w:rFonts w:ascii="Arial" w:eastAsia="Arial" w:hAnsi="Arial" w:cs="Arial"/>
          <w:spacing w:val="-10"/>
          <w:kern w:val="28"/>
          <w:sz w:val="22"/>
          <w:szCs w:val="22"/>
          <w:lang w:eastAsia="en-US"/>
          <w14:ligatures w14:val="none"/>
        </w:rPr>
      </w:pPr>
      <w:r w:rsidRPr="00D1682D">
        <w:rPr>
          <w:rFonts w:ascii="Arial" w:eastAsia="Arial" w:hAnsi="Arial" w:cs="Arial"/>
          <w:spacing w:val="-10"/>
          <w:kern w:val="28"/>
          <w:sz w:val="22"/>
          <w:szCs w:val="22"/>
          <w:lang w:eastAsia="en-US"/>
          <w14:ligatures w14:val="none"/>
        </w:rPr>
        <w:t xml:space="preserve">Writing Module: </w:t>
      </w:r>
      <w:r w:rsidR="00355252" w:rsidRPr="00D1682D">
        <w:rPr>
          <w:rFonts w:ascii="Arial" w:eastAsia="Arial" w:hAnsi="Arial" w:cs="Arial"/>
          <w:spacing w:val="-10"/>
          <w:kern w:val="28"/>
          <w:sz w:val="22"/>
          <w:szCs w:val="22"/>
          <w:lang w:eastAsia="en-US"/>
          <w14:ligatures w14:val="none"/>
        </w:rPr>
        <w:t>International Financial Management</w:t>
      </w:r>
    </w:p>
    <w:p w14:paraId="513B3696" w14:textId="77777777" w:rsidR="00DC2F23" w:rsidRPr="00D1682D" w:rsidRDefault="00DC2F23" w:rsidP="00C452C7">
      <w:pPr>
        <w:spacing w:after="0" w:line="360" w:lineRule="auto"/>
        <w:jc w:val="both"/>
        <w:rPr>
          <w:rFonts w:ascii="Arial" w:eastAsia="Arial" w:hAnsi="Arial" w:cs="Arial"/>
          <w:color w:val="000000" w:themeColor="text1"/>
          <w:sz w:val="22"/>
          <w:szCs w:val="22"/>
        </w:rPr>
      </w:pPr>
    </w:p>
    <w:p w14:paraId="67A9E9CA" w14:textId="77777777" w:rsidR="00DC2F23" w:rsidRPr="00D1682D" w:rsidRDefault="00DC2F23" w:rsidP="00C452C7">
      <w:pPr>
        <w:spacing w:after="0" w:line="360" w:lineRule="auto"/>
        <w:jc w:val="both"/>
        <w:rPr>
          <w:rFonts w:ascii="Arial" w:hAnsi="Arial" w:cs="Arial"/>
          <w:sz w:val="22"/>
          <w:szCs w:val="22"/>
        </w:rPr>
      </w:pPr>
      <w:r w:rsidRPr="00D1682D">
        <w:rPr>
          <w:rFonts w:ascii="Arial" w:eastAsia="Arial" w:hAnsi="Arial" w:cs="Arial"/>
          <w:color w:val="000000" w:themeColor="text1"/>
          <w:sz w:val="22"/>
          <w:szCs w:val="22"/>
        </w:rPr>
        <w:t>Student Name: Renaldo Jose Juman</w:t>
      </w:r>
    </w:p>
    <w:p w14:paraId="7C7AC74A" w14:textId="77777777" w:rsidR="00DC2F23" w:rsidRPr="00D1682D" w:rsidRDefault="00DC2F23" w:rsidP="00C452C7">
      <w:pPr>
        <w:spacing w:after="0" w:line="360" w:lineRule="auto"/>
        <w:jc w:val="both"/>
        <w:rPr>
          <w:rFonts w:ascii="Arial" w:eastAsia="Arial" w:hAnsi="Arial" w:cs="Arial"/>
          <w:color w:val="000000" w:themeColor="text1"/>
          <w:sz w:val="22"/>
          <w:szCs w:val="22"/>
        </w:rPr>
      </w:pPr>
    </w:p>
    <w:p w14:paraId="0D3C6B14" w14:textId="77777777" w:rsidR="00DC2F23" w:rsidRPr="00D1682D" w:rsidRDefault="00DC2F23" w:rsidP="00C452C7">
      <w:pPr>
        <w:spacing w:after="0"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t>Student ID: 2114362</w:t>
      </w:r>
    </w:p>
    <w:p w14:paraId="61E4A838" w14:textId="77777777" w:rsidR="00DC2F23" w:rsidRPr="00D1682D" w:rsidRDefault="00DC2F23" w:rsidP="00C452C7">
      <w:pPr>
        <w:spacing w:after="0" w:line="360" w:lineRule="auto"/>
        <w:jc w:val="both"/>
        <w:rPr>
          <w:rFonts w:ascii="Arial" w:eastAsia="Arial" w:hAnsi="Arial" w:cs="Arial"/>
          <w:color w:val="000000" w:themeColor="text1"/>
          <w:sz w:val="22"/>
          <w:szCs w:val="22"/>
        </w:rPr>
      </w:pPr>
    </w:p>
    <w:p w14:paraId="1C1650E6" w14:textId="740240F2" w:rsidR="00DC2F23" w:rsidRPr="00D1682D" w:rsidRDefault="00DC2F23" w:rsidP="00C452C7">
      <w:pPr>
        <w:spacing w:after="0"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t>Module Code: LCBB600</w:t>
      </w:r>
      <w:r w:rsidR="007C0777" w:rsidRPr="00D1682D">
        <w:rPr>
          <w:rFonts w:ascii="Arial" w:eastAsia="Arial" w:hAnsi="Arial" w:cs="Arial"/>
          <w:color w:val="000000" w:themeColor="text1"/>
          <w:sz w:val="22"/>
          <w:szCs w:val="22"/>
        </w:rPr>
        <w:t>2</w:t>
      </w:r>
    </w:p>
    <w:p w14:paraId="1F2A5841" w14:textId="77777777" w:rsidR="00DC2F23" w:rsidRPr="00D1682D" w:rsidRDefault="00DC2F23" w:rsidP="00C452C7">
      <w:pPr>
        <w:spacing w:after="0" w:line="360" w:lineRule="auto"/>
        <w:jc w:val="both"/>
        <w:rPr>
          <w:rFonts w:ascii="Arial" w:eastAsia="Arial" w:hAnsi="Arial" w:cs="Arial"/>
          <w:color w:val="000000" w:themeColor="text1"/>
          <w:sz w:val="22"/>
          <w:szCs w:val="22"/>
        </w:rPr>
      </w:pPr>
    </w:p>
    <w:p w14:paraId="36888124" w14:textId="49EF27F0" w:rsidR="00DC2F23" w:rsidRPr="00D1682D" w:rsidRDefault="00DC2F23" w:rsidP="00C452C7">
      <w:pPr>
        <w:spacing w:after="0"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t>Tutor</w:t>
      </w:r>
      <w:r w:rsidR="007C0777" w:rsidRPr="00D1682D">
        <w:rPr>
          <w:rFonts w:ascii="Arial" w:eastAsia="Arial" w:hAnsi="Arial" w:cs="Arial"/>
          <w:color w:val="000000" w:themeColor="text1"/>
          <w:sz w:val="22"/>
          <w:szCs w:val="22"/>
        </w:rPr>
        <w:t>: Mr Mudasser Hasan</w:t>
      </w:r>
    </w:p>
    <w:p w14:paraId="2DCF1F84" w14:textId="77777777" w:rsidR="00DC2F23" w:rsidRPr="00D1682D" w:rsidRDefault="00DC2F23" w:rsidP="00C452C7">
      <w:pPr>
        <w:spacing w:after="0" w:line="360" w:lineRule="auto"/>
        <w:jc w:val="both"/>
        <w:rPr>
          <w:rFonts w:ascii="Arial" w:eastAsia="Arial" w:hAnsi="Arial" w:cs="Arial"/>
          <w:color w:val="000000" w:themeColor="text1"/>
          <w:sz w:val="22"/>
          <w:szCs w:val="22"/>
        </w:rPr>
      </w:pPr>
    </w:p>
    <w:p w14:paraId="00D14C9F" w14:textId="63DD9347" w:rsidR="00A273DC" w:rsidRPr="00D1682D" w:rsidRDefault="00DC2F23" w:rsidP="00C452C7">
      <w:pPr>
        <w:spacing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t>Assignment Title:</w:t>
      </w:r>
      <w:r w:rsidR="007C0777" w:rsidRPr="00D1682D">
        <w:rPr>
          <w:rFonts w:ascii="Arial" w:eastAsia="Arial" w:hAnsi="Arial" w:cs="Arial"/>
          <w:color w:val="000000" w:themeColor="text1"/>
          <w:sz w:val="22"/>
          <w:szCs w:val="22"/>
        </w:rPr>
        <w:t xml:space="preserve"> </w:t>
      </w:r>
      <w:r w:rsidR="003E7528" w:rsidRPr="00D1682D">
        <w:rPr>
          <w:rFonts w:ascii="Arial" w:eastAsia="Arial" w:hAnsi="Arial" w:cs="Arial"/>
          <w:color w:val="000000" w:themeColor="text1"/>
          <w:sz w:val="22"/>
          <w:szCs w:val="22"/>
        </w:rPr>
        <w:t>“The</w:t>
      </w:r>
      <w:r w:rsidR="007C0777" w:rsidRPr="00D1682D">
        <w:rPr>
          <w:rFonts w:ascii="Arial" w:eastAsia="Arial" w:hAnsi="Arial" w:cs="Arial"/>
          <w:color w:val="000000" w:themeColor="text1"/>
          <w:sz w:val="22"/>
          <w:szCs w:val="22"/>
        </w:rPr>
        <w:t xml:space="preserve"> Impact of Corporate </w:t>
      </w:r>
      <w:r w:rsidR="00A273DC" w:rsidRPr="00D1682D">
        <w:rPr>
          <w:rFonts w:ascii="Arial" w:eastAsia="Arial" w:hAnsi="Arial" w:cs="Arial"/>
          <w:color w:val="000000" w:themeColor="text1"/>
          <w:sz w:val="22"/>
          <w:szCs w:val="22"/>
        </w:rPr>
        <w:t>Governance</w:t>
      </w:r>
      <w:r w:rsidR="00007D9F" w:rsidRPr="00D1682D">
        <w:rPr>
          <w:rFonts w:ascii="Arial" w:eastAsia="Arial" w:hAnsi="Arial" w:cs="Arial"/>
          <w:color w:val="000000" w:themeColor="text1"/>
          <w:sz w:val="22"/>
          <w:szCs w:val="22"/>
        </w:rPr>
        <w:t xml:space="preserve"> </w:t>
      </w:r>
      <w:r w:rsidR="00830F95" w:rsidRPr="00D1682D">
        <w:rPr>
          <w:rFonts w:ascii="Arial" w:eastAsia="Arial" w:hAnsi="Arial" w:cs="Arial"/>
          <w:color w:val="000000" w:themeColor="text1"/>
          <w:sz w:val="22"/>
          <w:szCs w:val="22"/>
        </w:rPr>
        <w:t>Pract</w:t>
      </w:r>
      <w:r w:rsidR="009E4612" w:rsidRPr="00D1682D">
        <w:rPr>
          <w:rFonts w:ascii="Arial" w:eastAsia="Arial" w:hAnsi="Arial" w:cs="Arial"/>
          <w:color w:val="000000" w:themeColor="text1"/>
          <w:sz w:val="22"/>
          <w:szCs w:val="22"/>
        </w:rPr>
        <w:t>ices on Firm Performance</w:t>
      </w:r>
      <w:r w:rsidR="008F4410" w:rsidRPr="00D1682D">
        <w:rPr>
          <w:rFonts w:ascii="Arial" w:eastAsia="Arial" w:hAnsi="Arial" w:cs="Arial"/>
          <w:color w:val="000000" w:themeColor="text1"/>
          <w:sz w:val="22"/>
          <w:szCs w:val="22"/>
        </w:rPr>
        <w:t>”</w:t>
      </w:r>
    </w:p>
    <w:p w14:paraId="414E6767" w14:textId="77777777" w:rsidR="00A273DC" w:rsidRPr="00D1682D" w:rsidRDefault="00A273DC" w:rsidP="00C452C7">
      <w:pPr>
        <w:spacing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br w:type="page"/>
      </w:r>
    </w:p>
    <w:sdt>
      <w:sdtPr>
        <w:rPr>
          <w:rFonts w:ascii="Arial" w:eastAsiaTheme="minorEastAsia" w:hAnsi="Arial" w:cs="Arial"/>
          <w:b w:val="0"/>
          <w:bCs w:val="0"/>
          <w:color w:val="auto"/>
          <w:kern w:val="2"/>
          <w:sz w:val="22"/>
          <w:szCs w:val="22"/>
          <w:lang w:val="en-GB" w:eastAsia="en-GB"/>
          <w14:ligatures w14:val="standardContextual"/>
        </w:rPr>
        <w:id w:val="242537027"/>
        <w:docPartObj>
          <w:docPartGallery w:val="Table of Contents"/>
          <w:docPartUnique/>
        </w:docPartObj>
      </w:sdtPr>
      <w:sdtEndPr>
        <w:rPr>
          <w:noProof/>
        </w:rPr>
      </w:sdtEndPr>
      <w:sdtContent>
        <w:p w14:paraId="4472B436" w14:textId="077E0F3C" w:rsidR="00A33F6F" w:rsidRPr="009D02F2" w:rsidRDefault="00A33F6F" w:rsidP="009D02F2">
          <w:pPr>
            <w:pStyle w:val="TOCHeading"/>
            <w:tabs>
              <w:tab w:val="right" w:pos="9026"/>
            </w:tabs>
            <w:spacing w:line="360" w:lineRule="auto"/>
            <w:jc w:val="both"/>
            <w:rPr>
              <w:rFonts w:ascii="Arial" w:hAnsi="Arial" w:cs="Arial"/>
              <w:b w:val="0"/>
              <w:bCs w:val="0"/>
              <w:sz w:val="22"/>
              <w:szCs w:val="22"/>
            </w:rPr>
          </w:pPr>
          <w:r w:rsidRPr="009D02F2">
            <w:rPr>
              <w:rFonts w:ascii="Arial" w:hAnsi="Arial" w:cs="Arial"/>
              <w:b w:val="0"/>
              <w:bCs w:val="0"/>
              <w:sz w:val="22"/>
              <w:szCs w:val="22"/>
            </w:rPr>
            <w:t>Table of Contents</w:t>
          </w:r>
          <w:r w:rsidR="009D02F2">
            <w:rPr>
              <w:rFonts w:ascii="Arial" w:hAnsi="Arial" w:cs="Arial"/>
              <w:b w:val="0"/>
              <w:bCs w:val="0"/>
              <w:sz w:val="22"/>
              <w:szCs w:val="22"/>
            </w:rPr>
            <w:tab/>
          </w:r>
        </w:p>
        <w:p w14:paraId="67DC209F" w14:textId="4D4FAD30" w:rsidR="009D02F2" w:rsidRPr="009D02F2" w:rsidRDefault="00A33F6F" w:rsidP="009D02F2">
          <w:pPr>
            <w:pStyle w:val="TOC1"/>
            <w:spacing w:line="360" w:lineRule="auto"/>
            <w:rPr>
              <w:rFonts w:ascii="Arial" w:hAnsi="Arial" w:cs="Arial"/>
              <w:noProof/>
              <w:sz w:val="22"/>
              <w:szCs w:val="22"/>
            </w:rPr>
          </w:pPr>
          <w:r w:rsidRPr="009D02F2">
            <w:rPr>
              <w:rFonts w:ascii="Arial" w:hAnsi="Arial" w:cs="Arial"/>
              <w:sz w:val="22"/>
              <w:szCs w:val="22"/>
            </w:rPr>
            <w:fldChar w:fldCharType="begin"/>
          </w:r>
          <w:r w:rsidRPr="009D02F2">
            <w:rPr>
              <w:rFonts w:ascii="Arial" w:hAnsi="Arial" w:cs="Arial"/>
              <w:sz w:val="22"/>
              <w:szCs w:val="22"/>
            </w:rPr>
            <w:instrText xml:space="preserve"> TOC \o "1-3" \h \z \u </w:instrText>
          </w:r>
          <w:r w:rsidRPr="009D02F2">
            <w:rPr>
              <w:rFonts w:ascii="Arial" w:hAnsi="Arial" w:cs="Arial"/>
              <w:sz w:val="22"/>
              <w:szCs w:val="22"/>
            </w:rPr>
            <w:fldChar w:fldCharType="separate"/>
          </w:r>
          <w:hyperlink w:anchor="_Toc180075687" w:history="1">
            <w:r w:rsidR="009D02F2" w:rsidRPr="009D02F2">
              <w:rPr>
                <w:rStyle w:val="Hyperlink"/>
                <w:rFonts w:ascii="Arial" w:eastAsia="Times New Roman" w:hAnsi="Arial" w:cs="Arial"/>
                <w:noProof/>
                <w:sz w:val="22"/>
                <w:szCs w:val="22"/>
                <w:lang w:val="en-US" w:eastAsia="en-US"/>
              </w:rPr>
              <w:t>Table of Figure</w:t>
            </w:r>
            <w:r w:rsidR="009D02F2" w:rsidRPr="009D02F2">
              <w:rPr>
                <w:rFonts w:ascii="Arial" w:hAnsi="Arial" w:cs="Arial"/>
                <w:noProof/>
                <w:webHidden/>
                <w:sz w:val="22"/>
                <w:szCs w:val="22"/>
              </w:rPr>
              <w:tab/>
            </w:r>
            <w:r w:rsidR="009D02F2" w:rsidRPr="009D02F2">
              <w:rPr>
                <w:rFonts w:ascii="Arial" w:hAnsi="Arial" w:cs="Arial"/>
                <w:noProof/>
                <w:webHidden/>
                <w:sz w:val="22"/>
                <w:szCs w:val="22"/>
              </w:rPr>
              <w:fldChar w:fldCharType="begin"/>
            </w:r>
            <w:r w:rsidR="009D02F2" w:rsidRPr="009D02F2">
              <w:rPr>
                <w:rFonts w:ascii="Arial" w:hAnsi="Arial" w:cs="Arial"/>
                <w:noProof/>
                <w:webHidden/>
                <w:sz w:val="22"/>
                <w:szCs w:val="22"/>
              </w:rPr>
              <w:instrText xml:space="preserve"> PAGEREF _Toc180075687 \h </w:instrText>
            </w:r>
            <w:r w:rsidR="009D02F2" w:rsidRPr="009D02F2">
              <w:rPr>
                <w:rFonts w:ascii="Arial" w:hAnsi="Arial" w:cs="Arial"/>
                <w:noProof/>
                <w:webHidden/>
                <w:sz w:val="22"/>
                <w:szCs w:val="22"/>
              </w:rPr>
            </w:r>
            <w:r w:rsidR="009D02F2" w:rsidRPr="009D02F2">
              <w:rPr>
                <w:rFonts w:ascii="Arial" w:hAnsi="Arial" w:cs="Arial"/>
                <w:noProof/>
                <w:webHidden/>
                <w:sz w:val="22"/>
                <w:szCs w:val="22"/>
              </w:rPr>
              <w:fldChar w:fldCharType="separate"/>
            </w:r>
            <w:r w:rsidR="009D02F2" w:rsidRPr="009D02F2">
              <w:rPr>
                <w:rFonts w:ascii="Arial" w:hAnsi="Arial" w:cs="Arial"/>
                <w:noProof/>
                <w:webHidden/>
                <w:sz w:val="22"/>
                <w:szCs w:val="22"/>
              </w:rPr>
              <w:t>3</w:t>
            </w:r>
            <w:r w:rsidR="009D02F2" w:rsidRPr="009D02F2">
              <w:rPr>
                <w:rFonts w:ascii="Arial" w:hAnsi="Arial" w:cs="Arial"/>
                <w:noProof/>
                <w:webHidden/>
                <w:sz w:val="22"/>
                <w:szCs w:val="22"/>
              </w:rPr>
              <w:fldChar w:fldCharType="end"/>
            </w:r>
          </w:hyperlink>
        </w:p>
        <w:p w14:paraId="02DC53E6" w14:textId="3592F55A" w:rsidR="009D02F2" w:rsidRPr="009D02F2" w:rsidRDefault="009D02F2" w:rsidP="009D02F2">
          <w:pPr>
            <w:pStyle w:val="TOC1"/>
            <w:spacing w:line="360" w:lineRule="auto"/>
            <w:rPr>
              <w:rFonts w:ascii="Arial" w:hAnsi="Arial" w:cs="Arial"/>
              <w:noProof/>
              <w:sz w:val="22"/>
              <w:szCs w:val="22"/>
            </w:rPr>
          </w:pPr>
          <w:hyperlink w:anchor="_Toc180075688" w:history="1">
            <w:r w:rsidRPr="009D02F2">
              <w:rPr>
                <w:rStyle w:val="Hyperlink"/>
                <w:rFonts w:ascii="Arial" w:eastAsia="Times New Roman" w:hAnsi="Arial" w:cs="Arial"/>
                <w:noProof/>
                <w:sz w:val="22"/>
                <w:szCs w:val="22"/>
                <w:lang w:val="en-US" w:eastAsia="en-US"/>
              </w:rPr>
              <w:t>Introduction</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_Toc180075688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4</w:t>
            </w:r>
            <w:r w:rsidRPr="009D02F2">
              <w:rPr>
                <w:rFonts w:ascii="Arial" w:hAnsi="Arial" w:cs="Arial"/>
                <w:noProof/>
                <w:webHidden/>
                <w:sz w:val="22"/>
                <w:szCs w:val="22"/>
              </w:rPr>
              <w:fldChar w:fldCharType="end"/>
            </w:r>
          </w:hyperlink>
        </w:p>
        <w:p w14:paraId="598B53C1" w14:textId="114DDD5C" w:rsidR="009D02F2" w:rsidRPr="009D02F2" w:rsidRDefault="009D02F2" w:rsidP="009D02F2">
          <w:pPr>
            <w:pStyle w:val="TOC1"/>
            <w:spacing w:line="360" w:lineRule="auto"/>
            <w:rPr>
              <w:rFonts w:ascii="Arial" w:hAnsi="Arial" w:cs="Arial"/>
              <w:noProof/>
              <w:sz w:val="22"/>
              <w:szCs w:val="22"/>
            </w:rPr>
          </w:pPr>
          <w:hyperlink w:anchor="_Toc180075689" w:history="1">
            <w:r w:rsidRPr="009D02F2">
              <w:rPr>
                <w:rStyle w:val="Hyperlink"/>
                <w:rFonts w:ascii="Arial" w:eastAsia="Times New Roman" w:hAnsi="Arial" w:cs="Arial"/>
                <w:noProof/>
                <w:sz w:val="22"/>
                <w:szCs w:val="22"/>
                <w:lang w:val="en-US" w:eastAsia="en-US"/>
              </w:rPr>
              <w:t>Importance of Corporate Governance Practices</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_Toc180075689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5</w:t>
            </w:r>
            <w:r w:rsidRPr="009D02F2">
              <w:rPr>
                <w:rFonts w:ascii="Arial" w:hAnsi="Arial" w:cs="Arial"/>
                <w:noProof/>
                <w:webHidden/>
                <w:sz w:val="22"/>
                <w:szCs w:val="22"/>
              </w:rPr>
              <w:fldChar w:fldCharType="end"/>
            </w:r>
          </w:hyperlink>
        </w:p>
        <w:p w14:paraId="5118EB9B" w14:textId="64B76405" w:rsidR="009D02F2" w:rsidRPr="009D02F2" w:rsidRDefault="009D02F2" w:rsidP="009D02F2">
          <w:pPr>
            <w:pStyle w:val="TOC1"/>
            <w:spacing w:line="360" w:lineRule="auto"/>
            <w:rPr>
              <w:rFonts w:ascii="Arial" w:hAnsi="Arial" w:cs="Arial"/>
              <w:noProof/>
              <w:sz w:val="22"/>
              <w:szCs w:val="22"/>
            </w:rPr>
          </w:pPr>
          <w:hyperlink w:anchor="_Toc180075690" w:history="1">
            <w:r w:rsidRPr="009D02F2">
              <w:rPr>
                <w:rStyle w:val="Hyperlink"/>
                <w:rFonts w:ascii="Arial" w:eastAsia="Times New Roman" w:hAnsi="Arial" w:cs="Arial"/>
                <w:noProof/>
                <w:sz w:val="22"/>
                <w:szCs w:val="22"/>
                <w:lang w:val="en-US" w:eastAsia="en-US"/>
              </w:rPr>
              <w:t>Corporate Governance Variables Identified</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_Toc180075690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6</w:t>
            </w:r>
            <w:r w:rsidRPr="009D02F2">
              <w:rPr>
                <w:rFonts w:ascii="Arial" w:hAnsi="Arial" w:cs="Arial"/>
                <w:noProof/>
                <w:webHidden/>
                <w:sz w:val="22"/>
                <w:szCs w:val="22"/>
              </w:rPr>
              <w:fldChar w:fldCharType="end"/>
            </w:r>
          </w:hyperlink>
        </w:p>
        <w:p w14:paraId="441377A5" w14:textId="19B21E90" w:rsidR="009D02F2" w:rsidRPr="009D02F2" w:rsidRDefault="009D02F2" w:rsidP="009D02F2">
          <w:pPr>
            <w:pStyle w:val="TOC2"/>
            <w:tabs>
              <w:tab w:val="right" w:leader="dot" w:pos="9016"/>
            </w:tabs>
            <w:spacing w:line="360" w:lineRule="auto"/>
            <w:rPr>
              <w:rFonts w:ascii="Arial" w:hAnsi="Arial" w:cs="Arial"/>
              <w:noProof/>
              <w:sz w:val="22"/>
              <w:szCs w:val="22"/>
            </w:rPr>
          </w:pPr>
          <w:hyperlink w:anchor="_Toc180075691" w:history="1">
            <w:r w:rsidRPr="009D02F2">
              <w:rPr>
                <w:rStyle w:val="Hyperlink"/>
                <w:rFonts w:ascii="Arial" w:eastAsia="Times New Roman" w:hAnsi="Arial" w:cs="Arial"/>
                <w:noProof/>
                <w:sz w:val="22"/>
                <w:szCs w:val="22"/>
                <w:lang w:val="en-US" w:eastAsia="en-US"/>
              </w:rPr>
              <w:t>Board Composition and Structure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_Toc180075691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6</w:t>
            </w:r>
            <w:r w:rsidRPr="009D02F2">
              <w:rPr>
                <w:rFonts w:ascii="Arial" w:hAnsi="Arial" w:cs="Arial"/>
                <w:noProof/>
                <w:webHidden/>
                <w:sz w:val="22"/>
                <w:szCs w:val="22"/>
              </w:rPr>
              <w:fldChar w:fldCharType="end"/>
            </w:r>
          </w:hyperlink>
        </w:p>
        <w:p w14:paraId="39E1C2B8" w14:textId="67BBE143" w:rsidR="009D02F2" w:rsidRPr="009D02F2" w:rsidRDefault="009D02F2" w:rsidP="009D02F2">
          <w:pPr>
            <w:pStyle w:val="TOC3"/>
            <w:tabs>
              <w:tab w:val="right" w:leader="dot" w:pos="9016"/>
            </w:tabs>
            <w:spacing w:line="360" w:lineRule="auto"/>
            <w:rPr>
              <w:rFonts w:ascii="Arial" w:hAnsi="Arial" w:cs="Arial"/>
              <w:noProof/>
              <w:sz w:val="22"/>
              <w:szCs w:val="22"/>
            </w:rPr>
          </w:pPr>
          <w:hyperlink w:anchor="_Toc180075692" w:history="1">
            <w:r w:rsidRPr="009D02F2">
              <w:rPr>
                <w:rStyle w:val="Hyperlink"/>
                <w:rFonts w:ascii="Arial" w:eastAsia="Times New Roman" w:hAnsi="Arial" w:cs="Arial"/>
                <w:noProof/>
                <w:sz w:val="22"/>
                <w:szCs w:val="22"/>
                <w:lang w:val="en-US" w:eastAsia="en-US"/>
              </w:rPr>
              <w:t>Audit Committee Performance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_Toc180075692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6</w:t>
            </w:r>
            <w:r w:rsidRPr="009D02F2">
              <w:rPr>
                <w:rFonts w:ascii="Arial" w:hAnsi="Arial" w:cs="Arial"/>
                <w:noProof/>
                <w:webHidden/>
                <w:sz w:val="22"/>
                <w:szCs w:val="22"/>
              </w:rPr>
              <w:fldChar w:fldCharType="end"/>
            </w:r>
          </w:hyperlink>
        </w:p>
        <w:p w14:paraId="24F7D527" w14:textId="6C6064DC" w:rsidR="009D02F2" w:rsidRPr="009D02F2" w:rsidRDefault="009D02F2" w:rsidP="009D02F2">
          <w:pPr>
            <w:pStyle w:val="TOC3"/>
            <w:tabs>
              <w:tab w:val="right" w:leader="dot" w:pos="9016"/>
            </w:tabs>
            <w:spacing w:line="360" w:lineRule="auto"/>
            <w:rPr>
              <w:rFonts w:ascii="Arial" w:hAnsi="Arial" w:cs="Arial"/>
              <w:noProof/>
              <w:sz w:val="22"/>
              <w:szCs w:val="22"/>
            </w:rPr>
          </w:pPr>
          <w:hyperlink w:anchor="_Toc180075693" w:history="1">
            <w:r w:rsidRPr="009D02F2">
              <w:rPr>
                <w:rStyle w:val="Hyperlink"/>
                <w:rFonts w:ascii="Arial" w:eastAsia="Times New Roman" w:hAnsi="Arial" w:cs="Arial"/>
                <w:noProof/>
                <w:sz w:val="22"/>
                <w:szCs w:val="22"/>
                <w:lang w:val="en-US" w:eastAsia="en-US"/>
              </w:rPr>
              <w:t>Policies of Executive Remuneration</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_Toc180075693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6</w:t>
            </w:r>
            <w:r w:rsidRPr="009D02F2">
              <w:rPr>
                <w:rFonts w:ascii="Arial" w:hAnsi="Arial" w:cs="Arial"/>
                <w:noProof/>
                <w:webHidden/>
                <w:sz w:val="22"/>
                <w:szCs w:val="22"/>
              </w:rPr>
              <w:fldChar w:fldCharType="end"/>
            </w:r>
          </w:hyperlink>
        </w:p>
        <w:p w14:paraId="52B8F782" w14:textId="6498051C" w:rsidR="009D02F2" w:rsidRPr="009D02F2" w:rsidRDefault="009D02F2" w:rsidP="009D02F2">
          <w:pPr>
            <w:pStyle w:val="TOC1"/>
            <w:spacing w:line="360" w:lineRule="auto"/>
            <w:rPr>
              <w:rFonts w:ascii="Arial" w:hAnsi="Arial" w:cs="Arial"/>
              <w:noProof/>
              <w:sz w:val="22"/>
              <w:szCs w:val="22"/>
            </w:rPr>
          </w:pPr>
          <w:hyperlink w:anchor="_Toc180075694" w:history="1">
            <w:r w:rsidRPr="009D02F2">
              <w:rPr>
                <w:rStyle w:val="Hyperlink"/>
                <w:rFonts w:ascii="Arial" w:eastAsia="Times New Roman" w:hAnsi="Arial" w:cs="Arial"/>
                <w:noProof/>
                <w:sz w:val="22"/>
                <w:szCs w:val="22"/>
                <w:lang w:val="en-US" w:eastAsia="en-US"/>
              </w:rPr>
              <w:t>Shareholder Rights and Engagement</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_Toc180075694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7</w:t>
            </w:r>
            <w:r w:rsidRPr="009D02F2">
              <w:rPr>
                <w:rFonts w:ascii="Arial" w:hAnsi="Arial" w:cs="Arial"/>
                <w:noProof/>
                <w:webHidden/>
                <w:sz w:val="22"/>
                <w:szCs w:val="22"/>
              </w:rPr>
              <w:fldChar w:fldCharType="end"/>
            </w:r>
          </w:hyperlink>
        </w:p>
        <w:p w14:paraId="1CFC14DD" w14:textId="29DEC677" w:rsidR="009D02F2" w:rsidRPr="009D02F2" w:rsidRDefault="009D02F2" w:rsidP="009D02F2">
          <w:pPr>
            <w:pStyle w:val="TOC1"/>
            <w:spacing w:line="360" w:lineRule="auto"/>
            <w:rPr>
              <w:rFonts w:ascii="Arial" w:hAnsi="Arial" w:cs="Arial"/>
              <w:noProof/>
              <w:sz w:val="22"/>
              <w:szCs w:val="22"/>
            </w:rPr>
          </w:pPr>
          <w:hyperlink w:anchor="_Toc180075695" w:history="1">
            <w:r w:rsidRPr="009D02F2">
              <w:rPr>
                <w:rStyle w:val="Hyperlink"/>
                <w:rFonts w:ascii="Arial" w:eastAsia="Times New Roman" w:hAnsi="Arial" w:cs="Arial"/>
                <w:noProof/>
                <w:sz w:val="22"/>
                <w:szCs w:val="22"/>
                <w:lang w:val="en-US" w:eastAsia="en-US"/>
              </w:rPr>
              <w:t>Relationship between Corporate Governance Practices and Financial Performance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_Toc180075695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8</w:t>
            </w:r>
            <w:r w:rsidRPr="009D02F2">
              <w:rPr>
                <w:rFonts w:ascii="Arial" w:hAnsi="Arial" w:cs="Arial"/>
                <w:noProof/>
                <w:webHidden/>
                <w:sz w:val="22"/>
                <w:szCs w:val="22"/>
              </w:rPr>
              <w:fldChar w:fldCharType="end"/>
            </w:r>
          </w:hyperlink>
        </w:p>
        <w:p w14:paraId="0DB92593" w14:textId="5E57BEF2" w:rsidR="009D02F2" w:rsidRPr="009D02F2" w:rsidRDefault="009D02F2" w:rsidP="009D02F2">
          <w:pPr>
            <w:pStyle w:val="TOC1"/>
            <w:spacing w:line="360" w:lineRule="auto"/>
            <w:rPr>
              <w:rFonts w:ascii="Arial" w:hAnsi="Arial" w:cs="Arial"/>
              <w:noProof/>
              <w:sz w:val="22"/>
              <w:szCs w:val="22"/>
            </w:rPr>
          </w:pPr>
          <w:hyperlink w:anchor="_Toc180075696" w:history="1">
            <w:r w:rsidRPr="009D02F2">
              <w:rPr>
                <w:rStyle w:val="Hyperlink"/>
                <w:rFonts w:ascii="Arial" w:eastAsia="Times New Roman" w:hAnsi="Arial" w:cs="Arial"/>
                <w:noProof/>
                <w:sz w:val="22"/>
                <w:szCs w:val="22"/>
                <w:lang w:val="en-US" w:eastAsia="en-US"/>
              </w:rPr>
              <w:t>ROE % and EPS% (Pence) from 2019-2023</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_Toc180075696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9</w:t>
            </w:r>
            <w:r w:rsidRPr="009D02F2">
              <w:rPr>
                <w:rFonts w:ascii="Arial" w:hAnsi="Arial" w:cs="Arial"/>
                <w:noProof/>
                <w:webHidden/>
                <w:sz w:val="22"/>
                <w:szCs w:val="22"/>
              </w:rPr>
              <w:fldChar w:fldCharType="end"/>
            </w:r>
          </w:hyperlink>
        </w:p>
        <w:p w14:paraId="12E3303A" w14:textId="7261E80C" w:rsidR="009D02F2" w:rsidRPr="009D02F2" w:rsidRDefault="009D02F2" w:rsidP="009D02F2">
          <w:pPr>
            <w:pStyle w:val="TOC1"/>
            <w:spacing w:line="360" w:lineRule="auto"/>
            <w:rPr>
              <w:rFonts w:ascii="Arial" w:hAnsi="Arial" w:cs="Arial"/>
              <w:noProof/>
              <w:sz w:val="22"/>
              <w:szCs w:val="22"/>
            </w:rPr>
          </w:pPr>
          <w:hyperlink w:anchor="_Toc180075697" w:history="1">
            <w:r w:rsidRPr="009D02F2">
              <w:rPr>
                <w:rStyle w:val="Hyperlink"/>
                <w:rFonts w:ascii="Arial" w:eastAsia="Times New Roman" w:hAnsi="Arial" w:cs="Arial"/>
                <w:noProof/>
                <w:sz w:val="22"/>
                <w:szCs w:val="22"/>
                <w:lang w:val="en-US" w:eastAsia="en-US"/>
              </w:rPr>
              <w:t>Board Structure and Performance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_Toc180075697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10</w:t>
            </w:r>
            <w:r w:rsidRPr="009D02F2">
              <w:rPr>
                <w:rFonts w:ascii="Arial" w:hAnsi="Arial" w:cs="Arial"/>
                <w:noProof/>
                <w:webHidden/>
                <w:sz w:val="22"/>
                <w:szCs w:val="22"/>
              </w:rPr>
              <w:fldChar w:fldCharType="end"/>
            </w:r>
          </w:hyperlink>
        </w:p>
        <w:p w14:paraId="30BDE0E9" w14:textId="4ED2BEF4" w:rsidR="009D02F2" w:rsidRPr="009D02F2" w:rsidRDefault="009D02F2" w:rsidP="009D02F2">
          <w:pPr>
            <w:pStyle w:val="TOC1"/>
            <w:spacing w:line="360" w:lineRule="auto"/>
            <w:rPr>
              <w:rFonts w:ascii="Arial" w:hAnsi="Arial" w:cs="Arial"/>
              <w:noProof/>
              <w:sz w:val="22"/>
              <w:szCs w:val="22"/>
            </w:rPr>
          </w:pPr>
          <w:hyperlink w:anchor="_Toc180075698" w:history="1">
            <w:r w:rsidRPr="009D02F2">
              <w:rPr>
                <w:rStyle w:val="Hyperlink"/>
                <w:rFonts w:ascii="Arial" w:eastAsia="Times New Roman" w:hAnsi="Arial" w:cs="Arial"/>
                <w:noProof/>
                <w:sz w:val="22"/>
                <w:szCs w:val="22"/>
                <w:lang w:val="en-US" w:eastAsia="en-US"/>
              </w:rPr>
              <w:t>Remuneration and Incentives</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_Toc180075698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11</w:t>
            </w:r>
            <w:r w:rsidRPr="009D02F2">
              <w:rPr>
                <w:rFonts w:ascii="Arial" w:hAnsi="Arial" w:cs="Arial"/>
                <w:noProof/>
                <w:webHidden/>
                <w:sz w:val="22"/>
                <w:szCs w:val="22"/>
              </w:rPr>
              <w:fldChar w:fldCharType="end"/>
            </w:r>
          </w:hyperlink>
        </w:p>
        <w:p w14:paraId="7F6A1B30" w14:textId="1CF97935" w:rsidR="009D02F2" w:rsidRPr="009D02F2" w:rsidRDefault="009D02F2" w:rsidP="009D02F2">
          <w:pPr>
            <w:pStyle w:val="TOC1"/>
            <w:spacing w:line="360" w:lineRule="auto"/>
            <w:rPr>
              <w:rFonts w:ascii="Arial" w:hAnsi="Arial" w:cs="Arial"/>
              <w:noProof/>
              <w:sz w:val="22"/>
              <w:szCs w:val="22"/>
            </w:rPr>
          </w:pPr>
          <w:hyperlink w:anchor="_Toc180075699" w:history="1">
            <w:r w:rsidRPr="009D02F2">
              <w:rPr>
                <w:rStyle w:val="Hyperlink"/>
                <w:rFonts w:ascii="Arial" w:eastAsia="Times New Roman" w:hAnsi="Arial" w:cs="Arial"/>
                <w:noProof/>
                <w:sz w:val="22"/>
                <w:szCs w:val="22"/>
                <w:lang w:val="en-US" w:eastAsia="en-US"/>
              </w:rPr>
              <w:t>Audit and Risk Management</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_Toc180075699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12</w:t>
            </w:r>
            <w:r w:rsidRPr="009D02F2">
              <w:rPr>
                <w:rFonts w:ascii="Arial" w:hAnsi="Arial" w:cs="Arial"/>
                <w:noProof/>
                <w:webHidden/>
                <w:sz w:val="22"/>
                <w:szCs w:val="22"/>
              </w:rPr>
              <w:fldChar w:fldCharType="end"/>
            </w:r>
          </w:hyperlink>
        </w:p>
        <w:p w14:paraId="24A20AC2" w14:textId="582A6A68" w:rsidR="009D02F2" w:rsidRPr="009D02F2" w:rsidRDefault="009D02F2" w:rsidP="009D02F2">
          <w:pPr>
            <w:pStyle w:val="TOC1"/>
            <w:spacing w:line="360" w:lineRule="auto"/>
            <w:rPr>
              <w:rFonts w:ascii="Arial" w:hAnsi="Arial" w:cs="Arial"/>
              <w:noProof/>
              <w:sz w:val="22"/>
              <w:szCs w:val="22"/>
            </w:rPr>
          </w:pPr>
          <w:hyperlink w:anchor="_Toc180075700" w:history="1">
            <w:r w:rsidRPr="009D02F2">
              <w:rPr>
                <w:rStyle w:val="Hyperlink"/>
                <w:rFonts w:ascii="Arial" w:eastAsia="Times New Roman" w:hAnsi="Arial" w:cs="Arial"/>
                <w:noProof/>
                <w:sz w:val="22"/>
                <w:szCs w:val="22"/>
                <w:lang w:val="en-US" w:eastAsia="en-US"/>
              </w:rPr>
              <w:t>Governance Practices and Financial Performance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_Toc180075700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12</w:t>
            </w:r>
            <w:r w:rsidRPr="009D02F2">
              <w:rPr>
                <w:rFonts w:ascii="Arial" w:hAnsi="Arial" w:cs="Arial"/>
                <w:noProof/>
                <w:webHidden/>
                <w:sz w:val="22"/>
                <w:szCs w:val="22"/>
              </w:rPr>
              <w:fldChar w:fldCharType="end"/>
            </w:r>
          </w:hyperlink>
        </w:p>
        <w:p w14:paraId="778373CA" w14:textId="2B4E4633" w:rsidR="009D02F2" w:rsidRPr="009D02F2" w:rsidRDefault="009D02F2" w:rsidP="009D02F2">
          <w:pPr>
            <w:pStyle w:val="TOC1"/>
            <w:spacing w:line="360" w:lineRule="auto"/>
            <w:rPr>
              <w:rFonts w:ascii="Arial" w:hAnsi="Arial" w:cs="Arial"/>
              <w:noProof/>
              <w:sz w:val="22"/>
              <w:szCs w:val="22"/>
            </w:rPr>
          </w:pPr>
          <w:hyperlink w:anchor="_Toc180075701" w:history="1">
            <w:r w:rsidRPr="009D02F2">
              <w:rPr>
                <w:rStyle w:val="Hyperlink"/>
                <w:rFonts w:ascii="Arial" w:eastAsia="Times New Roman" w:hAnsi="Arial" w:cs="Arial"/>
                <w:noProof/>
                <w:sz w:val="22"/>
                <w:szCs w:val="22"/>
                <w:lang w:val="en-US" w:eastAsia="en-US"/>
              </w:rPr>
              <w:t>Conclusion</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_Toc180075701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13</w:t>
            </w:r>
            <w:r w:rsidRPr="009D02F2">
              <w:rPr>
                <w:rFonts w:ascii="Arial" w:hAnsi="Arial" w:cs="Arial"/>
                <w:noProof/>
                <w:webHidden/>
                <w:sz w:val="22"/>
                <w:szCs w:val="22"/>
              </w:rPr>
              <w:fldChar w:fldCharType="end"/>
            </w:r>
          </w:hyperlink>
        </w:p>
        <w:p w14:paraId="08FDF8E2" w14:textId="48FA6E0B" w:rsidR="009D02F2" w:rsidRPr="009D02F2" w:rsidRDefault="009D02F2" w:rsidP="009D02F2">
          <w:pPr>
            <w:pStyle w:val="TOC1"/>
            <w:spacing w:line="360" w:lineRule="auto"/>
            <w:rPr>
              <w:rFonts w:ascii="Arial" w:hAnsi="Arial" w:cs="Arial"/>
              <w:noProof/>
              <w:sz w:val="22"/>
              <w:szCs w:val="22"/>
            </w:rPr>
          </w:pPr>
          <w:hyperlink w:anchor="_Toc180075702" w:history="1">
            <w:r w:rsidRPr="009D02F2">
              <w:rPr>
                <w:rStyle w:val="Hyperlink"/>
                <w:rFonts w:ascii="Arial" w:eastAsia="Times New Roman" w:hAnsi="Arial" w:cs="Arial"/>
                <w:noProof/>
                <w:sz w:val="22"/>
                <w:szCs w:val="22"/>
                <w:lang w:val="en-US" w:eastAsia="en-US"/>
              </w:rPr>
              <w:t>Reference</w:t>
            </w:r>
            <w:r w:rsidRPr="009D02F2">
              <w:rPr>
                <w:rFonts w:ascii="Arial" w:hAnsi="Arial" w:cs="Arial"/>
                <w:noProof/>
                <w:webHidden/>
                <w:sz w:val="22"/>
                <w:szCs w:val="22"/>
              </w:rPr>
              <w:tab/>
            </w:r>
            <w:r w:rsidRPr="009D02F2">
              <w:rPr>
                <w:rFonts w:ascii="Arial" w:hAnsi="Arial" w:cs="Arial"/>
                <w:noProof/>
                <w:webHidden/>
                <w:sz w:val="22"/>
                <w:szCs w:val="22"/>
              </w:rPr>
              <w:fldChar w:fldCharType="begin"/>
            </w:r>
            <w:r w:rsidRPr="009D02F2">
              <w:rPr>
                <w:rFonts w:ascii="Arial" w:hAnsi="Arial" w:cs="Arial"/>
                <w:noProof/>
                <w:webHidden/>
                <w:sz w:val="22"/>
                <w:szCs w:val="22"/>
              </w:rPr>
              <w:instrText xml:space="preserve"> PAGEREF _Toc180075702 \h </w:instrText>
            </w:r>
            <w:r w:rsidRPr="009D02F2">
              <w:rPr>
                <w:rFonts w:ascii="Arial" w:hAnsi="Arial" w:cs="Arial"/>
                <w:noProof/>
                <w:webHidden/>
                <w:sz w:val="22"/>
                <w:szCs w:val="22"/>
              </w:rPr>
            </w:r>
            <w:r w:rsidRPr="009D02F2">
              <w:rPr>
                <w:rFonts w:ascii="Arial" w:hAnsi="Arial" w:cs="Arial"/>
                <w:noProof/>
                <w:webHidden/>
                <w:sz w:val="22"/>
                <w:szCs w:val="22"/>
              </w:rPr>
              <w:fldChar w:fldCharType="separate"/>
            </w:r>
            <w:r w:rsidRPr="009D02F2">
              <w:rPr>
                <w:rFonts w:ascii="Arial" w:hAnsi="Arial" w:cs="Arial"/>
                <w:noProof/>
                <w:webHidden/>
                <w:sz w:val="22"/>
                <w:szCs w:val="22"/>
              </w:rPr>
              <w:t>14</w:t>
            </w:r>
            <w:r w:rsidRPr="009D02F2">
              <w:rPr>
                <w:rFonts w:ascii="Arial" w:hAnsi="Arial" w:cs="Arial"/>
                <w:noProof/>
                <w:webHidden/>
                <w:sz w:val="22"/>
                <w:szCs w:val="22"/>
              </w:rPr>
              <w:fldChar w:fldCharType="end"/>
            </w:r>
          </w:hyperlink>
        </w:p>
        <w:p w14:paraId="7F784EA2" w14:textId="1241AA2E" w:rsidR="00A33F6F" w:rsidRPr="0011373E" w:rsidRDefault="00A33F6F" w:rsidP="009D02F2">
          <w:pPr>
            <w:spacing w:line="360" w:lineRule="auto"/>
            <w:jc w:val="both"/>
            <w:rPr>
              <w:rFonts w:ascii="Arial" w:hAnsi="Arial" w:cs="Arial"/>
              <w:sz w:val="22"/>
              <w:szCs w:val="22"/>
            </w:rPr>
          </w:pPr>
          <w:r w:rsidRPr="009D02F2">
            <w:rPr>
              <w:rFonts w:ascii="Arial" w:hAnsi="Arial" w:cs="Arial"/>
              <w:noProof/>
              <w:sz w:val="22"/>
              <w:szCs w:val="22"/>
            </w:rPr>
            <w:fldChar w:fldCharType="end"/>
          </w:r>
        </w:p>
      </w:sdtContent>
    </w:sdt>
    <w:p w14:paraId="27856865" w14:textId="1B1E9DF7" w:rsidR="00A33F6F" w:rsidRPr="00D1682D" w:rsidRDefault="00A33F6F" w:rsidP="00C452C7">
      <w:pPr>
        <w:spacing w:line="360" w:lineRule="auto"/>
        <w:jc w:val="both"/>
        <w:rPr>
          <w:rFonts w:ascii="Arial" w:eastAsia="Arial" w:hAnsi="Arial" w:cs="Arial"/>
          <w:color w:val="000000" w:themeColor="text1"/>
          <w:sz w:val="22"/>
          <w:szCs w:val="22"/>
        </w:rPr>
      </w:pPr>
    </w:p>
    <w:p w14:paraId="009ECAA0" w14:textId="77777777" w:rsidR="00A33F6F" w:rsidRPr="00D1682D" w:rsidRDefault="00A33F6F" w:rsidP="00C452C7">
      <w:pPr>
        <w:spacing w:line="360" w:lineRule="auto"/>
        <w:jc w:val="both"/>
        <w:rPr>
          <w:rFonts w:ascii="Arial" w:eastAsia="Arial" w:hAnsi="Arial" w:cs="Arial"/>
          <w:color w:val="000000" w:themeColor="text1"/>
          <w:sz w:val="22"/>
          <w:szCs w:val="22"/>
        </w:rPr>
      </w:pPr>
      <w:r w:rsidRPr="00D1682D">
        <w:rPr>
          <w:rFonts w:ascii="Arial" w:eastAsia="Arial" w:hAnsi="Arial" w:cs="Arial"/>
          <w:color w:val="000000" w:themeColor="text1"/>
          <w:sz w:val="22"/>
          <w:szCs w:val="22"/>
        </w:rPr>
        <w:br w:type="page"/>
      </w:r>
    </w:p>
    <w:p w14:paraId="4D49F2B0" w14:textId="77777777" w:rsidR="004A110E" w:rsidRPr="004A110E" w:rsidRDefault="004A110E" w:rsidP="004A110E">
      <w:pPr>
        <w:pStyle w:val="Heading1"/>
        <w:spacing w:line="360" w:lineRule="auto"/>
        <w:rPr>
          <w:rFonts w:ascii="Arial" w:eastAsia="Times New Roman" w:hAnsi="Arial" w:cs="Arial"/>
          <w:sz w:val="22"/>
          <w:szCs w:val="22"/>
          <w:lang w:val="en-US" w:eastAsia="en-US"/>
        </w:rPr>
      </w:pPr>
      <w:bookmarkStart w:id="0" w:name="_Toc180075687"/>
      <w:r w:rsidRPr="004A110E">
        <w:rPr>
          <w:rFonts w:ascii="Arial" w:eastAsia="Times New Roman" w:hAnsi="Arial" w:cs="Arial"/>
          <w:sz w:val="22"/>
          <w:szCs w:val="22"/>
          <w:lang w:val="en-US" w:eastAsia="en-US"/>
        </w:rPr>
        <w:lastRenderedPageBreak/>
        <w:t>Table of Figure</w:t>
      </w:r>
      <w:bookmarkEnd w:id="0"/>
    </w:p>
    <w:p w14:paraId="2126091F" w14:textId="77777777" w:rsidR="004A110E" w:rsidRDefault="004A110E">
      <w:pPr>
        <w:pStyle w:val="TableofFigures"/>
        <w:tabs>
          <w:tab w:val="right" w:leader="dot" w:pos="9016"/>
        </w:tabs>
        <w:rPr>
          <w:rFonts w:ascii="Arial" w:eastAsia="Times New Roman" w:hAnsi="Arial" w:cs="Arial"/>
          <w:kern w:val="0"/>
          <w:sz w:val="22"/>
          <w:szCs w:val="22"/>
          <w:lang w:val="en-US" w:eastAsia="en-US"/>
          <w14:ligatures w14:val="none"/>
        </w:rPr>
      </w:pPr>
    </w:p>
    <w:p w14:paraId="1091A3BD" w14:textId="28F02E1E" w:rsidR="004A110E" w:rsidRPr="009B1A5A" w:rsidRDefault="004A110E" w:rsidP="009B1A5A">
      <w:pPr>
        <w:pStyle w:val="TableofFigures"/>
        <w:tabs>
          <w:tab w:val="right" w:leader="dot" w:pos="9016"/>
        </w:tabs>
        <w:spacing w:line="360" w:lineRule="auto"/>
        <w:rPr>
          <w:rFonts w:ascii="Arial" w:hAnsi="Arial" w:cs="Arial"/>
          <w:noProof/>
          <w:sz w:val="22"/>
          <w:szCs w:val="22"/>
        </w:rPr>
      </w:pPr>
      <w:r>
        <w:rPr>
          <w:rFonts w:ascii="Arial" w:eastAsia="Times New Roman" w:hAnsi="Arial" w:cs="Arial"/>
          <w:kern w:val="0"/>
          <w:sz w:val="22"/>
          <w:szCs w:val="22"/>
          <w:lang w:val="en-US" w:eastAsia="en-US"/>
          <w14:ligatures w14:val="none"/>
        </w:rPr>
        <w:fldChar w:fldCharType="begin"/>
      </w:r>
      <w:r>
        <w:rPr>
          <w:rFonts w:ascii="Arial" w:eastAsia="Times New Roman" w:hAnsi="Arial" w:cs="Arial"/>
          <w:kern w:val="0"/>
          <w:sz w:val="22"/>
          <w:szCs w:val="22"/>
          <w:lang w:val="en-US" w:eastAsia="en-US"/>
          <w14:ligatures w14:val="none"/>
        </w:rPr>
        <w:instrText xml:space="preserve"> TOC \h \z \c "Figure" </w:instrText>
      </w:r>
      <w:r>
        <w:rPr>
          <w:rFonts w:ascii="Arial" w:eastAsia="Times New Roman" w:hAnsi="Arial" w:cs="Arial"/>
          <w:kern w:val="0"/>
          <w:sz w:val="22"/>
          <w:szCs w:val="22"/>
          <w:lang w:val="en-US" w:eastAsia="en-US"/>
          <w14:ligatures w14:val="none"/>
        </w:rPr>
        <w:fldChar w:fldCharType="separate"/>
      </w:r>
      <w:hyperlink w:anchor="_Toc180073797" w:history="1">
        <w:r w:rsidRPr="009B1A5A">
          <w:rPr>
            <w:rStyle w:val="Hyperlink"/>
            <w:rFonts w:ascii="Arial" w:eastAsiaTheme="minorHAnsi" w:hAnsi="Arial" w:cs="Arial"/>
            <w:noProof/>
            <w:sz w:val="22"/>
            <w:szCs w:val="22"/>
            <w:lang w:val="en-US" w:eastAsia="en-US"/>
          </w:rPr>
          <w:t>Figure 1: 5-Year Revenue, Operating Profits and Share Prices</w:t>
        </w:r>
        <w:r w:rsidRPr="009B1A5A">
          <w:rPr>
            <w:rFonts w:ascii="Arial" w:hAnsi="Arial" w:cs="Arial"/>
            <w:noProof/>
            <w:webHidden/>
            <w:sz w:val="22"/>
            <w:szCs w:val="22"/>
          </w:rPr>
          <w:tab/>
        </w:r>
        <w:r w:rsidRPr="009B1A5A">
          <w:rPr>
            <w:rFonts w:ascii="Arial" w:hAnsi="Arial" w:cs="Arial"/>
            <w:noProof/>
            <w:webHidden/>
            <w:sz w:val="22"/>
            <w:szCs w:val="22"/>
          </w:rPr>
          <w:fldChar w:fldCharType="begin"/>
        </w:r>
        <w:r w:rsidRPr="009B1A5A">
          <w:rPr>
            <w:rFonts w:ascii="Arial" w:hAnsi="Arial" w:cs="Arial"/>
            <w:noProof/>
            <w:webHidden/>
            <w:sz w:val="22"/>
            <w:szCs w:val="22"/>
          </w:rPr>
          <w:instrText xml:space="preserve"> PAGEREF _Toc180073797 \h </w:instrText>
        </w:r>
        <w:r w:rsidRPr="009B1A5A">
          <w:rPr>
            <w:rFonts w:ascii="Arial" w:hAnsi="Arial" w:cs="Arial"/>
            <w:noProof/>
            <w:webHidden/>
            <w:sz w:val="22"/>
            <w:szCs w:val="22"/>
          </w:rPr>
        </w:r>
        <w:r w:rsidRPr="009B1A5A">
          <w:rPr>
            <w:rFonts w:ascii="Arial" w:hAnsi="Arial" w:cs="Arial"/>
            <w:noProof/>
            <w:webHidden/>
            <w:sz w:val="22"/>
            <w:szCs w:val="22"/>
          </w:rPr>
          <w:fldChar w:fldCharType="separate"/>
        </w:r>
        <w:r w:rsidRPr="009B1A5A">
          <w:rPr>
            <w:rFonts w:ascii="Arial" w:hAnsi="Arial" w:cs="Arial"/>
            <w:noProof/>
            <w:webHidden/>
            <w:sz w:val="22"/>
            <w:szCs w:val="22"/>
          </w:rPr>
          <w:t>7</w:t>
        </w:r>
        <w:r w:rsidRPr="009B1A5A">
          <w:rPr>
            <w:rFonts w:ascii="Arial" w:hAnsi="Arial" w:cs="Arial"/>
            <w:noProof/>
            <w:webHidden/>
            <w:sz w:val="22"/>
            <w:szCs w:val="22"/>
          </w:rPr>
          <w:fldChar w:fldCharType="end"/>
        </w:r>
      </w:hyperlink>
    </w:p>
    <w:p w14:paraId="3E4338B7" w14:textId="06A526EC" w:rsidR="004A110E" w:rsidRPr="009B1A5A" w:rsidRDefault="004A110E" w:rsidP="009B1A5A">
      <w:pPr>
        <w:pStyle w:val="TableofFigures"/>
        <w:tabs>
          <w:tab w:val="right" w:leader="dot" w:pos="9016"/>
        </w:tabs>
        <w:spacing w:line="360" w:lineRule="auto"/>
        <w:rPr>
          <w:rFonts w:ascii="Arial" w:hAnsi="Arial" w:cs="Arial"/>
          <w:noProof/>
          <w:sz w:val="22"/>
          <w:szCs w:val="22"/>
        </w:rPr>
      </w:pPr>
      <w:hyperlink w:anchor="_Toc180073798" w:history="1">
        <w:r w:rsidRPr="009B1A5A">
          <w:rPr>
            <w:rStyle w:val="Hyperlink"/>
            <w:rFonts w:ascii="Arial" w:eastAsiaTheme="minorHAnsi" w:hAnsi="Arial" w:cs="Arial"/>
            <w:noProof/>
            <w:sz w:val="22"/>
            <w:szCs w:val="22"/>
            <w:lang w:val="en-US" w:eastAsia="en-US"/>
          </w:rPr>
          <w:t>Figure 2: ROE (%) and EPS (pence) from 2019-2023</w:t>
        </w:r>
        <w:r w:rsidRPr="009B1A5A">
          <w:rPr>
            <w:rFonts w:ascii="Arial" w:hAnsi="Arial" w:cs="Arial"/>
            <w:noProof/>
            <w:webHidden/>
            <w:sz w:val="22"/>
            <w:szCs w:val="22"/>
          </w:rPr>
          <w:tab/>
        </w:r>
        <w:r w:rsidRPr="009B1A5A">
          <w:rPr>
            <w:rFonts w:ascii="Arial" w:hAnsi="Arial" w:cs="Arial"/>
            <w:noProof/>
            <w:webHidden/>
            <w:sz w:val="22"/>
            <w:szCs w:val="22"/>
          </w:rPr>
          <w:fldChar w:fldCharType="begin"/>
        </w:r>
        <w:r w:rsidRPr="009B1A5A">
          <w:rPr>
            <w:rFonts w:ascii="Arial" w:hAnsi="Arial" w:cs="Arial"/>
            <w:noProof/>
            <w:webHidden/>
            <w:sz w:val="22"/>
            <w:szCs w:val="22"/>
          </w:rPr>
          <w:instrText xml:space="preserve"> PAGEREF _Toc180073798 \h </w:instrText>
        </w:r>
        <w:r w:rsidRPr="009B1A5A">
          <w:rPr>
            <w:rFonts w:ascii="Arial" w:hAnsi="Arial" w:cs="Arial"/>
            <w:noProof/>
            <w:webHidden/>
            <w:sz w:val="22"/>
            <w:szCs w:val="22"/>
          </w:rPr>
        </w:r>
        <w:r w:rsidRPr="009B1A5A">
          <w:rPr>
            <w:rFonts w:ascii="Arial" w:hAnsi="Arial" w:cs="Arial"/>
            <w:noProof/>
            <w:webHidden/>
            <w:sz w:val="22"/>
            <w:szCs w:val="22"/>
          </w:rPr>
          <w:fldChar w:fldCharType="separate"/>
        </w:r>
        <w:r w:rsidRPr="009B1A5A">
          <w:rPr>
            <w:rFonts w:ascii="Arial" w:hAnsi="Arial" w:cs="Arial"/>
            <w:noProof/>
            <w:webHidden/>
            <w:sz w:val="22"/>
            <w:szCs w:val="22"/>
          </w:rPr>
          <w:t>8</w:t>
        </w:r>
        <w:r w:rsidRPr="009B1A5A">
          <w:rPr>
            <w:rFonts w:ascii="Arial" w:hAnsi="Arial" w:cs="Arial"/>
            <w:noProof/>
            <w:webHidden/>
            <w:sz w:val="22"/>
            <w:szCs w:val="22"/>
          </w:rPr>
          <w:fldChar w:fldCharType="end"/>
        </w:r>
      </w:hyperlink>
    </w:p>
    <w:p w14:paraId="33E3A105" w14:textId="757CDAC7" w:rsidR="004A110E" w:rsidRPr="009B1A5A" w:rsidRDefault="004A110E" w:rsidP="009B1A5A">
      <w:pPr>
        <w:pStyle w:val="TableofFigures"/>
        <w:tabs>
          <w:tab w:val="right" w:leader="dot" w:pos="9016"/>
        </w:tabs>
        <w:spacing w:line="360" w:lineRule="auto"/>
        <w:rPr>
          <w:rFonts w:ascii="Arial" w:hAnsi="Arial" w:cs="Arial"/>
          <w:noProof/>
          <w:sz w:val="22"/>
          <w:szCs w:val="22"/>
        </w:rPr>
      </w:pPr>
      <w:hyperlink w:anchor="_Toc180073799" w:history="1">
        <w:r w:rsidRPr="009B1A5A">
          <w:rPr>
            <w:rStyle w:val="Hyperlink"/>
            <w:rFonts w:ascii="Arial" w:eastAsiaTheme="minorHAnsi" w:hAnsi="Arial" w:cs="Arial"/>
            <w:noProof/>
            <w:sz w:val="22"/>
            <w:szCs w:val="22"/>
            <w:lang w:val="en-US" w:eastAsia="en-US"/>
          </w:rPr>
          <w:t>Figure 3: Independent Directors</w:t>
        </w:r>
        <w:r w:rsidRPr="009B1A5A">
          <w:rPr>
            <w:rFonts w:ascii="Arial" w:hAnsi="Arial" w:cs="Arial"/>
            <w:noProof/>
            <w:webHidden/>
            <w:sz w:val="22"/>
            <w:szCs w:val="22"/>
          </w:rPr>
          <w:tab/>
        </w:r>
        <w:r w:rsidRPr="009B1A5A">
          <w:rPr>
            <w:rFonts w:ascii="Arial" w:hAnsi="Arial" w:cs="Arial"/>
            <w:noProof/>
            <w:webHidden/>
            <w:sz w:val="22"/>
            <w:szCs w:val="22"/>
          </w:rPr>
          <w:fldChar w:fldCharType="begin"/>
        </w:r>
        <w:r w:rsidRPr="009B1A5A">
          <w:rPr>
            <w:rFonts w:ascii="Arial" w:hAnsi="Arial" w:cs="Arial"/>
            <w:noProof/>
            <w:webHidden/>
            <w:sz w:val="22"/>
            <w:szCs w:val="22"/>
          </w:rPr>
          <w:instrText xml:space="preserve"> PAGEREF _Toc180073799 \h </w:instrText>
        </w:r>
        <w:r w:rsidRPr="009B1A5A">
          <w:rPr>
            <w:rFonts w:ascii="Arial" w:hAnsi="Arial" w:cs="Arial"/>
            <w:noProof/>
            <w:webHidden/>
            <w:sz w:val="22"/>
            <w:szCs w:val="22"/>
          </w:rPr>
        </w:r>
        <w:r w:rsidRPr="009B1A5A">
          <w:rPr>
            <w:rFonts w:ascii="Arial" w:hAnsi="Arial" w:cs="Arial"/>
            <w:noProof/>
            <w:webHidden/>
            <w:sz w:val="22"/>
            <w:szCs w:val="22"/>
          </w:rPr>
          <w:fldChar w:fldCharType="separate"/>
        </w:r>
        <w:r w:rsidRPr="009B1A5A">
          <w:rPr>
            <w:rFonts w:ascii="Arial" w:hAnsi="Arial" w:cs="Arial"/>
            <w:noProof/>
            <w:webHidden/>
            <w:sz w:val="22"/>
            <w:szCs w:val="22"/>
          </w:rPr>
          <w:t>8</w:t>
        </w:r>
        <w:r w:rsidRPr="009B1A5A">
          <w:rPr>
            <w:rFonts w:ascii="Arial" w:hAnsi="Arial" w:cs="Arial"/>
            <w:noProof/>
            <w:webHidden/>
            <w:sz w:val="22"/>
            <w:szCs w:val="22"/>
          </w:rPr>
          <w:fldChar w:fldCharType="end"/>
        </w:r>
      </w:hyperlink>
    </w:p>
    <w:p w14:paraId="3EA4FCCE" w14:textId="111E1308" w:rsidR="004A110E" w:rsidRPr="009B1A5A" w:rsidRDefault="004A110E" w:rsidP="009B1A5A">
      <w:pPr>
        <w:pStyle w:val="TableofFigures"/>
        <w:tabs>
          <w:tab w:val="right" w:leader="dot" w:pos="9016"/>
        </w:tabs>
        <w:spacing w:line="360" w:lineRule="auto"/>
        <w:rPr>
          <w:rFonts w:ascii="Arial" w:hAnsi="Arial" w:cs="Arial"/>
          <w:noProof/>
          <w:sz w:val="22"/>
          <w:szCs w:val="22"/>
        </w:rPr>
      </w:pPr>
      <w:hyperlink w:anchor="_Toc180073800" w:history="1">
        <w:r w:rsidRPr="009B1A5A">
          <w:rPr>
            <w:rStyle w:val="Hyperlink"/>
            <w:rFonts w:ascii="Arial" w:eastAsiaTheme="minorHAnsi" w:hAnsi="Arial" w:cs="Arial"/>
            <w:noProof/>
            <w:sz w:val="22"/>
            <w:szCs w:val="22"/>
            <w:lang w:val="en-US" w:eastAsia="en-US"/>
          </w:rPr>
          <w:t>Figure 4: 5-year trend for CEO compensation, EPS and ROE</w:t>
        </w:r>
        <w:r w:rsidRPr="009B1A5A">
          <w:rPr>
            <w:rFonts w:ascii="Arial" w:hAnsi="Arial" w:cs="Arial"/>
            <w:noProof/>
            <w:webHidden/>
            <w:sz w:val="22"/>
            <w:szCs w:val="22"/>
          </w:rPr>
          <w:tab/>
        </w:r>
        <w:r w:rsidRPr="009B1A5A">
          <w:rPr>
            <w:rFonts w:ascii="Arial" w:hAnsi="Arial" w:cs="Arial"/>
            <w:noProof/>
            <w:webHidden/>
            <w:sz w:val="22"/>
            <w:szCs w:val="22"/>
          </w:rPr>
          <w:fldChar w:fldCharType="begin"/>
        </w:r>
        <w:r w:rsidRPr="009B1A5A">
          <w:rPr>
            <w:rFonts w:ascii="Arial" w:hAnsi="Arial" w:cs="Arial"/>
            <w:noProof/>
            <w:webHidden/>
            <w:sz w:val="22"/>
            <w:szCs w:val="22"/>
          </w:rPr>
          <w:instrText xml:space="preserve"> PAGEREF _Toc180073800 \h </w:instrText>
        </w:r>
        <w:r w:rsidRPr="009B1A5A">
          <w:rPr>
            <w:rFonts w:ascii="Arial" w:hAnsi="Arial" w:cs="Arial"/>
            <w:noProof/>
            <w:webHidden/>
            <w:sz w:val="22"/>
            <w:szCs w:val="22"/>
          </w:rPr>
        </w:r>
        <w:r w:rsidRPr="009B1A5A">
          <w:rPr>
            <w:rFonts w:ascii="Arial" w:hAnsi="Arial" w:cs="Arial"/>
            <w:noProof/>
            <w:webHidden/>
            <w:sz w:val="22"/>
            <w:szCs w:val="22"/>
          </w:rPr>
          <w:fldChar w:fldCharType="separate"/>
        </w:r>
        <w:r w:rsidRPr="009B1A5A">
          <w:rPr>
            <w:rFonts w:ascii="Arial" w:hAnsi="Arial" w:cs="Arial"/>
            <w:noProof/>
            <w:webHidden/>
            <w:sz w:val="22"/>
            <w:szCs w:val="22"/>
          </w:rPr>
          <w:t>9</w:t>
        </w:r>
        <w:r w:rsidRPr="009B1A5A">
          <w:rPr>
            <w:rFonts w:ascii="Arial" w:hAnsi="Arial" w:cs="Arial"/>
            <w:noProof/>
            <w:webHidden/>
            <w:sz w:val="22"/>
            <w:szCs w:val="22"/>
          </w:rPr>
          <w:fldChar w:fldCharType="end"/>
        </w:r>
      </w:hyperlink>
    </w:p>
    <w:p w14:paraId="2C917389" w14:textId="5A834952" w:rsidR="0070116F" w:rsidRPr="00D1682D" w:rsidRDefault="004A110E" w:rsidP="00C452C7">
      <w:pPr>
        <w:spacing w:after="0" w:line="360" w:lineRule="auto"/>
        <w:jc w:val="both"/>
        <w:rPr>
          <w:rFonts w:ascii="Arial" w:eastAsia="Times New Roman" w:hAnsi="Arial" w:cs="Arial"/>
          <w:kern w:val="0"/>
          <w:sz w:val="22"/>
          <w:szCs w:val="22"/>
          <w:lang w:val="en-US" w:eastAsia="en-US"/>
          <w14:ligatures w14:val="none"/>
        </w:rPr>
      </w:pPr>
      <w:r>
        <w:rPr>
          <w:rFonts w:ascii="Arial" w:eastAsia="Times New Roman" w:hAnsi="Arial" w:cs="Arial"/>
          <w:kern w:val="0"/>
          <w:sz w:val="22"/>
          <w:szCs w:val="22"/>
          <w:lang w:val="en-US" w:eastAsia="en-US"/>
          <w14:ligatures w14:val="none"/>
        </w:rPr>
        <w:fldChar w:fldCharType="end"/>
      </w:r>
    </w:p>
    <w:p w14:paraId="630A1799" w14:textId="77777777" w:rsidR="0070116F" w:rsidRPr="00D1682D" w:rsidRDefault="0070116F" w:rsidP="00C452C7">
      <w:pPr>
        <w:spacing w:after="0" w:line="360" w:lineRule="auto"/>
        <w:jc w:val="both"/>
        <w:rPr>
          <w:rFonts w:ascii="Arial" w:eastAsia="Times New Roman" w:hAnsi="Arial" w:cs="Arial"/>
          <w:kern w:val="0"/>
          <w:sz w:val="22"/>
          <w:szCs w:val="22"/>
          <w:lang w:val="en-US" w:eastAsia="en-US"/>
          <w14:ligatures w14:val="none"/>
        </w:rPr>
      </w:pPr>
    </w:p>
    <w:p w14:paraId="153837B4" w14:textId="77777777" w:rsidR="0070116F" w:rsidRPr="00D1682D" w:rsidRDefault="0070116F" w:rsidP="00C452C7">
      <w:pPr>
        <w:spacing w:after="0" w:line="360" w:lineRule="auto"/>
        <w:jc w:val="both"/>
        <w:rPr>
          <w:rFonts w:ascii="Arial" w:eastAsia="Times New Roman" w:hAnsi="Arial" w:cs="Arial"/>
          <w:kern w:val="0"/>
          <w:sz w:val="22"/>
          <w:szCs w:val="22"/>
          <w:lang w:val="en-US" w:eastAsia="en-US"/>
          <w14:ligatures w14:val="none"/>
        </w:rPr>
      </w:pPr>
    </w:p>
    <w:p w14:paraId="35FE78EE" w14:textId="6DF20F5E" w:rsidR="0070116F" w:rsidRPr="00D1682D" w:rsidRDefault="0070116F" w:rsidP="00C452C7">
      <w:pPr>
        <w:spacing w:after="0" w:line="360" w:lineRule="auto"/>
        <w:jc w:val="both"/>
        <w:rPr>
          <w:rFonts w:ascii="Arial" w:eastAsia="Times New Roman" w:hAnsi="Arial" w:cs="Arial"/>
          <w:kern w:val="0"/>
          <w:sz w:val="22"/>
          <w:szCs w:val="22"/>
          <w:lang w:val="en-US" w:eastAsia="en-US"/>
          <w14:ligatures w14:val="none"/>
        </w:rPr>
      </w:pPr>
    </w:p>
    <w:p w14:paraId="7A6CAAE0" w14:textId="1A85CAA4" w:rsidR="0070116F" w:rsidRPr="00D1682D" w:rsidRDefault="0070116F" w:rsidP="00C452C7">
      <w:pPr>
        <w:spacing w:after="0" w:line="360" w:lineRule="auto"/>
        <w:jc w:val="both"/>
        <w:rPr>
          <w:rFonts w:ascii="Arial" w:eastAsia="Times New Roman" w:hAnsi="Arial" w:cs="Arial"/>
          <w:kern w:val="0"/>
          <w:sz w:val="22"/>
          <w:szCs w:val="22"/>
          <w:lang w:val="en-US" w:eastAsia="en-US"/>
          <w14:ligatures w14:val="none"/>
        </w:rPr>
      </w:pPr>
      <w:r w:rsidRPr="00D1682D">
        <w:rPr>
          <w:rFonts w:ascii="Arial" w:eastAsiaTheme="minorHAnsi" w:hAnsi="Arial" w:cs="Arial"/>
          <w:sz w:val="22"/>
          <w:szCs w:val="22"/>
          <w:lang w:val="en-US" w:eastAsia="en-US"/>
        </w:rPr>
        <w:br w:type="page"/>
      </w:r>
    </w:p>
    <w:p w14:paraId="35E44724" w14:textId="77777777" w:rsidR="0070116F" w:rsidRPr="00D1682D" w:rsidRDefault="0070116F" w:rsidP="00C452C7">
      <w:pPr>
        <w:pStyle w:val="Heading1"/>
        <w:spacing w:line="360" w:lineRule="auto"/>
        <w:jc w:val="both"/>
        <w:rPr>
          <w:rFonts w:ascii="Arial" w:eastAsia="Times New Roman" w:hAnsi="Arial" w:cs="Arial"/>
          <w:sz w:val="22"/>
          <w:szCs w:val="22"/>
          <w:lang w:val="en-US" w:eastAsia="en-US"/>
        </w:rPr>
      </w:pPr>
      <w:bookmarkStart w:id="1" w:name="_Toc180075688"/>
      <w:r w:rsidRPr="00D1682D">
        <w:rPr>
          <w:rFonts w:ascii="Arial" w:eastAsia="Times New Roman" w:hAnsi="Arial" w:cs="Arial"/>
          <w:sz w:val="22"/>
          <w:szCs w:val="22"/>
          <w:lang w:val="en-US" w:eastAsia="en-US"/>
        </w:rPr>
        <w:lastRenderedPageBreak/>
        <w:t>Introduction</w:t>
      </w:r>
      <w:bookmarkEnd w:id="1"/>
    </w:p>
    <w:p w14:paraId="1189FBFC" w14:textId="2965759C"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Corporate governance encompasses the rules, practices, and processes by which an organization </w:t>
      </w:r>
      <w:bookmarkStart w:id="2" w:name="_Int_UmDVPP5P"/>
      <w:r w:rsidRPr="00D1682D">
        <w:rPr>
          <w:rFonts w:ascii="Arial" w:eastAsia="Times New Roman" w:hAnsi="Arial" w:cs="Arial"/>
          <w:kern w:val="0"/>
          <w:sz w:val="22"/>
          <w:szCs w:val="22"/>
          <w:lang w:val="en-US" w:eastAsia="en-US"/>
          <w14:ligatures w14:val="none"/>
        </w:rPr>
        <w:t>is controlled</w:t>
      </w:r>
      <w:bookmarkEnd w:id="2"/>
      <w:r w:rsidRPr="00D1682D">
        <w:rPr>
          <w:rFonts w:ascii="Arial" w:eastAsia="Times New Roman" w:hAnsi="Arial" w:cs="Arial"/>
          <w:kern w:val="0"/>
          <w:sz w:val="22"/>
          <w:szCs w:val="22"/>
          <w:lang w:val="en-US" w:eastAsia="en-US"/>
          <w14:ligatures w14:val="none"/>
        </w:rPr>
        <w:t xml:space="preserve"> and directed with the aim of ensuring accountability, fairness, and transparency to all its stakeholders, including shareholders, management, and regulators (Karsono,</w:t>
      </w:r>
      <w:r w:rsidR="0088690F">
        <w:rPr>
          <w:rFonts w:ascii="Arial" w:eastAsia="Times New Roman" w:hAnsi="Arial" w:cs="Arial"/>
          <w:kern w:val="0"/>
          <w:sz w:val="22"/>
          <w:szCs w:val="22"/>
          <w:lang w:val="en-US" w:eastAsia="en-US"/>
          <w14:ligatures w14:val="none"/>
        </w:rPr>
        <w:t xml:space="preserve"> </w:t>
      </w:r>
      <w:r w:rsidRPr="00D1682D">
        <w:rPr>
          <w:rFonts w:ascii="Arial" w:eastAsia="Times New Roman" w:hAnsi="Arial" w:cs="Arial"/>
          <w:kern w:val="0"/>
          <w:sz w:val="22"/>
          <w:szCs w:val="22"/>
          <w:lang w:val="en-US" w:eastAsia="en-US"/>
          <w14:ligatures w14:val="none"/>
        </w:rPr>
        <w:t xml:space="preserve">2023). In modern times, great corporate governance is in support of firm performance through a more operationally efficient way of minimizing risks and further aligning management interests to be more concomitant with shareholder interests. This report </w:t>
      </w:r>
      <w:bookmarkStart w:id="3" w:name="_Int_qFdCaSHa"/>
      <w:r w:rsidRPr="00D1682D">
        <w:rPr>
          <w:rFonts w:ascii="Arial" w:eastAsia="Times New Roman" w:hAnsi="Arial" w:cs="Arial"/>
          <w:kern w:val="0"/>
          <w:sz w:val="22"/>
          <w:szCs w:val="22"/>
          <w:lang w:val="en-US" w:eastAsia="en-US"/>
          <w14:ligatures w14:val="none"/>
        </w:rPr>
        <w:t>is focused</w:t>
      </w:r>
      <w:bookmarkEnd w:id="3"/>
      <w:r w:rsidRPr="00D1682D">
        <w:rPr>
          <w:rFonts w:ascii="Arial" w:eastAsia="Times New Roman" w:hAnsi="Arial" w:cs="Arial"/>
          <w:kern w:val="0"/>
          <w:sz w:val="22"/>
          <w:szCs w:val="22"/>
          <w:lang w:val="en-US" w:eastAsia="en-US"/>
          <w14:ligatures w14:val="none"/>
        </w:rPr>
        <w:t xml:space="preserve"> on Tesco Plc, one of the large retailers from the UK listed on the London Stock Exchange. The implementation of good governance practices by Tesco is highly relevant given the context of a competitive retail landscape. More particularly, during the last five years, </w:t>
      </w:r>
      <w:bookmarkStart w:id="4" w:name="_Int_5Bsw5Yl9"/>
      <w:r w:rsidRPr="00D1682D">
        <w:rPr>
          <w:rFonts w:ascii="Arial" w:eastAsia="Times New Roman" w:hAnsi="Arial" w:cs="Arial"/>
          <w:kern w:val="0"/>
          <w:sz w:val="22"/>
          <w:szCs w:val="22"/>
          <w:lang w:val="en-US" w:eastAsia="en-US"/>
          <w14:ligatures w14:val="none"/>
        </w:rPr>
        <w:t>numerous</w:t>
      </w:r>
      <w:bookmarkEnd w:id="4"/>
      <w:r w:rsidRPr="00D1682D">
        <w:rPr>
          <w:rFonts w:ascii="Arial" w:eastAsia="Times New Roman" w:hAnsi="Arial" w:cs="Arial"/>
          <w:kern w:val="0"/>
          <w:sz w:val="22"/>
          <w:szCs w:val="22"/>
          <w:lang w:val="en-US" w:eastAsia="en-US"/>
          <w14:ligatures w14:val="none"/>
        </w:rPr>
        <w:t xml:space="preserve"> reforms have </w:t>
      </w:r>
      <w:bookmarkStart w:id="5" w:name="_Int_k33pb82B"/>
      <w:r w:rsidRPr="00D1682D">
        <w:rPr>
          <w:rFonts w:ascii="Arial" w:eastAsia="Times New Roman" w:hAnsi="Arial" w:cs="Arial"/>
          <w:kern w:val="0"/>
          <w:sz w:val="22"/>
          <w:szCs w:val="22"/>
          <w:lang w:val="en-US" w:eastAsia="en-US"/>
          <w14:ligatures w14:val="none"/>
        </w:rPr>
        <w:t>been introduced</w:t>
      </w:r>
      <w:bookmarkEnd w:id="5"/>
      <w:r w:rsidRPr="00D1682D">
        <w:rPr>
          <w:rFonts w:ascii="Arial" w:eastAsia="Times New Roman" w:hAnsi="Arial" w:cs="Arial"/>
          <w:kern w:val="0"/>
          <w:sz w:val="22"/>
          <w:szCs w:val="22"/>
          <w:lang w:val="en-US" w:eastAsia="en-US"/>
          <w14:ligatures w14:val="none"/>
        </w:rPr>
        <w:t xml:space="preserve"> by the company, either </w:t>
      </w:r>
      <w:r w:rsidR="00BB3CF3" w:rsidRPr="00D1682D">
        <w:rPr>
          <w:rFonts w:ascii="Arial" w:eastAsia="Times New Roman" w:hAnsi="Arial" w:cs="Arial"/>
          <w:kern w:val="0"/>
          <w:sz w:val="22"/>
          <w:szCs w:val="22"/>
          <w:lang w:val="en-US" w:eastAsia="en-US"/>
          <w14:ligatures w14:val="none"/>
        </w:rPr>
        <w:t>because of</w:t>
      </w:r>
      <w:r w:rsidRPr="00D1682D">
        <w:rPr>
          <w:rFonts w:ascii="Arial" w:eastAsia="Times New Roman" w:hAnsi="Arial" w:cs="Arial"/>
          <w:kern w:val="0"/>
          <w:sz w:val="22"/>
          <w:szCs w:val="22"/>
          <w:lang w:val="en-US" w:eastAsia="en-US"/>
          <w14:ligatures w14:val="none"/>
        </w:rPr>
        <w:t xml:space="preserve"> regulatory reforms or demands by engaged stakeholders and </w:t>
      </w:r>
      <w:bookmarkStart w:id="6" w:name="_Int_p7J9iS2O"/>
      <w:r w:rsidRPr="00D1682D">
        <w:rPr>
          <w:rFonts w:ascii="Arial" w:eastAsia="Times New Roman" w:hAnsi="Arial" w:cs="Arial"/>
          <w:kern w:val="0"/>
          <w:sz w:val="22"/>
          <w:szCs w:val="22"/>
          <w:lang w:val="en-US" w:eastAsia="en-US"/>
          <w14:ligatures w14:val="none"/>
        </w:rPr>
        <w:t>demonstrated</w:t>
      </w:r>
      <w:bookmarkEnd w:id="6"/>
      <w:r w:rsidRPr="00D1682D">
        <w:rPr>
          <w:rFonts w:ascii="Arial" w:eastAsia="Times New Roman" w:hAnsi="Arial" w:cs="Arial"/>
          <w:kern w:val="0"/>
          <w:sz w:val="22"/>
          <w:szCs w:val="22"/>
          <w:lang w:val="en-US" w:eastAsia="en-US"/>
          <w14:ligatures w14:val="none"/>
        </w:rPr>
        <w:t xml:space="preserve"> that it adopts robust standards of governance. The report will focus on analyzing how Tesco's corporate governance has </w:t>
      </w:r>
      <w:r w:rsidR="004A110E" w:rsidRPr="00D1682D">
        <w:rPr>
          <w:rFonts w:ascii="Arial" w:eastAsia="Times New Roman" w:hAnsi="Arial" w:cs="Arial"/>
          <w:kern w:val="0"/>
          <w:sz w:val="22"/>
          <w:szCs w:val="22"/>
          <w:lang w:val="en-US" w:eastAsia="en-US"/>
          <w14:ligatures w14:val="none"/>
        </w:rPr>
        <w:t>influenced</w:t>
      </w:r>
      <w:r w:rsidRPr="00D1682D">
        <w:rPr>
          <w:rFonts w:ascii="Arial" w:eastAsia="Times New Roman" w:hAnsi="Arial" w:cs="Arial"/>
          <w:kern w:val="0"/>
          <w:sz w:val="22"/>
          <w:szCs w:val="22"/>
          <w:lang w:val="en-US" w:eastAsia="en-US"/>
          <w14:ligatures w14:val="none"/>
        </w:rPr>
        <w:t xml:space="preserve"> its financial performance from 2019 to 2023 through the critical variables of board composition and executive compensation, among other measures of financial performance, such as revenue growth and return on equity. The conclusion will highlight findings with empirical data and recommendations concerning the effectiveness of Tesco's governance model.</w:t>
      </w:r>
    </w:p>
    <w:p w14:paraId="541418EC"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67D94ED8"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5F208F4B"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7676C4F2"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3B44DA29"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479084C9" w14:textId="77777777" w:rsidR="00FC60AC" w:rsidRPr="00D1682D" w:rsidRDefault="00FC60AC" w:rsidP="00C452C7">
      <w:pPr>
        <w:spacing w:after="0" w:line="360" w:lineRule="auto"/>
        <w:jc w:val="both"/>
        <w:rPr>
          <w:rFonts w:ascii="Arial" w:eastAsia="Times New Roman" w:hAnsi="Arial" w:cs="Arial"/>
          <w:kern w:val="0"/>
          <w:sz w:val="22"/>
          <w:szCs w:val="22"/>
          <w:lang w:val="en-US" w:eastAsia="en-US"/>
          <w14:ligatures w14:val="none"/>
        </w:rPr>
      </w:pPr>
    </w:p>
    <w:p w14:paraId="6EFB8E7B" w14:textId="77777777" w:rsidR="00A14487" w:rsidRDefault="00A14487" w:rsidP="00C452C7">
      <w:pPr>
        <w:spacing w:after="0" w:line="360" w:lineRule="auto"/>
        <w:jc w:val="both"/>
        <w:rPr>
          <w:rFonts w:ascii="Arial" w:eastAsia="Times New Roman" w:hAnsi="Arial" w:cs="Arial"/>
          <w:kern w:val="0"/>
          <w:sz w:val="22"/>
          <w:szCs w:val="22"/>
          <w:lang w:val="en-US" w:eastAsia="en-US"/>
          <w14:ligatures w14:val="none"/>
        </w:rPr>
      </w:pPr>
    </w:p>
    <w:p w14:paraId="69CBF8B3"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101D339E"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236109B5"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0851CBF5"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30F79017"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026B222D"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31ACFEA5"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446FF12D"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087F8087"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28C16213" w14:textId="77777777" w:rsidR="0095108B"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24488B6D" w14:textId="77777777" w:rsidR="0095108B" w:rsidRPr="00D1682D" w:rsidRDefault="0095108B" w:rsidP="00C452C7">
      <w:pPr>
        <w:spacing w:after="0" w:line="360" w:lineRule="auto"/>
        <w:jc w:val="both"/>
        <w:rPr>
          <w:rFonts w:ascii="Arial" w:eastAsia="Times New Roman" w:hAnsi="Arial" w:cs="Arial"/>
          <w:kern w:val="0"/>
          <w:sz w:val="22"/>
          <w:szCs w:val="22"/>
          <w:lang w:val="en-US" w:eastAsia="en-US"/>
          <w14:ligatures w14:val="none"/>
        </w:rPr>
      </w:pPr>
    </w:p>
    <w:p w14:paraId="7594A618" w14:textId="595362A1" w:rsidR="0070116F" w:rsidRPr="00931B47" w:rsidRDefault="0070116F" w:rsidP="00931B47">
      <w:pPr>
        <w:pStyle w:val="Heading1"/>
        <w:spacing w:line="360" w:lineRule="auto"/>
        <w:rPr>
          <w:rFonts w:ascii="Arial" w:eastAsia="Times New Roman" w:hAnsi="Arial" w:cs="Arial"/>
          <w:sz w:val="22"/>
          <w:szCs w:val="22"/>
          <w:lang w:val="en-US" w:eastAsia="en-US"/>
        </w:rPr>
      </w:pPr>
      <w:bookmarkStart w:id="7" w:name="_Toc180075689"/>
      <w:r w:rsidRPr="00931B47">
        <w:rPr>
          <w:rFonts w:ascii="Arial" w:eastAsia="Times New Roman" w:hAnsi="Arial" w:cs="Arial"/>
          <w:sz w:val="22"/>
          <w:szCs w:val="22"/>
          <w:lang w:val="en-US" w:eastAsia="en-US"/>
        </w:rPr>
        <w:lastRenderedPageBreak/>
        <w:t>Importance of Corporate Governance Practices</w:t>
      </w:r>
      <w:bookmarkEnd w:id="7"/>
    </w:p>
    <w:p w14:paraId="62B4E5B8" w14:textId="0C20A9FC"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The framework for directing a company and balancing its stakeholders' interests cannot exist without corporate governance policies. The stakeholders include shareholders, management, customers, suppliers, financiers, government, and the community (Pererva et al., 2021). Strong corporate governance is one of the most vital ingredients for any UK-listed company, and </w:t>
      </w:r>
      <w:r w:rsidR="00E678A7" w:rsidRPr="00D1682D">
        <w:rPr>
          <w:rFonts w:ascii="Arial" w:eastAsia="Times New Roman" w:hAnsi="Arial" w:cs="Arial"/>
          <w:kern w:val="0"/>
          <w:sz w:val="22"/>
          <w:szCs w:val="22"/>
          <w:lang w:val="en-US" w:eastAsia="en-US"/>
          <w14:ligatures w14:val="none"/>
        </w:rPr>
        <w:t>even more</w:t>
      </w:r>
      <w:r w:rsidRPr="00D1682D">
        <w:rPr>
          <w:rFonts w:ascii="Arial" w:eastAsia="Times New Roman" w:hAnsi="Arial" w:cs="Arial"/>
          <w:kern w:val="0"/>
          <w:sz w:val="22"/>
          <w:szCs w:val="22"/>
          <w:lang w:val="en-US" w:eastAsia="en-US"/>
          <w14:ligatures w14:val="none"/>
        </w:rPr>
        <w:t xml:space="preserve"> so for a retailer. The retailers are </w:t>
      </w:r>
      <w:bookmarkStart w:id="8" w:name="_Int_IAiwKcMD"/>
      <w:r w:rsidRPr="00D1682D">
        <w:rPr>
          <w:rFonts w:ascii="Arial" w:eastAsia="Times New Roman" w:hAnsi="Arial" w:cs="Arial"/>
          <w:kern w:val="0"/>
          <w:sz w:val="22"/>
          <w:szCs w:val="22"/>
          <w:lang w:val="en-US" w:eastAsia="en-US"/>
          <w14:ligatures w14:val="none"/>
        </w:rPr>
        <w:t>essentially in</w:t>
      </w:r>
      <w:bookmarkEnd w:id="8"/>
      <w:r w:rsidRPr="00D1682D">
        <w:rPr>
          <w:rFonts w:ascii="Arial" w:eastAsia="Times New Roman" w:hAnsi="Arial" w:cs="Arial"/>
          <w:kern w:val="0"/>
          <w:sz w:val="22"/>
          <w:szCs w:val="22"/>
          <w:lang w:val="en-US" w:eastAsia="en-US"/>
          <w14:ligatures w14:val="none"/>
        </w:rPr>
        <w:t xml:space="preserve"> a hyper-competitive environment wherein customer trust, operational efficiency, and compliance with regulations matter most; this is where corporate governance ensures financial integrity, builds resilience against market volatility, and meets evolving consumer expectations (Dang, Nguyen, and Pervan, 2020). Tesco Plc constantly aligned its governance practices with the UK Corporate Governance Code. An example would be the Tesco board, which is comprised of a mix of executive and non-executive directors who offer wide representation during decision-making. The independence corresponds with the United Kingdom Corporate Governance Code, especially concerning the provision of needed effectiveness in supervising executive management (Larcker and Tayan, 2020).</w:t>
      </w:r>
    </w:p>
    <w:p w14:paraId="50DDBF8D" w14:textId="77777777"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bookmarkStart w:id="9" w:name="_Int_vFJLbu50"/>
      <w:r w:rsidRPr="00D1682D">
        <w:rPr>
          <w:rFonts w:ascii="Arial" w:eastAsia="Times New Roman" w:hAnsi="Arial" w:cs="Arial"/>
          <w:kern w:val="0"/>
          <w:sz w:val="22"/>
          <w:szCs w:val="22"/>
          <w:lang w:val="en-US" w:eastAsia="en-US"/>
          <w14:ligatures w14:val="none"/>
        </w:rPr>
        <w:t>A number of</w:t>
      </w:r>
      <w:bookmarkEnd w:id="9"/>
      <w:r w:rsidRPr="00D1682D">
        <w:rPr>
          <w:rFonts w:ascii="Arial" w:eastAsia="Times New Roman" w:hAnsi="Arial" w:cs="Arial"/>
          <w:kern w:val="0"/>
          <w:sz w:val="22"/>
          <w:szCs w:val="22"/>
          <w:lang w:val="en-US" w:eastAsia="en-US"/>
          <w14:ligatures w14:val="none"/>
        </w:rPr>
        <w:t xml:space="preserve"> governance initiatives at Tesco include a recently announced plan for CEO succession. In the position, Dave Lewis </w:t>
      </w:r>
      <w:bookmarkStart w:id="10" w:name="_Int_FC1cf45s"/>
      <w:r w:rsidRPr="00D1682D">
        <w:rPr>
          <w:rFonts w:ascii="Arial" w:eastAsia="Times New Roman" w:hAnsi="Arial" w:cs="Arial"/>
          <w:kern w:val="0"/>
          <w:sz w:val="22"/>
          <w:szCs w:val="22"/>
          <w:lang w:val="en-US" w:eastAsia="en-US"/>
          <w14:ligatures w14:val="none"/>
        </w:rPr>
        <w:t>was succeeded</w:t>
      </w:r>
      <w:bookmarkEnd w:id="10"/>
      <w:r w:rsidRPr="00D1682D">
        <w:rPr>
          <w:rFonts w:ascii="Arial" w:eastAsia="Times New Roman" w:hAnsi="Arial" w:cs="Arial"/>
          <w:kern w:val="0"/>
          <w:sz w:val="22"/>
          <w:szCs w:val="22"/>
          <w:lang w:val="en-US" w:eastAsia="en-US"/>
          <w14:ligatures w14:val="none"/>
        </w:rPr>
        <w:t xml:space="preserve"> by a new addition, Ken Murphy, as chief executive officer. The transition was </w:t>
      </w:r>
      <w:bookmarkStart w:id="11" w:name="_Int_SYXB7K9p"/>
      <w:r w:rsidRPr="00D1682D">
        <w:rPr>
          <w:rFonts w:ascii="Arial" w:eastAsia="Times New Roman" w:hAnsi="Arial" w:cs="Arial"/>
          <w:kern w:val="0"/>
          <w:sz w:val="22"/>
          <w:szCs w:val="22"/>
          <w:lang w:val="en-US" w:eastAsia="en-US"/>
          <w14:ligatures w14:val="none"/>
        </w:rPr>
        <w:t>relatively transparent</w:t>
      </w:r>
      <w:bookmarkEnd w:id="11"/>
      <w:r w:rsidRPr="00D1682D">
        <w:rPr>
          <w:rFonts w:ascii="Arial" w:eastAsia="Times New Roman" w:hAnsi="Arial" w:cs="Arial"/>
          <w:kern w:val="0"/>
          <w:sz w:val="22"/>
          <w:szCs w:val="22"/>
          <w:lang w:val="en-US" w:eastAsia="en-US"/>
          <w14:ligatures w14:val="none"/>
        </w:rPr>
        <w:t xml:space="preserve"> and considered best practice for governance. Good corporate governance continues to gain the stakeholders' confidence in several ways: for example, it can portray that the company embraces the values of transparency and ethical management (Janning, Khlif, and Ingley, 2020). Therefore, through good governance practices, Tesco has managed to </w:t>
      </w:r>
      <w:bookmarkStart w:id="12" w:name="_Int_g3RW0usu"/>
      <w:r w:rsidRPr="00D1682D">
        <w:rPr>
          <w:rFonts w:ascii="Arial" w:eastAsia="Times New Roman" w:hAnsi="Arial" w:cs="Arial"/>
          <w:kern w:val="0"/>
          <w:sz w:val="22"/>
          <w:szCs w:val="22"/>
          <w:lang w:val="en-US" w:eastAsia="en-US"/>
          <w14:ligatures w14:val="none"/>
        </w:rPr>
        <w:t>establish</w:t>
      </w:r>
      <w:bookmarkEnd w:id="12"/>
      <w:r w:rsidRPr="00D1682D">
        <w:rPr>
          <w:rFonts w:ascii="Arial" w:eastAsia="Times New Roman" w:hAnsi="Arial" w:cs="Arial"/>
          <w:kern w:val="0"/>
          <w:sz w:val="22"/>
          <w:szCs w:val="22"/>
          <w:lang w:val="en-US" w:eastAsia="en-US"/>
          <w14:ligatures w14:val="none"/>
        </w:rPr>
        <w:t xml:space="preserve"> itself as a leading company in responsible corporate management, enabling further success in the UK retail market.</w:t>
      </w:r>
    </w:p>
    <w:p w14:paraId="03E49480" w14:textId="77777777" w:rsidR="00A14487" w:rsidRDefault="00A14487" w:rsidP="00C452C7">
      <w:pPr>
        <w:spacing w:after="0" w:line="360" w:lineRule="auto"/>
        <w:jc w:val="both"/>
        <w:rPr>
          <w:rFonts w:ascii="Arial" w:eastAsia="Times New Roman" w:hAnsi="Arial" w:cs="Arial"/>
          <w:kern w:val="0"/>
          <w:sz w:val="22"/>
          <w:szCs w:val="22"/>
          <w:lang w:val="en-US" w:eastAsia="en-US"/>
          <w14:ligatures w14:val="none"/>
        </w:rPr>
      </w:pPr>
    </w:p>
    <w:p w14:paraId="04FA739E"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78C669D7"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5698079B"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464F3F3C"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669192B2"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4849D5F2"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750FC937"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1DE954EE"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18A45960"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0F27EB0B" w14:textId="77777777" w:rsidR="00A65718"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44B24802" w14:textId="77777777" w:rsidR="00A65718" w:rsidRPr="00D1682D" w:rsidRDefault="00A65718" w:rsidP="00C452C7">
      <w:pPr>
        <w:spacing w:after="0" w:line="360" w:lineRule="auto"/>
        <w:jc w:val="both"/>
        <w:rPr>
          <w:rFonts w:ascii="Arial" w:eastAsia="Times New Roman" w:hAnsi="Arial" w:cs="Arial"/>
          <w:kern w:val="0"/>
          <w:sz w:val="22"/>
          <w:szCs w:val="22"/>
          <w:lang w:val="en-US" w:eastAsia="en-US"/>
          <w14:ligatures w14:val="none"/>
        </w:rPr>
      </w:pPr>
    </w:p>
    <w:p w14:paraId="660A59CA" w14:textId="3CF4516D" w:rsidR="0070116F" w:rsidRPr="006D2557" w:rsidRDefault="0070116F" w:rsidP="006D2557">
      <w:pPr>
        <w:pStyle w:val="Heading1"/>
        <w:spacing w:line="360" w:lineRule="auto"/>
        <w:rPr>
          <w:rFonts w:ascii="Arial" w:eastAsia="Times New Roman" w:hAnsi="Arial" w:cs="Arial"/>
          <w:sz w:val="22"/>
          <w:szCs w:val="22"/>
          <w:lang w:val="en-US" w:eastAsia="en-US"/>
        </w:rPr>
      </w:pPr>
      <w:bookmarkStart w:id="13" w:name="_Toc180075690"/>
      <w:r w:rsidRPr="006D2557">
        <w:rPr>
          <w:rFonts w:ascii="Arial" w:eastAsia="Times New Roman" w:hAnsi="Arial" w:cs="Arial"/>
          <w:sz w:val="22"/>
          <w:szCs w:val="22"/>
          <w:lang w:val="en-US" w:eastAsia="en-US"/>
        </w:rPr>
        <w:lastRenderedPageBreak/>
        <w:t>Corporate Governance Variables Identified</w:t>
      </w:r>
      <w:bookmarkEnd w:id="13"/>
    </w:p>
    <w:p w14:paraId="362384DB" w14:textId="77777777"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In the last five years, Tesco Plc's corporate governance practices have </w:t>
      </w:r>
      <w:bookmarkStart w:id="14" w:name="_Int_AFq44TpF"/>
      <w:r w:rsidRPr="00D1682D">
        <w:rPr>
          <w:rFonts w:ascii="Arial" w:eastAsia="Times New Roman" w:hAnsi="Arial" w:cs="Arial"/>
          <w:kern w:val="0"/>
          <w:sz w:val="22"/>
          <w:szCs w:val="22"/>
          <w:lang w:val="en-US" w:eastAsia="en-US"/>
          <w14:ligatures w14:val="none"/>
        </w:rPr>
        <w:t>been aimed</w:t>
      </w:r>
      <w:bookmarkEnd w:id="14"/>
      <w:r w:rsidRPr="00D1682D">
        <w:rPr>
          <w:rFonts w:ascii="Arial" w:eastAsia="Times New Roman" w:hAnsi="Arial" w:cs="Arial"/>
          <w:kern w:val="0"/>
          <w:sz w:val="22"/>
          <w:szCs w:val="22"/>
          <w:lang w:val="en-US" w:eastAsia="en-US"/>
          <w14:ligatures w14:val="none"/>
        </w:rPr>
        <w:t xml:space="preserve"> at ensuring that high governance standards </w:t>
      </w:r>
      <w:bookmarkStart w:id="15" w:name="_Int_PB8cO2vb"/>
      <w:r w:rsidRPr="00D1682D">
        <w:rPr>
          <w:rFonts w:ascii="Arial" w:eastAsia="Times New Roman" w:hAnsi="Arial" w:cs="Arial"/>
          <w:kern w:val="0"/>
          <w:sz w:val="22"/>
          <w:szCs w:val="22"/>
          <w:lang w:val="en-US" w:eastAsia="en-US"/>
          <w14:ligatures w14:val="none"/>
        </w:rPr>
        <w:t>are realized</w:t>
      </w:r>
      <w:bookmarkEnd w:id="15"/>
      <w:r w:rsidRPr="00D1682D">
        <w:rPr>
          <w:rFonts w:ascii="Arial" w:eastAsia="Times New Roman" w:hAnsi="Arial" w:cs="Arial"/>
          <w:kern w:val="0"/>
          <w:sz w:val="22"/>
          <w:szCs w:val="22"/>
          <w:lang w:val="en-US" w:eastAsia="en-US"/>
          <w14:ligatures w14:val="none"/>
        </w:rPr>
        <w:t>, enabling it to achieve its long-term vision. The noteworthy listing of the depth and reach of Tesco's governance structure underlies potent aspects such as board independence, risk management, executive liability, and shareholder involvement.</w:t>
      </w:r>
    </w:p>
    <w:p w14:paraId="0BACA3AC" w14:textId="77777777" w:rsidR="0070116F" w:rsidRPr="004A110E" w:rsidRDefault="0070116F" w:rsidP="004A110E">
      <w:pPr>
        <w:pStyle w:val="Heading2"/>
        <w:spacing w:line="360" w:lineRule="auto"/>
        <w:rPr>
          <w:rFonts w:ascii="Arial" w:eastAsia="Times New Roman" w:hAnsi="Arial" w:cs="Arial"/>
          <w:sz w:val="22"/>
          <w:szCs w:val="22"/>
          <w:lang w:val="en-US" w:eastAsia="en-US"/>
        </w:rPr>
      </w:pPr>
      <w:bookmarkStart w:id="16" w:name="_Toc180075691"/>
      <w:r w:rsidRPr="004A110E">
        <w:rPr>
          <w:rFonts w:ascii="Arial" w:eastAsia="Times New Roman" w:hAnsi="Arial" w:cs="Arial"/>
          <w:sz w:val="22"/>
          <w:szCs w:val="22"/>
          <w:lang w:val="en-US" w:eastAsia="en-US"/>
        </w:rPr>
        <w:t>Board Composition and Structure</w:t>
      </w:r>
      <w:bookmarkEnd w:id="16"/>
    </w:p>
    <w:p w14:paraId="790FB65A" w14:textId="4E963210"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Tesco’s board has </w:t>
      </w:r>
      <w:r w:rsidR="00E408DD" w:rsidRPr="00D1682D">
        <w:rPr>
          <w:rFonts w:ascii="Arial" w:eastAsia="Times New Roman" w:hAnsi="Arial" w:cs="Arial"/>
          <w:kern w:val="0"/>
          <w:sz w:val="22"/>
          <w:szCs w:val="22"/>
          <w:lang w:val="en-US" w:eastAsia="en-US"/>
          <w14:ligatures w14:val="none"/>
        </w:rPr>
        <w:t>supported</w:t>
      </w:r>
      <w:r w:rsidRPr="00D1682D">
        <w:rPr>
          <w:rFonts w:ascii="Arial" w:eastAsia="Times New Roman" w:hAnsi="Arial" w:cs="Arial"/>
          <w:kern w:val="0"/>
          <w:sz w:val="22"/>
          <w:szCs w:val="22"/>
          <w:lang w:val="en-US" w:eastAsia="en-US"/>
          <w14:ligatures w14:val="none"/>
        </w:rPr>
        <w:t xml:space="preserve"> a balanced composition of executive and non-executive directors, with a steady focus on board independence. Over the five-year period (2019-2023), the board typically </w:t>
      </w:r>
      <w:r w:rsidR="00F535BC" w:rsidRPr="00D1682D">
        <w:rPr>
          <w:rFonts w:ascii="Arial" w:eastAsia="Times New Roman" w:hAnsi="Arial" w:cs="Arial"/>
          <w:kern w:val="0"/>
          <w:sz w:val="22"/>
          <w:szCs w:val="22"/>
          <w:lang w:val="en-US" w:eastAsia="en-US"/>
          <w14:ligatures w14:val="none"/>
        </w:rPr>
        <w:t>included</w:t>
      </w:r>
      <w:r w:rsidRPr="00D1682D">
        <w:rPr>
          <w:rFonts w:ascii="Arial" w:eastAsia="Times New Roman" w:hAnsi="Arial" w:cs="Arial"/>
          <w:kern w:val="0"/>
          <w:sz w:val="22"/>
          <w:szCs w:val="22"/>
          <w:lang w:val="en-US" w:eastAsia="en-US"/>
          <w14:ligatures w14:val="none"/>
        </w:rPr>
        <w:t xml:space="preserve"> 12 to 14 members, of which more than 60% were independent non-executive directors. This balance ensures effective oversight and reduces the risk of conflicts of interest (Harkin, Mare, and Crook, 2019). Moreover, Tesco has increased diversity in its board appointments, focusing on gender and professional diversity to align with modern corporate governance expectations. In 2023, Tesco's board was composed of over 40% female directors, reflecting its commitment to inclusivity and diverse decision-making perspectives (Tesco, 2023).</w:t>
      </w:r>
    </w:p>
    <w:p w14:paraId="6AD395BA" w14:textId="77777777" w:rsidR="0070116F" w:rsidRPr="004A110E" w:rsidRDefault="0070116F" w:rsidP="004A110E">
      <w:pPr>
        <w:pStyle w:val="Heading3"/>
        <w:spacing w:line="360" w:lineRule="auto"/>
        <w:rPr>
          <w:rFonts w:ascii="Arial" w:eastAsia="Times New Roman" w:hAnsi="Arial" w:cs="Arial"/>
          <w:sz w:val="22"/>
          <w:szCs w:val="22"/>
          <w:lang w:val="en-US" w:eastAsia="en-US"/>
        </w:rPr>
      </w:pPr>
      <w:bookmarkStart w:id="17" w:name="_Toc180075692"/>
      <w:r w:rsidRPr="004A110E">
        <w:rPr>
          <w:rFonts w:ascii="Arial" w:eastAsia="Times New Roman" w:hAnsi="Arial" w:cs="Arial"/>
          <w:sz w:val="22"/>
          <w:szCs w:val="22"/>
          <w:lang w:val="en-US" w:eastAsia="en-US"/>
        </w:rPr>
        <w:t>Audit Committee Performance</w:t>
      </w:r>
      <w:bookmarkEnd w:id="17"/>
    </w:p>
    <w:p w14:paraId="5223E426" w14:textId="2370ABE7"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The audit committee of Tesco has played a vital role in ensuring that the company </w:t>
      </w:r>
      <w:bookmarkStart w:id="18" w:name="_Int_w9v0Qcio"/>
      <w:r w:rsidRPr="00D1682D">
        <w:rPr>
          <w:rFonts w:ascii="Arial" w:eastAsia="Times New Roman" w:hAnsi="Arial" w:cs="Arial"/>
          <w:kern w:val="0"/>
          <w:sz w:val="22"/>
          <w:szCs w:val="22"/>
          <w:lang w:val="en-US" w:eastAsia="en-US"/>
          <w14:ligatures w14:val="none"/>
        </w:rPr>
        <w:t>remains</w:t>
      </w:r>
      <w:bookmarkEnd w:id="18"/>
      <w:r w:rsidRPr="00D1682D">
        <w:rPr>
          <w:rFonts w:ascii="Arial" w:eastAsia="Times New Roman" w:hAnsi="Arial" w:cs="Arial"/>
          <w:kern w:val="0"/>
          <w:sz w:val="22"/>
          <w:szCs w:val="22"/>
          <w:lang w:val="en-US" w:eastAsia="en-US"/>
          <w14:ligatures w14:val="none"/>
        </w:rPr>
        <w:t xml:space="preserve"> intact in terms of financials. The committee </w:t>
      </w:r>
      <w:bookmarkStart w:id="19" w:name="_Int_idW2drPb"/>
      <w:r w:rsidRPr="00D1682D">
        <w:rPr>
          <w:rFonts w:ascii="Arial" w:eastAsia="Times New Roman" w:hAnsi="Arial" w:cs="Arial"/>
          <w:kern w:val="0"/>
          <w:sz w:val="22"/>
          <w:szCs w:val="22"/>
          <w:lang w:val="en-US" w:eastAsia="en-US"/>
          <w14:ligatures w14:val="none"/>
        </w:rPr>
        <w:t>is responsible for</w:t>
      </w:r>
      <w:bookmarkEnd w:id="19"/>
      <w:r w:rsidRPr="00D1682D">
        <w:rPr>
          <w:rFonts w:ascii="Arial" w:eastAsia="Times New Roman" w:hAnsi="Arial" w:cs="Arial"/>
          <w:kern w:val="0"/>
          <w:sz w:val="22"/>
          <w:szCs w:val="22"/>
          <w:lang w:val="en-US" w:eastAsia="en-US"/>
          <w14:ligatures w14:val="none"/>
        </w:rPr>
        <w:t xml:space="preserve"> ensuring internal controls, financial reporting, and risk management (Tapang, 2023). Over the last five years, the audit committee has met on multiple occasions; hence, that frequency varied from 4-7 times per year on average</w:t>
      </w:r>
      <w:r w:rsidR="0058754E">
        <w:rPr>
          <w:rFonts w:ascii="Arial" w:eastAsia="Times New Roman" w:hAnsi="Arial" w:cs="Arial"/>
          <w:kern w:val="0"/>
          <w:sz w:val="22"/>
          <w:szCs w:val="22"/>
          <w:lang w:val="en-US" w:eastAsia="en-US"/>
          <w14:ligatures w14:val="none"/>
        </w:rPr>
        <w:t xml:space="preserve"> </w:t>
      </w:r>
      <w:r w:rsidRPr="00D1682D">
        <w:rPr>
          <w:rFonts w:ascii="Arial" w:eastAsia="Times New Roman" w:hAnsi="Arial" w:cs="Arial"/>
          <w:kern w:val="0"/>
          <w:sz w:val="22"/>
          <w:szCs w:val="22"/>
          <w:lang w:val="en-US" w:eastAsia="en-US"/>
          <w14:ligatures w14:val="none"/>
        </w:rPr>
        <w:t xml:space="preserve">a </w:t>
      </w:r>
      <w:r w:rsidR="0058754E" w:rsidRPr="00D1682D">
        <w:rPr>
          <w:rFonts w:ascii="Arial" w:eastAsia="Times New Roman" w:hAnsi="Arial" w:cs="Arial"/>
          <w:kern w:val="0"/>
          <w:sz w:val="22"/>
          <w:szCs w:val="22"/>
          <w:lang w:val="en-US" w:eastAsia="en-US"/>
          <w14:ligatures w14:val="none"/>
        </w:rPr>
        <w:t>proactive</w:t>
      </w:r>
      <w:r w:rsidRPr="00D1682D">
        <w:rPr>
          <w:rFonts w:ascii="Arial" w:eastAsia="Times New Roman" w:hAnsi="Arial" w:cs="Arial"/>
          <w:kern w:val="0"/>
          <w:sz w:val="22"/>
          <w:szCs w:val="22"/>
          <w:lang w:val="en-US" w:eastAsia="en-US"/>
          <w14:ligatures w14:val="none"/>
        </w:rPr>
        <w:t xml:space="preserve"> stance toward addressing the potential associated risks and meeting the related regulatory standards. It cooperates with external auditors to scrutinize Tesco's financial statements and ensures there is transparency in reporting.</w:t>
      </w:r>
    </w:p>
    <w:p w14:paraId="45F46F14" w14:textId="77777777" w:rsidR="0070116F" w:rsidRPr="009D02F2" w:rsidRDefault="0070116F" w:rsidP="009D02F2">
      <w:pPr>
        <w:pStyle w:val="Heading3"/>
        <w:spacing w:line="360" w:lineRule="auto"/>
        <w:rPr>
          <w:rFonts w:ascii="Arial" w:eastAsia="Times New Roman" w:hAnsi="Arial" w:cs="Arial"/>
          <w:sz w:val="22"/>
          <w:szCs w:val="22"/>
          <w:lang w:val="en-US" w:eastAsia="en-US"/>
        </w:rPr>
      </w:pPr>
      <w:bookmarkStart w:id="20" w:name="_Toc180075693"/>
      <w:r w:rsidRPr="009D02F2">
        <w:rPr>
          <w:rFonts w:ascii="Arial" w:eastAsia="Times New Roman" w:hAnsi="Arial" w:cs="Arial"/>
          <w:sz w:val="22"/>
          <w:szCs w:val="22"/>
          <w:lang w:val="en-US" w:eastAsia="en-US"/>
        </w:rPr>
        <w:t>Policies of Executive Remuneration</w:t>
      </w:r>
      <w:bookmarkEnd w:id="20"/>
    </w:p>
    <w:p w14:paraId="4D5633F9" w14:textId="57335B9D" w:rsidR="0070116F"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Tesco's policies on executive </w:t>
      </w:r>
      <w:bookmarkStart w:id="21" w:name="_Int_bpF9cMMw"/>
      <w:r w:rsidRPr="00D1682D">
        <w:rPr>
          <w:rFonts w:ascii="Arial" w:eastAsia="Times New Roman" w:hAnsi="Arial" w:cs="Arial"/>
          <w:kern w:val="0"/>
          <w:sz w:val="22"/>
          <w:szCs w:val="22"/>
          <w:lang w:val="en-US" w:eastAsia="en-US"/>
          <w14:ligatures w14:val="none"/>
        </w:rPr>
        <w:t>remuneration</w:t>
      </w:r>
      <w:bookmarkEnd w:id="21"/>
      <w:r w:rsidRPr="00D1682D">
        <w:rPr>
          <w:rFonts w:ascii="Arial" w:eastAsia="Times New Roman" w:hAnsi="Arial" w:cs="Arial"/>
          <w:kern w:val="0"/>
          <w:sz w:val="22"/>
          <w:szCs w:val="22"/>
          <w:lang w:val="en-US" w:eastAsia="en-US"/>
          <w14:ligatures w14:val="none"/>
        </w:rPr>
        <w:t xml:space="preserve"> </w:t>
      </w:r>
      <w:bookmarkStart w:id="22" w:name="_Int_SByNsD00"/>
      <w:r w:rsidRPr="00D1682D">
        <w:rPr>
          <w:rFonts w:ascii="Arial" w:eastAsia="Times New Roman" w:hAnsi="Arial" w:cs="Arial"/>
          <w:kern w:val="0"/>
          <w:sz w:val="22"/>
          <w:szCs w:val="22"/>
          <w:lang w:val="en-US" w:eastAsia="en-US"/>
          <w14:ligatures w14:val="none"/>
        </w:rPr>
        <w:t>are directed</w:t>
      </w:r>
      <w:bookmarkEnd w:id="22"/>
      <w:r w:rsidRPr="00D1682D">
        <w:rPr>
          <w:rFonts w:ascii="Arial" w:eastAsia="Times New Roman" w:hAnsi="Arial" w:cs="Arial"/>
          <w:kern w:val="0"/>
          <w:sz w:val="22"/>
          <w:szCs w:val="22"/>
          <w:lang w:val="en-US" w:eastAsia="en-US"/>
          <w14:ligatures w14:val="none"/>
        </w:rPr>
        <w:t xml:space="preserve"> at aligning top management interests with those of the creation of long-term shareholder value (Sarhan and Al-Najjar, 2022). In this five-year period, the company has secured its executives' bonus schemes and share options to key financial performance indicators such as earnings per share and return on equity. The compensation of executives, for example, that of the chief executive officer, has shown incremental increases that are </w:t>
      </w:r>
      <w:r w:rsidR="0058754E" w:rsidRPr="00D1682D">
        <w:rPr>
          <w:rFonts w:ascii="Arial" w:eastAsia="Times New Roman" w:hAnsi="Arial" w:cs="Arial"/>
          <w:kern w:val="0"/>
          <w:sz w:val="22"/>
          <w:szCs w:val="22"/>
          <w:lang w:val="en-US" w:eastAsia="en-US"/>
          <w14:ligatures w14:val="none"/>
        </w:rPr>
        <w:t>consistent</w:t>
      </w:r>
      <w:r w:rsidRPr="00D1682D">
        <w:rPr>
          <w:rFonts w:ascii="Arial" w:eastAsia="Times New Roman" w:hAnsi="Arial" w:cs="Arial"/>
          <w:kern w:val="0"/>
          <w:sz w:val="22"/>
          <w:szCs w:val="22"/>
          <w:lang w:val="en-US" w:eastAsia="en-US"/>
          <w14:ligatures w14:val="none"/>
        </w:rPr>
        <w:t xml:space="preserve"> with those of the company, including both short-term incentives</w:t>
      </w:r>
      <w:r w:rsidR="0058754E">
        <w:rPr>
          <w:rFonts w:ascii="Arial" w:eastAsia="Times New Roman" w:hAnsi="Arial" w:cs="Arial"/>
          <w:kern w:val="0"/>
          <w:sz w:val="22"/>
          <w:szCs w:val="22"/>
          <w:lang w:val="en-US" w:eastAsia="en-US"/>
          <w14:ligatures w14:val="none"/>
        </w:rPr>
        <w:t xml:space="preserve"> </w:t>
      </w:r>
      <w:r w:rsidRPr="00D1682D">
        <w:rPr>
          <w:rFonts w:ascii="Arial" w:eastAsia="Times New Roman" w:hAnsi="Arial" w:cs="Arial"/>
          <w:kern w:val="0"/>
          <w:sz w:val="22"/>
          <w:szCs w:val="22"/>
          <w:lang w:val="en-US" w:eastAsia="en-US"/>
          <w14:ligatures w14:val="none"/>
        </w:rPr>
        <w:t>economic bonuses</w:t>
      </w:r>
      <w:r w:rsidR="0058754E">
        <w:rPr>
          <w:rFonts w:ascii="Arial" w:eastAsia="Times New Roman" w:hAnsi="Arial" w:cs="Arial"/>
          <w:kern w:val="0"/>
          <w:sz w:val="22"/>
          <w:szCs w:val="22"/>
          <w:lang w:val="en-US" w:eastAsia="en-US"/>
          <w14:ligatures w14:val="none"/>
        </w:rPr>
        <w:t xml:space="preserve"> </w:t>
      </w:r>
      <w:r w:rsidRPr="00D1682D">
        <w:rPr>
          <w:rFonts w:ascii="Arial" w:eastAsia="Times New Roman" w:hAnsi="Arial" w:cs="Arial"/>
          <w:kern w:val="0"/>
          <w:sz w:val="22"/>
          <w:szCs w:val="22"/>
          <w:lang w:val="en-US" w:eastAsia="en-US"/>
          <w14:ligatures w14:val="none"/>
        </w:rPr>
        <w:t>and long-term rewards</w:t>
      </w:r>
      <w:r w:rsidR="000A4F32">
        <w:rPr>
          <w:rFonts w:ascii="Arial" w:eastAsia="Times New Roman" w:hAnsi="Arial" w:cs="Arial"/>
          <w:kern w:val="0"/>
          <w:sz w:val="22"/>
          <w:szCs w:val="22"/>
          <w:lang w:val="en-US" w:eastAsia="en-US"/>
          <w14:ligatures w14:val="none"/>
        </w:rPr>
        <w:t xml:space="preserve"> </w:t>
      </w:r>
      <w:r w:rsidRPr="00D1682D">
        <w:rPr>
          <w:rFonts w:ascii="Arial" w:eastAsia="Times New Roman" w:hAnsi="Arial" w:cs="Arial"/>
          <w:kern w:val="0"/>
          <w:sz w:val="22"/>
          <w:szCs w:val="22"/>
          <w:lang w:val="en-US" w:eastAsia="en-US"/>
          <w14:ligatures w14:val="none"/>
        </w:rPr>
        <w:t>share options.</w:t>
      </w:r>
    </w:p>
    <w:p w14:paraId="1D7CA583" w14:textId="77777777" w:rsidR="0058754E" w:rsidRDefault="0058754E" w:rsidP="00C452C7">
      <w:pPr>
        <w:spacing w:after="0" w:line="360" w:lineRule="auto"/>
        <w:ind w:firstLine="720"/>
        <w:jc w:val="both"/>
        <w:rPr>
          <w:rFonts w:ascii="Arial" w:eastAsia="Times New Roman" w:hAnsi="Arial" w:cs="Arial"/>
          <w:kern w:val="0"/>
          <w:sz w:val="22"/>
          <w:szCs w:val="22"/>
          <w:lang w:val="en-US" w:eastAsia="en-US"/>
          <w14:ligatures w14:val="none"/>
        </w:rPr>
      </w:pPr>
    </w:p>
    <w:p w14:paraId="0E98981F" w14:textId="77777777" w:rsidR="0058754E" w:rsidRDefault="0058754E" w:rsidP="00C452C7">
      <w:pPr>
        <w:spacing w:after="0" w:line="360" w:lineRule="auto"/>
        <w:ind w:firstLine="720"/>
        <w:jc w:val="both"/>
        <w:rPr>
          <w:rFonts w:ascii="Arial" w:eastAsia="Times New Roman" w:hAnsi="Arial" w:cs="Arial"/>
          <w:kern w:val="0"/>
          <w:sz w:val="22"/>
          <w:szCs w:val="22"/>
          <w:lang w:val="en-US" w:eastAsia="en-US"/>
          <w14:ligatures w14:val="none"/>
        </w:rPr>
      </w:pPr>
    </w:p>
    <w:p w14:paraId="09AA330B" w14:textId="77777777" w:rsidR="0058754E" w:rsidRDefault="0058754E" w:rsidP="00C452C7">
      <w:pPr>
        <w:spacing w:after="0" w:line="360" w:lineRule="auto"/>
        <w:ind w:firstLine="720"/>
        <w:jc w:val="both"/>
        <w:rPr>
          <w:rFonts w:ascii="Arial" w:eastAsia="Times New Roman" w:hAnsi="Arial" w:cs="Arial"/>
          <w:kern w:val="0"/>
          <w:sz w:val="22"/>
          <w:szCs w:val="22"/>
          <w:lang w:val="en-US" w:eastAsia="en-US"/>
          <w14:ligatures w14:val="none"/>
        </w:rPr>
      </w:pPr>
    </w:p>
    <w:p w14:paraId="5B55D951" w14:textId="77777777" w:rsidR="0058754E" w:rsidRDefault="0058754E" w:rsidP="00C452C7">
      <w:pPr>
        <w:spacing w:after="0" w:line="360" w:lineRule="auto"/>
        <w:ind w:firstLine="720"/>
        <w:jc w:val="both"/>
        <w:rPr>
          <w:rFonts w:ascii="Arial" w:eastAsia="Times New Roman" w:hAnsi="Arial" w:cs="Arial"/>
          <w:kern w:val="0"/>
          <w:sz w:val="22"/>
          <w:szCs w:val="22"/>
          <w:lang w:val="en-US" w:eastAsia="en-US"/>
          <w14:ligatures w14:val="none"/>
        </w:rPr>
      </w:pPr>
    </w:p>
    <w:p w14:paraId="270C54AF" w14:textId="77777777" w:rsidR="000A4F32" w:rsidRPr="00D1682D" w:rsidRDefault="000A4F32" w:rsidP="00C452C7">
      <w:pPr>
        <w:spacing w:after="0" w:line="360" w:lineRule="auto"/>
        <w:ind w:firstLine="720"/>
        <w:jc w:val="both"/>
        <w:rPr>
          <w:rFonts w:ascii="Arial" w:eastAsia="Times New Roman" w:hAnsi="Arial" w:cs="Arial"/>
          <w:kern w:val="0"/>
          <w:sz w:val="22"/>
          <w:szCs w:val="22"/>
          <w:lang w:val="en-US" w:eastAsia="en-US"/>
          <w14:ligatures w14:val="none"/>
        </w:rPr>
      </w:pPr>
    </w:p>
    <w:p w14:paraId="7F14ABE6" w14:textId="77777777" w:rsidR="0070116F" w:rsidRPr="004A110E" w:rsidRDefault="0070116F" w:rsidP="004A110E">
      <w:pPr>
        <w:pStyle w:val="Heading1"/>
        <w:spacing w:line="360" w:lineRule="auto"/>
        <w:rPr>
          <w:rFonts w:ascii="Arial" w:eastAsia="Times New Roman" w:hAnsi="Arial" w:cs="Arial"/>
          <w:sz w:val="22"/>
          <w:szCs w:val="22"/>
          <w:lang w:val="en-US" w:eastAsia="en-US"/>
        </w:rPr>
      </w:pPr>
      <w:bookmarkStart w:id="23" w:name="_Toc180075694"/>
      <w:r w:rsidRPr="004A110E">
        <w:rPr>
          <w:rFonts w:ascii="Arial" w:eastAsia="Times New Roman" w:hAnsi="Arial" w:cs="Arial"/>
          <w:sz w:val="22"/>
          <w:szCs w:val="22"/>
          <w:lang w:val="en-US" w:eastAsia="en-US"/>
        </w:rPr>
        <w:t>Shareholder Rights and Engagement</w:t>
      </w:r>
      <w:bookmarkEnd w:id="23"/>
    </w:p>
    <w:p w14:paraId="57138B97" w14:textId="77777777" w:rsidR="0070116F"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The company develops a close relationship with its shareholders by encouraging them to be actively involved through transparency in communication and involvement in governance matters. This ensures that its shareholders get involved in the decision-making process, particularly through notices in AGMs, voting rights, and distributions related to dividends (Androniceanu, 2021). These governance practices align closely with Tesco’s mission of "serving shoppers a little better every day" through ethical leadership, financial prudence, and stakeholder inclusivity (Tesco, 2024).</w:t>
      </w:r>
    </w:p>
    <w:p w14:paraId="7C975402"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1CEED0FE"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4015F676"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0E1DAD02"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6F5D3FD8"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7B1F0564"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69130853"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3E197502"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3A220067"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6310DB3D"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54FF46CB"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51DC62AF"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5CD15532"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51580219"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3E3823F0"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24A03BDF"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67F66BF5"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3BB0F000"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66AE88D4"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0B8CCE21"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4904FABE"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254F6782"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021A8887"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112BE106"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366279EA" w14:textId="77777777" w:rsidR="004A110E"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467E736D" w14:textId="77777777" w:rsidR="004A110E" w:rsidRPr="00D1682D" w:rsidRDefault="004A110E" w:rsidP="00C452C7">
      <w:pPr>
        <w:spacing w:after="0" w:line="360" w:lineRule="auto"/>
        <w:ind w:firstLine="720"/>
        <w:jc w:val="both"/>
        <w:rPr>
          <w:rFonts w:ascii="Arial" w:eastAsia="Times New Roman" w:hAnsi="Arial" w:cs="Arial"/>
          <w:kern w:val="0"/>
          <w:sz w:val="22"/>
          <w:szCs w:val="22"/>
          <w:lang w:val="en-US" w:eastAsia="en-US"/>
          <w14:ligatures w14:val="none"/>
        </w:rPr>
      </w:pPr>
    </w:p>
    <w:p w14:paraId="23DF156C" w14:textId="77777777" w:rsidR="0070116F" w:rsidRPr="004A110E" w:rsidRDefault="0070116F" w:rsidP="004A110E">
      <w:pPr>
        <w:pStyle w:val="Heading1"/>
        <w:spacing w:line="360" w:lineRule="auto"/>
        <w:rPr>
          <w:rFonts w:ascii="Arial" w:eastAsia="Times New Roman" w:hAnsi="Arial" w:cs="Arial"/>
          <w:sz w:val="22"/>
          <w:szCs w:val="22"/>
          <w:lang w:val="en-US" w:eastAsia="en-US"/>
        </w:rPr>
      </w:pPr>
      <w:bookmarkStart w:id="24" w:name="_Toc180075695"/>
      <w:r w:rsidRPr="004A110E">
        <w:rPr>
          <w:rFonts w:ascii="Arial" w:eastAsia="Times New Roman" w:hAnsi="Arial" w:cs="Arial"/>
          <w:sz w:val="22"/>
          <w:szCs w:val="22"/>
          <w:lang w:val="en-US" w:eastAsia="en-US"/>
        </w:rPr>
        <w:t>Relationship between Corporate Governance Practices and Financial Performance</w:t>
      </w:r>
      <w:bookmarkEnd w:id="24"/>
    </w:p>
    <w:p w14:paraId="4045837C" w14:textId="2FA53F4A"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Over the last five years (2019-2023), Tesco’s financial performance has </w:t>
      </w:r>
      <w:r w:rsidR="000A4F32" w:rsidRPr="00D1682D">
        <w:rPr>
          <w:rFonts w:ascii="Arial" w:eastAsia="Times New Roman" w:hAnsi="Arial" w:cs="Arial"/>
          <w:kern w:val="0"/>
          <w:sz w:val="22"/>
          <w:szCs w:val="22"/>
          <w:lang w:val="en-US" w:eastAsia="en-US"/>
          <w14:ligatures w14:val="none"/>
        </w:rPr>
        <w:t>proved</w:t>
      </w:r>
      <w:r w:rsidRPr="00D1682D">
        <w:rPr>
          <w:rFonts w:ascii="Arial" w:eastAsia="Times New Roman" w:hAnsi="Arial" w:cs="Arial"/>
          <w:kern w:val="0"/>
          <w:sz w:val="22"/>
          <w:szCs w:val="22"/>
          <w:lang w:val="en-US" w:eastAsia="en-US"/>
          <w14:ligatures w14:val="none"/>
        </w:rPr>
        <w:t xml:space="preserve"> resilience and improved based on its leading macro-corporate governance structure.</w:t>
      </w:r>
    </w:p>
    <w:p w14:paraId="45D20F2D" w14:textId="77777777" w:rsidR="0070116F" w:rsidRPr="00D1682D" w:rsidRDefault="0070116F" w:rsidP="00C452C7">
      <w:pPr>
        <w:keepNext/>
        <w:spacing w:after="0" w:line="360" w:lineRule="auto"/>
        <w:jc w:val="both"/>
        <w:rPr>
          <w:rFonts w:ascii="Arial" w:eastAsia="Times New Roman" w:hAnsi="Arial" w:cs="Arial"/>
          <w:kern w:val="0"/>
          <w:sz w:val="22"/>
          <w:szCs w:val="22"/>
          <w:lang w:val="en-US" w:eastAsia="en-US"/>
          <w14:ligatures w14:val="none"/>
        </w:rPr>
      </w:pPr>
      <w:r w:rsidRPr="00D1682D">
        <w:rPr>
          <w:rFonts w:ascii="Arial" w:eastAsia="Times New Roman" w:hAnsi="Arial" w:cs="Arial"/>
          <w:noProof/>
          <w:kern w:val="0"/>
          <w:sz w:val="22"/>
          <w:szCs w:val="22"/>
          <w:lang w:val="en-US" w:eastAsia="en-US"/>
          <w14:ligatures w14:val="none"/>
        </w:rPr>
        <w:drawing>
          <wp:inline distT="0" distB="0" distL="0" distR="0" wp14:anchorId="4BCECF8E" wp14:editId="57FD4B0F">
            <wp:extent cx="5810250" cy="3622675"/>
            <wp:effectExtent l="0" t="0" r="0" b="15875"/>
            <wp:docPr id="1067738062" name="Chart 1">
              <a:extLst xmlns:a="http://schemas.openxmlformats.org/drawingml/2006/main">
                <a:ext uri="{FF2B5EF4-FFF2-40B4-BE49-F238E27FC236}">
                  <a16:creationId xmlns:a16="http://schemas.microsoft.com/office/drawing/2014/main" id="{99DED8FB-AE94-EF21-4019-C6D7BD5FA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69D171A" w14:textId="77777777" w:rsidR="0070116F" w:rsidRDefault="0070116F" w:rsidP="00C452C7">
      <w:pPr>
        <w:spacing w:after="0" w:line="360" w:lineRule="auto"/>
        <w:jc w:val="both"/>
        <w:rPr>
          <w:rFonts w:ascii="Arial" w:eastAsiaTheme="minorHAnsi" w:hAnsi="Arial" w:cs="Arial"/>
          <w:color w:val="0E2841" w:themeColor="text2"/>
          <w:sz w:val="22"/>
          <w:szCs w:val="22"/>
          <w:lang w:val="en-US" w:eastAsia="en-US"/>
        </w:rPr>
      </w:pPr>
      <w:bookmarkStart w:id="25" w:name="_Toc180073797"/>
      <w:r w:rsidRPr="00D1682D">
        <w:rPr>
          <w:rFonts w:ascii="Arial" w:eastAsiaTheme="minorHAnsi" w:hAnsi="Arial" w:cs="Arial"/>
          <w:color w:val="0E2841" w:themeColor="text2"/>
          <w:sz w:val="22"/>
          <w:szCs w:val="22"/>
          <w:lang w:val="en-US" w:eastAsia="en-US"/>
        </w:rPr>
        <w:t xml:space="preserve">Figure </w:t>
      </w:r>
      <w:r w:rsidRPr="00D1682D">
        <w:rPr>
          <w:rFonts w:ascii="Arial" w:eastAsiaTheme="minorHAnsi" w:hAnsi="Arial" w:cs="Arial"/>
          <w:color w:val="0E2841" w:themeColor="text2"/>
          <w:sz w:val="22"/>
          <w:szCs w:val="22"/>
          <w:lang w:val="en-US" w:eastAsia="en-US"/>
        </w:rPr>
        <w:fldChar w:fldCharType="begin"/>
      </w:r>
      <w:r w:rsidRPr="00D1682D">
        <w:rPr>
          <w:rFonts w:ascii="Arial" w:eastAsiaTheme="minorHAnsi" w:hAnsi="Arial" w:cs="Arial"/>
          <w:color w:val="0E2841" w:themeColor="text2"/>
          <w:sz w:val="22"/>
          <w:szCs w:val="22"/>
          <w:lang w:val="en-US" w:eastAsia="en-US"/>
        </w:rPr>
        <w:instrText xml:space="preserve"> SEQ Figure \* ARABIC </w:instrText>
      </w:r>
      <w:r w:rsidRPr="00D1682D">
        <w:rPr>
          <w:rFonts w:ascii="Arial" w:eastAsiaTheme="minorHAnsi" w:hAnsi="Arial" w:cs="Arial"/>
          <w:color w:val="0E2841" w:themeColor="text2"/>
          <w:sz w:val="22"/>
          <w:szCs w:val="22"/>
          <w:lang w:val="en-US" w:eastAsia="en-US"/>
        </w:rPr>
        <w:fldChar w:fldCharType="separate"/>
      </w:r>
      <w:r w:rsidRPr="00D1682D">
        <w:rPr>
          <w:rFonts w:ascii="Arial" w:eastAsiaTheme="minorHAnsi" w:hAnsi="Arial" w:cs="Arial"/>
          <w:noProof/>
          <w:color w:val="0E2841" w:themeColor="text2"/>
          <w:sz w:val="22"/>
          <w:szCs w:val="22"/>
          <w:lang w:val="en-US" w:eastAsia="en-US"/>
        </w:rPr>
        <w:t>1</w:t>
      </w:r>
      <w:r w:rsidRPr="00D1682D">
        <w:rPr>
          <w:rFonts w:ascii="Arial" w:eastAsiaTheme="minorHAnsi" w:hAnsi="Arial" w:cs="Arial"/>
          <w:color w:val="0E2841" w:themeColor="text2"/>
          <w:sz w:val="22"/>
          <w:szCs w:val="22"/>
          <w:lang w:val="en-US" w:eastAsia="en-US"/>
        </w:rPr>
        <w:fldChar w:fldCharType="end"/>
      </w:r>
      <w:r w:rsidRPr="00D1682D">
        <w:rPr>
          <w:rFonts w:ascii="Arial" w:eastAsiaTheme="minorHAnsi" w:hAnsi="Arial" w:cs="Arial"/>
          <w:color w:val="0E2841" w:themeColor="text2"/>
          <w:sz w:val="22"/>
          <w:szCs w:val="22"/>
          <w:lang w:val="en-US" w:eastAsia="en-US"/>
        </w:rPr>
        <w:t>: 5-Year Revenue, Operating Profits and Share Prices</w:t>
      </w:r>
      <w:bookmarkEnd w:id="25"/>
    </w:p>
    <w:p w14:paraId="10B59F97" w14:textId="77777777" w:rsidR="004A110E" w:rsidRPr="00D1682D" w:rsidRDefault="004A110E" w:rsidP="00C452C7">
      <w:pPr>
        <w:spacing w:after="0" w:line="360" w:lineRule="auto"/>
        <w:jc w:val="both"/>
        <w:rPr>
          <w:rFonts w:ascii="Arial" w:eastAsiaTheme="minorHAnsi" w:hAnsi="Arial" w:cs="Arial"/>
          <w:color w:val="0E2841" w:themeColor="text2"/>
          <w:sz w:val="22"/>
          <w:szCs w:val="22"/>
          <w:lang w:val="en-US" w:eastAsia="en-US"/>
        </w:rPr>
      </w:pPr>
    </w:p>
    <w:p w14:paraId="738C0D8B" w14:textId="62752BD0" w:rsidR="0070116F" w:rsidRPr="00D1682D" w:rsidRDefault="009B1A5A" w:rsidP="00C452C7">
      <w:pPr>
        <w:spacing w:after="0" w:line="360" w:lineRule="auto"/>
        <w:jc w:val="both"/>
        <w:rPr>
          <w:rFonts w:ascii="Arial" w:eastAsia="Times New Roman" w:hAnsi="Arial" w:cs="Arial"/>
          <w:kern w:val="0"/>
          <w:sz w:val="22"/>
          <w:szCs w:val="22"/>
          <w:lang w:val="en-US" w:eastAsia="en-US"/>
          <w14:ligatures w14:val="none"/>
        </w:rPr>
      </w:pPr>
      <w:r>
        <w:rPr>
          <w:rFonts w:ascii="Arial" w:eastAsia="Times New Roman" w:hAnsi="Arial" w:cs="Arial"/>
          <w:kern w:val="0"/>
          <w:sz w:val="22"/>
          <w:szCs w:val="22"/>
          <w:lang w:val="en-US" w:eastAsia="en-US"/>
          <w14:ligatures w14:val="none"/>
        </w:rPr>
        <w:t xml:space="preserve">            </w:t>
      </w:r>
      <w:r w:rsidR="0070116F" w:rsidRPr="00D1682D">
        <w:rPr>
          <w:rFonts w:ascii="Arial" w:eastAsia="Times New Roman" w:hAnsi="Arial" w:cs="Arial"/>
          <w:kern w:val="0"/>
          <w:sz w:val="22"/>
          <w:szCs w:val="22"/>
          <w:lang w:val="en-US" w:eastAsia="en-US"/>
          <w14:ligatures w14:val="none"/>
        </w:rPr>
        <w:t>Revenue has grown from 31.9 billion pounds in 2019 to 34.1 billion pounds in 2023, at two major market disruptions: the COVID-19 pandemic and increased inflation. Operating profit was volatile, reaching a high of £1.48 billion in 2023 from a low of £736 million in 2022 (Tesco, 2024).</w:t>
      </w:r>
    </w:p>
    <w:p w14:paraId="5EF08A2D" w14:textId="2120AEAC" w:rsidR="0070116F"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Similarly, the ROE of Tesco has also been volatile but robust, reaching 13% in 2023, while earnings per share increased from 3.31 pence in 2019 to </w:t>
      </w:r>
      <w:r w:rsidR="004A110E">
        <w:rPr>
          <w:rFonts w:ascii="Arial" w:eastAsia="Times New Roman" w:hAnsi="Arial" w:cs="Arial"/>
          <w:kern w:val="0"/>
          <w:sz w:val="22"/>
          <w:szCs w:val="22"/>
          <w:lang w:val="en-US" w:eastAsia="en-US"/>
          <w14:ligatures w14:val="none"/>
        </w:rPr>
        <w:t>£</w:t>
      </w:r>
      <w:r w:rsidRPr="00D1682D">
        <w:rPr>
          <w:rFonts w:ascii="Arial" w:eastAsia="Times New Roman" w:hAnsi="Arial" w:cs="Arial"/>
          <w:kern w:val="0"/>
          <w:sz w:val="22"/>
          <w:szCs w:val="22"/>
          <w:lang w:val="en-US" w:eastAsia="en-US"/>
          <w14:ligatures w14:val="none"/>
        </w:rPr>
        <w:t>12.83 pence in 2023 (Tesco, 2024).</w:t>
      </w:r>
    </w:p>
    <w:p w14:paraId="33791A1E"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3A3B1870"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1C36FCE8"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4D12DB13"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1AC590AE"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094BB868"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242DDF40" w14:textId="77777777" w:rsidR="009D02F2"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6CEC704D" w14:textId="41D966C7" w:rsidR="009D02F2" w:rsidRPr="009D02F2" w:rsidRDefault="009D02F2" w:rsidP="009D02F2">
      <w:pPr>
        <w:pStyle w:val="Heading1"/>
        <w:spacing w:line="360" w:lineRule="auto"/>
        <w:rPr>
          <w:rFonts w:ascii="Arial" w:eastAsia="Times New Roman" w:hAnsi="Arial" w:cs="Arial"/>
          <w:sz w:val="22"/>
          <w:szCs w:val="22"/>
          <w:lang w:val="en-US" w:eastAsia="en-US"/>
        </w:rPr>
      </w:pPr>
      <w:bookmarkStart w:id="26" w:name="_Toc180075696"/>
      <w:r w:rsidRPr="009D02F2">
        <w:rPr>
          <w:rFonts w:ascii="Arial" w:eastAsia="Times New Roman" w:hAnsi="Arial" w:cs="Arial"/>
          <w:sz w:val="22"/>
          <w:szCs w:val="22"/>
          <w:lang w:val="en-US" w:eastAsia="en-US"/>
        </w:rPr>
        <w:lastRenderedPageBreak/>
        <w:t>ROE % and EPS%</w:t>
      </w:r>
      <w:r>
        <w:rPr>
          <w:rFonts w:ascii="Arial" w:eastAsia="Times New Roman" w:hAnsi="Arial" w:cs="Arial"/>
          <w:sz w:val="22"/>
          <w:szCs w:val="22"/>
          <w:lang w:val="en-US" w:eastAsia="en-US"/>
        </w:rPr>
        <w:t xml:space="preserve"> (Pence) from 2019-2023</w:t>
      </w:r>
      <w:bookmarkEnd w:id="26"/>
    </w:p>
    <w:p w14:paraId="4CF1C3C7" w14:textId="77777777" w:rsidR="0070116F" w:rsidRPr="00D1682D" w:rsidRDefault="0070116F" w:rsidP="00C452C7">
      <w:pPr>
        <w:keepNext/>
        <w:spacing w:after="0" w:line="360" w:lineRule="auto"/>
        <w:jc w:val="both"/>
        <w:rPr>
          <w:rFonts w:ascii="Arial" w:eastAsia="Times New Roman" w:hAnsi="Arial" w:cs="Arial"/>
          <w:kern w:val="0"/>
          <w:sz w:val="22"/>
          <w:szCs w:val="22"/>
          <w:lang w:val="en-US" w:eastAsia="en-US"/>
          <w14:ligatures w14:val="none"/>
        </w:rPr>
      </w:pPr>
      <w:r w:rsidRPr="00D1682D">
        <w:rPr>
          <w:rFonts w:ascii="Arial" w:eastAsia="Times New Roman" w:hAnsi="Arial" w:cs="Arial"/>
          <w:noProof/>
          <w:kern w:val="0"/>
          <w:sz w:val="22"/>
          <w:szCs w:val="22"/>
          <w:lang w:val="en-US" w:eastAsia="en-US"/>
          <w14:ligatures w14:val="none"/>
        </w:rPr>
        <w:drawing>
          <wp:inline distT="0" distB="0" distL="0" distR="0" wp14:anchorId="2B355B70" wp14:editId="4E4D8D5D">
            <wp:extent cx="5613400" cy="3039787"/>
            <wp:effectExtent l="0" t="0" r="12700" b="8255"/>
            <wp:docPr id="679721124" name="Chart 1">
              <a:extLst xmlns:a="http://schemas.openxmlformats.org/drawingml/2006/main">
                <a:ext uri="{FF2B5EF4-FFF2-40B4-BE49-F238E27FC236}">
                  <a16:creationId xmlns:a16="http://schemas.microsoft.com/office/drawing/2014/main" id="{0111680A-DC3E-3BDE-31C6-9354EE889C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F0848E" w14:textId="77777777" w:rsidR="0070116F" w:rsidRDefault="0070116F" w:rsidP="00C452C7">
      <w:pPr>
        <w:spacing w:after="0" w:line="360" w:lineRule="auto"/>
        <w:jc w:val="both"/>
        <w:rPr>
          <w:rFonts w:ascii="Arial" w:eastAsiaTheme="minorHAnsi" w:hAnsi="Arial" w:cs="Arial"/>
          <w:color w:val="0E2841" w:themeColor="text2"/>
          <w:sz w:val="22"/>
          <w:szCs w:val="22"/>
          <w:lang w:val="en-US" w:eastAsia="en-US"/>
        </w:rPr>
      </w:pPr>
      <w:bookmarkStart w:id="27" w:name="_Toc180073798"/>
      <w:r w:rsidRPr="00D1682D">
        <w:rPr>
          <w:rFonts w:ascii="Arial" w:eastAsiaTheme="minorHAnsi" w:hAnsi="Arial" w:cs="Arial"/>
          <w:color w:val="0E2841" w:themeColor="text2"/>
          <w:sz w:val="22"/>
          <w:szCs w:val="22"/>
          <w:lang w:val="en-US" w:eastAsia="en-US"/>
        </w:rPr>
        <w:t xml:space="preserve">Figure </w:t>
      </w:r>
      <w:r w:rsidRPr="00D1682D">
        <w:rPr>
          <w:rFonts w:ascii="Arial" w:eastAsiaTheme="minorHAnsi" w:hAnsi="Arial" w:cs="Arial"/>
          <w:color w:val="0E2841" w:themeColor="text2"/>
          <w:sz w:val="22"/>
          <w:szCs w:val="22"/>
          <w:lang w:val="en-US" w:eastAsia="en-US"/>
        </w:rPr>
        <w:fldChar w:fldCharType="begin"/>
      </w:r>
      <w:r w:rsidRPr="00D1682D">
        <w:rPr>
          <w:rFonts w:ascii="Arial" w:eastAsiaTheme="minorHAnsi" w:hAnsi="Arial" w:cs="Arial"/>
          <w:color w:val="0E2841" w:themeColor="text2"/>
          <w:sz w:val="22"/>
          <w:szCs w:val="22"/>
          <w:lang w:val="en-US" w:eastAsia="en-US"/>
        </w:rPr>
        <w:instrText xml:space="preserve"> SEQ Figure \* ARABIC </w:instrText>
      </w:r>
      <w:r w:rsidRPr="00D1682D">
        <w:rPr>
          <w:rFonts w:ascii="Arial" w:eastAsiaTheme="minorHAnsi" w:hAnsi="Arial" w:cs="Arial"/>
          <w:color w:val="0E2841" w:themeColor="text2"/>
          <w:sz w:val="22"/>
          <w:szCs w:val="22"/>
          <w:lang w:val="en-US" w:eastAsia="en-US"/>
        </w:rPr>
        <w:fldChar w:fldCharType="separate"/>
      </w:r>
      <w:r w:rsidRPr="00D1682D">
        <w:rPr>
          <w:rFonts w:ascii="Arial" w:eastAsiaTheme="minorHAnsi" w:hAnsi="Arial" w:cs="Arial"/>
          <w:noProof/>
          <w:color w:val="0E2841" w:themeColor="text2"/>
          <w:sz w:val="22"/>
          <w:szCs w:val="22"/>
          <w:lang w:val="en-US" w:eastAsia="en-US"/>
        </w:rPr>
        <w:t>2</w:t>
      </w:r>
      <w:r w:rsidRPr="00D1682D">
        <w:rPr>
          <w:rFonts w:ascii="Arial" w:eastAsiaTheme="minorHAnsi" w:hAnsi="Arial" w:cs="Arial"/>
          <w:color w:val="0E2841" w:themeColor="text2"/>
          <w:sz w:val="22"/>
          <w:szCs w:val="22"/>
          <w:lang w:val="en-US" w:eastAsia="en-US"/>
        </w:rPr>
        <w:fldChar w:fldCharType="end"/>
      </w:r>
      <w:r w:rsidRPr="00D1682D">
        <w:rPr>
          <w:rFonts w:ascii="Arial" w:eastAsiaTheme="minorHAnsi" w:hAnsi="Arial" w:cs="Arial"/>
          <w:color w:val="0E2841" w:themeColor="text2"/>
          <w:sz w:val="22"/>
          <w:szCs w:val="22"/>
          <w:lang w:val="en-US" w:eastAsia="en-US"/>
        </w:rPr>
        <w:t>: ROE (%) and EPS (pence) from 2019-2023</w:t>
      </w:r>
      <w:bookmarkEnd w:id="27"/>
    </w:p>
    <w:p w14:paraId="6AC79D53" w14:textId="77777777" w:rsidR="004A110E" w:rsidRPr="00D1682D" w:rsidRDefault="004A110E" w:rsidP="00C452C7">
      <w:pPr>
        <w:spacing w:after="0" w:line="360" w:lineRule="auto"/>
        <w:jc w:val="both"/>
        <w:rPr>
          <w:rFonts w:ascii="Arial" w:eastAsiaTheme="minorHAnsi" w:hAnsi="Arial" w:cs="Arial"/>
          <w:color w:val="0E2841" w:themeColor="text2"/>
          <w:sz w:val="22"/>
          <w:szCs w:val="22"/>
          <w:lang w:val="en-US" w:eastAsia="en-US"/>
        </w:rPr>
      </w:pPr>
    </w:p>
    <w:p w14:paraId="331A1E91" w14:textId="4A190BD1" w:rsidR="0070116F" w:rsidRPr="00D1682D" w:rsidRDefault="009B1A5A" w:rsidP="00C452C7">
      <w:pPr>
        <w:spacing w:after="0" w:line="360" w:lineRule="auto"/>
        <w:jc w:val="both"/>
        <w:rPr>
          <w:rFonts w:ascii="Arial" w:eastAsia="Times New Roman" w:hAnsi="Arial" w:cs="Arial"/>
          <w:kern w:val="0"/>
          <w:sz w:val="22"/>
          <w:szCs w:val="22"/>
          <w:lang w:val="en-US" w:eastAsia="en-US"/>
          <w14:ligatures w14:val="none"/>
        </w:rPr>
      </w:pPr>
      <w:r>
        <w:rPr>
          <w:rFonts w:ascii="Arial" w:eastAsia="Times New Roman" w:hAnsi="Arial" w:cs="Arial"/>
          <w:kern w:val="0"/>
          <w:sz w:val="22"/>
          <w:szCs w:val="22"/>
          <w:lang w:val="en-US" w:eastAsia="en-US"/>
          <w14:ligatures w14:val="none"/>
        </w:rPr>
        <w:t xml:space="preserve">          </w:t>
      </w:r>
      <w:r w:rsidR="0070116F" w:rsidRPr="00D1682D">
        <w:rPr>
          <w:rFonts w:ascii="Arial" w:eastAsia="Times New Roman" w:hAnsi="Arial" w:cs="Arial"/>
          <w:kern w:val="0"/>
          <w:sz w:val="22"/>
          <w:szCs w:val="22"/>
          <w:lang w:val="en-US" w:eastAsia="en-US"/>
          <w14:ligatures w14:val="none"/>
        </w:rPr>
        <w:t>This indicates improved profitability and value for shareholders. According to Manu et al. (2019), governance standards increased investor confidence, and this performance was reflected in the share price of the firm, which had an upward trend.</w:t>
      </w:r>
    </w:p>
    <w:p w14:paraId="34F9E98A"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5D62A3C3"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7B545953"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3D45B607"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5CC7B0E0"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767B8868"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6249DEA0"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45F20897"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50DFF843"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3C2DEB5D"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687EDC97"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14DCB8F1"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573C4B7E"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2159F3C3"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1A4DDA7A"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5616F8E7"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1AD9E6AC"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3B53020F"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7DD1F70F" w14:textId="77777777" w:rsidR="004A110E" w:rsidRDefault="004A110E" w:rsidP="00C452C7">
      <w:pPr>
        <w:spacing w:after="0" w:line="360" w:lineRule="auto"/>
        <w:jc w:val="both"/>
        <w:rPr>
          <w:rFonts w:ascii="Arial" w:eastAsia="Times New Roman" w:hAnsi="Arial" w:cs="Arial"/>
          <w:kern w:val="0"/>
          <w:sz w:val="22"/>
          <w:szCs w:val="22"/>
          <w:lang w:val="en-US" w:eastAsia="en-US"/>
          <w14:ligatures w14:val="none"/>
        </w:rPr>
      </w:pPr>
    </w:p>
    <w:p w14:paraId="0C137892" w14:textId="0517D1A2" w:rsidR="0070116F" w:rsidRPr="004A110E" w:rsidRDefault="0070116F" w:rsidP="004A110E">
      <w:pPr>
        <w:pStyle w:val="Heading1"/>
        <w:spacing w:line="360" w:lineRule="auto"/>
        <w:rPr>
          <w:rFonts w:ascii="Arial" w:eastAsia="Times New Roman" w:hAnsi="Arial" w:cs="Arial"/>
          <w:sz w:val="22"/>
          <w:szCs w:val="22"/>
          <w:lang w:val="en-US" w:eastAsia="en-US"/>
        </w:rPr>
      </w:pPr>
      <w:bookmarkStart w:id="28" w:name="_Toc180075697"/>
      <w:r w:rsidRPr="004A110E">
        <w:rPr>
          <w:rFonts w:ascii="Arial" w:eastAsia="Times New Roman" w:hAnsi="Arial" w:cs="Arial"/>
          <w:sz w:val="22"/>
          <w:szCs w:val="22"/>
          <w:lang w:val="en-US" w:eastAsia="en-US"/>
        </w:rPr>
        <w:t>Board Structure and Performance</w:t>
      </w:r>
      <w:bookmarkEnd w:id="28"/>
    </w:p>
    <w:p w14:paraId="62052EFC" w14:textId="77777777" w:rsidR="0070116F" w:rsidRDefault="0070116F" w:rsidP="004A110E">
      <w:pPr>
        <w:spacing w:after="0" w:line="360" w:lineRule="auto"/>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Board diversity and independence have played a critical role in maintaining profitability Tesco.</w:t>
      </w:r>
    </w:p>
    <w:p w14:paraId="3D11DB41" w14:textId="77777777" w:rsidR="009D02F2" w:rsidRPr="00D1682D" w:rsidRDefault="009D02F2" w:rsidP="004A110E">
      <w:pPr>
        <w:spacing w:after="0" w:line="360" w:lineRule="auto"/>
        <w:jc w:val="both"/>
        <w:rPr>
          <w:rFonts w:ascii="Arial" w:eastAsia="Times New Roman" w:hAnsi="Arial" w:cs="Arial"/>
          <w:kern w:val="0"/>
          <w:sz w:val="22"/>
          <w:szCs w:val="22"/>
          <w:lang w:val="en-US" w:eastAsia="en-US"/>
          <w14:ligatures w14:val="none"/>
        </w:rPr>
      </w:pPr>
    </w:p>
    <w:p w14:paraId="7BE8715B" w14:textId="77777777" w:rsidR="0070116F" w:rsidRPr="00D1682D" w:rsidRDefault="0070116F" w:rsidP="00C452C7">
      <w:pPr>
        <w:keepNext/>
        <w:spacing w:after="0" w:line="360" w:lineRule="auto"/>
        <w:jc w:val="both"/>
        <w:rPr>
          <w:rFonts w:ascii="Arial" w:eastAsia="Times New Roman" w:hAnsi="Arial" w:cs="Arial"/>
          <w:kern w:val="0"/>
          <w:sz w:val="22"/>
          <w:szCs w:val="22"/>
          <w:lang w:val="en-US" w:eastAsia="en-US"/>
          <w14:ligatures w14:val="none"/>
        </w:rPr>
      </w:pPr>
      <w:r w:rsidRPr="00D1682D">
        <w:rPr>
          <w:rFonts w:ascii="Arial" w:eastAsia="Times New Roman" w:hAnsi="Arial" w:cs="Arial"/>
          <w:noProof/>
          <w:kern w:val="0"/>
          <w:sz w:val="22"/>
          <w:szCs w:val="22"/>
          <w:lang w:val="en-US" w:eastAsia="en-US"/>
          <w14:ligatures w14:val="none"/>
        </w:rPr>
        <w:drawing>
          <wp:inline distT="0" distB="0" distL="0" distR="0" wp14:anchorId="0DA8E063" wp14:editId="39F7FDEF">
            <wp:extent cx="5662013" cy="2688699"/>
            <wp:effectExtent l="0" t="0" r="15240" b="16510"/>
            <wp:docPr id="1585458562" name="Chart 1">
              <a:extLst xmlns:a="http://schemas.openxmlformats.org/drawingml/2006/main">
                <a:ext uri="{FF2B5EF4-FFF2-40B4-BE49-F238E27FC236}">
                  <a16:creationId xmlns:a16="http://schemas.microsoft.com/office/drawing/2014/main" id="{15C66FCC-4F95-E2A9-17BF-5AD49E13E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519AE9" w14:textId="77777777" w:rsidR="0070116F" w:rsidRDefault="0070116F" w:rsidP="00C452C7">
      <w:pPr>
        <w:spacing w:after="0" w:line="360" w:lineRule="auto"/>
        <w:jc w:val="both"/>
        <w:rPr>
          <w:rFonts w:ascii="Arial" w:eastAsiaTheme="minorHAnsi" w:hAnsi="Arial" w:cs="Arial"/>
          <w:color w:val="0E2841" w:themeColor="text2"/>
          <w:sz w:val="22"/>
          <w:szCs w:val="22"/>
          <w:lang w:val="en-US" w:eastAsia="en-US"/>
        </w:rPr>
      </w:pPr>
      <w:bookmarkStart w:id="29" w:name="_Toc180073799"/>
      <w:r w:rsidRPr="00D1682D">
        <w:rPr>
          <w:rFonts w:ascii="Arial" w:eastAsiaTheme="minorHAnsi" w:hAnsi="Arial" w:cs="Arial"/>
          <w:color w:val="0E2841" w:themeColor="text2"/>
          <w:sz w:val="22"/>
          <w:szCs w:val="22"/>
          <w:lang w:val="en-US" w:eastAsia="en-US"/>
        </w:rPr>
        <w:t xml:space="preserve">Figure </w:t>
      </w:r>
      <w:r w:rsidRPr="00D1682D">
        <w:rPr>
          <w:rFonts w:ascii="Arial" w:eastAsiaTheme="minorHAnsi" w:hAnsi="Arial" w:cs="Arial"/>
          <w:color w:val="0E2841" w:themeColor="text2"/>
          <w:sz w:val="22"/>
          <w:szCs w:val="22"/>
          <w:lang w:val="en-US" w:eastAsia="en-US"/>
        </w:rPr>
        <w:fldChar w:fldCharType="begin"/>
      </w:r>
      <w:r w:rsidRPr="00D1682D">
        <w:rPr>
          <w:rFonts w:ascii="Arial" w:eastAsiaTheme="minorHAnsi" w:hAnsi="Arial" w:cs="Arial"/>
          <w:color w:val="0E2841" w:themeColor="text2"/>
          <w:sz w:val="22"/>
          <w:szCs w:val="22"/>
          <w:lang w:val="en-US" w:eastAsia="en-US"/>
        </w:rPr>
        <w:instrText xml:space="preserve"> SEQ Figure \* ARABIC </w:instrText>
      </w:r>
      <w:r w:rsidRPr="00D1682D">
        <w:rPr>
          <w:rFonts w:ascii="Arial" w:eastAsiaTheme="minorHAnsi" w:hAnsi="Arial" w:cs="Arial"/>
          <w:color w:val="0E2841" w:themeColor="text2"/>
          <w:sz w:val="22"/>
          <w:szCs w:val="22"/>
          <w:lang w:val="en-US" w:eastAsia="en-US"/>
        </w:rPr>
        <w:fldChar w:fldCharType="separate"/>
      </w:r>
      <w:r w:rsidRPr="00D1682D">
        <w:rPr>
          <w:rFonts w:ascii="Arial" w:eastAsiaTheme="minorHAnsi" w:hAnsi="Arial" w:cs="Arial"/>
          <w:noProof/>
          <w:color w:val="0E2841" w:themeColor="text2"/>
          <w:sz w:val="22"/>
          <w:szCs w:val="22"/>
          <w:lang w:val="en-US" w:eastAsia="en-US"/>
        </w:rPr>
        <w:t>3</w:t>
      </w:r>
      <w:r w:rsidRPr="00D1682D">
        <w:rPr>
          <w:rFonts w:ascii="Arial" w:eastAsiaTheme="minorHAnsi" w:hAnsi="Arial" w:cs="Arial"/>
          <w:color w:val="0E2841" w:themeColor="text2"/>
          <w:sz w:val="22"/>
          <w:szCs w:val="22"/>
          <w:lang w:val="en-US" w:eastAsia="en-US"/>
        </w:rPr>
        <w:fldChar w:fldCharType="end"/>
      </w:r>
      <w:r w:rsidRPr="00D1682D">
        <w:rPr>
          <w:rFonts w:ascii="Arial" w:eastAsiaTheme="minorHAnsi" w:hAnsi="Arial" w:cs="Arial"/>
          <w:color w:val="0E2841" w:themeColor="text2"/>
          <w:sz w:val="22"/>
          <w:szCs w:val="22"/>
          <w:lang w:val="en-US" w:eastAsia="en-US"/>
        </w:rPr>
        <w:t>: Independent Directors</w:t>
      </w:r>
      <w:bookmarkEnd w:id="29"/>
    </w:p>
    <w:p w14:paraId="0FD6E638" w14:textId="77777777" w:rsidR="004A110E" w:rsidRPr="00D1682D" w:rsidRDefault="004A110E" w:rsidP="00C452C7">
      <w:pPr>
        <w:spacing w:after="0" w:line="360" w:lineRule="auto"/>
        <w:jc w:val="both"/>
        <w:rPr>
          <w:rFonts w:ascii="Arial" w:eastAsiaTheme="minorHAnsi" w:hAnsi="Arial" w:cs="Arial"/>
          <w:color w:val="0E2841" w:themeColor="text2"/>
          <w:sz w:val="22"/>
          <w:szCs w:val="22"/>
          <w:lang w:val="en-US" w:eastAsia="en-US"/>
        </w:rPr>
      </w:pPr>
    </w:p>
    <w:p w14:paraId="18B090DF" w14:textId="7F947674" w:rsidR="0070116F" w:rsidRDefault="009B1A5A" w:rsidP="00C452C7">
      <w:pPr>
        <w:spacing w:after="0" w:line="360" w:lineRule="auto"/>
        <w:jc w:val="both"/>
        <w:rPr>
          <w:rFonts w:ascii="Arial" w:eastAsia="Times New Roman" w:hAnsi="Arial" w:cs="Arial"/>
          <w:kern w:val="0"/>
          <w:sz w:val="22"/>
          <w:szCs w:val="22"/>
          <w:lang w:val="en-US" w:eastAsia="en-US"/>
          <w14:ligatures w14:val="none"/>
        </w:rPr>
      </w:pPr>
      <w:r>
        <w:rPr>
          <w:rFonts w:ascii="Arial" w:eastAsia="Times New Roman" w:hAnsi="Arial" w:cs="Arial"/>
          <w:kern w:val="0"/>
          <w:sz w:val="22"/>
          <w:szCs w:val="22"/>
          <w:lang w:val="en-US" w:eastAsia="en-US"/>
          <w14:ligatures w14:val="none"/>
        </w:rPr>
        <w:t xml:space="preserve">           </w:t>
      </w:r>
      <w:r w:rsidR="0070116F" w:rsidRPr="00D1682D">
        <w:rPr>
          <w:rFonts w:ascii="Arial" w:eastAsia="Times New Roman" w:hAnsi="Arial" w:cs="Arial"/>
          <w:kern w:val="0"/>
          <w:sz w:val="22"/>
          <w:szCs w:val="22"/>
          <w:lang w:val="en-US" w:eastAsia="en-US"/>
          <w14:ligatures w14:val="none"/>
        </w:rPr>
        <w:t>Since 2019 to 2023, Tesco also steadily increased its independent directors from 58% in 2019 to 65% in 2023. This includes the rise in female directors from a low 30% in 2018 to 42% in 2023. The good representation of these independent voices on the board has been able to enhance its oversight role, through which better decision-making is derived (Endrikat et al., 2020). Board independence in Tesco has achieved consistent profitability because independent directors are pressed for better cost control and strategic initiatives. For example, the cost-cutting measures propelled by proactive management from the board allowed it to cushion against losses created by adversity, such as the pandemic and increased operational costs in 2022. According to Rejeb, Berraies, and Talbi (2019), diversity in the composition of the board promoted innovative thinking that put the firm in a position to adapt to changing markets towards online shopping.</w:t>
      </w:r>
    </w:p>
    <w:p w14:paraId="7DB0A82C"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4F416ECE"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12A5EC3F"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73A6D9F4"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395F882E"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6B561C1B"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3562BBDB"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1704DD15" w14:textId="77777777" w:rsidR="009B1A5A"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43C06D1D" w14:textId="77777777" w:rsidR="009B1A5A" w:rsidRPr="00D1682D" w:rsidRDefault="009B1A5A" w:rsidP="00C452C7">
      <w:pPr>
        <w:spacing w:after="0" w:line="360" w:lineRule="auto"/>
        <w:jc w:val="both"/>
        <w:rPr>
          <w:rFonts w:ascii="Arial" w:eastAsia="Times New Roman" w:hAnsi="Arial" w:cs="Arial"/>
          <w:kern w:val="0"/>
          <w:sz w:val="22"/>
          <w:szCs w:val="22"/>
          <w:lang w:val="en-US" w:eastAsia="en-US"/>
          <w14:ligatures w14:val="none"/>
        </w:rPr>
      </w:pPr>
    </w:p>
    <w:p w14:paraId="48B285A4" w14:textId="77777777" w:rsidR="0070116F" w:rsidRPr="009B1A5A" w:rsidRDefault="0070116F" w:rsidP="009B1A5A">
      <w:pPr>
        <w:pStyle w:val="Heading1"/>
        <w:spacing w:line="360" w:lineRule="auto"/>
        <w:rPr>
          <w:rFonts w:ascii="Arial" w:eastAsia="Times New Roman" w:hAnsi="Arial" w:cs="Arial"/>
          <w:sz w:val="22"/>
          <w:szCs w:val="22"/>
          <w:lang w:val="en-US" w:eastAsia="en-US"/>
        </w:rPr>
      </w:pPr>
      <w:bookmarkStart w:id="30" w:name="_Toc180075698"/>
      <w:r w:rsidRPr="009B1A5A">
        <w:rPr>
          <w:rFonts w:ascii="Arial" w:eastAsia="Times New Roman" w:hAnsi="Arial" w:cs="Arial"/>
          <w:sz w:val="22"/>
          <w:szCs w:val="22"/>
          <w:lang w:val="en-US" w:eastAsia="en-US"/>
        </w:rPr>
        <w:t>Remuneration and Incentives</w:t>
      </w:r>
      <w:bookmarkEnd w:id="30"/>
    </w:p>
    <w:p w14:paraId="03BDBB20" w14:textId="77777777" w:rsidR="0070116F"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Tesco's policy on the remuneration of executives, where compensation is tied closely with financial performance, has been instrumental in the drive of management for long-term success. In the last five years, the chief executive compensation has risen yearly due to the successive attainment of key performance indicators such as EPS and ROE. The reason is that, for instance, in 2023, a package of £1.7 million was present for the chief executive officers, besides considerable bonuses related to the hike in EPS by 16.8% and ROE by 13%.</w:t>
      </w:r>
    </w:p>
    <w:p w14:paraId="3AB16185" w14:textId="77777777" w:rsidR="009D02F2" w:rsidRPr="00D1682D" w:rsidRDefault="009D02F2" w:rsidP="00C452C7">
      <w:pPr>
        <w:spacing w:after="0" w:line="360" w:lineRule="auto"/>
        <w:ind w:firstLine="720"/>
        <w:jc w:val="both"/>
        <w:rPr>
          <w:rFonts w:ascii="Arial" w:eastAsia="Times New Roman" w:hAnsi="Arial" w:cs="Arial"/>
          <w:kern w:val="0"/>
          <w:sz w:val="22"/>
          <w:szCs w:val="22"/>
          <w:lang w:val="en-US" w:eastAsia="en-US"/>
          <w14:ligatures w14:val="none"/>
        </w:rPr>
      </w:pPr>
    </w:p>
    <w:p w14:paraId="20C0663C" w14:textId="77777777" w:rsidR="0070116F" w:rsidRPr="00D1682D" w:rsidRDefault="0070116F" w:rsidP="00C452C7">
      <w:pPr>
        <w:keepNext/>
        <w:spacing w:after="0" w:line="360" w:lineRule="auto"/>
        <w:jc w:val="both"/>
        <w:rPr>
          <w:rFonts w:ascii="Arial" w:eastAsia="Times New Roman" w:hAnsi="Arial" w:cs="Arial"/>
          <w:kern w:val="0"/>
          <w:sz w:val="22"/>
          <w:szCs w:val="22"/>
          <w:lang w:val="en-US" w:eastAsia="en-US"/>
          <w14:ligatures w14:val="none"/>
        </w:rPr>
      </w:pPr>
      <w:r w:rsidRPr="00D1682D">
        <w:rPr>
          <w:rFonts w:ascii="Arial" w:eastAsia="Times New Roman" w:hAnsi="Arial" w:cs="Arial"/>
          <w:noProof/>
          <w:kern w:val="0"/>
          <w:sz w:val="22"/>
          <w:szCs w:val="22"/>
          <w:lang w:val="en-US" w:eastAsia="en-US"/>
          <w14:ligatures w14:val="none"/>
        </w:rPr>
        <w:drawing>
          <wp:inline distT="0" distB="0" distL="0" distR="0" wp14:anchorId="120A7E9D" wp14:editId="16C9E7CD">
            <wp:extent cx="5668069" cy="2700811"/>
            <wp:effectExtent l="0" t="0" r="8890" b="17145"/>
            <wp:docPr id="11369052" name="Chart 1">
              <a:extLst xmlns:a="http://schemas.openxmlformats.org/drawingml/2006/main">
                <a:ext uri="{FF2B5EF4-FFF2-40B4-BE49-F238E27FC236}">
                  <a16:creationId xmlns:a16="http://schemas.microsoft.com/office/drawing/2014/main" id="{6A36DD74-6D28-A95B-5331-89D7A04218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1EDAB3" w14:textId="77777777" w:rsidR="0070116F" w:rsidRDefault="0070116F" w:rsidP="00C452C7">
      <w:pPr>
        <w:spacing w:after="0" w:line="360" w:lineRule="auto"/>
        <w:jc w:val="both"/>
        <w:rPr>
          <w:rFonts w:ascii="Arial" w:eastAsiaTheme="minorHAnsi" w:hAnsi="Arial" w:cs="Arial"/>
          <w:color w:val="0E2841" w:themeColor="text2"/>
          <w:sz w:val="22"/>
          <w:szCs w:val="22"/>
          <w:lang w:val="en-US" w:eastAsia="en-US"/>
        </w:rPr>
      </w:pPr>
      <w:bookmarkStart w:id="31" w:name="_Toc180073800"/>
      <w:r w:rsidRPr="00D1682D">
        <w:rPr>
          <w:rFonts w:ascii="Arial" w:eastAsiaTheme="minorHAnsi" w:hAnsi="Arial" w:cs="Arial"/>
          <w:color w:val="0E2841" w:themeColor="text2"/>
          <w:sz w:val="22"/>
          <w:szCs w:val="22"/>
          <w:lang w:val="en-US" w:eastAsia="en-US"/>
        </w:rPr>
        <w:t xml:space="preserve">Figure </w:t>
      </w:r>
      <w:r w:rsidRPr="00D1682D">
        <w:rPr>
          <w:rFonts w:ascii="Arial" w:eastAsiaTheme="minorHAnsi" w:hAnsi="Arial" w:cs="Arial"/>
          <w:color w:val="0E2841" w:themeColor="text2"/>
          <w:sz w:val="22"/>
          <w:szCs w:val="22"/>
          <w:lang w:val="en-US" w:eastAsia="en-US"/>
        </w:rPr>
        <w:fldChar w:fldCharType="begin"/>
      </w:r>
      <w:r w:rsidRPr="00D1682D">
        <w:rPr>
          <w:rFonts w:ascii="Arial" w:eastAsiaTheme="minorHAnsi" w:hAnsi="Arial" w:cs="Arial"/>
          <w:color w:val="0E2841" w:themeColor="text2"/>
          <w:sz w:val="22"/>
          <w:szCs w:val="22"/>
          <w:lang w:val="en-US" w:eastAsia="en-US"/>
        </w:rPr>
        <w:instrText xml:space="preserve"> SEQ Figure \* ARABIC </w:instrText>
      </w:r>
      <w:r w:rsidRPr="00D1682D">
        <w:rPr>
          <w:rFonts w:ascii="Arial" w:eastAsiaTheme="minorHAnsi" w:hAnsi="Arial" w:cs="Arial"/>
          <w:color w:val="0E2841" w:themeColor="text2"/>
          <w:sz w:val="22"/>
          <w:szCs w:val="22"/>
          <w:lang w:val="en-US" w:eastAsia="en-US"/>
        </w:rPr>
        <w:fldChar w:fldCharType="separate"/>
      </w:r>
      <w:r w:rsidRPr="00D1682D">
        <w:rPr>
          <w:rFonts w:ascii="Arial" w:eastAsiaTheme="minorHAnsi" w:hAnsi="Arial" w:cs="Arial"/>
          <w:noProof/>
          <w:color w:val="0E2841" w:themeColor="text2"/>
          <w:sz w:val="22"/>
          <w:szCs w:val="22"/>
          <w:lang w:val="en-US" w:eastAsia="en-US"/>
        </w:rPr>
        <w:t>4</w:t>
      </w:r>
      <w:r w:rsidRPr="00D1682D">
        <w:rPr>
          <w:rFonts w:ascii="Arial" w:eastAsiaTheme="minorHAnsi" w:hAnsi="Arial" w:cs="Arial"/>
          <w:color w:val="0E2841" w:themeColor="text2"/>
          <w:sz w:val="22"/>
          <w:szCs w:val="22"/>
          <w:lang w:val="en-US" w:eastAsia="en-US"/>
        </w:rPr>
        <w:fldChar w:fldCharType="end"/>
      </w:r>
      <w:r w:rsidRPr="00D1682D">
        <w:rPr>
          <w:rFonts w:ascii="Arial" w:eastAsiaTheme="minorHAnsi" w:hAnsi="Arial" w:cs="Arial"/>
          <w:color w:val="0E2841" w:themeColor="text2"/>
          <w:sz w:val="22"/>
          <w:szCs w:val="22"/>
          <w:lang w:val="en-US" w:eastAsia="en-US"/>
        </w:rPr>
        <w:t>: 5-year trend for CEO compensation, EPS and ROE</w:t>
      </w:r>
      <w:bookmarkEnd w:id="31"/>
    </w:p>
    <w:p w14:paraId="3A630902" w14:textId="77777777" w:rsidR="009B1A5A" w:rsidRPr="00D1682D" w:rsidRDefault="009B1A5A" w:rsidP="00C452C7">
      <w:pPr>
        <w:spacing w:after="0" w:line="360" w:lineRule="auto"/>
        <w:jc w:val="both"/>
        <w:rPr>
          <w:rFonts w:ascii="Arial" w:eastAsiaTheme="minorHAnsi" w:hAnsi="Arial" w:cs="Arial"/>
          <w:color w:val="0E2841" w:themeColor="text2"/>
          <w:sz w:val="22"/>
          <w:szCs w:val="22"/>
          <w:lang w:val="en-US" w:eastAsia="en-US"/>
        </w:rPr>
      </w:pPr>
    </w:p>
    <w:p w14:paraId="0AB8C2C6" w14:textId="0152D3D3" w:rsidR="0070116F" w:rsidRPr="00D1682D" w:rsidRDefault="009B1A5A" w:rsidP="00C452C7">
      <w:pPr>
        <w:spacing w:after="0" w:line="360" w:lineRule="auto"/>
        <w:jc w:val="both"/>
        <w:rPr>
          <w:rFonts w:ascii="Arial" w:eastAsia="Times New Roman" w:hAnsi="Arial" w:cs="Arial"/>
          <w:kern w:val="0"/>
          <w:sz w:val="22"/>
          <w:szCs w:val="22"/>
          <w:lang w:val="en-US" w:eastAsia="en-US"/>
          <w14:ligatures w14:val="none"/>
        </w:rPr>
      </w:pPr>
      <w:r>
        <w:rPr>
          <w:rFonts w:ascii="Arial" w:eastAsia="Times New Roman" w:hAnsi="Arial" w:cs="Arial"/>
          <w:kern w:val="0"/>
          <w:sz w:val="22"/>
          <w:szCs w:val="22"/>
          <w:lang w:val="en-US" w:eastAsia="en-US"/>
          <w14:ligatures w14:val="none"/>
        </w:rPr>
        <w:t xml:space="preserve">           </w:t>
      </w:r>
      <w:r w:rsidR="0070116F" w:rsidRPr="00D1682D">
        <w:rPr>
          <w:rFonts w:ascii="Arial" w:eastAsia="Times New Roman" w:hAnsi="Arial" w:cs="Arial"/>
          <w:kern w:val="0"/>
          <w:sz w:val="22"/>
          <w:szCs w:val="22"/>
          <w:lang w:val="en-US" w:eastAsia="en-US"/>
          <w14:ligatures w14:val="none"/>
        </w:rPr>
        <w:t>This shows the great and positive association between pay and remuneration of executives and performance. This response, once aligned, provides a great incentive for the executives to put immense stress on shareholder interests by directing resources toward profitability and stock performance (Rehman et al., 2021). Moreover, issuing long-term share options ensured that Tesco's management would be oriented to long-term results rather than short-term gains, which is reflected in its stable financial performance.</w:t>
      </w:r>
    </w:p>
    <w:p w14:paraId="0271EF95" w14:textId="77777777" w:rsidR="009D02F2" w:rsidRDefault="009D02F2" w:rsidP="009B1A5A">
      <w:pPr>
        <w:pStyle w:val="Heading1"/>
        <w:spacing w:line="360" w:lineRule="auto"/>
        <w:rPr>
          <w:rFonts w:ascii="Arial" w:eastAsia="Times New Roman" w:hAnsi="Arial" w:cs="Arial"/>
          <w:sz w:val="22"/>
          <w:szCs w:val="22"/>
          <w:lang w:val="en-US" w:eastAsia="en-US"/>
        </w:rPr>
      </w:pPr>
    </w:p>
    <w:p w14:paraId="025C6EAB" w14:textId="77777777" w:rsidR="009D02F2" w:rsidRDefault="009D02F2" w:rsidP="009D02F2">
      <w:pPr>
        <w:rPr>
          <w:lang w:val="en-US" w:eastAsia="en-US"/>
        </w:rPr>
      </w:pPr>
    </w:p>
    <w:p w14:paraId="54B9A6C5" w14:textId="77777777" w:rsidR="009D02F2" w:rsidRPr="009D02F2" w:rsidRDefault="009D02F2" w:rsidP="009D02F2">
      <w:pPr>
        <w:rPr>
          <w:lang w:val="en-US" w:eastAsia="en-US"/>
        </w:rPr>
      </w:pPr>
    </w:p>
    <w:p w14:paraId="6D14CCD1" w14:textId="5A582435" w:rsidR="0070116F" w:rsidRPr="009B1A5A" w:rsidRDefault="0070116F" w:rsidP="009B1A5A">
      <w:pPr>
        <w:pStyle w:val="Heading1"/>
        <w:spacing w:line="360" w:lineRule="auto"/>
        <w:rPr>
          <w:rFonts w:ascii="Arial" w:eastAsia="Times New Roman" w:hAnsi="Arial" w:cs="Arial"/>
          <w:sz w:val="22"/>
          <w:szCs w:val="22"/>
          <w:lang w:val="en-US" w:eastAsia="en-US"/>
        </w:rPr>
      </w:pPr>
      <w:bookmarkStart w:id="32" w:name="_Toc180075699"/>
      <w:r w:rsidRPr="009B1A5A">
        <w:rPr>
          <w:rFonts w:ascii="Arial" w:eastAsia="Times New Roman" w:hAnsi="Arial" w:cs="Arial"/>
          <w:sz w:val="22"/>
          <w:szCs w:val="22"/>
          <w:lang w:val="en-US" w:eastAsia="en-US"/>
        </w:rPr>
        <w:lastRenderedPageBreak/>
        <w:t>Audit and Risk Management</w:t>
      </w:r>
      <w:bookmarkEnd w:id="32"/>
    </w:p>
    <w:p w14:paraId="5202522E" w14:textId="77777777"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Tesco's audit committee has ensured good risk management and internal controls for Tesco, factors that have directly contributed to the financial stability of the company. The committee ensured staunch vigilance in reporting and compliance matters and identified and mitigated various instrumental risks during the pandemic period, a time when Tesco went through a torrid time on the operational front. By closely monitoring the financial position of the firm, the audit committee made decisions on an informed, fact-based basis when necessary to help overcome such volatile market conditions (Garad, Rahmawati, and Pratolo, 2021). For instance, Tesco's risk management strategies have allowed the company to cut down on operational costs and improve the efficiency of its supply chains while maintaining profitability for both the 2020 and 2022 economic downturns. The proactive risk oversight has also protected the firm from major income losses, as reflected in its rapid recovery to realize strong profits in 2023.</w:t>
      </w:r>
    </w:p>
    <w:p w14:paraId="3E1789E6" w14:textId="77777777" w:rsidR="0070116F" w:rsidRPr="009B1A5A" w:rsidRDefault="0070116F" w:rsidP="009B1A5A">
      <w:pPr>
        <w:pStyle w:val="Heading1"/>
        <w:spacing w:line="360" w:lineRule="auto"/>
        <w:rPr>
          <w:rFonts w:ascii="Arial" w:eastAsia="Times New Roman" w:hAnsi="Arial" w:cs="Arial"/>
          <w:sz w:val="22"/>
          <w:szCs w:val="22"/>
          <w:lang w:val="en-US" w:eastAsia="en-US"/>
        </w:rPr>
      </w:pPr>
      <w:bookmarkStart w:id="33" w:name="_Toc180075700"/>
      <w:r w:rsidRPr="009B1A5A">
        <w:rPr>
          <w:rFonts w:ascii="Arial" w:eastAsia="Times New Roman" w:hAnsi="Arial" w:cs="Arial"/>
          <w:sz w:val="22"/>
          <w:szCs w:val="22"/>
          <w:lang w:val="en-US" w:eastAsia="en-US"/>
        </w:rPr>
        <w:t>Governance Practices and Financial Performance</w:t>
      </w:r>
      <w:bookmarkEnd w:id="33"/>
    </w:p>
    <w:p w14:paraId="28121892" w14:textId="77777777" w:rsidR="0070116F"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Different barometers can explain the level of association between the corporate governance practices of Tesco and the resulting financial performances recorded. The robust composition and structure of the respective board, together with the performance-based remunerations to executives, have served to directly impact the profitability of the company, as evidenced by the surging values of EPS and ROE, respectively. This indeed reflects the tremendous contribution of governance toward financial outcomes, especially the financial improvement of Tesco in revenue growth, operating profit, and shareholder return.</w:t>
      </w:r>
    </w:p>
    <w:p w14:paraId="4772274A"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795F1472"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52988231"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63BDBE9D"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0915A0D0"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75BD251B"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278DACBD"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0CE3EA0F"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21027C7B"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594DF83C"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65AD1921"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5C28B66D"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0278E026"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7CA14F15" w14:textId="77777777" w:rsidR="009B1A5A" w:rsidRDefault="009B1A5A" w:rsidP="00C452C7">
      <w:pPr>
        <w:spacing w:after="0" w:line="360" w:lineRule="auto"/>
        <w:ind w:firstLine="720"/>
        <w:jc w:val="both"/>
        <w:rPr>
          <w:rFonts w:ascii="Arial" w:eastAsia="Times New Roman" w:hAnsi="Arial" w:cs="Arial"/>
          <w:kern w:val="0"/>
          <w:sz w:val="22"/>
          <w:szCs w:val="22"/>
          <w:lang w:val="en-US" w:eastAsia="en-US"/>
          <w14:ligatures w14:val="none"/>
        </w:rPr>
      </w:pPr>
    </w:p>
    <w:p w14:paraId="59454E9D" w14:textId="77777777" w:rsidR="0070116F" w:rsidRPr="009B1A5A" w:rsidRDefault="0070116F" w:rsidP="009B1A5A">
      <w:pPr>
        <w:pStyle w:val="Heading1"/>
        <w:spacing w:line="360" w:lineRule="auto"/>
        <w:rPr>
          <w:rFonts w:ascii="Arial" w:eastAsia="Times New Roman" w:hAnsi="Arial" w:cs="Arial"/>
          <w:sz w:val="22"/>
          <w:szCs w:val="22"/>
          <w:lang w:val="en-US" w:eastAsia="en-US"/>
        </w:rPr>
      </w:pPr>
      <w:bookmarkStart w:id="34" w:name="_Toc180075701"/>
      <w:r w:rsidRPr="009B1A5A">
        <w:rPr>
          <w:rFonts w:ascii="Arial" w:eastAsia="Times New Roman" w:hAnsi="Arial" w:cs="Arial"/>
          <w:sz w:val="22"/>
          <w:szCs w:val="22"/>
          <w:lang w:val="en-US" w:eastAsia="en-US"/>
        </w:rPr>
        <w:lastRenderedPageBreak/>
        <w:t>Conclusion</w:t>
      </w:r>
      <w:bookmarkEnd w:id="34"/>
    </w:p>
    <w:p w14:paraId="52E5B201" w14:textId="77777777" w:rsidR="0070116F" w:rsidRPr="00D1682D" w:rsidRDefault="0070116F" w:rsidP="00C452C7">
      <w:pPr>
        <w:spacing w:after="0" w:line="360" w:lineRule="auto"/>
        <w:ind w:firstLine="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Tesco's governance practices have driven its financial performance over the last five years through strong, independent, and diverse board practice, aligning executive pay with results, and having rigorous management of risk. The outcome of strong profitability and revenue growth, delivering value to shareholders, has been underpinned by board independence and performance-linked pay. It should also further enhance its governance in interest and diversification of the board composition and engage its shareholders effectively. This can provide Tesco with more innovative decision-making and increased investor confidence. At the end, long-term competitiveness and success will be a continued allegiance to good corporate governance.</w:t>
      </w:r>
    </w:p>
    <w:p w14:paraId="50EAA974" w14:textId="77777777" w:rsidR="0070116F" w:rsidRPr="00D1682D" w:rsidRDefault="0070116F" w:rsidP="00C452C7">
      <w:pPr>
        <w:spacing w:after="0" w:line="360" w:lineRule="auto"/>
        <w:jc w:val="both"/>
        <w:rPr>
          <w:rFonts w:ascii="Arial" w:eastAsia="Times New Roman" w:hAnsi="Arial" w:cs="Arial"/>
          <w:kern w:val="0"/>
          <w:sz w:val="22"/>
          <w:szCs w:val="22"/>
          <w:lang w:val="en-US" w:eastAsia="en-US"/>
          <w14:ligatures w14:val="none"/>
        </w:rPr>
      </w:pPr>
      <w:r w:rsidRPr="00D1682D">
        <w:rPr>
          <w:rFonts w:ascii="Arial" w:eastAsiaTheme="minorHAnsi" w:hAnsi="Arial" w:cs="Arial"/>
          <w:sz w:val="22"/>
          <w:szCs w:val="22"/>
          <w:lang w:val="en-US" w:eastAsia="en-US"/>
        </w:rPr>
        <w:br w:type="page"/>
      </w:r>
    </w:p>
    <w:p w14:paraId="55739FDB" w14:textId="14936DFF" w:rsidR="0070116F" w:rsidRPr="009B1A5A" w:rsidRDefault="0070116F" w:rsidP="009B1A5A">
      <w:pPr>
        <w:pStyle w:val="Heading1"/>
        <w:spacing w:line="360" w:lineRule="auto"/>
        <w:rPr>
          <w:rFonts w:ascii="Arial" w:eastAsia="Times New Roman" w:hAnsi="Arial" w:cs="Arial"/>
          <w:sz w:val="22"/>
          <w:szCs w:val="22"/>
          <w:lang w:val="en-US" w:eastAsia="en-US"/>
        </w:rPr>
      </w:pPr>
      <w:bookmarkStart w:id="35" w:name="_Toc180075702"/>
      <w:r w:rsidRPr="009B1A5A">
        <w:rPr>
          <w:rFonts w:ascii="Arial" w:eastAsia="Times New Roman" w:hAnsi="Arial" w:cs="Arial"/>
          <w:sz w:val="22"/>
          <w:szCs w:val="22"/>
          <w:lang w:val="en-US" w:eastAsia="en-US"/>
        </w:rPr>
        <w:lastRenderedPageBreak/>
        <w:t>Reference</w:t>
      </w:r>
      <w:bookmarkEnd w:id="35"/>
    </w:p>
    <w:p w14:paraId="4FC870CB" w14:textId="1B97AB13"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Androniceanu, A. (2021) ‘Transparency in public administration as a challenge for good democratic governance,’ </w:t>
      </w:r>
      <w:r w:rsidR="009B1A5A" w:rsidRPr="00D1682D">
        <w:rPr>
          <w:rFonts w:ascii="Arial" w:eastAsia="Times New Roman" w:hAnsi="Arial" w:cs="Arial"/>
          <w:kern w:val="0"/>
          <w:sz w:val="22"/>
          <w:szCs w:val="22"/>
          <w:lang w:val="en-US" w:eastAsia="en-US"/>
          <w14:ligatures w14:val="none"/>
        </w:rPr>
        <w:t>Administrate</w:t>
      </w:r>
      <w:r w:rsidRPr="00D1682D">
        <w:rPr>
          <w:rFonts w:ascii="Arial" w:eastAsia="Times New Roman" w:hAnsi="Arial" w:cs="Arial"/>
          <w:kern w:val="0"/>
          <w:sz w:val="22"/>
          <w:szCs w:val="22"/>
          <w:lang w:val="en-US" w:eastAsia="en-US"/>
          <w14:ligatures w14:val="none"/>
        </w:rPr>
        <w:t xml:space="preserve"> </w:t>
      </w:r>
      <w:r w:rsidR="009B1A5A" w:rsidRPr="00D1682D">
        <w:rPr>
          <w:rFonts w:ascii="Arial" w:eastAsia="Times New Roman" w:hAnsi="Arial" w:cs="Arial"/>
          <w:kern w:val="0"/>
          <w:sz w:val="22"/>
          <w:szCs w:val="22"/>
          <w:lang w:val="en-US" w:eastAsia="en-US"/>
          <w14:ligatures w14:val="none"/>
        </w:rPr>
        <w:t>is</w:t>
      </w:r>
      <w:r w:rsidRPr="00D1682D">
        <w:rPr>
          <w:rFonts w:ascii="Arial" w:eastAsia="Times New Roman" w:hAnsi="Arial" w:cs="Arial"/>
          <w:kern w:val="0"/>
          <w:sz w:val="22"/>
          <w:szCs w:val="22"/>
          <w:lang w:val="en-US" w:eastAsia="en-US"/>
          <w14:ligatures w14:val="none"/>
        </w:rPr>
        <w:t xml:space="preserve"> Management Public, 36, 149-164. DOI: 10.24818/amp/2021.36-09.</w:t>
      </w:r>
    </w:p>
    <w:p w14:paraId="579C0C96"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Dang, V.T., Nguyen, N., and Pervan, S. (2020) 'Retailer corporate social responsibility and consumer citizenship behavior: The mediating roles of perceived consumer effectiveness and consumer trust,' Journal of Retailing and Consumer Services, 55, p. 102082. </w:t>
      </w:r>
      <w:hyperlink r:id="rId11" w:history="1">
        <w:r w:rsidRPr="00D1682D">
          <w:rPr>
            <w:rFonts w:ascii="Arial" w:eastAsia="Times New Roman" w:hAnsi="Arial" w:cs="Arial"/>
            <w:color w:val="467886" w:themeColor="hyperlink"/>
            <w:kern w:val="0"/>
            <w:sz w:val="22"/>
            <w:szCs w:val="22"/>
            <w:u w:val="single"/>
            <w:lang w:val="en-US" w:eastAsia="en-US"/>
            <w14:ligatures w14:val="none"/>
          </w:rPr>
          <w:t>https://doi.org/10.1016/j.jretconser.2020.102082</w:t>
        </w:r>
      </w:hyperlink>
      <w:r w:rsidRPr="00D1682D">
        <w:rPr>
          <w:rFonts w:ascii="Arial" w:eastAsia="Times New Roman" w:hAnsi="Arial" w:cs="Arial"/>
          <w:kern w:val="0"/>
          <w:sz w:val="22"/>
          <w:szCs w:val="22"/>
          <w:lang w:val="en-US" w:eastAsia="en-US"/>
          <w14:ligatures w14:val="none"/>
        </w:rPr>
        <w:t>.</w:t>
      </w:r>
    </w:p>
    <w:p w14:paraId="189BC577"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Endrikat, J. et al. (2020) 'Board Characteristics and Corporate Social Responsibility: A Meta-Analytic Investigation,' Business &amp; Society, 60(8), pp. 2099-2135. </w:t>
      </w:r>
      <w:hyperlink r:id="rId12" w:history="1">
        <w:r w:rsidRPr="00D1682D">
          <w:rPr>
            <w:rFonts w:ascii="Arial" w:eastAsia="Times New Roman" w:hAnsi="Arial" w:cs="Arial"/>
            <w:color w:val="467886" w:themeColor="hyperlink"/>
            <w:kern w:val="0"/>
            <w:sz w:val="22"/>
            <w:szCs w:val="22"/>
            <w:u w:val="single"/>
            <w:lang w:val="en-US" w:eastAsia="en-US"/>
            <w14:ligatures w14:val="none"/>
          </w:rPr>
          <w:t>https://doi.org/10.1177/0007650320930638</w:t>
        </w:r>
      </w:hyperlink>
      <w:r w:rsidRPr="00D1682D">
        <w:rPr>
          <w:rFonts w:ascii="Arial" w:eastAsia="Times New Roman" w:hAnsi="Arial" w:cs="Arial"/>
          <w:kern w:val="0"/>
          <w:sz w:val="22"/>
          <w:szCs w:val="22"/>
          <w:lang w:val="en-US" w:eastAsia="en-US"/>
          <w14:ligatures w14:val="none"/>
        </w:rPr>
        <w:t>.</w:t>
      </w:r>
    </w:p>
    <w:p w14:paraId="2AF31A15"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Garad, A., Rahmawati, A., and Pratolo, S. (2021) 'The impact of board directors, audit committees, and ownership on financial performance and firm value,' Universal Journal of Accounting and Finance, 9(5), pp. 982–994. </w:t>
      </w:r>
      <w:hyperlink r:id="rId13" w:history="1">
        <w:r w:rsidRPr="00D1682D">
          <w:rPr>
            <w:rFonts w:ascii="Arial" w:eastAsia="Times New Roman" w:hAnsi="Arial" w:cs="Arial"/>
            <w:color w:val="467886" w:themeColor="hyperlink"/>
            <w:kern w:val="0"/>
            <w:sz w:val="22"/>
            <w:szCs w:val="22"/>
            <w:u w:val="single"/>
            <w:lang w:val="en-US" w:eastAsia="en-US"/>
            <w14:ligatures w14:val="none"/>
          </w:rPr>
          <w:t>https://doi.org/10.13189/ujaf.2021.090509</w:t>
        </w:r>
      </w:hyperlink>
      <w:r w:rsidRPr="00D1682D">
        <w:rPr>
          <w:rFonts w:ascii="Arial" w:eastAsia="Times New Roman" w:hAnsi="Arial" w:cs="Arial"/>
          <w:kern w:val="0"/>
          <w:sz w:val="22"/>
          <w:szCs w:val="22"/>
          <w:lang w:val="en-US" w:eastAsia="en-US"/>
          <w14:ligatures w14:val="none"/>
        </w:rPr>
        <w:t>.</w:t>
      </w:r>
    </w:p>
    <w:p w14:paraId="4B3C65C7"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Harkin, S.M., Mare, D.S., and Crook, J.N. (2019) 'Independence in bank governance structure: Empirical evidence of effects on bank risk and performance,' Research in International Business and Finance, 52, p. 101177. </w:t>
      </w:r>
      <w:hyperlink r:id="rId14" w:history="1">
        <w:r w:rsidRPr="00D1682D">
          <w:rPr>
            <w:rFonts w:ascii="Arial" w:eastAsia="Times New Roman" w:hAnsi="Arial" w:cs="Arial"/>
            <w:color w:val="467886" w:themeColor="hyperlink"/>
            <w:kern w:val="0"/>
            <w:sz w:val="22"/>
            <w:szCs w:val="22"/>
            <w:u w:val="single"/>
            <w:lang w:val="en-US" w:eastAsia="en-US"/>
            <w14:ligatures w14:val="none"/>
          </w:rPr>
          <w:t>https://doi.org/10.1016/j.ribaf.2019.101177</w:t>
        </w:r>
      </w:hyperlink>
      <w:r w:rsidRPr="00D1682D">
        <w:rPr>
          <w:rFonts w:ascii="Arial" w:eastAsia="Times New Roman" w:hAnsi="Arial" w:cs="Arial"/>
          <w:kern w:val="0"/>
          <w:sz w:val="22"/>
          <w:szCs w:val="22"/>
          <w:lang w:val="en-US" w:eastAsia="en-US"/>
          <w14:ligatures w14:val="none"/>
        </w:rPr>
        <w:t>.</w:t>
      </w:r>
    </w:p>
    <w:p w14:paraId="67196E70"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Janning, F., Khlif, W., and Ingley, C. (2020) The Illusion of Transparency in Corporate Governance: Does Transparency Help or Hinder True Ethical Conduct? Springer Nature.</w:t>
      </w:r>
    </w:p>
    <w:p w14:paraId="55AEB526"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Karsono, B. (2023) 'Good Corporate Governance: Transparency, Accountability, Responsibility, Independency, and Fairness (Literature Review),' Dinasti International Journal of Management Science, 4(5), pp. 811–821. </w:t>
      </w:r>
      <w:hyperlink r:id="rId15" w:history="1">
        <w:r w:rsidRPr="00D1682D">
          <w:rPr>
            <w:rFonts w:ascii="Arial" w:eastAsia="Times New Roman" w:hAnsi="Arial" w:cs="Arial"/>
            <w:color w:val="467886" w:themeColor="hyperlink"/>
            <w:kern w:val="0"/>
            <w:sz w:val="22"/>
            <w:szCs w:val="22"/>
            <w:u w:val="single"/>
            <w:lang w:val="en-US" w:eastAsia="en-US"/>
            <w14:ligatures w14:val="none"/>
          </w:rPr>
          <w:t>https://doi.org/10.31933/dijms.v4i5.1860</w:t>
        </w:r>
      </w:hyperlink>
      <w:r w:rsidRPr="00D1682D">
        <w:rPr>
          <w:rFonts w:ascii="Arial" w:eastAsia="Times New Roman" w:hAnsi="Arial" w:cs="Arial"/>
          <w:kern w:val="0"/>
          <w:sz w:val="22"/>
          <w:szCs w:val="22"/>
          <w:lang w:val="en-US" w:eastAsia="en-US"/>
          <w14:ligatures w14:val="none"/>
        </w:rPr>
        <w:t>.</w:t>
      </w:r>
    </w:p>
    <w:p w14:paraId="2A685350"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Kong, Y., &amp; Anyigbah, E. (2019) ‘The Impact of Board Structure on Firm Performance: Evidence from the Nonfinancial Companies Listed on Ghana Stock Exchange.’ Research Journal of Finance and Accounting. </w:t>
      </w:r>
      <w:hyperlink r:id="rId16" w:history="1">
        <w:r w:rsidRPr="00D1682D">
          <w:rPr>
            <w:rFonts w:ascii="Arial" w:eastAsia="Times New Roman" w:hAnsi="Arial" w:cs="Arial"/>
            <w:color w:val="467886" w:themeColor="hyperlink"/>
            <w:kern w:val="0"/>
            <w:sz w:val="22"/>
            <w:szCs w:val="22"/>
            <w:u w:val="single"/>
            <w:lang w:val="en-US" w:eastAsia="en-US"/>
            <w14:ligatures w14:val="none"/>
          </w:rPr>
          <w:t>https://doi.org/10.7176/rjfa/10-6-12</w:t>
        </w:r>
      </w:hyperlink>
      <w:r w:rsidRPr="00D1682D">
        <w:rPr>
          <w:rFonts w:ascii="Arial" w:eastAsia="Times New Roman" w:hAnsi="Arial" w:cs="Arial"/>
          <w:kern w:val="0"/>
          <w:sz w:val="22"/>
          <w:szCs w:val="22"/>
          <w:lang w:val="en-US" w:eastAsia="en-US"/>
          <w14:ligatures w14:val="none"/>
        </w:rPr>
        <w:t>.</w:t>
      </w:r>
    </w:p>
    <w:p w14:paraId="7F50FC1A"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Larcker, D., and Tayan, B. (2020) Corporate governance matters. FT Press</w:t>
      </w:r>
    </w:p>
    <w:p w14:paraId="60E45BB1"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Manu, R. E.H. R. et al. (2019) ‘The effect of corporate governance on profitability, capital structure, and corporate value.’ Research Journal of Finance and Accounting. DOI:</w:t>
      </w:r>
      <w:hyperlink r:id="rId17" w:history="1">
        <w:r w:rsidRPr="00D1682D">
          <w:rPr>
            <w:rFonts w:ascii="Arial" w:eastAsia="Times New Roman" w:hAnsi="Arial" w:cs="Arial"/>
            <w:color w:val="467886" w:themeColor="hyperlink"/>
            <w:kern w:val="0"/>
            <w:sz w:val="22"/>
            <w:szCs w:val="22"/>
            <w:u w:val="single"/>
            <w:lang w:val="en-US" w:eastAsia="en-US"/>
            <w14:ligatures w14:val="none"/>
          </w:rPr>
          <w:t>10.7176/</w:t>
        </w:r>
        <w:proofErr w:type="spellStart"/>
        <w:r w:rsidRPr="00D1682D">
          <w:rPr>
            <w:rFonts w:ascii="Arial" w:eastAsia="Times New Roman" w:hAnsi="Arial" w:cs="Arial"/>
            <w:color w:val="467886" w:themeColor="hyperlink"/>
            <w:kern w:val="0"/>
            <w:sz w:val="22"/>
            <w:szCs w:val="22"/>
            <w:u w:val="single"/>
            <w:lang w:val="en-US" w:eastAsia="en-US"/>
            <w14:ligatures w14:val="none"/>
          </w:rPr>
          <w:t>rjfa</w:t>
        </w:r>
        <w:proofErr w:type="spellEnd"/>
        <w:r w:rsidRPr="00D1682D">
          <w:rPr>
            <w:rFonts w:ascii="Arial" w:eastAsia="Times New Roman" w:hAnsi="Arial" w:cs="Arial"/>
            <w:color w:val="467886" w:themeColor="hyperlink"/>
            <w:kern w:val="0"/>
            <w:sz w:val="22"/>
            <w:szCs w:val="22"/>
            <w:u w:val="single"/>
            <w:lang w:val="en-US" w:eastAsia="en-US"/>
            <w14:ligatures w14:val="none"/>
          </w:rPr>
          <w:t>/10-8-20</w:t>
        </w:r>
      </w:hyperlink>
    </w:p>
    <w:p w14:paraId="339E84DF"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Pererva, P. et al. (2021) 'Management of relations with enterprise stakeholders based on value approach,' Problems and Perspectives in Management, 19(1), pp. 24–38. </w:t>
      </w:r>
      <w:hyperlink r:id="rId18" w:history="1">
        <w:r w:rsidRPr="00D1682D">
          <w:rPr>
            <w:rFonts w:ascii="Arial" w:eastAsia="Times New Roman" w:hAnsi="Arial" w:cs="Arial"/>
            <w:color w:val="467886" w:themeColor="hyperlink"/>
            <w:kern w:val="0"/>
            <w:sz w:val="22"/>
            <w:szCs w:val="22"/>
            <w:u w:val="single"/>
            <w:lang w:val="en-US" w:eastAsia="en-US"/>
            <w14:ligatures w14:val="none"/>
          </w:rPr>
          <w:t>https://doi.org/10.21511/ppm.19(1).2021.03</w:t>
        </w:r>
      </w:hyperlink>
      <w:r w:rsidRPr="00D1682D">
        <w:rPr>
          <w:rFonts w:ascii="Arial" w:eastAsia="Times New Roman" w:hAnsi="Arial" w:cs="Arial"/>
          <w:kern w:val="0"/>
          <w:sz w:val="22"/>
          <w:szCs w:val="22"/>
          <w:lang w:val="en-US" w:eastAsia="en-US"/>
          <w14:ligatures w14:val="none"/>
        </w:rPr>
        <w:t>.</w:t>
      </w:r>
    </w:p>
    <w:p w14:paraId="635C243E"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lastRenderedPageBreak/>
        <w:t xml:space="preserve">Rehman, A.U. et al. (2021) 'Executive remuneration, corporate governance, and corporate performance: Evidence from China,' Economic Research-Ekonomska Istraživanja, 34(1), pp. 3092–3118. </w:t>
      </w:r>
      <w:hyperlink r:id="rId19" w:history="1">
        <w:r w:rsidRPr="00D1682D">
          <w:rPr>
            <w:rFonts w:ascii="Arial" w:eastAsia="Times New Roman" w:hAnsi="Arial" w:cs="Arial"/>
            <w:color w:val="467886" w:themeColor="hyperlink"/>
            <w:kern w:val="0"/>
            <w:sz w:val="22"/>
            <w:szCs w:val="22"/>
            <w:u w:val="single"/>
            <w:lang w:val="en-US" w:eastAsia="en-US"/>
            <w14:ligatures w14:val="none"/>
          </w:rPr>
          <w:t>https://doi.org/10.1080/1331677x.2020.1867214</w:t>
        </w:r>
      </w:hyperlink>
      <w:r w:rsidRPr="00D1682D">
        <w:rPr>
          <w:rFonts w:ascii="Arial" w:eastAsia="Times New Roman" w:hAnsi="Arial" w:cs="Arial"/>
          <w:kern w:val="0"/>
          <w:sz w:val="22"/>
          <w:szCs w:val="22"/>
          <w:lang w:val="en-US" w:eastAsia="en-US"/>
          <w14:ligatures w14:val="none"/>
        </w:rPr>
        <w:t>.</w:t>
      </w:r>
    </w:p>
    <w:p w14:paraId="60E7586E"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Rejeb, W.B., Berraies, S., and Talbi, D. (2019) 'The contribution of board of directors’ roles to ambidextrous innovation,' European Journal of Innovation Management, 23(1), pp. 40–66. </w:t>
      </w:r>
      <w:hyperlink r:id="rId20" w:history="1">
        <w:r w:rsidRPr="00D1682D">
          <w:rPr>
            <w:rFonts w:ascii="Arial" w:eastAsia="Times New Roman" w:hAnsi="Arial" w:cs="Arial"/>
            <w:color w:val="467886" w:themeColor="hyperlink"/>
            <w:kern w:val="0"/>
            <w:sz w:val="22"/>
            <w:szCs w:val="22"/>
            <w:u w:val="single"/>
            <w:lang w:val="en-US" w:eastAsia="en-US"/>
            <w14:ligatures w14:val="none"/>
          </w:rPr>
          <w:t>https://doi.org/10.1108/ejim-06-2018-0110</w:t>
        </w:r>
      </w:hyperlink>
      <w:r w:rsidRPr="00D1682D">
        <w:rPr>
          <w:rFonts w:ascii="Arial" w:eastAsia="Times New Roman" w:hAnsi="Arial" w:cs="Arial"/>
          <w:kern w:val="0"/>
          <w:sz w:val="22"/>
          <w:szCs w:val="22"/>
          <w:lang w:val="en-US" w:eastAsia="en-US"/>
          <w14:ligatures w14:val="none"/>
        </w:rPr>
        <w:t>.</w:t>
      </w:r>
    </w:p>
    <w:p w14:paraId="2638621C"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Sarhan, A.A., and Al</w:t>
      </w:r>
      <w:r w:rsidRPr="00D1682D">
        <w:rPr>
          <w:rFonts w:ascii="Cambria Math" w:eastAsia="Times New Roman" w:hAnsi="Cambria Math" w:cs="Cambria Math"/>
          <w:kern w:val="0"/>
          <w:sz w:val="22"/>
          <w:szCs w:val="22"/>
          <w:lang w:val="en-US" w:eastAsia="en-US"/>
          <w14:ligatures w14:val="none"/>
        </w:rPr>
        <w:t>‐</w:t>
      </w:r>
      <w:r w:rsidRPr="00D1682D">
        <w:rPr>
          <w:rFonts w:ascii="Arial" w:eastAsia="Times New Roman" w:hAnsi="Arial" w:cs="Arial"/>
          <w:kern w:val="0"/>
          <w:sz w:val="22"/>
          <w:szCs w:val="22"/>
          <w:lang w:val="en-US" w:eastAsia="en-US"/>
          <w14:ligatures w14:val="none"/>
        </w:rPr>
        <w:t xml:space="preserve">Najjar, B. (2022) 'The influence of corporate governance and shareholding structure on corporate social responsibility: The key role of executive compensation,' International Journal of Finance &amp; Economics, 28(4), pp. 4532–4556. </w:t>
      </w:r>
      <w:hyperlink r:id="rId21" w:history="1">
        <w:r w:rsidRPr="00D1682D">
          <w:rPr>
            <w:rFonts w:ascii="Arial" w:eastAsia="Times New Roman" w:hAnsi="Arial" w:cs="Arial"/>
            <w:color w:val="467886" w:themeColor="hyperlink"/>
            <w:kern w:val="0"/>
            <w:sz w:val="22"/>
            <w:szCs w:val="22"/>
            <w:u w:val="single"/>
            <w:lang w:val="en-US" w:eastAsia="en-US"/>
            <w14:ligatures w14:val="none"/>
          </w:rPr>
          <w:t>https://doi.org/10.1002/ijfe.2663</w:t>
        </w:r>
      </w:hyperlink>
      <w:r w:rsidRPr="00D1682D">
        <w:rPr>
          <w:rFonts w:ascii="Arial" w:eastAsia="Times New Roman" w:hAnsi="Arial" w:cs="Arial"/>
          <w:kern w:val="0"/>
          <w:sz w:val="22"/>
          <w:szCs w:val="22"/>
          <w:lang w:val="en-US" w:eastAsia="en-US"/>
          <w14:ligatures w14:val="none"/>
        </w:rPr>
        <w:t>.</w:t>
      </w:r>
    </w:p>
    <w:p w14:paraId="5C188019"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 xml:space="preserve">Tapang, A.T. (2023) 'Moderating role of Audit Committee’s legal expertise on risk management and financial reporting quality,' INTERNATIONAL JOURNAL OF MULTIDISCIPLINARY RESEARCH AND ANALYSIS, 06(08). </w:t>
      </w:r>
      <w:hyperlink r:id="rId22" w:history="1">
        <w:r w:rsidRPr="00D1682D">
          <w:rPr>
            <w:rFonts w:ascii="Arial" w:eastAsia="Times New Roman" w:hAnsi="Arial" w:cs="Arial"/>
            <w:color w:val="467886" w:themeColor="hyperlink"/>
            <w:kern w:val="0"/>
            <w:sz w:val="22"/>
            <w:szCs w:val="22"/>
            <w:u w:val="single"/>
            <w:lang w:val="en-US" w:eastAsia="en-US"/>
            <w14:ligatures w14:val="none"/>
          </w:rPr>
          <w:t>https://doi.org/10.47191/ijmra/v6-i8-48</w:t>
        </w:r>
      </w:hyperlink>
      <w:r w:rsidRPr="00D1682D">
        <w:rPr>
          <w:rFonts w:ascii="Arial" w:eastAsia="Times New Roman" w:hAnsi="Arial" w:cs="Arial"/>
          <w:kern w:val="0"/>
          <w:sz w:val="22"/>
          <w:szCs w:val="22"/>
          <w:lang w:val="en-US" w:eastAsia="en-US"/>
          <w14:ligatures w14:val="none"/>
        </w:rPr>
        <w:t>.</w:t>
      </w:r>
    </w:p>
    <w:p w14:paraId="32F71434" w14:textId="77777777" w:rsidR="0070116F" w:rsidRPr="00D1682D" w:rsidRDefault="0070116F" w:rsidP="00C452C7">
      <w:pPr>
        <w:spacing w:after="0" w:line="360" w:lineRule="auto"/>
        <w:ind w:left="720" w:hanging="720"/>
        <w:jc w:val="both"/>
        <w:rPr>
          <w:rFonts w:ascii="Arial" w:eastAsia="Times New Roman" w:hAnsi="Arial" w:cs="Arial"/>
          <w:kern w:val="0"/>
          <w:sz w:val="22"/>
          <w:szCs w:val="22"/>
          <w:lang w:val="en-US" w:eastAsia="en-US"/>
          <w14:ligatures w14:val="none"/>
        </w:rPr>
      </w:pPr>
      <w:r w:rsidRPr="00D1682D">
        <w:rPr>
          <w:rFonts w:ascii="Arial" w:eastAsia="Times New Roman" w:hAnsi="Arial" w:cs="Arial"/>
          <w:kern w:val="0"/>
          <w:sz w:val="22"/>
          <w:szCs w:val="22"/>
          <w:lang w:val="en-US" w:eastAsia="en-US"/>
          <w14:ligatures w14:val="none"/>
        </w:rPr>
        <w:t>Tesco (2024) Corporate governance: board diversity, equity, and inclusion. https://www.tescoplc.com/investors/corporate-governance/board-diversity-equity-and-inclusion (Accessed: October 5, 2024).</w:t>
      </w:r>
    </w:p>
    <w:p w14:paraId="642FDC2D" w14:textId="77777777" w:rsidR="00A273DC" w:rsidRPr="00D1682D" w:rsidRDefault="00A273DC" w:rsidP="00C452C7">
      <w:pPr>
        <w:spacing w:line="360" w:lineRule="auto"/>
        <w:jc w:val="both"/>
        <w:rPr>
          <w:rFonts w:ascii="Arial" w:eastAsia="Arial" w:hAnsi="Arial" w:cs="Arial"/>
          <w:color w:val="000000" w:themeColor="text1"/>
          <w:sz w:val="22"/>
          <w:szCs w:val="22"/>
        </w:rPr>
      </w:pPr>
    </w:p>
    <w:p w14:paraId="0720CDB9" w14:textId="71559BFB" w:rsidR="00DC2F23" w:rsidRPr="009B1A5A" w:rsidRDefault="00DC2F23" w:rsidP="00C452C7">
      <w:pPr>
        <w:spacing w:line="360" w:lineRule="auto"/>
        <w:jc w:val="both"/>
        <w:rPr>
          <w:rFonts w:ascii="Arial" w:eastAsia="Arial" w:hAnsi="Arial" w:cs="Arial"/>
          <w:color w:val="000000" w:themeColor="text1"/>
          <w:sz w:val="22"/>
          <w:szCs w:val="22"/>
        </w:rPr>
      </w:pPr>
    </w:p>
    <w:sectPr w:rsidR="00DC2F23" w:rsidRPr="009B1A5A">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0AB81" w14:textId="77777777" w:rsidR="00541FDC" w:rsidRDefault="00541FDC" w:rsidP="000108DC">
      <w:pPr>
        <w:spacing w:after="0" w:line="240" w:lineRule="auto"/>
      </w:pPr>
      <w:r>
        <w:separator/>
      </w:r>
    </w:p>
  </w:endnote>
  <w:endnote w:type="continuationSeparator" w:id="0">
    <w:p w14:paraId="5D6F562B" w14:textId="77777777" w:rsidR="00541FDC" w:rsidRDefault="00541FDC" w:rsidP="00010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5273322"/>
      <w:docPartObj>
        <w:docPartGallery w:val="Page Numbers (Bottom of Page)"/>
        <w:docPartUnique/>
      </w:docPartObj>
    </w:sdtPr>
    <w:sdtEndPr>
      <w:rPr>
        <w:rStyle w:val="PageNumber"/>
      </w:rPr>
    </w:sdtEndPr>
    <w:sdtContent>
      <w:p w14:paraId="072AE629" w14:textId="246611D7" w:rsidR="000108DC" w:rsidRDefault="000108DC" w:rsidP="00D31D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832560" w14:textId="77777777" w:rsidR="000108DC" w:rsidRDefault="000108DC" w:rsidP="000108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82034420"/>
      <w:docPartObj>
        <w:docPartGallery w:val="Page Numbers (Bottom of Page)"/>
        <w:docPartUnique/>
      </w:docPartObj>
    </w:sdtPr>
    <w:sdtEndPr>
      <w:rPr>
        <w:rStyle w:val="PageNumber"/>
      </w:rPr>
    </w:sdtEndPr>
    <w:sdtContent>
      <w:p w14:paraId="7D0768C6" w14:textId="7219454A" w:rsidR="000108DC" w:rsidRDefault="000108DC" w:rsidP="00D31D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74CF90A" w14:textId="77777777" w:rsidR="000108DC" w:rsidRDefault="000108DC" w:rsidP="000108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BBC10" w14:textId="77777777" w:rsidR="00541FDC" w:rsidRDefault="00541FDC" w:rsidP="000108DC">
      <w:pPr>
        <w:spacing w:after="0" w:line="240" w:lineRule="auto"/>
      </w:pPr>
      <w:r>
        <w:separator/>
      </w:r>
    </w:p>
  </w:footnote>
  <w:footnote w:type="continuationSeparator" w:id="0">
    <w:p w14:paraId="25D63007" w14:textId="77777777" w:rsidR="00541FDC" w:rsidRDefault="00541FDC" w:rsidP="000108D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UmDVPP5P" int2:invalidationBookmarkName="" int2:hashCode="o/bnXLQyuanQo8" int2:id="AMp5HeFb">
      <int2:state int2:value="Rejected" int2:type="AugLoop_Text_Critique"/>
    </int2:bookmark>
    <int2:bookmark int2:bookmarkName="_Int_k33pb82B" int2:invalidationBookmarkName="" int2:hashCode="6G7xrAWlJNkNyt" int2:id="JZvLprOX">
      <int2:state int2:value="Rejected" int2:type="AugLoop_Text_Critique"/>
    </int2:bookmark>
    <int2:bookmark int2:bookmarkName="_Int_p7J9iS2O" int2:invalidationBookmarkName="" int2:hashCode="8+x9wAokN1wf5f" int2:id="7O9bpfCp">
      <int2:state int2:value="Rejected" int2:type="AugLoop_Text_Critique"/>
    </int2:bookmark>
    <int2:bookmark int2:bookmarkName="_Int_5Bsw5Yl9" int2:invalidationBookmarkName="" int2:hashCode="S8qKDge4dSoLbY" int2:id="RxDr3cXm">
      <int2:state int2:value="Rejected" int2:type="AugLoop_Text_Critique"/>
    </int2:bookmark>
    <int2:bookmark int2:bookmarkName="_Int_SByNsD00" int2:invalidationBookmarkName="" int2:hashCode="Hcsq99ps230B9l" int2:id="JEEuO3To">
      <int2:state int2:value="Rejected" int2:type="AugLoop_Text_Critique"/>
    </int2:bookmark>
    <int2:bookmark int2:bookmarkName="_Int_qFdCaSHa" int2:invalidationBookmarkName="" int2:hashCode="fgdoBIW1EZAQ5M" int2:id="6kPxtzax">
      <int2:state int2:value="Rejected" int2:type="AugLoop_Text_Critique"/>
    </int2:bookmark>
    <int2:bookmark int2:bookmarkName="_Int_IAiwKcMD" int2:invalidationBookmarkName="" int2:hashCode="HXlJVtjw7ek9+8" int2:id="7OTSd8IZ">
      <int2:state int2:value="Rejected" int2:type="AugLoop_Text_Critique"/>
    </int2:bookmark>
    <int2:bookmark int2:bookmarkName="_Int_vFJLbu50" int2:invalidationBookmarkName="" int2:hashCode="WnZTP6IPvFw6Ut" int2:id="WRJ4fWeX">
      <int2:state int2:value="Rejected" int2:type="AugLoop_Text_Critique"/>
    </int2:bookmark>
    <int2:bookmark int2:bookmarkName="_Int_FC1cf45s" int2:invalidationBookmarkName="" int2:hashCode="CDXz6sXITRh6NS" int2:id="jK1f32lo">
      <int2:state int2:value="Rejected" int2:type="AugLoop_Text_Critique"/>
    </int2:bookmark>
    <int2:bookmark int2:bookmarkName="_Int_SYXB7K9p" int2:invalidationBookmarkName="" int2:hashCode="+80Bzq9FOGXzFI" int2:id="enSJaSef">
      <int2:state int2:value="Rejected" int2:type="AugLoop_Text_Critique"/>
    </int2:bookmark>
    <int2:bookmark int2:bookmarkName="_Int_g3RW0usu" int2:invalidationBookmarkName="" int2:hashCode="v1+anaRfUIDswh" int2:id="Po6a5SSo">
      <int2:state int2:value="Rejected" int2:type="AugLoop_Text_Critique"/>
    </int2:bookmark>
    <int2:bookmark int2:bookmarkName="_Int_AFq44TpF" int2:invalidationBookmarkName="" int2:hashCode="vvcPIPYO470jMs" int2:id="VPs82Ptm">
      <int2:state int2:value="Rejected" int2:type="AugLoop_Text_Critique"/>
    </int2:bookmark>
    <int2:bookmark int2:bookmarkName="_Int_PB8cO2vb" int2:invalidationBookmarkName="" int2:hashCode="VUc9bPunuxf9y5" int2:id="k3h7knte">
      <int2:state int2:value="Rejected" int2:type="AugLoop_Text_Critique"/>
    </int2:bookmark>
    <int2:bookmark int2:bookmarkName="_Int_w9v0Qcio" int2:invalidationBookmarkName="" int2:hashCode="dalNooyseA++F1" int2:id="6JIHE4cd">
      <int2:state int2:value="Rejected" int2:type="AugLoop_Text_Critique"/>
    </int2:bookmark>
    <int2:bookmark int2:bookmarkName="_Int_idW2drPb" int2:invalidationBookmarkName="" int2:hashCode="l2TkQHig1bomBB" int2:id="cNs6t2Su">
      <int2:state int2:value="Rejected" int2:type="AugLoop_Text_Critique"/>
    </int2:bookmark>
    <int2:bookmark int2:bookmarkName="_Int_bpF9cMMw" int2:invalidationBookmarkName="" int2:hashCode="cdgC2rIPn3xIrZ" int2:id="BIaOsv2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23"/>
    <w:rsid w:val="00007D9F"/>
    <w:rsid w:val="000108DC"/>
    <w:rsid w:val="00042F10"/>
    <w:rsid w:val="00092CF3"/>
    <w:rsid w:val="000A4F32"/>
    <w:rsid w:val="000A7AD2"/>
    <w:rsid w:val="00111234"/>
    <w:rsid w:val="0011373E"/>
    <w:rsid w:val="00132544"/>
    <w:rsid w:val="00190FCA"/>
    <w:rsid w:val="001B367C"/>
    <w:rsid w:val="001E6E53"/>
    <w:rsid w:val="002657C6"/>
    <w:rsid w:val="002C67C7"/>
    <w:rsid w:val="00355252"/>
    <w:rsid w:val="003A63E4"/>
    <w:rsid w:val="003D5E46"/>
    <w:rsid w:val="003E7528"/>
    <w:rsid w:val="003F3BB6"/>
    <w:rsid w:val="004231E2"/>
    <w:rsid w:val="00481234"/>
    <w:rsid w:val="00481BDA"/>
    <w:rsid w:val="00493249"/>
    <w:rsid w:val="004A110E"/>
    <w:rsid w:val="004D07A9"/>
    <w:rsid w:val="004E0A44"/>
    <w:rsid w:val="004F0520"/>
    <w:rsid w:val="00541FDC"/>
    <w:rsid w:val="0058754E"/>
    <w:rsid w:val="005B37EA"/>
    <w:rsid w:val="00636442"/>
    <w:rsid w:val="00652F37"/>
    <w:rsid w:val="006D2557"/>
    <w:rsid w:val="0070116F"/>
    <w:rsid w:val="007C0777"/>
    <w:rsid w:val="00830F95"/>
    <w:rsid w:val="008764A7"/>
    <w:rsid w:val="0088690F"/>
    <w:rsid w:val="008E4367"/>
    <w:rsid w:val="008F4410"/>
    <w:rsid w:val="009173EA"/>
    <w:rsid w:val="00931B47"/>
    <w:rsid w:val="00932E56"/>
    <w:rsid w:val="0095108B"/>
    <w:rsid w:val="0096383A"/>
    <w:rsid w:val="00976EC7"/>
    <w:rsid w:val="009A3308"/>
    <w:rsid w:val="009B1A5A"/>
    <w:rsid w:val="009D02F2"/>
    <w:rsid w:val="009E4612"/>
    <w:rsid w:val="00A02513"/>
    <w:rsid w:val="00A14487"/>
    <w:rsid w:val="00A273DC"/>
    <w:rsid w:val="00A33F6F"/>
    <w:rsid w:val="00A45313"/>
    <w:rsid w:val="00A65718"/>
    <w:rsid w:val="00AA6F81"/>
    <w:rsid w:val="00B37B49"/>
    <w:rsid w:val="00BB3CCF"/>
    <w:rsid w:val="00BB3CF3"/>
    <w:rsid w:val="00BD2ECC"/>
    <w:rsid w:val="00C13BDC"/>
    <w:rsid w:val="00C452C7"/>
    <w:rsid w:val="00CB436E"/>
    <w:rsid w:val="00CD5D7D"/>
    <w:rsid w:val="00D00867"/>
    <w:rsid w:val="00D07A6A"/>
    <w:rsid w:val="00D11036"/>
    <w:rsid w:val="00D1682D"/>
    <w:rsid w:val="00D214B7"/>
    <w:rsid w:val="00D92EFF"/>
    <w:rsid w:val="00DB386A"/>
    <w:rsid w:val="00DC2C82"/>
    <w:rsid w:val="00DC2F23"/>
    <w:rsid w:val="00E408DD"/>
    <w:rsid w:val="00E678A7"/>
    <w:rsid w:val="00E82887"/>
    <w:rsid w:val="00EA085A"/>
    <w:rsid w:val="00EA0E25"/>
    <w:rsid w:val="00EA1ED3"/>
    <w:rsid w:val="00F535BC"/>
    <w:rsid w:val="00F77D91"/>
    <w:rsid w:val="00FC19AF"/>
    <w:rsid w:val="00FC60AC"/>
    <w:rsid w:val="00FD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230FC"/>
  <w15:chartTrackingRefBased/>
  <w15:docId w15:val="{750F1495-05AD-3142-8247-D2B59EAB0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F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2F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2F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F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F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2F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23"/>
    <w:rPr>
      <w:rFonts w:eastAsiaTheme="majorEastAsia" w:cstheme="majorBidi"/>
      <w:color w:val="272727" w:themeColor="text1" w:themeTint="D8"/>
    </w:rPr>
  </w:style>
  <w:style w:type="paragraph" w:styleId="Title">
    <w:name w:val="Title"/>
    <w:basedOn w:val="Normal"/>
    <w:next w:val="Normal"/>
    <w:link w:val="TitleChar"/>
    <w:uiPriority w:val="10"/>
    <w:qFormat/>
    <w:rsid w:val="00DC2F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F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F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F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F23"/>
    <w:pPr>
      <w:spacing w:before="160"/>
      <w:jc w:val="center"/>
    </w:pPr>
    <w:rPr>
      <w:i/>
      <w:iCs/>
      <w:color w:val="404040" w:themeColor="text1" w:themeTint="BF"/>
    </w:rPr>
  </w:style>
  <w:style w:type="character" w:customStyle="1" w:styleId="QuoteChar">
    <w:name w:val="Quote Char"/>
    <w:basedOn w:val="DefaultParagraphFont"/>
    <w:link w:val="Quote"/>
    <w:uiPriority w:val="29"/>
    <w:rsid w:val="00DC2F23"/>
    <w:rPr>
      <w:i/>
      <w:iCs/>
      <w:color w:val="404040" w:themeColor="text1" w:themeTint="BF"/>
    </w:rPr>
  </w:style>
  <w:style w:type="paragraph" w:styleId="ListParagraph">
    <w:name w:val="List Paragraph"/>
    <w:basedOn w:val="Normal"/>
    <w:uiPriority w:val="34"/>
    <w:qFormat/>
    <w:rsid w:val="00DC2F23"/>
    <w:pPr>
      <w:ind w:left="720"/>
      <w:contextualSpacing/>
    </w:pPr>
  </w:style>
  <w:style w:type="character" w:styleId="IntenseEmphasis">
    <w:name w:val="Intense Emphasis"/>
    <w:basedOn w:val="DefaultParagraphFont"/>
    <w:uiPriority w:val="21"/>
    <w:qFormat/>
    <w:rsid w:val="00DC2F23"/>
    <w:rPr>
      <w:i/>
      <w:iCs/>
      <w:color w:val="0F4761" w:themeColor="accent1" w:themeShade="BF"/>
    </w:rPr>
  </w:style>
  <w:style w:type="paragraph" w:styleId="IntenseQuote">
    <w:name w:val="Intense Quote"/>
    <w:basedOn w:val="Normal"/>
    <w:next w:val="Normal"/>
    <w:link w:val="IntenseQuoteChar"/>
    <w:uiPriority w:val="30"/>
    <w:qFormat/>
    <w:rsid w:val="00DC2F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23"/>
    <w:rPr>
      <w:i/>
      <w:iCs/>
      <w:color w:val="0F4761" w:themeColor="accent1" w:themeShade="BF"/>
    </w:rPr>
  </w:style>
  <w:style w:type="character" w:styleId="IntenseReference">
    <w:name w:val="Intense Reference"/>
    <w:basedOn w:val="DefaultParagraphFont"/>
    <w:uiPriority w:val="32"/>
    <w:qFormat/>
    <w:rsid w:val="00DC2F23"/>
    <w:rPr>
      <w:b/>
      <w:bCs/>
      <w:smallCaps/>
      <w:color w:val="0F4761" w:themeColor="accent1" w:themeShade="BF"/>
      <w:spacing w:val="5"/>
    </w:rPr>
  </w:style>
  <w:style w:type="paragraph" w:styleId="TOCHeading">
    <w:name w:val="TOC Heading"/>
    <w:basedOn w:val="Heading1"/>
    <w:next w:val="Normal"/>
    <w:uiPriority w:val="39"/>
    <w:unhideWhenUsed/>
    <w:qFormat/>
    <w:rsid w:val="00A33F6F"/>
    <w:pPr>
      <w:spacing w:before="480" w:after="0" w:line="276" w:lineRule="auto"/>
      <w:outlineLvl w:val="9"/>
    </w:pPr>
    <w:rPr>
      <w:b/>
      <w:bCs/>
      <w:kern w:val="0"/>
      <w:sz w:val="28"/>
      <w:szCs w:val="28"/>
      <w:lang w:val="en-US" w:eastAsia="en-US"/>
      <w14:ligatures w14:val="none"/>
    </w:rPr>
  </w:style>
  <w:style w:type="paragraph" w:styleId="NormalWeb">
    <w:name w:val="Normal (Web)"/>
    <w:basedOn w:val="Normal"/>
    <w:uiPriority w:val="99"/>
    <w:unhideWhenUsed/>
    <w:rsid w:val="0070116F"/>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70116F"/>
    <w:rPr>
      <w:b/>
      <w:bCs/>
    </w:rPr>
  </w:style>
  <w:style w:type="character" w:styleId="Emphasis">
    <w:name w:val="Emphasis"/>
    <w:basedOn w:val="DefaultParagraphFont"/>
    <w:uiPriority w:val="20"/>
    <w:qFormat/>
    <w:rsid w:val="0070116F"/>
    <w:rPr>
      <w:i/>
      <w:iCs/>
    </w:rPr>
  </w:style>
  <w:style w:type="character" w:styleId="Hyperlink">
    <w:name w:val="Hyperlink"/>
    <w:basedOn w:val="DefaultParagraphFont"/>
    <w:uiPriority w:val="99"/>
    <w:unhideWhenUsed/>
    <w:rsid w:val="0070116F"/>
    <w:rPr>
      <w:color w:val="467886" w:themeColor="hyperlink"/>
      <w:u w:val="single"/>
    </w:rPr>
  </w:style>
  <w:style w:type="paragraph" w:styleId="Caption">
    <w:name w:val="caption"/>
    <w:basedOn w:val="Normal"/>
    <w:next w:val="Normal"/>
    <w:uiPriority w:val="35"/>
    <w:unhideWhenUsed/>
    <w:qFormat/>
    <w:rsid w:val="0070116F"/>
    <w:pPr>
      <w:spacing w:after="200" w:line="240" w:lineRule="auto"/>
    </w:pPr>
    <w:rPr>
      <w:rFonts w:eastAsiaTheme="minorHAnsi"/>
      <w:i/>
      <w:iCs/>
      <w:color w:val="0E2841" w:themeColor="text2"/>
      <w:sz w:val="18"/>
      <w:szCs w:val="18"/>
      <w:lang w:val="en-US" w:eastAsia="en-US"/>
    </w:rPr>
  </w:style>
  <w:style w:type="paragraph" w:styleId="TOC1">
    <w:name w:val="toc 1"/>
    <w:basedOn w:val="Normal"/>
    <w:next w:val="Normal"/>
    <w:autoRedefine/>
    <w:uiPriority w:val="39"/>
    <w:unhideWhenUsed/>
    <w:rsid w:val="004A110E"/>
    <w:pPr>
      <w:tabs>
        <w:tab w:val="right" w:leader="dot" w:pos="9016"/>
      </w:tabs>
      <w:spacing w:after="100"/>
    </w:pPr>
  </w:style>
  <w:style w:type="paragraph" w:styleId="Header">
    <w:name w:val="header"/>
    <w:basedOn w:val="Normal"/>
    <w:link w:val="HeaderChar"/>
    <w:uiPriority w:val="99"/>
    <w:unhideWhenUsed/>
    <w:rsid w:val="00010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8DC"/>
  </w:style>
  <w:style w:type="paragraph" w:styleId="Footer">
    <w:name w:val="footer"/>
    <w:basedOn w:val="Normal"/>
    <w:link w:val="FooterChar"/>
    <w:uiPriority w:val="99"/>
    <w:unhideWhenUsed/>
    <w:rsid w:val="00010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8DC"/>
  </w:style>
  <w:style w:type="character" w:styleId="PageNumber">
    <w:name w:val="page number"/>
    <w:basedOn w:val="DefaultParagraphFont"/>
    <w:uiPriority w:val="99"/>
    <w:semiHidden/>
    <w:unhideWhenUsed/>
    <w:rsid w:val="000108DC"/>
  </w:style>
  <w:style w:type="paragraph" w:styleId="TableofFigures">
    <w:name w:val="table of figures"/>
    <w:basedOn w:val="Normal"/>
    <w:next w:val="Normal"/>
    <w:uiPriority w:val="99"/>
    <w:unhideWhenUsed/>
    <w:rsid w:val="004A110E"/>
    <w:pPr>
      <w:spacing w:after="0"/>
    </w:pPr>
  </w:style>
  <w:style w:type="paragraph" w:styleId="TOC2">
    <w:name w:val="toc 2"/>
    <w:basedOn w:val="Normal"/>
    <w:next w:val="Normal"/>
    <w:autoRedefine/>
    <w:uiPriority w:val="39"/>
    <w:unhideWhenUsed/>
    <w:rsid w:val="004A110E"/>
    <w:pPr>
      <w:spacing w:after="100"/>
      <w:ind w:left="240"/>
    </w:pPr>
  </w:style>
  <w:style w:type="paragraph" w:styleId="TOC3">
    <w:name w:val="toc 3"/>
    <w:basedOn w:val="Normal"/>
    <w:next w:val="Normal"/>
    <w:autoRedefine/>
    <w:uiPriority w:val="39"/>
    <w:unhideWhenUsed/>
    <w:rsid w:val="004A11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13189/ujaf.2021.090509" TargetMode="External"/><Relationship Id="rId18" Type="http://schemas.openxmlformats.org/officeDocument/2006/relationships/hyperlink" Target="https://doi.org/10.21511/ppm.19(1).2021.0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2/ijfe.2663" TargetMode="External"/><Relationship Id="rId7" Type="http://schemas.openxmlformats.org/officeDocument/2006/relationships/chart" Target="charts/chart1.xml"/><Relationship Id="rId12" Type="http://schemas.openxmlformats.org/officeDocument/2006/relationships/hyperlink" Target="https://doi.org/10.1177/0007650320930638" TargetMode="External"/><Relationship Id="rId17" Type="http://schemas.openxmlformats.org/officeDocument/2006/relationships/hyperlink" Target="https://doi.org/10.7176/rjfa%2F10-8-2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7176/rjfa/10-6-12" TargetMode="External"/><Relationship Id="rId20" Type="http://schemas.openxmlformats.org/officeDocument/2006/relationships/hyperlink" Target="https://doi.org/10.1108/ejim-06-2018-011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retconser.2020.102082"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31933/dijms.v4i5.1860" TargetMode="External"/><Relationship Id="rId23"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hyperlink" Target="https://doi.org/10.1080/1331677x.2020.1867214"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doi.org/10.1016/j.ribaf.2019.101177" TargetMode="External"/><Relationship Id="rId22" Type="http://schemas.openxmlformats.org/officeDocument/2006/relationships/hyperlink" Target="https://doi.org/10.47191/ijmra/v6-i8-48" TargetMode="External"/><Relationship Id="rId27" Type="http://schemas.microsoft.com/office/2020/10/relationships/intelligence" Target="intelligence2.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5-Year Revenue, Operating profits and Share Prices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Sheet1!$B$8</c:f>
              <c:strCache>
                <c:ptCount val="1"/>
                <c:pt idx="0">
                  <c:v>Revenue (£m)</c:v>
                </c:pt>
              </c:strCache>
            </c:strRef>
          </c:tx>
          <c:spPr>
            <a:solidFill>
              <a:schemeClr val="accent1"/>
            </a:solidFill>
            <a:ln>
              <a:noFill/>
            </a:ln>
            <a:effectLst/>
          </c:spPr>
          <c:invertIfNegative val="0"/>
          <c:cat>
            <c:numRef>
              <c:f>Sheet1!$A$9:$A$13</c:f>
              <c:numCache>
                <c:formatCode>General</c:formatCode>
                <c:ptCount val="5"/>
                <c:pt idx="0">
                  <c:v>2019</c:v>
                </c:pt>
                <c:pt idx="1">
                  <c:v>2020</c:v>
                </c:pt>
                <c:pt idx="2">
                  <c:v>2021</c:v>
                </c:pt>
                <c:pt idx="3">
                  <c:v>2022</c:v>
                </c:pt>
                <c:pt idx="4">
                  <c:v>2023</c:v>
                </c:pt>
              </c:numCache>
            </c:numRef>
          </c:cat>
          <c:val>
            <c:numRef>
              <c:f>Sheet1!$B$9:$B$13</c:f>
              <c:numCache>
                <c:formatCode>General</c:formatCode>
                <c:ptCount val="5"/>
                <c:pt idx="0">
                  <c:v>31900</c:v>
                </c:pt>
                <c:pt idx="1">
                  <c:v>28700</c:v>
                </c:pt>
                <c:pt idx="2">
                  <c:v>30400</c:v>
                </c:pt>
                <c:pt idx="3">
                  <c:v>32500</c:v>
                </c:pt>
                <c:pt idx="4">
                  <c:v>34100</c:v>
                </c:pt>
              </c:numCache>
            </c:numRef>
          </c:val>
          <c:extLst>
            <c:ext xmlns:c16="http://schemas.microsoft.com/office/drawing/2014/chart" uri="{C3380CC4-5D6E-409C-BE32-E72D297353CC}">
              <c16:uniqueId val="{00000000-D6F6-754D-B89D-00078B8348CD}"/>
            </c:ext>
          </c:extLst>
        </c:ser>
        <c:ser>
          <c:idx val="1"/>
          <c:order val="1"/>
          <c:tx>
            <c:strRef>
              <c:f>Sheet1!$C$8</c:f>
              <c:strCache>
                <c:ptCount val="1"/>
                <c:pt idx="0">
                  <c:v>Operating Profit (£m)</c:v>
                </c:pt>
              </c:strCache>
            </c:strRef>
          </c:tx>
          <c:spPr>
            <a:solidFill>
              <a:schemeClr val="accent2"/>
            </a:solidFill>
            <a:ln>
              <a:noFill/>
            </a:ln>
            <a:effectLst/>
          </c:spPr>
          <c:invertIfNegative val="0"/>
          <c:cat>
            <c:numRef>
              <c:f>Sheet1!$A$9:$A$13</c:f>
              <c:numCache>
                <c:formatCode>General</c:formatCode>
                <c:ptCount val="5"/>
                <c:pt idx="0">
                  <c:v>2019</c:v>
                </c:pt>
                <c:pt idx="1">
                  <c:v>2020</c:v>
                </c:pt>
                <c:pt idx="2">
                  <c:v>2021</c:v>
                </c:pt>
                <c:pt idx="3">
                  <c:v>2022</c:v>
                </c:pt>
                <c:pt idx="4">
                  <c:v>2023</c:v>
                </c:pt>
              </c:numCache>
            </c:numRef>
          </c:cat>
          <c:val>
            <c:numRef>
              <c:f>Sheet1!$C$9:$C$13</c:f>
              <c:numCache>
                <c:formatCode>General</c:formatCode>
                <c:ptCount val="5"/>
                <c:pt idx="0">
                  <c:v>1134</c:v>
                </c:pt>
                <c:pt idx="1">
                  <c:v>1007</c:v>
                </c:pt>
                <c:pt idx="2">
                  <c:v>1304</c:v>
                </c:pt>
                <c:pt idx="3">
                  <c:v>736</c:v>
                </c:pt>
                <c:pt idx="4">
                  <c:v>1482</c:v>
                </c:pt>
              </c:numCache>
            </c:numRef>
          </c:val>
          <c:extLst>
            <c:ext xmlns:c16="http://schemas.microsoft.com/office/drawing/2014/chart" uri="{C3380CC4-5D6E-409C-BE32-E72D297353CC}">
              <c16:uniqueId val="{00000001-D6F6-754D-B89D-00078B8348CD}"/>
            </c:ext>
          </c:extLst>
        </c:ser>
        <c:dLbls>
          <c:showLegendKey val="0"/>
          <c:showVal val="0"/>
          <c:showCatName val="0"/>
          <c:showSerName val="0"/>
          <c:showPercent val="0"/>
          <c:showBubbleSize val="0"/>
        </c:dLbls>
        <c:gapWidth val="219"/>
        <c:overlap val="-27"/>
        <c:axId val="592931760"/>
        <c:axId val="592930680"/>
      </c:barChart>
      <c:catAx>
        <c:axId val="592931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930680"/>
        <c:crosses val="autoZero"/>
        <c:auto val="1"/>
        <c:lblAlgn val="ctr"/>
        <c:lblOffset val="100"/>
        <c:noMultiLvlLbl val="0"/>
      </c:catAx>
      <c:valAx>
        <c:axId val="59293068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Amount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2931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ROE (%) and EPS (pence) from 2019-2023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257482218429388E-2"/>
          <c:y val="0.17171296296296296"/>
          <c:w val="0.85615598389567804"/>
          <c:h val="0.61498432487605714"/>
        </c:manualLayout>
      </c:layout>
      <c:scatterChart>
        <c:scatterStyle val="lineMarker"/>
        <c:varyColors val="0"/>
        <c:ser>
          <c:idx val="0"/>
          <c:order val="0"/>
          <c:tx>
            <c:strRef>
              <c:f>Sheet1!$B$1</c:f>
              <c:strCache>
                <c:ptCount val="1"/>
                <c:pt idx="0">
                  <c:v>ROE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Sheet1!$A$2:$A$6</c:f>
              <c:numCache>
                <c:formatCode>General</c:formatCode>
                <c:ptCount val="5"/>
                <c:pt idx="0">
                  <c:v>2019</c:v>
                </c:pt>
                <c:pt idx="1">
                  <c:v>2020</c:v>
                </c:pt>
                <c:pt idx="2">
                  <c:v>2021</c:v>
                </c:pt>
                <c:pt idx="3">
                  <c:v>2022</c:v>
                </c:pt>
                <c:pt idx="4">
                  <c:v>2023</c:v>
                </c:pt>
              </c:numCache>
            </c:numRef>
          </c:xVal>
          <c:yVal>
            <c:numRef>
              <c:f>Sheet1!$B$2:$B$6</c:f>
              <c:numCache>
                <c:formatCode>General</c:formatCode>
                <c:ptCount val="5"/>
                <c:pt idx="0">
                  <c:v>9.5</c:v>
                </c:pt>
                <c:pt idx="1">
                  <c:v>10.199999999999999</c:v>
                </c:pt>
                <c:pt idx="2">
                  <c:v>12.1</c:v>
                </c:pt>
                <c:pt idx="3">
                  <c:v>11.5</c:v>
                </c:pt>
                <c:pt idx="4">
                  <c:v>13</c:v>
                </c:pt>
              </c:numCache>
            </c:numRef>
          </c:yVal>
          <c:smooth val="0"/>
          <c:extLst>
            <c:ext xmlns:c16="http://schemas.microsoft.com/office/drawing/2014/chart" uri="{C3380CC4-5D6E-409C-BE32-E72D297353CC}">
              <c16:uniqueId val="{00000000-40EA-AA48-9A62-28D9212D87F3}"/>
            </c:ext>
          </c:extLst>
        </c:ser>
        <c:ser>
          <c:idx val="1"/>
          <c:order val="1"/>
          <c:tx>
            <c:strRef>
              <c:f>Sheet1!$C$1</c:f>
              <c:strCache>
                <c:ptCount val="1"/>
                <c:pt idx="0">
                  <c:v>EPS (pence)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Sheet1!$A$2:$A$6</c:f>
              <c:numCache>
                <c:formatCode>General</c:formatCode>
                <c:ptCount val="5"/>
                <c:pt idx="0">
                  <c:v>2019</c:v>
                </c:pt>
                <c:pt idx="1">
                  <c:v>2020</c:v>
                </c:pt>
                <c:pt idx="2">
                  <c:v>2021</c:v>
                </c:pt>
                <c:pt idx="3">
                  <c:v>2022</c:v>
                </c:pt>
                <c:pt idx="4">
                  <c:v>2023</c:v>
                </c:pt>
              </c:numCache>
            </c:numRef>
          </c:xVal>
          <c:yVal>
            <c:numRef>
              <c:f>Sheet1!$C$2:$C$6</c:f>
              <c:numCache>
                <c:formatCode>General</c:formatCode>
                <c:ptCount val="5"/>
                <c:pt idx="0">
                  <c:v>3.31</c:v>
                </c:pt>
                <c:pt idx="1">
                  <c:v>4.72</c:v>
                </c:pt>
                <c:pt idx="2">
                  <c:v>10.7</c:v>
                </c:pt>
                <c:pt idx="3">
                  <c:v>3.44</c:v>
                </c:pt>
                <c:pt idx="4">
                  <c:v>12.83</c:v>
                </c:pt>
              </c:numCache>
            </c:numRef>
          </c:yVal>
          <c:smooth val="0"/>
          <c:extLst>
            <c:ext xmlns:c16="http://schemas.microsoft.com/office/drawing/2014/chart" uri="{C3380CC4-5D6E-409C-BE32-E72D297353CC}">
              <c16:uniqueId val="{00000001-40EA-AA48-9A62-28D9212D87F3}"/>
            </c:ext>
          </c:extLst>
        </c:ser>
        <c:dLbls>
          <c:showLegendKey val="0"/>
          <c:showVal val="0"/>
          <c:showCatName val="0"/>
          <c:showSerName val="0"/>
          <c:showPercent val="0"/>
          <c:showBubbleSize val="0"/>
        </c:dLbls>
        <c:axId val="443405040"/>
        <c:axId val="443407920"/>
      </c:scatterChart>
      <c:valAx>
        <c:axId val="443405040"/>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07920"/>
        <c:crosses val="autoZero"/>
        <c:crossBetween val="midCat"/>
      </c:valAx>
      <c:valAx>
        <c:axId val="44340792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05040"/>
        <c:crosses val="autoZero"/>
        <c:crossBetween val="midCat"/>
      </c:valAx>
      <c:spPr>
        <a:noFill/>
        <a:ln>
          <a:noFill/>
        </a:ln>
        <a:effectLst/>
      </c:spPr>
    </c:plotArea>
    <c:legend>
      <c:legendPos val="b"/>
      <c:layout>
        <c:manualLayout>
          <c:xMode val="edge"/>
          <c:yMode val="edge"/>
          <c:x val="0.20652207218441587"/>
          <c:y val="0.90442816749431287"/>
          <c:w val="0.46478390992981083"/>
          <c:h val="7.050394029762364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Independent Directors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 Independent Directors</c:v>
                </c:pt>
              </c:strCache>
            </c:strRef>
          </c:tx>
          <c:spPr>
            <a:ln w="28575" cap="rnd">
              <a:solidFill>
                <a:schemeClr val="accent1"/>
              </a:solidFill>
              <a:round/>
            </a:ln>
            <a:effectLst/>
          </c:spPr>
          <c:marker>
            <c:symbol val="none"/>
          </c:marker>
          <c:cat>
            <c:numRef>
              <c:f>Sheet2!$A$2:$A$6</c:f>
              <c:numCache>
                <c:formatCode>General</c:formatCode>
                <c:ptCount val="5"/>
                <c:pt idx="0">
                  <c:v>2019</c:v>
                </c:pt>
                <c:pt idx="1">
                  <c:v>2020</c:v>
                </c:pt>
                <c:pt idx="2">
                  <c:v>2021</c:v>
                </c:pt>
                <c:pt idx="3">
                  <c:v>2022</c:v>
                </c:pt>
                <c:pt idx="4">
                  <c:v>2023</c:v>
                </c:pt>
              </c:numCache>
            </c:numRef>
          </c:cat>
          <c:val>
            <c:numRef>
              <c:f>Sheet2!$B$2:$B$6</c:f>
              <c:numCache>
                <c:formatCode>0%</c:formatCode>
                <c:ptCount val="5"/>
                <c:pt idx="0">
                  <c:v>0.57999999999999996</c:v>
                </c:pt>
                <c:pt idx="1">
                  <c:v>0.6</c:v>
                </c:pt>
                <c:pt idx="2">
                  <c:v>0.61</c:v>
                </c:pt>
                <c:pt idx="3">
                  <c:v>0.64</c:v>
                </c:pt>
                <c:pt idx="4">
                  <c:v>0.65</c:v>
                </c:pt>
              </c:numCache>
            </c:numRef>
          </c:val>
          <c:smooth val="0"/>
          <c:extLst>
            <c:ext xmlns:c16="http://schemas.microsoft.com/office/drawing/2014/chart" uri="{C3380CC4-5D6E-409C-BE32-E72D297353CC}">
              <c16:uniqueId val="{00000000-5C6E-5841-8F0C-ED7D44BED147}"/>
            </c:ext>
          </c:extLst>
        </c:ser>
        <c:ser>
          <c:idx val="1"/>
          <c:order val="1"/>
          <c:tx>
            <c:strRef>
              <c:f>Sheet2!$C$1</c:f>
              <c:strCache>
                <c:ptCount val="1"/>
                <c:pt idx="0">
                  <c:v>% Female Directors</c:v>
                </c:pt>
              </c:strCache>
            </c:strRef>
          </c:tx>
          <c:spPr>
            <a:ln w="28575" cap="rnd">
              <a:solidFill>
                <a:schemeClr val="accent2"/>
              </a:solidFill>
              <a:round/>
            </a:ln>
            <a:effectLst/>
          </c:spPr>
          <c:marker>
            <c:symbol val="none"/>
          </c:marker>
          <c:cat>
            <c:numRef>
              <c:f>Sheet2!$A$2:$A$6</c:f>
              <c:numCache>
                <c:formatCode>General</c:formatCode>
                <c:ptCount val="5"/>
                <c:pt idx="0">
                  <c:v>2019</c:v>
                </c:pt>
                <c:pt idx="1">
                  <c:v>2020</c:v>
                </c:pt>
                <c:pt idx="2">
                  <c:v>2021</c:v>
                </c:pt>
                <c:pt idx="3">
                  <c:v>2022</c:v>
                </c:pt>
                <c:pt idx="4">
                  <c:v>2023</c:v>
                </c:pt>
              </c:numCache>
            </c:numRef>
          </c:cat>
          <c:val>
            <c:numRef>
              <c:f>Sheet2!$C$2:$C$6</c:f>
              <c:numCache>
                <c:formatCode>0%</c:formatCode>
                <c:ptCount val="5"/>
                <c:pt idx="0">
                  <c:v>0.3</c:v>
                </c:pt>
                <c:pt idx="1">
                  <c:v>0.35</c:v>
                </c:pt>
                <c:pt idx="2">
                  <c:v>0.37</c:v>
                </c:pt>
                <c:pt idx="3">
                  <c:v>0.4</c:v>
                </c:pt>
                <c:pt idx="4">
                  <c:v>0.42</c:v>
                </c:pt>
              </c:numCache>
            </c:numRef>
          </c:val>
          <c:smooth val="0"/>
          <c:extLst>
            <c:ext xmlns:c16="http://schemas.microsoft.com/office/drawing/2014/chart" uri="{C3380CC4-5D6E-409C-BE32-E72D297353CC}">
              <c16:uniqueId val="{00000001-5C6E-5841-8F0C-ED7D44BED147}"/>
            </c:ext>
          </c:extLst>
        </c:ser>
        <c:dLbls>
          <c:showLegendKey val="0"/>
          <c:showVal val="0"/>
          <c:showCatName val="0"/>
          <c:showSerName val="0"/>
          <c:showPercent val="0"/>
          <c:showBubbleSize val="0"/>
        </c:dLbls>
        <c:smooth val="0"/>
        <c:axId val="598774264"/>
        <c:axId val="598773184"/>
      </c:lineChart>
      <c:catAx>
        <c:axId val="598774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773184"/>
        <c:crosses val="autoZero"/>
        <c:auto val="1"/>
        <c:lblAlgn val="ctr"/>
        <c:lblOffset val="100"/>
        <c:noMultiLvlLbl val="0"/>
      </c:catAx>
      <c:valAx>
        <c:axId val="598773184"/>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774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5-year trend for CEO compensation, EPS and ROE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CEO Compensation (£m)</c:v>
                </c:pt>
              </c:strCache>
            </c:strRef>
          </c:tx>
          <c:spPr>
            <a:solidFill>
              <a:schemeClr val="accent1"/>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Sheet3!$B$2:$B$6</c:f>
              <c:numCache>
                <c:formatCode>General</c:formatCode>
                <c:ptCount val="5"/>
                <c:pt idx="0">
                  <c:v>1.35</c:v>
                </c:pt>
                <c:pt idx="1">
                  <c:v>1.45</c:v>
                </c:pt>
                <c:pt idx="2">
                  <c:v>1.5</c:v>
                </c:pt>
                <c:pt idx="3">
                  <c:v>1.6</c:v>
                </c:pt>
                <c:pt idx="4">
                  <c:v>1.7</c:v>
                </c:pt>
              </c:numCache>
            </c:numRef>
          </c:val>
          <c:extLst>
            <c:ext xmlns:c16="http://schemas.microsoft.com/office/drawing/2014/chart" uri="{C3380CC4-5D6E-409C-BE32-E72D297353CC}">
              <c16:uniqueId val="{00000000-F27F-7C49-9F01-D912482B0794}"/>
            </c:ext>
          </c:extLst>
        </c:ser>
        <c:ser>
          <c:idx val="1"/>
          <c:order val="1"/>
          <c:tx>
            <c:strRef>
              <c:f>Sheet3!$C$1</c:f>
              <c:strCache>
                <c:ptCount val="1"/>
                <c:pt idx="0">
                  <c:v>EPS (pence)</c:v>
                </c:pt>
              </c:strCache>
            </c:strRef>
          </c:tx>
          <c:spPr>
            <a:solidFill>
              <a:schemeClr val="accent2"/>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Sheet3!$C$2:$C$6</c:f>
              <c:numCache>
                <c:formatCode>General</c:formatCode>
                <c:ptCount val="5"/>
                <c:pt idx="0">
                  <c:v>3.31</c:v>
                </c:pt>
                <c:pt idx="1">
                  <c:v>4.72</c:v>
                </c:pt>
                <c:pt idx="2">
                  <c:v>10.7</c:v>
                </c:pt>
                <c:pt idx="3">
                  <c:v>3.44</c:v>
                </c:pt>
                <c:pt idx="4">
                  <c:v>12.83</c:v>
                </c:pt>
              </c:numCache>
            </c:numRef>
          </c:val>
          <c:extLst>
            <c:ext xmlns:c16="http://schemas.microsoft.com/office/drawing/2014/chart" uri="{C3380CC4-5D6E-409C-BE32-E72D297353CC}">
              <c16:uniqueId val="{00000001-F27F-7C49-9F01-D912482B0794}"/>
            </c:ext>
          </c:extLst>
        </c:ser>
        <c:dLbls>
          <c:showLegendKey val="0"/>
          <c:showVal val="0"/>
          <c:showCatName val="0"/>
          <c:showSerName val="0"/>
          <c:showPercent val="0"/>
          <c:showBubbleSize val="0"/>
        </c:dLbls>
        <c:gapWidth val="219"/>
        <c:overlap val="-27"/>
        <c:axId val="544947184"/>
        <c:axId val="544948984"/>
      </c:barChart>
      <c:lineChart>
        <c:grouping val="standard"/>
        <c:varyColors val="0"/>
        <c:ser>
          <c:idx val="2"/>
          <c:order val="2"/>
          <c:tx>
            <c:strRef>
              <c:f>Sheet3!$D$1</c:f>
              <c:strCache>
                <c:ptCount val="1"/>
                <c:pt idx="0">
                  <c:v>ROE (%)</c:v>
                </c:pt>
              </c:strCache>
            </c:strRef>
          </c:tx>
          <c:spPr>
            <a:ln w="28575" cap="rnd">
              <a:solidFill>
                <a:schemeClr val="accent3"/>
              </a:solidFill>
              <a:round/>
            </a:ln>
            <a:effectLst/>
          </c:spPr>
          <c:marker>
            <c:symbol val="none"/>
          </c:marker>
          <c:cat>
            <c:numRef>
              <c:f>Sheet3!$A$2:$A$6</c:f>
              <c:numCache>
                <c:formatCode>General</c:formatCode>
                <c:ptCount val="5"/>
                <c:pt idx="0">
                  <c:v>2019</c:v>
                </c:pt>
                <c:pt idx="1">
                  <c:v>2020</c:v>
                </c:pt>
                <c:pt idx="2">
                  <c:v>2021</c:v>
                </c:pt>
                <c:pt idx="3">
                  <c:v>2022</c:v>
                </c:pt>
                <c:pt idx="4">
                  <c:v>2023</c:v>
                </c:pt>
              </c:numCache>
            </c:numRef>
          </c:cat>
          <c:val>
            <c:numRef>
              <c:f>Sheet3!$D$2:$D$6</c:f>
              <c:numCache>
                <c:formatCode>0.00%</c:formatCode>
                <c:ptCount val="5"/>
                <c:pt idx="0" formatCode="0%">
                  <c:v>9.5000000000000001E-2</c:v>
                </c:pt>
                <c:pt idx="1">
                  <c:v>0.10199999999999999</c:v>
                </c:pt>
                <c:pt idx="2">
                  <c:v>0.121</c:v>
                </c:pt>
                <c:pt idx="3">
                  <c:v>0.115</c:v>
                </c:pt>
                <c:pt idx="4" formatCode="0%">
                  <c:v>0.13</c:v>
                </c:pt>
              </c:numCache>
            </c:numRef>
          </c:val>
          <c:smooth val="0"/>
          <c:extLst>
            <c:ext xmlns:c16="http://schemas.microsoft.com/office/drawing/2014/chart" uri="{C3380CC4-5D6E-409C-BE32-E72D297353CC}">
              <c16:uniqueId val="{00000002-F27F-7C49-9F01-D912482B0794}"/>
            </c:ext>
          </c:extLst>
        </c:ser>
        <c:dLbls>
          <c:showLegendKey val="0"/>
          <c:showVal val="0"/>
          <c:showCatName val="0"/>
          <c:showSerName val="0"/>
          <c:showPercent val="0"/>
          <c:showBubbleSize val="0"/>
        </c:dLbls>
        <c:marker val="1"/>
        <c:smooth val="0"/>
        <c:axId val="725972496"/>
        <c:axId val="725971776"/>
      </c:lineChart>
      <c:catAx>
        <c:axId val="54494718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48984"/>
        <c:crosses val="autoZero"/>
        <c:auto val="1"/>
        <c:lblAlgn val="ctr"/>
        <c:lblOffset val="100"/>
        <c:noMultiLvlLbl val="0"/>
      </c:catAx>
      <c:valAx>
        <c:axId val="544948984"/>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Compensation/EPS Amount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47184"/>
        <c:crosses val="autoZero"/>
        <c:crossBetween val="between"/>
      </c:valAx>
      <c:valAx>
        <c:axId val="7259717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ROE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972496"/>
        <c:crosses val="max"/>
        <c:crossBetween val="between"/>
      </c:valAx>
      <c:catAx>
        <c:axId val="725972496"/>
        <c:scaling>
          <c:orientation val="minMax"/>
        </c:scaling>
        <c:delete val="1"/>
        <c:axPos val="b"/>
        <c:numFmt formatCode="General" sourceLinked="1"/>
        <c:majorTickMark val="none"/>
        <c:minorTickMark val="none"/>
        <c:tickLblPos val="nextTo"/>
        <c:crossAx val="7259717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spPr>
      <a:ln w="9525">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33E2F-A5FF-8542-9FCE-EEFBE4A53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81</cp:revision>
  <dcterms:created xsi:type="dcterms:W3CDTF">2024-10-13T12:54:00Z</dcterms:created>
  <dcterms:modified xsi:type="dcterms:W3CDTF">2024-10-17T15:55:00Z</dcterms:modified>
</cp:coreProperties>
</file>