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2B6B1C9" w14:textId="77777777" w:rsidR="00665A4C" w:rsidRDefault="00665A4C">
      <w:pPr>
        <w:spacing w:line="480" w:lineRule="auto"/>
      </w:pPr>
    </w:p>
    <w:p w14:paraId="45CF5E5C" w14:textId="77777777" w:rsidR="00C27930" w:rsidRDefault="00C27930">
      <w:pPr>
        <w:spacing w:line="480" w:lineRule="auto"/>
      </w:pPr>
    </w:p>
    <w:p w14:paraId="3F63D04E" w14:textId="77777777" w:rsidR="00665A4C" w:rsidRDefault="00665A4C">
      <w:pPr>
        <w:spacing w:line="480" w:lineRule="auto"/>
      </w:pPr>
    </w:p>
    <w:p w14:paraId="733B14DA" w14:textId="77777777" w:rsidR="00665A4C" w:rsidRDefault="00665A4C">
      <w:pPr>
        <w:spacing w:line="480" w:lineRule="auto"/>
      </w:pPr>
    </w:p>
    <w:p w14:paraId="3C9BEB34" w14:textId="77777777" w:rsidR="00665A4C" w:rsidRDefault="00B61831" w:rsidP="0075368F">
      <w:pPr>
        <w:spacing w:line="480" w:lineRule="auto"/>
        <w:jc w:val="center"/>
        <w:rPr>
          <w:b/>
        </w:rPr>
      </w:pPr>
      <w:r w:rsidRPr="00B61831">
        <w:rPr>
          <w:b/>
        </w:rPr>
        <w:t>An Examination and Analysis of How the Early Help System Is Signposted to UK Families by Local Authority Websites</w:t>
      </w:r>
      <w:r w:rsidR="0075368F" w:rsidRPr="0075368F">
        <w:rPr>
          <w:b/>
        </w:rPr>
        <w:t xml:space="preserve"> </w:t>
      </w:r>
    </w:p>
    <w:p w14:paraId="449AF50B" w14:textId="77777777" w:rsidR="00C27930" w:rsidRDefault="00C27930">
      <w:pPr>
        <w:spacing w:line="480" w:lineRule="auto"/>
        <w:jc w:val="center"/>
      </w:pPr>
    </w:p>
    <w:p w14:paraId="0A42373D" w14:textId="2AF2019B" w:rsidR="00665A4C" w:rsidRPr="009D20E9" w:rsidRDefault="00642855" w:rsidP="009D20E9">
      <w:pPr>
        <w:spacing w:after="0" w:line="480" w:lineRule="auto"/>
        <w:jc w:val="center"/>
        <w:rPr>
          <w:rFonts w:eastAsia="Times New Roman"/>
          <w:b/>
          <w:bCs/>
          <w:color w:val="000000"/>
          <w:u w:val="single"/>
        </w:rPr>
      </w:pPr>
      <w:r w:rsidRPr="009D20E9">
        <w:rPr>
          <w:rFonts w:eastAsia="Times New Roman"/>
          <w:b/>
          <w:bCs/>
          <w:color w:val="000000"/>
          <w:u w:val="single"/>
        </w:rPr>
        <w:t>PETIT NDUM</w:t>
      </w:r>
      <w:r w:rsidR="009D20E9">
        <w:rPr>
          <w:rFonts w:eastAsia="Times New Roman"/>
          <w:b/>
          <w:bCs/>
          <w:color w:val="000000"/>
          <w:u w:val="single"/>
        </w:rPr>
        <w:t>E</w:t>
      </w:r>
    </w:p>
    <w:p w14:paraId="294DCBD2" w14:textId="77777777" w:rsidR="00425F14" w:rsidRPr="009D20E9" w:rsidRDefault="00425F14" w:rsidP="00B61831">
      <w:pPr>
        <w:spacing w:after="0" w:line="480" w:lineRule="auto"/>
        <w:jc w:val="center"/>
        <w:rPr>
          <w:b/>
          <w:bCs/>
          <w:u w:val="single"/>
        </w:rPr>
      </w:pPr>
      <w:r w:rsidRPr="009D20E9">
        <w:rPr>
          <w:b/>
          <w:bCs/>
          <w:u w:val="single"/>
        </w:rPr>
        <w:t>Introduction</w:t>
      </w:r>
    </w:p>
    <w:p w14:paraId="2890F4A8" w14:textId="77777777" w:rsidR="00B61831" w:rsidRDefault="00B61831" w:rsidP="00425F14">
      <w:pPr>
        <w:spacing w:after="0" w:line="480" w:lineRule="auto"/>
        <w:ind w:firstLine="720"/>
        <w:jc w:val="both"/>
      </w:pPr>
      <w:r w:rsidRPr="00B61831">
        <w:t xml:space="preserve">Early Help features centrally in the consideration of how difficulties in families might escalate to requiring statutory intervention. The importance of effective digital signposting is in the way in which families typically approach council websites prior to encountering either professionals or services. Research reveals considerable variation between English authorities as regards how Early Help provisions are </w:t>
      </w:r>
      <w:proofErr w:type="spellStart"/>
      <w:r w:rsidRPr="00B61831">
        <w:t>organised</w:t>
      </w:r>
      <w:proofErr w:type="spellEnd"/>
      <w:r w:rsidRPr="00B61831">
        <w:t xml:space="preserve"> and communicated (Lucas, 2021). This July 2026 report critically examines Leeds City Council, Tower Hamlets Council and Nottinghamshire County Council. Each of these authorities makes use of Family Hubs but with different digital access arrangements for families. The report considers all aspects of the websites and digital offerings - from clarity and accessibility through to service coverage and safeguarding, escalation and partnership working. Any digital information must deliver a genuinely understandable account of such complex systems whilst preserving critical distinctions between voluntary and statutory support. Research in the area of parental information makes clear the importance of usability (</w:t>
      </w:r>
      <w:proofErr w:type="spellStart"/>
      <w:r w:rsidRPr="00B61831">
        <w:t>Mörelius</w:t>
      </w:r>
      <w:proofErr w:type="spellEnd"/>
      <w:r w:rsidRPr="00B61831">
        <w:t xml:space="preserve"> et al., 2021). The present analysis shows that Tower Hamlets currently provides the strongest overall signposting - its integrated front door offers an especially coherent approach to explanations, referrals and safeguarding pathways relative to the other two websites.</w:t>
      </w:r>
    </w:p>
    <w:p w14:paraId="5C06A1CD" w14:textId="77777777" w:rsidR="00425F14" w:rsidRPr="003239CA" w:rsidRDefault="00425F14" w:rsidP="006B6583">
      <w:pPr>
        <w:spacing w:after="0" w:line="480" w:lineRule="auto"/>
        <w:jc w:val="center"/>
        <w:rPr>
          <w:b/>
          <w:bCs/>
          <w:u w:val="single"/>
        </w:rPr>
      </w:pPr>
      <w:r w:rsidRPr="003239CA">
        <w:rPr>
          <w:b/>
          <w:bCs/>
          <w:u w:val="single"/>
        </w:rPr>
        <w:t>The Early Help System</w:t>
      </w:r>
    </w:p>
    <w:p w14:paraId="057A2E56" w14:textId="77777777" w:rsidR="006B6583" w:rsidRPr="006B6583" w:rsidRDefault="006B6583" w:rsidP="006B6583">
      <w:pPr>
        <w:spacing w:after="0" w:line="480" w:lineRule="auto"/>
        <w:ind w:firstLine="720"/>
        <w:jc w:val="both"/>
      </w:pPr>
      <w:r w:rsidRPr="006B6583">
        <w:t xml:space="preserve">Early Help describes a system rather than one isolated service within or from one </w:t>
      </w:r>
      <w:proofErr w:type="spellStart"/>
      <w:r w:rsidRPr="006B6583">
        <w:t>organisation</w:t>
      </w:r>
      <w:proofErr w:type="spellEnd"/>
      <w:r w:rsidRPr="006B6583">
        <w:t xml:space="preserve">. The Early Help System Guide presents interconnected services, processes and relationships aimed at helping families at the very first opportunity. This is </w:t>
      </w:r>
      <w:proofErr w:type="spellStart"/>
      <w:r w:rsidRPr="006B6583">
        <w:t>realised</w:t>
      </w:r>
      <w:proofErr w:type="spellEnd"/>
      <w:r w:rsidRPr="006B6583">
        <w:t xml:space="preserve"> through partnership governance, workforce, whole-family working and data to access services in an accessible manner with a clear family voice in service provision (Department for Levelling Up, Housing and Communities [DLUHC] &amp; Department for Education [DfE], 2022). The Family Hubs model further develops such an approach with physical, outreach and virtual access throughout childhood. This approach is highly significant in identifying that intervention in early stages loses some of its value if families cannot </w:t>
      </w:r>
      <w:proofErr w:type="spellStart"/>
      <w:r w:rsidRPr="006B6583">
        <w:t>recognise</w:t>
      </w:r>
      <w:proofErr w:type="spellEnd"/>
      <w:r w:rsidRPr="006B6583">
        <w:t xml:space="preserve"> suitable support quickly. UK evidence confirms that families encountering developmental concerns tend to face unmet needs and barriers to access (</w:t>
      </w:r>
      <w:proofErr w:type="spellStart"/>
      <w:r w:rsidRPr="006B6583">
        <w:t>Sapiets</w:t>
      </w:r>
      <w:proofErr w:type="spellEnd"/>
      <w:r w:rsidRPr="006B6583">
        <w:t xml:space="preserve"> et al., 2023; </w:t>
      </w:r>
      <w:proofErr w:type="spellStart"/>
      <w:r w:rsidRPr="006B6583">
        <w:t>Sapiets</w:t>
      </w:r>
      <w:proofErr w:type="spellEnd"/>
      <w:r w:rsidRPr="006B6583">
        <w:t xml:space="preserve"> et al., 2024). Thus effective signposting has to do with explaining available help, eligibility, contact and what occurs after requesting support. The element of </w:t>
      </w:r>
      <w:proofErr w:type="spellStart"/>
      <w:r w:rsidRPr="006B6583">
        <w:t>recognising</w:t>
      </w:r>
      <w:proofErr w:type="spellEnd"/>
      <w:r w:rsidRPr="006B6583">
        <w:t xml:space="preserve"> inequalities within society and how family circumstances and deprivation impact access to such early help is additionally important. The quality of a website is thus part of accessibility of service rather than administrative communications.</w:t>
      </w:r>
    </w:p>
    <w:p w14:paraId="3B504C32" w14:textId="77777777" w:rsidR="00B61831" w:rsidRDefault="006B6583" w:rsidP="006B6583">
      <w:pPr>
        <w:spacing w:after="0" w:line="480" w:lineRule="auto"/>
        <w:ind w:firstLine="720"/>
        <w:jc w:val="both"/>
      </w:pPr>
      <w:r w:rsidRPr="006B6583">
        <w:rPr>
          <w:i/>
        </w:rPr>
        <w:t>Working Together to Safeguard Children 2026</w:t>
      </w:r>
      <w:r w:rsidRPr="006B6583">
        <w:t xml:space="preserve"> works to strengthen the preventive approach to children and families but also introduces important new terminologies and expectations for practice. Community-based Early Help remains available prior to formal intervention needs while Family Help packages targeted early help with section 17 support. The guidance makes clear the requirement of local safeguarding partners to make such information both transparent and understandable (DfE, 2026). Such a requirement matters in helping families to understand both voluntary and safeguarding duties within a range of circumstances. The 2026 reforms work to enable consistent practitioners relationships and multidisciplina</w:t>
      </w:r>
      <w:r w:rsidR="00252B05">
        <w:t xml:space="preserve">ry planning around family needs </w:t>
      </w:r>
      <w:r w:rsidRPr="006B6583">
        <w:t xml:space="preserve">an aspect that helps to avoid both repeated assessments or fragmented professional involvement with increasing complexity of difficulties. Evidence from integrated children’s services confirms the value that families place upon coordinated pathways and relationships across </w:t>
      </w:r>
      <w:proofErr w:type="spellStart"/>
      <w:r w:rsidRPr="006B6583">
        <w:t>organisational</w:t>
      </w:r>
      <w:proofErr w:type="spellEnd"/>
      <w:r w:rsidRPr="006B6583">
        <w:t xml:space="preserve"> boundaries (</w:t>
      </w:r>
      <w:proofErr w:type="spellStart"/>
      <w:r w:rsidRPr="006B6583">
        <w:t>Satherley</w:t>
      </w:r>
      <w:proofErr w:type="spellEnd"/>
      <w:r w:rsidRPr="006B6583">
        <w:t xml:space="preserve"> et al., 2021). The strong council website should reflect current national terminology yet provide simple explanations for non-specialist audiences. Outdated guidance does weaken trust and create uncertainty in critical decision-making processes.</w:t>
      </w:r>
    </w:p>
    <w:p w14:paraId="1287E16D" w14:textId="77777777" w:rsidR="00425F14" w:rsidRPr="003239CA" w:rsidRDefault="00425F14" w:rsidP="006B6583">
      <w:pPr>
        <w:spacing w:after="0" w:line="480" w:lineRule="auto"/>
        <w:jc w:val="center"/>
        <w:rPr>
          <w:b/>
          <w:bCs/>
          <w:u w:val="single"/>
        </w:rPr>
      </w:pPr>
      <w:r w:rsidRPr="003239CA">
        <w:rPr>
          <w:b/>
          <w:bCs/>
          <w:u w:val="single"/>
        </w:rPr>
        <w:t>Multi-Agency Working</w:t>
      </w:r>
    </w:p>
    <w:p w14:paraId="01DFBC1D" w14:textId="77777777" w:rsidR="006B6583" w:rsidRDefault="006B6583" w:rsidP="006B6583">
      <w:pPr>
        <w:spacing w:after="0" w:line="480" w:lineRule="auto"/>
        <w:ind w:firstLine="720"/>
        <w:jc w:val="both"/>
      </w:pPr>
      <w:r w:rsidRPr="006B6583">
        <w:t xml:space="preserve">Multi-agency working allows for the combination of different forms of knowledge surrounding families education, health, social care, police and community services. </w:t>
      </w:r>
      <w:r w:rsidRPr="006B6583">
        <w:rPr>
          <w:i/>
        </w:rPr>
        <w:t xml:space="preserve">Working Together 2026 </w:t>
      </w:r>
      <w:r w:rsidRPr="006B6583">
        <w:t xml:space="preserve">identifies local authorities, integrated care boards and the police as such core safeguarding partners and responsibilities (DfE, 2026). Early Help does require a much wider area of participation given how common it is for difficulties relate to housing, mental health and school attendance alongside disability or domestic abuse. Such structures offer the potential for a more complete assessment of these issues and reduce families being continually diverted between separate services. However, collaboration does not become effective simply because a range of professions feature within the same pathway. Safeguarding research helps to identify such communication and professional relationship elements as ongoing operational challenges. Shared learning does matter - professional cultures can otherwise give rise to conflicting interpretations of risk and need. Recent research confirms this in relation to resources and </w:t>
      </w:r>
      <w:proofErr w:type="spellStart"/>
      <w:r w:rsidRPr="006B6583">
        <w:t>organisational</w:t>
      </w:r>
      <w:proofErr w:type="spellEnd"/>
      <w:r w:rsidRPr="006B6583">
        <w:t xml:space="preserve"> commitment - as well as differing views around consent (Dixon et al., 2022; </w:t>
      </w:r>
      <w:proofErr w:type="spellStart"/>
      <w:r w:rsidRPr="006B6583">
        <w:t>Jahans-Baynton</w:t>
      </w:r>
      <w:proofErr w:type="spellEnd"/>
      <w:r w:rsidRPr="006B6583">
        <w:t xml:space="preserve"> &amp; </w:t>
      </w:r>
      <w:proofErr w:type="spellStart"/>
      <w:r w:rsidRPr="006B6583">
        <w:t>Grealish</w:t>
      </w:r>
      <w:proofErr w:type="spellEnd"/>
      <w:r w:rsidRPr="006B6583">
        <w:t>, 2022; Purcell et al., 2026). The website should show families how the agencies connect, who coordinates and where safeguarding concerns are escalated.</w:t>
      </w:r>
    </w:p>
    <w:p w14:paraId="7F4049C5" w14:textId="77777777" w:rsidR="00425F14" w:rsidRPr="003239CA" w:rsidRDefault="00425F14" w:rsidP="006B6583">
      <w:pPr>
        <w:spacing w:after="0" w:line="480" w:lineRule="auto"/>
        <w:jc w:val="center"/>
        <w:rPr>
          <w:b/>
          <w:bCs/>
          <w:u w:val="single"/>
        </w:rPr>
      </w:pPr>
      <w:r w:rsidRPr="003239CA">
        <w:rPr>
          <w:b/>
          <w:bCs/>
          <w:u w:val="single"/>
        </w:rPr>
        <w:t>Evaluation of Leeds City Council</w:t>
      </w:r>
    </w:p>
    <w:p w14:paraId="605B1556" w14:textId="77777777" w:rsidR="006B6583" w:rsidRDefault="006B6583" w:rsidP="00425F14">
      <w:pPr>
        <w:spacing w:after="0" w:line="480" w:lineRule="auto"/>
        <w:ind w:firstLine="720"/>
        <w:jc w:val="both"/>
      </w:pPr>
      <w:r w:rsidRPr="006B6583">
        <w:t xml:space="preserve">Leeds provides a well-developed model for Early Help with detailed explanations of both graduated support and multidisciplinary model delivery. The Family Hubs include seven access points with Early Help practitioners, social workers and specialist coordinators with police, mental health, SEND, domestic abuse and substance use expertise represented within the teams. Families can telephone or email the central hub, though a conversation is preferred prior to completing forms. Such an approach inherently supports a relational model and </w:t>
      </w:r>
      <w:proofErr w:type="spellStart"/>
      <w:r w:rsidRPr="006B6583">
        <w:t>minimises</w:t>
      </w:r>
      <w:proofErr w:type="spellEnd"/>
      <w:r w:rsidRPr="006B6583">
        <w:t xml:space="preserve"> procedural barriers at this initial stage of contact (</w:t>
      </w:r>
      <w:proofErr w:type="spellStart"/>
      <w:r w:rsidRPr="006B6583">
        <w:t>Satherley</w:t>
      </w:r>
      <w:proofErr w:type="spellEnd"/>
      <w:r w:rsidRPr="006B6583">
        <w:t xml:space="preserve"> et al., 2021). The website explains universal, targeted and higher-risk support models via the graduated Early Help model. The information is presented across numerous one-minute guides, Family Hub pages and safeguarding resources. A family unfamiliar with terms such as clusters, Duty and Advice or Family Hubs will require several such pages for complete understanding. This level of fragmentation weakens otherwise strong service integration - digital navigation does not fully match operational coordination. More importantly, however, the main Early Help guide states alignment with </w:t>
      </w:r>
      <w:r w:rsidRPr="006B6583">
        <w:rPr>
          <w:i/>
        </w:rPr>
        <w:t>Working Together 2023</w:t>
      </w:r>
      <w:r w:rsidRPr="006B6583">
        <w:t xml:space="preserve"> (Leeds City Council, 2025). The successor policy is </w:t>
      </w:r>
      <w:r w:rsidRPr="006B6583">
        <w:rPr>
          <w:i/>
        </w:rPr>
        <w:t>Working Together 2026</w:t>
      </w:r>
      <w:r w:rsidRPr="006B6583">
        <w:t xml:space="preserve"> making timely revision and updates of such content importantly and professionally desirable. Thus, whilst Leeds offers a very strong and relevant practice content, a single updated and accessible family-facing landing page is required.</w:t>
      </w:r>
    </w:p>
    <w:p w14:paraId="214E5DEF" w14:textId="77777777" w:rsidR="00425F14" w:rsidRPr="003239CA" w:rsidRDefault="00425F14" w:rsidP="00252B05">
      <w:pPr>
        <w:spacing w:after="0" w:line="480" w:lineRule="auto"/>
        <w:jc w:val="center"/>
        <w:rPr>
          <w:b/>
          <w:bCs/>
          <w:u w:val="single"/>
        </w:rPr>
      </w:pPr>
      <w:r w:rsidRPr="003239CA">
        <w:rPr>
          <w:b/>
          <w:bCs/>
          <w:u w:val="single"/>
        </w:rPr>
        <w:t>Evaluation of Tower Hamlets Council</w:t>
      </w:r>
    </w:p>
    <w:p w14:paraId="56765D8F" w14:textId="77777777" w:rsidR="00203411" w:rsidRDefault="00203411" w:rsidP="00425F14">
      <w:pPr>
        <w:spacing w:after="0" w:line="480" w:lineRule="auto"/>
        <w:ind w:firstLine="720"/>
        <w:jc w:val="both"/>
      </w:pPr>
      <w:r w:rsidRPr="00203411">
        <w:t>Tower Hamlets communicates Early Help more directly through a framing around family questions and likely supports. Its “About Early Help” page details eligibility from pregnancy to nineteen with extension to twenty-five for those with SEND. The content distinguishes between universal and targeted services while providing very specific examples relating to parental conflict, attendance difficulties or mental health concerns. Each of these descriptions allow families to see themselves in relation to the criteria of these services rather than interpreting professional terminology themselves. Such a feature is especially valuable since access issues typically emerge prior to formal referral (</w:t>
      </w:r>
      <w:proofErr w:type="spellStart"/>
      <w:r w:rsidRPr="00203411">
        <w:t>Sapiets</w:t>
      </w:r>
      <w:proofErr w:type="spellEnd"/>
      <w:r w:rsidRPr="00203411">
        <w:t xml:space="preserve"> et al., 2023). The website makes clear both when an Early Help Assessment process occurs and when statutory services become necessary. The strongest feature is the establishment of a Multi-Agency Support Team formed by merging the Early Help Hub with the front door for safeguarding. The MAST process integrates social care, health, education, police, housing and other agencies under a single point of contact. The website makes clear telephone, online and out of hours safeguarding routes along with clear explanations of wha</w:t>
      </w:r>
      <w:r w:rsidR="00252B05">
        <w:t>t follows a request for support. T</w:t>
      </w:r>
      <w:r w:rsidRPr="00203411">
        <w:t>he clear information on escalation pathways enhances safety but does not present the Early Help policy as a compulsory intervention (Winter et al., 2024). The main weakness is information density with several services and acronyms visible across linked pages. Nevertheless, Tower Hamlets has rendered the complexity of the system as the most actionable of the three authorities.</w:t>
      </w:r>
    </w:p>
    <w:p w14:paraId="15F01895" w14:textId="77777777" w:rsidR="00425F14" w:rsidRPr="003239CA" w:rsidRDefault="00425F14" w:rsidP="00203411">
      <w:pPr>
        <w:spacing w:after="0" w:line="480" w:lineRule="auto"/>
        <w:jc w:val="center"/>
        <w:rPr>
          <w:b/>
          <w:bCs/>
          <w:u w:val="single"/>
        </w:rPr>
      </w:pPr>
      <w:r w:rsidRPr="003239CA">
        <w:rPr>
          <w:b/>
          <w:bCs/>
          <w:u w:val="single"/>
        </w:rPr>
        <w:t>Evaluation of Nottinghamshire County Council</w:t>
      </w:r>
    </w:p>
    <w:p w14:paraId="36EBD99B" w14:textId="77777777" w:rsidR="00203411" w:rsidRDefault="00203411" w:rsidP="00425F14">
      <w:pPr>
        <w:spacing w:after="0" w:line="480" w:lineRule="auto"/>
        <w:ind w:firstLine="720"/>
        <w:jc w:val="both"/>
      </w:pPr>
      <w:r w:rsidRPr="00203411">
        <w:t>Nottinghamshire provides broadly accessible Early Help via Family Hub Networks, the Early Help Unit and targeted family services. Families find themselves able to self-refer via telephone, email, online enquiry or direct contact with a local Family Hub. Such flexibility is a considerable strength given the way in which different families have different channels and levels of assistance needs. Flexible provision of services is particularly important in relation to socioeconomic circumstances and unmet needs (</w:t>
      </w:r>
      <w:proofErr w:type="spellStart"/>
      <w:r w:rsidRPr="00203411">
        <w:t>Sapiets</w:t>
      </w:r>
      <w:proofErr w:type="spellEnd"/>
      <w:r w:rsidRPr="00203411">
        <w:t xml:space="preserve"> et al., 2024). The Family Hub model links council services with schools, NHS partners and community </w:t>
      </w:r>
      <w:proofErr w:type="spellStart"/>
      <w:r w:rsidRPr="00203411">
        <w:t>organisations</w:t>
      </w:r>
      <w:proofErr w:type="spellEnd"/>
      <w:r w:rsidRPr="00203411">
        <w:t>. The website makes clear that families should receive appropriate support prior to any escalation of needs consistent with the preventative purpose of Early Help. However, relevant information appears across Early Help, family hubs, childcare-provider pages and children’s social care sections. Several routes appear to function as a front door local hubs and the Early Help Unit among them. While professional referral instructions are clear, there is a distinction to make between these and public self-referral processes. The MASH safeguarding route is available - although less prominent within main Early Help family information. Such an information environment increases cognitive effort for users who are already navigating stressful circumstances. Nottinghamshire therefore offers strong elements of both choice of services and self-referral access but weaker digital pathway coherence than Tower Hamlets.</w:t>
      </w:r>
    </w:p>
    <w:p w14:paraId="1107E21C" w14:textId="77777777" w:rsidR="00425F14" w:rsidRPr="003239CA" w:rsidRDefault="00425F14" w:rsidP="00252B05">
      <w:pPr>
        <w:spacing w:after="0" w:line="480" w:lineRule="auto"/>
        <w:jc w:val="center"/>
        <w:rPr>
          <w:b/>
          <w:bCs/>
          <w:u w:val="single"/>
        </w:rPr>
      </w:pPr>
      <w:r w:rsidRPr="003239CA">
        <w:rPr>
          <w:b/>
          <w:bCs/>
          <w:u w:val="single"/>
        </w:rPr>
        <w:t>Comparative Analysis of Strengths and Weaknesses</w:t>
      </w:r>
    </w:p>
    <w:p w14:paraId="7679F4A1" w14:textId="77777777" w:rsidR="00203411" w:rsidRPr="00203411" w:rsidRDefault="00203411" w:rsidP="00203411">
      <w:pPr>
        <w:spacing w:after="0" w:line="480" w:lineRule="auto"/>
        <w:ind w:firstLine="720"/>
        <w:jc w:val="both"/>
      </w:pPr>
      <w:r w:rsidRPr="00203411">
        <w:t xml:space="preserve">All three authorities show meaningful infrastructure for Early Help, but effectiveness relates to providing such a system in an easily understood way for families. Leeds shows the most involved practice framework and describes hub membership across disciplines particularly well. The strength here is marred, though, by generic webpages and references to superseded 2023 statutory guidance. Nottinghamshire shows the most visible flexibility in self-referral and features a useful virtual-plus-local hub offer. The weakness is that several access points appear legitimate but make for less certainty about the simplest starting route. Tower Hamlets achieves the best balance between depth of information and taking action. It defines Early Help well, shows common family needs, distinguishes service levels and links to the one integrated MAST pathway. Such a feature is valuable to families who prefer coordinated services and relationships over repeated </w:t>
      </w:r>
      <w:proofErr w:type="spellStart"/>
      <w:r w:rsidRPr="00203411">
        <w:t>organisational</w:t>
      </w:r>
      <w:proofErr w:type="spellEnd"/>
      <w:r w:rsidRPr="00203411">
        <w:t xml:space="preserve"> handovers (</w:t>
      </w:r>
      <w:proofErr w:type="spellStart"/>
      <w:r w:rsidRPr="00203411">
        <w:t>Satherley</w:t>
      </w:r>
      <w:proofErr w:type="spellEnd"/>
      <w:r w:rsidRPr="00203411">
        <w:t xml:space="preserve"> et al., 2021). Digital interventions work better when the website content supports understanding and engagement than merely presenting content (</w:t>
      </w:r>
      <w:proofErr w:type="spellStart"/>
      <w:r w:rsidRPr="00203411">
        <w:t>Mörelius</w:t>
      </w:r>
      <w:proofErr w:type="spellEnd"/>
      <w:r w:rsidRPr="00203411">
        <w:t xml:space="preserve"> et al., 2021). Tower Hamlets’ website therefore ranks highest in line with the Early Help System Guide’s accessible and coordinated model. Leeds is closely behind given strong partnership architecture, while Nottinghamshire takes the next spot given fragmented navigation.</w:t>
      </w:r>
    </w:p>
    <w:p w14:paraId="3FAAC7FD" w14:textId="77777777" w:rsidR="00203411" w:rsidRDefault="00203411" w:rsidP="00203411">
      <w:pPr>
        <w:spacing w:after="0" w:line="480" w:lineRule="auto"/>
        <w:ind w:firstLine="720"/>
        <w:jc w:val="both"/>
      </w:pPr>
      <w:r w:rsidRPr="00203411">
        <w:t xml:space="preserve">This judgement should nevertheless remain proportionate since reviewing websites does not constitute a means of proving service quality after referral. While effective digital signposting is clearly necessary the element does not secure adequate staffing or positive outcomes within families. There is considerable local variation in thresholds for Early Help, recording and professional involvement across English authorities (Lucas, 2021). Tower Hamlets comes best in this exercise specifically in terms of communication accessibility rather than demonstrated outcomes. The MAST structure also introduces concern if families see Early Help and safeguarding activities as essentially without distinction. The site somewhat manages this through separate explanations of targeted support and statutory elements. Leeds uses clearer graduated language but relies upon out-of-date national reference that reduces current credibility during the significant 2026 reforms. Nottinghamshire offers multiple channels that enhance inclusion but with stronger visual </w:t>
      </w:r>
      <w:proofErr w:type="spellStart"/>
      <w:r w:rsidRPr="00203411">
        <w:t>prioritisation</w:t>
      </w:r>
      <w:proofErr w:type="spellEnd"/>
      <w:r w:rsidRPr="00203411">
        <w:t xml:space="preserve"> needs. The relative significance of such weaknesses depends upon user circumstances and digital confidence. Families facing language or literacy barriers or disability may require assisted navigation beyond webpages. Consequently, all three authorities should test digital journeys with diverse families rather than assume availability equals accessibility.</w:t>
      </w:r>
    </w:p>
    <w:p w14:paraId="15C7065C" w14:textId="77777777" w:rsidR="00425F14" w:rsidRPr="003239CA" w:rsidRDefault="00425F14" w:rsidP="00203411">
      <w:pPr>
        <w:spacing w:after="0" w:line="480" w:lineRule="auto"/>
        <w:jc w:val="center"/>
        <w:rPr>
          <w:b/>
          <w:bCs/>
          <w:u w:val="single"/>
        </w:rPr>
      </w:pPr>
      <w:r w:rsidRPr="003239CA">
        <w:rPr>
          <w:b/>
          <w:bCs/>
          <w:u w:val="single"/>
        </w:rPr>
        <w:t>Conclusion and Recommendations</w:t>
      </w:r>
    </w:p>
    <w:p w14:paraId="0F4BBBE9" w14:textId="77777777" w:rsidR="00203411" w:rsidRPr="00203411" w:rsidRDefault="00203411" w:rsidP="00203411">
      <w:pPr>
        <w:spacing w:after="0" w:line="480" w:lineRule="auto"/>
        <w:ind w:firstLine="720"/>
        <w:jc w:val="both"/>
      </w:pPr>
      <w:r w:rsidRPr="00203411">
        <w:t xml:space="preserve">Tower Hamlets currently provides the most effective and accessible signposting towards Early Help of the three authorities. The principal advantage lies in the coherence of the explanation, referrals, multi-agency working and safeguarding escalation elements. Leeds has sophisticated partnership practice in place but needs to update its Early Help material immediately in response to Working Together 2026. Nottinghamshire would benefit from consolidating family information around one </w:t>
      </w:r>
      <w:proofErr w:type="spellStart"/>
      <w:r w:rsidRPr="00203411">
        <w:t>prioritised</w:t>
      </w:r>
      <w:proofErr w:type="spellEnd"/>
      <w:r w:rsidRPr="00203411">
        <w:t xml:space="preserve"> starting route but with alternative methods of contact. Accessibility elements should be present in all authorities: concise language, translated information and telephone options alongside online forms. The Early Help System Guide makes clear responsive systems which cater for the whole family and their experience (DLUHC &amp; DfE, 2022). The current evidence supports coordinated and flexible access as a means of reducing educational inequalities (</w:t>
      </w:r>
      <w:proofErr w:type="spellStart"/>
      <w:r w:rsidRPr="00203411">
        <w:t>Sapiets</w:t>
      </w:r>
      <w:proofErr w:type="spellEnd"/>
      <w:r w:rsidRPr="00203411">
        <w:t xml:space="preserve"> et al., 2024). The Tower Hamlet approach should still seek to reduce the use of acronyms and dense pages whilst preserving necessary distinctions regarding safeguarding. Each council should make visible dates upon which the information was reviewed and test accessibility with parents, young people and disadvantaged groups. Such measures would make digital communication more truly representative of the purpose and aims of Early Help.</w:t>
      </w:r>
    </w:p>
    <w:p w14:paraId="67748DDE" w14:textId="77777777" w:rsidR="00203411" w:rsidRDefault="00203411" w:rsidP="00425F14">
      <w:pPr>
        <w:spacing w:after="0" w:line="480" w:lineRule="auto"/>
        <w:ind w:firstLine="720"/>
        <w:jc w:val="both"/>
      </w:pPr>
    </w:p>
    <w:p w14:paraId="7D736EA3" w14:textId="77777777" w:rsidR="007D7369" w:rsidRDefault="007D7369" w:rsidP="00755A87">
      <w:pPr>
        <w:spacing w:after="0" w:line="480" w:lineRule="auto"/>
        <w:ind w:firstLine="720"/>
        <w:jc w:val="both"/>
      </w:pPr>
    </w:p>
    <w:p w14:paraId="5068601F" w14:textId="77777777" w:rsidR="007D7369" w:rsidRDefault="007D7369" w:rsidP="00755A87">
      <w:pPr>
        <w:spacing w:after="0" w:line="480" w:lineRule="auto"/>
        <w:ind w:firstLine="720"/>
        <w:jc w:val="both"/>
      </w:pPr>
    </w:p>
    <w:p w14:paraId="4F3C574F" w14:textId="77777777" w:rsidR="00755A87" w:rsidRDefault="00755A87" w:rsidP="00755A87">
      <w:pPr>
        <w:spacing w:after="0" w:line="480" w:lineRule="auto"/>
        <w:ind w:firstLine="720"/>
        <w:jc w:val="both"/>
      </w:pPr>
    </w:p>
    <w:p w14:paraId="58EE4791" w14:textId="77777777" w:rsidR="00755A87" w:rsidRDefault="00755A87" w:rsidP="0075368F">
      <w:pPr>
        <w:spacing w:after="0" w:line="480" w:lineRule="auto"/>
        <w:ind w:firstLine="720"/>
        <w:jc w:val="both"/>
      </w:pPr>
    </w:p>
    <w:p w14:paraId="483C65A9" w14:textId="77777777" w:rsidR="00755A87" w:rsidRDefault="00755A87">
      <w:pPr>
        <w:rPr>
          <w:b/>
        </w:rPr>
      </w:pPr>
      <w:r>
        <w:rPr>
          <w:b/>
        </w:rPr>
        <w:br w:type="page"/>
      </w:r>
    </w:p>
    <w:p w14:paraId="5014D205" w14:textId="77777777" w:rsidR="00665A4C" w:rsidRPr="00F077DA" w:rsidRDefault="00C63B28">
      <w:pPr>
        <w:spacing w:line="480" w:lineRule="auto"/>
        <w:jc w:val="center"/>
        <w:rPr>
          <w:u w:val="single"/>
        </w:rPr>
      </w:pPr>
      <w:r w:rsidRPr="00F077DA">
        <w:rPr>
          <w:b/>
          <w:u w:val="single"/>
        </w:rPr>
        <w:t>References</w:t>
      </w:r>
    </w:p>
    <w:p w14:paraId="49C9EA8C" w14:textId="77777777" w:rsidR="00425F14" w:rsidRPr="00425F14" w:rsidRDefault="00425F14" w:rsidP="00425F14">
      <w:pPr>
        <w:spacing w:after="0" w:line="480" w:lineRule="auto"/>
        <w:ind w:left="720" w:hanging="720"/>
      </w:pPr>
      <w:r w:rsidRPr="00425F14">
        <w:t xml:space="preserve">Department for Education. (2026). </w:t>
      </w:r>
      <w:r w:rsidRPr="00425F14">
        <w:rPr>
          <w:i/>
          <w:iCs/>
        </w:rPr>
        <w:t>Working together to safeguard children 2026: A guide to multi-agency working to help, support and protect children</w:t>
      </w:r>
      <w:r w:rsidRPr="00425F14">
        <w:t xml:space="preserve">. </w:t>
      </w:r>
      <w:hyperlink r:id="rId8" w:tgtFrame="_blank" w:history="1">
        <w:r w:rsidRPr="00425F14">
          <w:rPr>
            <w:rStyle w:val="Hyperlink"/>
          </w:rPr>
          <w:t>Working Together to Safeguard Children 2026</w:t>
        </w:r>
      </w:hyperlink>
    </w:p>
    <w:p w14:paraId="6237E9CE" w14:textId="77777777" w:rsidR="00425F14" w:rsidRPr="00425F14" w:rsidRDefault="00425F14" w:rsidP="00425F14">
      <w:pPr>
        <w:spacing w:after="0" w:line="480" w:lineRule="auto"/>
        <w:ind w:left="720" w:hanging="720"/>
      </w:pPr>
      <w:r w:rsidRPr="00425F14">
        <w:t xml:space="preserve">Department for Levelling Up, Housing and Communities, &amp; Department for Education. (2022). </w:t>
      </w:r>
      <w:r w:rsidRPr="00425F14">
        <w:rPr>
          <w:i/>
          <w:iCs/>
        </w:rPr>
        <w:t>Supporting Families: Early Help System Guide</w:t>
      </w:r>
      <w:r w:rsidRPr="00425F14">
        <w:t xml:space="preserve">. </w:t>
      </w:r>
      <w:hyperlink r:id="rId9" w:tgtFrame="_blank" w:history="1">
        <w:r w:rsidRPr="00425F14">
          <w:rPr>
            <w:rStyle w:val="Hyperlink"/>
          </w:rPr>
          <w:t>Early Help System Guide</w:t>
        </w:r>
      </w:hyperlink>
    </w:p>
    <w:p w14:paraId="161161B9" w14:textId="77777777" w:rsidR="00425F14" w:rsidRPr="00425F14" w:rsidRDefault="00425F14" w:rsidP="00425F14">
      <w:pPr>
        <w:spacing w:after="0" w:line="480" w:lineRule="auto"/>
        <w:ind w:left="720" w:hanging="720"/>
      </w:pPr>
      <w:r w:rsidRPr="00425F14">
        <w:t xml:space="preserve">Dixon, S., Kendall, B., Driscoll, J., &amp; Pope, C. (2022). Supporting the ‘multi’ in multi-agency working: Learning with and from each other could enable multi-agency safeguarding. </w:t>
      </w:r>
      <w:r w:rsidRPr="00425F14">
        <w:rPr>
          <w:i/>
          <w:iCs/>
        </w:rPr>
        <w:t>British Journal of General Practice, 72</w:t>
      </w:r>
      <w:r w:rsidRPr="00425F14">
        <w:t>(722), 438–439. https://doi.org/10.3399/bjgp22X720617</w:t>
      </w:r>
    </w:p>
    <w:p w14:paraId="33DEC089" w14:textId="77777777" w:rsidR="00425F14" w:rsidRPr="00425F14" w:rsidRDefault="00425F14" w:rsidP="00425F14">
      <w:pPr>
        <w:spacing w:after="0" w:line="480" w:lineRule="auto"/>
        <w:ind w:left="720" w:hanging="720"/>
      </w:pPr>
      <w:proofErr w:type="spellStart"/>
      <w:r w:rsidRPr="00425F14">
        <w:t>Jahans-Baynton</w:t>
      </w:r>
      <w:proofErr w:type="spellEnd"/>
      <w:r w:rsidRPr="00425F14">
        <w:t xml:space="preserve">, K., &amp; </w:t>
      </w:r>
      <w:proofErr w:type="spellStart"/>
      <w:r w:rsidRPr="00425F14">
        <w:t>Grealish</w:t>
      </w:r>
      <w:proofErr w:type="spellEnd"/>
      <w:r w:rsidRPr="00425F14">
        <w:t xml:space="preserve">, A. (2022). Safeguarding communications between multiagency professionals when working with children and young people: A qualitative study. </w:t>
      </w:r>
      <w:r w:rsidRPr="00425F14">
        <w:rPr>
          <w:i/>
          <w:iCs/>
        </w:rPr>
        <w:t>Journal of Child and Adolescent Psychiatric Nursing, 35</w:t>
      </w:r>
      <w:r w:rsidRPr="00425F14">
        <w:t xml:space="preserve">(2), 171–178. </w:t>
      </w:r>
      <w:hyperlink r:id="rId10" w:tgtFrame="_blank" w:history="1">
        <w:r w:rsidRPr="00425F14">
          <w:rPr>
            <w:rStyle w:val="Hyperlink"/>
          </w:rPr>
          <w:t>https://doi.org/10.1111/jcap.12363</w:t>
        </w:r>
      </w:hyperlink>
    </w:p>
    <w:p w14:paraId="038D28CE" w14:textId="77777777" w:rsidR="00425F14" w:rsidRPr="00425F14" w:rsidRDefault="00425F14" w:rsidP="00425F14">
      <w:pPr>
        <w:spacing w:after="0" w:line="480" w:lineRule="auto"/>
        <w:ind w:left="720" w:hanging="720"/>
      </w:pPr>
      <w:r w:rsidRPr="00425F14">
        <w:t xml:space="preserve">Leeds City Council. (2025). </w:t>
      </w:r>
      <w:r w:rsidRPr="00425F14">
        <w:rPr>
          <w:i/>
          <w:iCs/>
        </w:rPr>
        <w:t>One minute guide: Early help</w:t>
      </w:r>
      <w:r w:rsidRPr="00425F14">
        <w:t xml:space="preserve">. </w:t>
      </w:r>
      <w:hyperlink r:id="rId11" w:tgtFrame="_blank" w:history="1">
        <w:r w:rsidRPr="00425F14">
          <w:rPr>
            <w:rStyle w:val="Hyperlink"/>
          </w:rPr>
          <w:t>Leeds Early Help guide</w:t>
        </w:r>
      </w:hyperlink>
    </w:p>
    <w:p w14:paraId="596322ED" w14:textId="77777777" w:rsidR="00425F14" w:rsidRPr="00425F14" w:rsidRDefault="00425F14" w:rsidP="00425F14">
      <w:pPr>
        <w:spacing w:after="0" w:line="480" w:lineRule="auto"/>
        <w:ind w:left="720" w:hanging="720"/>
      </w:pPr>
      <w:r w:rsidRPr="00425F14">
        <w:t xml:space="preserve">Lucas, S. (2021). Early help and children’s services: Exploring provision and practice across English local authorities. </w:t>
      </w:r>
      <w:r w:rsidRPr="00425F14">
        <w:rPr>
          <w:i/>
          <w:iCs/>
        </w:rPr>
        <w:t>Journal of Children’s Services, 16</w:t>
      </w:r>
      <w:r w:rsidRPr="00425F14">
        <w:t>(1), 74–86. https://doi.org/10.1108/JCS-03-2020-0006</w:t>
      </w:r>
    </w:p>
    <w:p w14:paraId="4B3FD1DD" w14:textId="77777777" w:rsidR="00425F14" w:rsidRPr="00425F14" w:rsidRDefault="00425F14" w:rsidP="00425F14">
      <w:pPr>
        <w:spacing w:after="0" w:line="480" w:lineRule="auto"/>
        <w:ind w:left="720" w:hanging="720"/>
      </w:pPr>
      <w:proofErr w:type="spellStart"/>
      <w:r w:rsidRPr="00425F14">
        <w:t>Mörelius</w:t>
      </w:r>
      <w:proofErr w:type="spellEnd"/>
      <w:r w:rsidRPr="00425F14">
        <w:t xml:space="preserve">, E., Robinson, S., </w:t>
      </w:r>
      <w:proofErr w:type="spellStart"/>
      <w:r w:rsidRPr="00425F14">
        <w:t>Arabiat</w:t>
      </w:r>
      <w:proofErr w:type="spellEnd"/>
      <w:r w:rsidRPr="00425F14">
        <w:t xml:space="preserve">, D., &amp; Whitehead, L. (2021). Digital interventions to improve health literacy among parents of children aged 0 to 12 years with a health condition: Systematic review. </w:t>
      </w:r>
      <w:r w:rsidRPr="00425F14">
        <w:rPr>
          <w:i/>
          <w:iCs/>
        </w:rPr>
        <w:t>Journal of Medical Internet Research, 23</w:t>
      </w:r>
      <w:r w:rsidRPr="00425F14">
        <w:t xml:space="preserve">(12), e31665. </w:t>
      </w:r>
      <w:hyperlink r:id="rId12" w:tgtFrame="_blank" w:history="1">
        <w:r w:rsidRPr="00425F14">
          <w:rPr>
            <w:rStyle w:val="Hyperlink"/>
          </w:rPr>
          <w:t>https://doi.org/10.2196/31665</w:t>
        </w:r>
      </w:hyperlink>
    </w:p>
    <w:p w14:paraId="6A62D71C" w14:textId="77777777" w:rsidR="00425F14" w:rsidRPr="00425F14" w:rsidRDefault="00425F14" w:rsidP="00425F14">
      <w:pPr>
        <w:spacing w:after="0" w:line="480" w:lineRule="auto"/>
        <w:ind w:left="720" w:hanging="720"/>
      </w:pPr>
      <w:r w:rsidRPr="00425F14">
        <w:t xml:space="preserve">Nottinghamshire County Council. (n.d.). </w:t>
      </w:r>
      <w:r w:rsidRPr="00425F14">
        <w:rPr>
          <w:i/>
          <w:iCs/>
        </w:rPr>
        <w:t>Referring to Early Help services</w:t>
      </w:r>
      <w:r w:rsidRPr="00425F14">
        <w:t xml:space="preserve">. </w:t>
      </w:r>
      <w:hyperlink r:id="rId13" w:tgtFrame="_blank" w:history="1">
        <w:r w:rsidRPr="00425F14">
          <w:rPr>
            <w:rStyle w:val="Hyperlink"/>
          </w:rPr>
          <w:t>Nottinghamshire Early Help services</w:t>
        </w:r>
      </w:hyperlink>
    </w:p>
    <w:p w14:paraId="6CE3467A" w14:textId="77777777" w:rsidR="00425F14" w:rsidRPr="00425F14" w:rsidRDefault="00425F14" w:rsidP="00425F14">
      <w:pPr>
        <w:spacing w:after="0" w:line="480" w:lineRule="auto"/>
        <w:ind w:left="720" w:hanging="720"/>
      </w:pPr>
      <w:r w:rsidRPr="00425F14">
        <w:t xml:space="preserve">Purcell, C., </w:t>
      </w:r>
      <w:proofErr w:type="spellStart"/>
      <w:r w:rsidRPr="00425F14">
        <w:t>Baginsky</w:t>
      </w:r>
      <w:proofErr w:type="spellEnd"/>
      <w:r w:rsidRPr="00425F14">
        <w:t xml:space="preserve">, M., &amp; </w:t>
      </w:r>
      <w:proofErr w:type="spellStart"/>
      <w:r w:rsidRPr="00425F14">
        <w:t>Steils</w:t>
      </w:r>
      <w:proofErr w:type="spellEnd"/>
      <w:r w:rsidRPr="00425F14">
        <w:t xml:space="preserve">, N. (2026). No quick fixes: Multi-agency working to improve information-sharing on men and keep children safe. </w:t>
      </w:r>
      <w:r w:rsidRPr="00425F14">
        <w:rPr>
          <w:i/>
          <w:iCs/>
        </w:rPr>
        <w:t>The British Journal of Social Work, 56</w:t>
      </w:r>
      <w:r w:rsidRPr="00425F14">
        <w:t xml:space="preserve">(4), 1610–1630. </w:t>
      </w:r>
      <w:hyperlink r:id="rId14" w:tgtFrame="_blank" w:history="1">
        <w:r w:rsidRPr="00425F14">
          <w:rPr>
            <w:rStyle w:val="Hyperlink"/>
          </w:rPr>
          <w:t>https://doi.org/10.1093/bjsw/bcaf249</w:t>
        </w:r>
      </w:hyperlink>
    </w:p>
    <w:p w14:paraId="6613B971" w14:textId="77777777" w:rsidR="00425F14" w:rsidRPr="00425F14" w:rsidRDefault="00425F14" w:rsidP="00425F14">
      <w:pPr>
        <w:spacing w:after="0" w:line="480" w:lineRule="auto"/>
        <w:ind w:left="720" w:hanging="720"/>
      </w:pPr>
      <w:proofErr w:type="spellStart"/>
      <w:r w:rsidRPr="00425F14">
        <w:t>Sapiets</w:t>
      </w:r>
      <w:proofErr w:type="spellEnd"/>
      <w:r w:rsidRPr="00425F14">
        <w:t xml:space="preserve">, S. J., Hastings, R. P., Stanford, C., &amp; </w:t>
      </w:r>
      <w:proofErr w:type="spellStart"/>
      <w:r w:rsidRPr="00425F14">
        <w:t>Totsika</w:t>
      </w:r>
      <w:proofErr w:type="spellEnd"/>
      <w:r w:rsidRPr="00425F14">
        <w:t xml:space="preserve">, V. (2023). Families’ access to early intervention and supports for children with developmental disabilities. </w:t>
      </w:r>
      <w:r w:rsidRPr="00425F14">
        <w:rPr>
          <w:i/>
          <w:iCs/>
        </w:rPr>
        <w:t>Journal of Early Intervention, 45</w:t>
      </w:r>
      <w:r w:rsidRPr="00425F14">
        <w:t xml:space="preserve">(2), 103–121. </w:t>
      </w:r>
      <w:hyperlink r:id="rId15" w:tgtFrame="_blank" w:history="1">
        <w:r w:rsidRPr="00425F14">
          <w:rPr>
            <w:rStyle w:val="Hyperlink"/>
          </w:rPr>
          <w:t>https://doi.org/10.1177/10538151221083984</w:t>
        </w:r>
      </w:hyperlink>
    </w:p>
    <w:p w14:paraId="1DBE1F4F" w14:textId="77777777" w:rsidR="00425F14" w:rsidRPr="00425F14" w:rsidRDefault="00425F14" w:rsidP="00425F14">
      <w:pPr>
        <w:spacing w:after="0" w:line="480" w:lineRule="auto"/>
        <w:ind w:left="720" w:hanging="720"/>
      </w:pPr>
      <w:proofErr w:type="spellStart"/>
      <w:r w:rsidRPr="00425F14">
        <w:t>Sapiets</w:t>
      </w:r>
      <w:proofErr w:type="spellEnd"/>
      <w:r w:rsidRPr="00425F14">
        <w:t xml:space="preserve">, S. J., Hastings, R. P., &amp; </w:t>
      </w:r>
      <w:proofErr w:type="spellStart"/>
      <w:r w:rsidRPr="00425F14">
        <w:t>Totsika</w:t>
      </w:r>
      <w:proofErr w:type="spellEnd"/>
      <w:r w:rsidRPr="00425F14">
        <w:t xml:space="preserve">, V. (2024). Predictors of access to early support in families of children with suspected or diagnosed developmental disabilities in the United Kingdom. </w:t>
      </w:r>
      <w:r w:rsidRPr="00425F14">
        <w:rPr>
          <w:i/>
          <w:iCs/>
        </w:rPr>
        <w:t>Journal of Autism and Developmental Disorders, 54</w:t>
      </w:r>
      <w:r w:rsidRPr="00425F14">
        <w:t>(4), 1628–1641. https://doi.org/10.1007/s10803-023-05996-7</w:t>
      </w:r>
    </w:p>
    <w:p w14:paraId="21C3EBD3" w14:textId="77777777" w:rsidR="00425F14" w:rsidRPr="00425F14" w:rsidRDefault="00425F14" w:rsidP="00425F14">
      <w:pPr>
        <w:spacing w:after="0" w:line="480" w:lineRule="auto"/>
        <w:ind w:left="720" w:hanging="720"/>
      </w:pPr>
      <w:proofErr w:type="spellStart"/>
      <w:r w:rsidRPr="00425F14">
        <w:t>Satherley</w:t>
      </w:r>
      <w:proofErr w:type="spellEnd"/>
      <w:r w:rsidRPr="00425F14">
        <w:t xml:space="preserve">, R.-M., Lingam, R., Green, J., &amp; Wolfe, I. (2021). Integrated health services for children: A qualitative study of family perspectives. </w:t>
      </w:r>
      <w:r w:rsidRPr="00425F14">
        <w:rPr>
          <w:i/>
          <w:iCs/>
        </w:rPr>
        <w:t>BMC Health Services Research, 21</w:t>
      </w:r>
      <w:r w:rsidRPr="00425F14">
        <w:t>, 167. https://doi.org/10.1186/s12913-021-06141-9</w:t>
      </w:r>
    </w:p>
    <w:p w14:paraId="743AB41F" w14:textId="77777777" w:rsidR="00425F14" w:rsidRPr="00425F14" w:rsidRDefault="00425F14" w:rsidP="00425F14">
      <w:pPr>
        <w:spacing w:after="0" w:line="480" w:lineRule="auto"/>
        <w:ind w:left="720" w:hanging="720"/>
      </w:pPr>
      <w:r w:rsidRPr="00425F14">
        <w:t xml:space="preserve">Tower Hamlets Council. (n.d.). </w:t>
      </w:r>
      <w:r w:rsidRPr="00425F14">
        <w:rPr>
          <w:i/>
          <w:iCs/>
        </w:rPr>
        <w:t>About Early Help</w:t>
      </w:r>
      <w:r w:rsidRPr="00425F14">
        <w:t xml:space="preserve">. </w:t>
      </w:r>
      <w:hyperlink r:id="rId16" w:tgtFrame="_blank" w:history="1">
        <w:r w:rsidRPr="00425F14">
          <w:rPr>
            <w:rStyle w:val="Hyperlink"/>
          </w:rPr>
          <w:t>Tower Hamlets Early Help</w:t>
        </w:r>
      </w:hyperlink>
    </w:p>
    <w:p w14:paraId="0B1D0B7E" w14:textId="77777777" w:rsidR="00425F14" w:rsidRPr="00425F14" w:rsidRDefault="00425F14" w:rsidP="00425F14">
      <w:pPr>
        <w:spacing w:after="0" w:line="480" w:lineRule="auto"/>
        <w:ind w:left="720" w:hanging="720"/>
      </w:pPr>
      <w:r w:rsidRPr="00425F14">
        <w:t xml:space="preserve">Winter, K., Connolly, P., Millen, S., &amp; Sweet, D. (2024). The UNCRC and family support: A case study of the Early Intervention Support Service. </w:t>
      </w:r>
      <w:r w:rsidRPr="00425F14">
        <w:rPr>
          <w:i/>
          <w:iCs/>
        </w:rPr>
        <w:t>Child Care in Practice, 30</w:t>
      </w:r>
      <w:r w:rsidRPr="00425F14">
        <w:t xml:space="preserve">(4), 502–516. </w:t>
      </w:r>
      <w:hyperlink r:id="rId17" w:tgtFrame="_blank" w:history="1">
        <w:r w:rsidRPr="00425F14">
          <w:rPr>
            <w:rStyle w:val="Hyperlink"/>
          </w:rPr>
          <w:t>https://doi.org/10.1080/13575279.2022.2088473</w:t>
        </w:r>
      </w:hyperlink>
    </w:p>
    <w:p w14:paraId="744E8868" w14:textId="77777777" w:rsidR="00425F14" w:rsidRDefault="00425F14" w:rsidP="00425F14">
      <w:pPr>
        <w:spacing w:after="0" w:line="480" w:lineRule="auto"/>
        <w:ind w:left="720" w:hanging="720"/>
      </w:pPr>
    </w:p>
    <w:p w14:paraId="03D4015C" w14:textId="77777777" w:rsidR="00665A4C" w:rsidRDefault="00665A4C">
      <w:pPr>
        <w:spacing w:after="0" w:line="480" w:lineRule="auto"/>
        <w:ind w:left="720" w:hanging="720"/>
      </w:pPr>
    </w:p>
    <w:sectPr w:rsidR="00665A4C" w:rsidSect="00034616">
      <w:head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1762C9F" w14:textId="77777777" w:rsidR="006E45BB" w:rsidRDefault="006E45BB">
      <w:pPr>
        <w:spacing w:after="0" w:line="240" w:lineRule="auto"/>
      </w:pPr>
      <w:r>
        <w:separator/>
      </w:r>
    </w:p>
  </w:endnote>
  <w:endnote w:type="continuationSeparator" w:id="0">
    <w:p w14:paraId="3BE5EA1E" w14:textId="77777777" w:rsidR="006E45BB" w:rsidRDefault="006E4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2DC2AA6" w14:textId="77777777" w:rsidR="006E45BB" w:rsidRDefault="006E45BB">
      <w:pPr>
        <w:spacing w:after="0" w:line="240" w:lineRule="auto"/>
      </w:pPr>
      <w:r>
        <w:separator/>
      </w:r>
    </w:p>
  </w:footnote>
  <w:footnote w:type="continuationSeparator" w:id="0">
    <w:p w14:paraId="6E64EA17" w14:textId="77777777" w:rsidR="006E45BB" w:rsidRDefault="006E45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43080C" w14:textId="77777777" w:rsidR="00665A4C" w:rsidRDefault="00C63B28">
    <w:pPr>
      <w:pStyle w:val="Header"/>
      <w:jc w:val="right"/>
    </w:pPr>
    <w:r>
      <w:fldChar w:fldCharType="begin"/>
    </w:r>
    <w:r>
      <w:instrText>PAGE</w:instrText>
    </w:r>
    <w:r>
      <w:fldChar w:fldCharType="separate"/>
    </w:r>
    <w:r w:rsidR="00786E05">
      <w:rPr>
        <w:noProof/>
      </w:rPr>
      <w:t>11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70569255">
    <w:abstractNumId w:val="8"/>
  </w:num>
  <w:num w:numId="2" w16cid:durableId="960502524">
    <w:abstractNumId w:val="6"/>
  </w:num>
  <w:num w:numId="3" w16cid:durableId="1234850025">
    <w:abstractNumId w:val="5"/>
  </w:num>
  <w:num w:numId="4" w16cid:durableId="546531102">
    <w:abstractNumId w:val="4"/>
  </w:num>
  <w:num w:numId="5" w16cid:durableId="214658751">
    <w:abstractNumId w:val="7"/>
  </w:num>
  <w:num w:numId="6" w16cid:durableId="647787477">
    <w:abstractNumId w:val="3"/>
  </w:num>
  <w:num w:numId="7" w16cid:durableId="1526551985">
    <w:abstractNumId w:val="2"/>
  </w:num>
  <w:num w:numId="8" w16cid:durableId="935213519">
    <w:abstractNumId w:val="1"/>
  </w:num>
  <w:num w:numId="9" w16cid:durableId="78789145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6063C"/>
    <w:rsid w:val="000E29C0"/>
    <w:rsid w:val="0015074B"/>
    <w:rsid w:val="00203411"/>
    <w:rsid w:val="00252B05"/>
    <w:rsid w:val="0029639D"/>
    <w:rsid w:val="002A1EF2"/>
    <w:rsid w:val="003239CA"/>
    <w:rsid w:val="00326F90"/>
    <w:rsid w:val="003426DC"/>
    <w:rsid w:val="00425F14"/>
    <w:rsid w:val="00542885"/>
    <w:rsid w:val="005C554E"/>
    <w:rsid w:val="00642855"/>
    <w:rsid w:val="00665A4C"/>
    <w:rsid w:val="00676F0E"/>
    <w:rsid w:val="006B6583"/>
    <w:rsid w:val="006E45BB"/>
    <w:rsid w:val="006F4F6A"/>
    <w:rsid w:val="0075368F"/>
    <w:rsid w:val="00755A87"/>
    <w:rsid w:val="00786E05"/>
    <w:rsid w:val="007D7369"/>
    <w:rsid w:val="00812196"/>
    <w:rsid w:val="00842F5C"/>
    <w:rsid w:val="009C3F0E"/>
    <w:rsid w:val="009D20E9"/>
    <w:rsid w:val="00AA1D8D"/>
    <w:rsid w:val="00AB2C69"/>
    <w:rsid w:val="00AF147F"/>
    <w:rsid w:val="00B47730"/>
    <w:rsid w:val="00B61831"/>
    <w:rsid w:val="00BB121E"/>
    <w:rsid w:val="00C27930"/>
    <w:rsid w:val="00C63B28"/>
    <w:rsid w:val="00CB0664"/>
    <w:rsid w:val="00D67273"/>
    <w:rsid w:val="00DE4FD1"/>
    <w:rsid w:val="00F077D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EB070C"/>
  <w14:defaultImageDpi w14:val="300"/>
  <w15:docId w15:val="{0A9A11D0-FF75-48A4-9BC1-5D0C15CAD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2A1EF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8437924">
      <w:bodyDiv w:val="1"/>
      <w:marLeft w:val="0"/>
      <w:marRight w:val="0"/>
      <w:marTop w:val="0"/>
      <w:marBottom w:val="0"/>
      <w:divBdr>
        <w:top w:val="none" w:sz="0" w:space="0" w:color="auto"/>
        <w:left w:val="none" w:sz="0" w:space="0" w:color="auto"/>
        <w:bottom w:val="none" w:sz="0" w:space="0" w:color="auto"/>
        <w:right w:val="none" w:sz="0" w:space="0" w:color="auto"/>
      </w:divBdr>
    </w:div>
    <w:div w:id="61949552">
      <w:bodyDiv w:val="1"/>
      <w:marLeft w:val="0"/>
      <w:marRight w:val="0"/>
      <w:marTop w:val="0"/>
      <w:marBottom w:val="0"/>
      <w:divBdr>
        <w:top w:val="none" w:sz="0" w:space="0" w:color="auto"/>
        <w:left w:val="none" w:sz="0" w:space="0" w:color="auto"/>
        <w:bottom w:val="none" w:sz="0" w:space="0" w:color="auto"/>
        <w:right w:val="none" w:sz="0" w:space="0" w:color="auto"/>
      </w:divBdr>
    </w:div>
    <w:div w:id="69355189">
      <w:bodyDiv w:val="1"/>
      <w:marLeft w:val="0"/>
      <w:marRight w:val="0"/>
      <w:marTop w:val="0"/>
      <w:marBottom w:val="0"/>
      <w:divBdr>
        <w:top w:val="none" w:sz="0" w:space="0" w:color="auto"/>
        <w:left w:val="none" w:sz="0" w:space="0" w:color="auto"/>
        <w:bottom w:val="none" w:sz="0" w:space="0" w:color="auto"/>
        <w:right w:val="none" w:sz="0" w:space="0" w:color="auto"/>
      </w:divBdr>
    </w:div>
    <w:div w:id="188220231">
      <w:bodyDiv w:val="1"/>
      <w:marLeft w:val="0"/>
      <w:marRight w:val="0"/>
      <w:marTop w:val="0"/>
      <w:marBottom w:val="0"/>
      <w:divBdr>
        <w:top w:val="none" w:sz="0" w:space="0" w:color="auto"/>
        <w:left w:val="none" w:sz="0" w:space="0" w:color="auto"/>
        <w:bottom w:val="none" w:sz="0" w:space="0" w:color="auto"/>
        <w:right w:val="none" w:sz="0" w:space="0" w:color="auto"/>
      </w:divBdr>
    </w:div>
    <w:div w:id="229583208">
      <w:bodyDiv w:val="1"/>
      <w:marLeft w:val="0"/>
      <w:marRight w:val="0"/>
      <w:marTop w:val="0"/>
      <w:marBottom w:val="0"/>
      <w:divBdr>
        <w:top w:val="none" w:sz="0" w:space="0" w:color="auto"/>
        <w:left w:val="none" w:sz="0" w:space="0" w:color="auto"/>
        <w:bottom w:val="none" w:sz="0" w:space="0" w:color="auto"/>
        <w:right w:val="none" w:sz="0" w:space="0" w:color="auto"/>
      </w:divBdr>
    </w:div>
    <w:div w:id="377438658">
      <w:bodyDiv w:val="1"/>
      <w:marLeft w:val="0"/>
      <w:marRight w:val="0"/>
      <w:marTop w:val="0"/>
      <w:marBottom w:val="0"/>
      <w:divBdr>
        <w:top w:val="none" w:sz="0" w:space="0" w:color="auto"/>
        <w:left w:val="none" w:sz="0" w:space="0" w:color="auto"/>
        <w:bottom w:val="none" w:sz="0" w:space="0" w:color="auto"/>
        <w:right w:val="none" w:sz="0" w:space="0" w:color="auto"/>
      </w:divBdr>
    </w:div>
    <w:div w:id="606891884">
      <w:bodyDiv w:val="1"/>
      <w:marLeft w:val="0"/>
      <w:marRight w:val="0"/>
      <w:marTop w:val="0"/>
      <w:marBottom w:val="0"/>
      <w:divBdr>
        <w:top w:val="none" w:sz="0" w:space="0" w:color="auto"/>
        <w:left w:val="none" w:sz="0" w:space="0" w:color="auto"/>
        <w:bottom w:val="none" w:sz="0" w:space="0" w:color="auto"/>
        <w:right w:val="none" w:sz="0" w:space="0" w:color="auto"/>
      </w:divBdr>
    </w:div>
    <w:div w:id="768816355">
      <w:bodyDiv w:val="1"/>
      <w:marLeft w:val="0"/>
      <w:marRight w:val="0"/>
      <w:marTop w:val="0"/>
      <w:marBottom w:val="0"/>
      <w:divBdr>
        <w:top w:val="none" w:sz="0" w:space="0" w:color="auto"/>
        <w:left w:val="none" w:sz="0" w:space="0" w:color="auto"/>
        <w:bottom w:val="none" w:sz="0" w:space="0" w:color="auto"/>
        <w:right w:val="none" w:sz="0" w:space="0" w:color="auto"/>
      </w:divBdr>
    </w:div>
    <w:div w:id="778448280">
      <w:bodyDiv w:val="1"/>
      <w:marLeft w:val="0"/>
      <w:marRight w:val="0"/>
      <w:marTop w:val="0"/>
      <w:marBottom w:val="0"/>
      <w:divBdr>
        <w:top w:val="none" w:sz="0" w:space="0" w:color="auto"/>
        <w:left w:val="none" w:sz="0" w:space="0" w:color="auto"/>
        <w:bottom w:val="none" w:sz="0" w:space="0" w:color="auto"/>
        <w:right w:val="none" w:sz="0" w:space="0" w:color="auto"/>
      </w:divBdr>
      <w:divsChild>
        <w:div w:id="546726296">
          <w:marLeft w:val="0"/>
          <w:marRight w:val="0"/>
          <w:marTop w:val="0"/>
          <w:marBottom w:val="0"/>
          <w:divBdr>
            <w:top w:val="none" w:sz="0" w:space="0" w:color="auto"/>
            <w:left w:val="none" w:sz="0" w:space="0" w:color="auto"/>
            <w:bottom w:val="none" w:sz="0" w:space="0" w:color="auto"/>
            <w:right w:val="none" w:sz="0" w:space="0" w:color="auto"/>
          </w:divBdr>
          <w:divsChild>
            <w:div w:id="1761412107">
              <w:marLeft w:val="0"/>
              <w:marRight w:val="0"/>
              <w:marTop w:val="0"/>
              <w:marBottom w:val="0"/>
              <w:divBdr>
                <w:top w:val="none" w:sz="0" w:space="0" w:color="auto"/>
                <w:left w:val="none" w:sz="0" w:space="0" w:color="auto"/>
                <w:bottom w:val="none" w:sz="0" w:space="0" w:color="auto"/>
                <w:right w:val="none" w:sz="0" w:space="0" w:color="auto"/>
              </w:divBdr>
              <w:divsChild>
                <w:div w:id="2088578014">
                  <w:marLeft w:val="0"/>
                  <w:marRight w:val="0"/>
                  <w:marTop w:val="0"/>
                  <w:marBottom w:val="0"/>
                  <w:divBdr>
                    <w:top w:val="none" w:sz="0" w:space="0" w:color="auto"/>
                    <w:left w:val="none" w:sz="0" w:space="0" w:color="auto"/>
                    <w:bottom w:val="none" w:sz="0" w:space="0" w:color="auto"/>
                    <w:right w:val="none" w:sz="0" w:space="0" w:color="auto"/>
                  </w:divBdr>
                  <w:divsChild>
                    <w:div w:id="1175071713">
                      <w:marLeft w:val="0"/>
                      <w:marRight w:val="0"/>
                      <w:marTop w:val="0"/>
                      <w:marBottom w:val="0"/>
                      <w:divBdr>
                        <w:top w:val="none" w:sz="0" w:space="0" w:color="auto"/>
                        <w:left w:val="none" w:sz="0" w:space="0" w:color="auto"/>
                        <w:bottom w:val="none" w:sz="0" w:space="0" w:color="auto"/>
                        <w:right w:val="none" w:sz="0" w:space="0" w:color="auto"/>
                      </w:divBdr>
                      <w:divsChild>
                        <w:div w:id="1547598051">
                          <w:marLeft w:val="0"/>
                          <w:marRight w:val="0"/>
                          <w:marTop w:val="0"/>
                          <w:marBottom w:val="0"/>
                          <w:divBdr>
                            <w:top w:val="none" w:sz="0" w:space="0" w:color="auto"/>
                            <w:left w:val="none" w:sz="0" w:space="0" w:color="auto"/>
                            <w:bottom w:val="none" w:sz="0" w:space="0" w:color="auto"/>
                            <w:right w:val="none" w:sz="0" w:space="0" w:color="auto"/>
                          </w:divBdr>
                          <w:divsChild>
                            <w:div w:id="1614940063">
                              <w:marLeft w:val="0"/>
                              <w:marRight w:val="0"/>
                              <w:marTop w:val="0"/>
                              <w:marBottom w:val="0"/>
                              <w:divBdr>
                                <w:top w:val="none" w:sz="0" w:space="0" w:color="auto"/>
                                <w:left w:val="none" w:sz="0" w:space="0" w:color="auto"/>
                                <w:bottom w:val="none" w:sz="0" w:space="0" w:color="auto"/>
                                <w:right w:val="none" w:sz="0" w:space="0" w:color="auto"/>
                              </w:divBdr>
                              <w:divsChild>
                                <w:div w:id="2101364803">
                                  <w:marLeft w:val="0"/>
                                  <w:marRight w:val="0"/>
                                  <w:marTop w:val="0"/>
                                  <w:marBottom w:val="0"/>
                                  <w:divBdr>
                                    <w:top w:val="none" w:sz="0" w:space="0" w:color="auto"/>
                                    <w:left w:val="none" w:sz="0" w:space="0" w:color="auto"/>
                                    <w:bottom w:val="none" w:sz="0" w:space="0" w:color="auto"/>
                                    <w:right w:val="none" w:sz="0" w:space="0" w:color="auto"/>
                                  </w:divBdr>
                                  <w:divsChild>
                                    <w:div w:id="182677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387926">
      <w:bodyDiv w:val="1"/>
      <w:marLeft w:val="0"/>
      <w:marRight w:val="0"/>
      <w:marTop w:val="0"/>
      <w:marBottom w:val="0"/>
      <w:divBdr>
        <w:top w:val="none" w:sz="0" w:space="0" w:color="auto"/>
        <w:left w:val="none" w:sz="0" w:space="0" w:color="auto"/>
        <w:bottom w:val="none" w:sz="0" w:space="0" w:color="auto"/>
        <w:right w:val="none" w:sz="0" w:space="0" w:color="auto"/>
      </w:divBdr>
    </w:div>
    <w:div w:id="860123548">
      <w:bodyDiv w:val="1"/>
      <w:marLeft w:val="0"/>
      <w:marRight w:val="0"/>
      <w:marTop w:val="0"/>
      <w:marBottom w:val="0"/>
      <w:divBdr>
        <w:top w:val="none" w:sz="0" w:space="0" w:color="auto"/>
        <w:left w:val="none" w:sz="0" w:space="0" w:color="auto"/>
        <w:bottom w:val="none" w:sz="0" w:space="0" w:color="auto"/>
        <w:right w:val="none" w:sz="0" w:space="0" w:color="auto"/>
      </w:divBdr>
    </w:div>
    <w:div w:id="977490957">
      <w:bodyDiv w:val="1"/>
      <w:marLeft w:val="0"/>
      <w:marRight w:val="0"/>
      <w:marTop w:val="0"/>
      <w:marBottom w:val="0"/>
      <w:divBdr>
        <w:top w:val="none" w:sz="0" w:space="0" w:color="auto"/>
        <w:left w:val="none" w:sz="0" w:space="0" w:color="auto"/>
        <w:bottom w:val="none" w:sz="0" w:space="0" w:color="auto"/>
        <w:right w:val="none" w:sz="0" w:space="0" w:color="auto"/>
      </w:divBdr>
    </w:div>
    <w:div w:id="1074467989">
      <w:bodyDiv w:val="1"/>
      <w:marLeft w:val="0"/>
      <w:marRight w:val="0"/>
      <w:marTop w:val="0"/>
      <w:marBottom w:val="0"/>
      <w:divBdr>
        <w:top w:val="none" w:sz="0" w:space="0" w:color="auto"/>
        <w:left w:val="none" w:sz="0" w:space="0" w:color="auto"/>
        <w:bottom w:val="none" w:sz="0" w:space="0" w:color="auto"/>
        <w:right w:val="none" w:sz="0" w:space="0" w:color="auto"/>
      </w:divBdr>
    </w:div>
    <w:div w:id="1118644892">
      <w:bodyDiv w:val="1"/>
      <w:marLeft w:val="0"/>
      <w:marRight w:val="0"/>
      <w:marTop w:val="0"/>
      <w:marBottom w:val="0"/>
      <w:divBdr>
        <w:top w:val="none" w:sz="0" w:space="0" w:color="auto"/>
        <w:left w:val="none" w:sz="0" w:space="0" w:color="auto"/>
        <w:bottom w:val="none" w:sz="0" w:space="0" w:color="auto"/>
        <w:right w:val="none" w:sz="0" w:space="0" w:color="auto"/>
      </w:divBdr>
    </w:div>
    <w:div w:id="1135180853">
      <w:bodyDiv w:val="1"/>
      <w:marLeft w:val="0"/>
      <w:marRight w:val="0"/>
      <w:marTop w:val="0"/>
      <w:marBottom w:val="0"/>
      <w:divBdr>
        <w:top w:val="none" w:sz="0" w:space="0" w:color="auto"/>
        <w:left w:val="none" w:sz="0" w:space="0" w:color="auto"/>
        <w:bottom w:val="none" w:sz="0" w:space="0" w:color="auto"/>
        <w:right w:val="none" w:sz="0" w:space="0" w:color="auto"/>
      </w:divBdr>
    </w:div>
    <w:div w:id="1162627630">
      <w:bodyDiv w:val="1"/>
      <w:marLeft w:val="0"/>
      <w:marRight w:val="0"/>
      <w:marTop w:val="0"/>
      <w:marBottom w:val="0"/>
      <w:divBdr>
        <w:top w:val="none" w:sz="0" w:space="0" w:color="auto"/>
        <w:left w:val="none" w:sz="0" w:space="0" w:color="auto"/>
        <w:bottom w:val="none" w:sz="0" w:space="0" w:color="auto"/>
        <w:right w:val="none" w:sz="0" w:space="0" w:color="auto"/>
      </w:divBdr>
    </w:div>
    <w:div w:id="1287664033">
      <w:bodyDiv w:val="1"/>
      <w:marLeft w:val="0"/>
      <w:marRight w:val="0"/>
      <w:marTop w:val="0"/>
      <w:marBottom w:val="0"/>
      <w:divBdr>
        <w:top w:val="none" w:sz="0" w:space="0" w:color="auto"/>
        <w:left w:val="none" w:sz="0" w:space="0" w:color="auto"/>
        <w:bottom w:val="none" w:sz="0" w:space="0" w:color="auto"/>
        <w:right w:val="none" w:sz="0" w:space="0" w:color="auto"/>
      </w:divBdr>
    </w:div>
    <w:div w:id="1424033281">
      <w:bodyDiv w:val="1"/>
      <w:marLeft w:val="0"/>
      <w:marRight w:val="0"/>
      <w:marTop w:val="0"/>
      <w:marBottom w:val="0"/>
      <w:divBdr>
        <w:top w:val="none" w:sz="0" w:space="0" w:color="auto"/>
        <w:left w:val="none" w:sz="0" w:space="0" w:color="auto"/>
        <w:bottom w:val="none" w:sz="0" w:space="0" w:color="auto"/>
        <w:right w:val="none" w:sz="0" w:space="0" w:color="auto"/>
      </w:divBdr>
    </w:div>
    <w:div w:id="1508669367">
      <w:bodyDiv w:val="1"/>
      <w:marLeft w:val="0"/>
      <w:marRight w:val="0"/>
      <w:marTop w:val="0"/>
      <w:marBottom w:val="0"/>
      <w:divBdr>
        <w:top w:val="none" w:sz="0" w:space="0" w:color="auto"/>
        <w:left w:val="none" w:sz="0" w:space="0" w:color="auto"/>
        <w:bottom w:val="none" w:sz="0" w:space="0" w:color="auto"/>
        <w:right w:val="none" w:sz="0" w:space="0" w:color="auto"/>
      </w:divBdr>
    </w:div>
    <w:div w:id="1667436506">
      <w:bodyDiv w:val="1"/>
      <w:marLeft w:val="0"/>
      <w:marRight w:val="0"/>
      <w:marTop w:val="0"/>
      <w:marBottom w:val="0"/>
      <w:divBdr>
        <w:top w:val="none" w:sz="0" w:space="0" w:color="auto"/>
        <w:left w:val="none" w:sz="0" w:space="0" w:color="auto"/>
        <w:bottom w:val="none" w:sz="0" w:space="0" w:color="auto"/>
        <w:right w:val="none" w:sz="0" w:space="0" w:color="auto"/>
      </w:divBdr>
    </w:div>
    <w:div w:id="1761489961">
      <w:bodyDiv w:val="1"/>
      <w:marLeft w:val="0"/>
      <w:marRight w:val="0"/>
      <w:marTop w:val="0"/>
      <w:marBottom w:val="0"/>
      <w:divBdr>
        <w:top w:val="none" w:sz="0" w:space="0" w:color="auto"/>
        <w:left w:val="none" w:sz="0" w:space="0" w:color="auto"/>
        <w:bottom w:val="none" w:sz="0" w:space="0" w:color="auto"/>
        <w:right w:val="none" w:sz="0" w:space="0" w:color="auto"/>
      </w:divBdr>
    </w:div>
    <w:div w:id="1812165588">
      <w:bodyDiv w:val="1"/>
      <w:marLeft w:val="0"/>
      <w:marRight w:val="0"/>
      <w:marTop w:val="0"/>
      <w:marBottom w:val="0"/>
      <w:divBdr>
        <w:top w:val="none" w:sz="0" w:space="0" w:color="auto"/>
        <w:left w:val="none" w:sz="0" w:space="0" w:color="auto"/>
        <w:bottom w:val="none" w:sz="0" w:space="0" w:color="auto"/>
        <w:right w:val="none" w:sz="0" w:space="0" w:color="auto"/>
      </w:divBdr>
    </w:div>
    <w:div w:id="1893883635">
      <w:bodyDiv w:val="1"/>
      <w:marLeft w:val="0"/>
      <w:marRight w:val="0"/>
      <w:marTop w:val="0"/>
      <w:marBottom w:val="0"/>
      <w:divBdr>
        <w:top w:val="none" w:sz="0" w:space="0" w:color="auto"/>
        <w:left w:val="none" w:sz="0" w:space="0" w:color="auto"/>
        <w:bottom w:val="none" w:sz="0" w:space="0" w:color="auto"/>
        <w:right w:val="none" w:sz="0" w:space="0" w:color="auto"/>
      </w:divBdr>
    </w:div>
    <w:div w:id="205307447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working-together-to-safeguard-children--2?utm_source=chatgpt.com" TargetMode="External"/><Relationship Id="rId13" Type="http://schemas.openxmlformats.org/officeDocument/2006/relationships/hyperlink" Target="https://www.nottinghamshire.gov.uk/care/early-years-and-childcare/childcare-providers/referring-to-early-help-services?utm_source=chatgpt.com"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2196/31665?utm_source=chatgpt.com" TargetMode="External"/><Relationship Id="rId17" Type="http://schemas.openxmlformats.org/officeDocument/2006/relationships/hyperlink" Target="https://doi.org/10.1080/13575279.2022.2088473?utm_source=chatgpt.com" TargetMode="External"/><Relationship Id="rId2" Type="http://schemas.openxmlformats.org/officeDocument/2006/relationships/numbering" Target="numbering.xml"/><Relationship Id="rId16" Type="http://schemas.openxmlformats.org/officeDocument/2006/relationships/hyperlink" Target="https://www.towerhamlets.gov.uk/lgnl/health__social_care/children_and_family_care/Early_Help/About_Early_Help.aspx?utm_source=chatgp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eds.gov.uk/one-minute-guides/early-help?utm_source=chatgpt.com" TargetMode="External"/><Relationship Id="rId5" Type="http://schemas.openxmlformats.org/officeDocument/2006/relationships/webSettings" Target="webSettings.xml"/><Relationship Id="rId15" Type="http://schemas.openxmlformats.org/officeDocument/2006/relationships/hyperlink" Target="https://doi.org/10.1177/10538151221083984?utm_source=chatgpt.com" TargetMode="External"/><Relationship Id="rId10" Type="http://schemas.openxmlformats.org/officeDocument/2006/relationships/hyperlink" Target="https://doi.org/10.1111/jcap.12363?utm_source=chatgpt.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government/publications/supporting-families-early-help-system-guide?utm_source=chatgpt.com" TargetMode="External"/><Relationship Id="rId14" Type="http://schemas.openxmlformats.org/officeDocument/2006/relationships/hyperlink" Target="https://doi.org/10.1093/bjsw/bcaf249?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6098B0-3C68-4D01-88C1-AC5383A173E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18875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Ndume Petit</cp:lastModifiedBy>
  <cp:revision>2</cp:revision>
  <dcterms:created xsi:type="dcterms:W3CDTF">2026-07-29T22:57:00Z</dcterms:created>
  <dcterms:modified xsi:type="dcterms:W3CDTF">2026-07-29T22:57:00Z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de0ec9be-4f93-4997-8756-db72df429fbd</vt:lpwstr>
  </property>
</Properties>
</file>