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1852F" w14:textId="77777777" w:rsidR="00DB2937" w:rsidRDefault="00DB2937">
      <w:pPr>
        <w:rPr>
          <w:b/>
          <w:bCs/>
          <w:u w:val="single"/>
        </w:rPr>
      </w:pPr>
    </w:p>
    <w:p w14:paraId="189E5592" w14:textId="3B22B6F4" w:rsidR="001F00B9" w:rsidRDefault="001F00B9">
      <w:pPr>
        <w:rPr>
          <w:b/>
          <w:bCs/>
          <w:u w:val="single"/>
        </w:rPr>
      </w:pPr>
      <w:r w:rsidRPr="00DB2937">
        <w:rPr>
          <w:b/>
          <w:bCs/>
          <w:u w:val="single"/>
        </w:rPr>
        <w:t xml:space="preserve">Legal Process assignment 2 </w:t>
      </w:r>
    </w:p>
    <w:p w14:paraId="657DD364" w14:textId="3FF1D26F" w:rsidR="00DB2937" w:rsidRPr="00DB2937" w:rsidRDefault="00DB2937">
      <w:pPr>
        <w:rPr>
          <w:b/>
          <w:bCs/>
          <w:u w:val="single"/>
        </w:rPr>
      </w:pPr>
      <w:r>
        <w:rPr>
          <w:b/>
          <w:bCs/>
          <w:u w:val="single"/>
        </w:rPr>
        <w:t>Paige Thomas, 2103005.</w:t>
      </w:r>
    </w:p>
    <w:p w14:paraId="705D26E7" w14:textId="77777777" w:rsidR="001F00B9" w:rsidRDefault="001F00B9" w:rsidP="001F00B9">
      <w:pPr>
        <w:ind w:left="720"/>
        <w:rPr>
          <w:rFonts w:ascii="Arial" w:hAnsi="Arial" w:cs="Arial"/>
        </w:rPr>
      </w:pPr>
    </w:p>
    <w:p w14:paraId="6DBCDA5A" w14:textId="4B3EB057" w:rsidR="00606D2F" w:rsidRDefault="00606D2F" w:rsidP="001F00B9">
      <w:pPr>
        <w:ind w:left="720"/>
        <w:rPr>
          <w:rFonts w:ascii="Arial" w:hAnsi="Arial" w:cs="Arial"/>
        </w:rPr>
      </w:pPr>
      <w:r>
        <w:rPr>
          <w:rFonts w:ascii="Arial" w:hAnsi="Arial" w:cs="Arial"/>
        </w:rPr>
        <w:t xml:space="preserve">It is widely debated that </w:t>
      </w:r>
      <w:r w:rsidR="00794B5D">
        <w:rPr>
          <w:rFonts w:ascii="Arial" w:hAnsi="Arial" w:cs="Arial"/>
        </w:rPr>
        <w:t xml:space="preserve">the principle of statutory interpretation diminishes </w:t>
      </w:r>
      <w:r w:rsidR="00B213EB">
        <w:rPr>
          <w:rFonts w:ascii="Arial" w:hAnsi="Arial" w:cs="Arial"/>
        </w:rPr>
        <w:t xml:space="preserve">legislation as the primary </w:t>
      </w:r>
      <w:r w:rsidR="00EF2268">
        <w:rPr>
          <w:rFonts w:ascii="Arial" w:hAnsi="Arial" w:cs="Arial"/>
        </w:rPr>
        <w:t>source of law across the UK</w:t>
      </w:r>
      <w:r w:rsidR="00774BE4">
        <w:rPr>
          <w:rFonts w:ascii="Arial" w:hAnsi="Arial" w:cs="Arial"/>
        </w:rPr>
        <w:t xml:space="preserve"> (Supreme court, 2021)</w:t>
      </w:r>
      <w:r w:rsidR="00EF2268">
        <w:rPr>
          <w:rFonts w:ascii="Arial" w:hAnsi="Arial" w:cs="Arial"/>
        </w:rPr>
        <w:t>. This essay will explain</w:t>
      </w:r>
      <w:r w:rsidR="00C64E96">
        <w:rPr>
          <w:rFonts w:ascii="Arial" w:hAnsi="Arial" w:cs="Arial"/>
        </w:rPr>
        <w:t xml:space="preserve"> </w:t>
      </w:r>
      <w:r w:rsidR="00EF2268">
        <w:rPr>
          <w:rFonts w:ascii="Arial" w:hAnsi="Arial" w:cs="Arial"/>
        </w:rPr>
        <w:t xml:space="preserve">what statutory interpretation is </w:t>
      </w:r>
      <w:r w:rsidR="00B1768A">
        <w:rPr>
          <w:rFonts w:ascii="Arial" w:hAnsi="Arial" w:cs="Arial"/>
        </w:rPr>
        <w:t xml:space="preserve">and outline the rules at govern it. The rules will be examined </w:t>
      </w:r>
      <w:r w:rsidR="00C64E96">
        <w:rPr>
          <w:rFonts w:ascii="Arial" w:hAnsi="Arial" w:cs="Arial"/>
        </w:rPr>
        <w:t xml:space="preserve">and discussed </w:t>
      </w:r>
      <w:r w:rsidR="00B1768A">
        <w:rPr>
          <w:rFonts w:ascii="Arial" w:hAnsi="Arial" w:cs="Arial"/>
        </w:rPr>
        <w:t xml:space="preserve">in depth, using case studies to determine their </w:t>
      </w:r>
      <w:r w:rsidR="00452E93">
        <w:rPr>
          <w:rFonts w:ascii="Arial" w:hAnsi="Arial" w:cs="Arial"/>
        </w:rPr>
        <w:t xml:space="preserve">useful and fairness as a </w:t>
      </w:r>
      <w:r w:rsidR="0002739F">
        <w:rPr>
          <w:rFonts w:ascii="Arial" w:hAnsi="Arial" w:cs="Arial"/>
        </w:rPr>
        <w:t xml:space="preserve">source of law. </w:t>
      </w:r>
      <w:r w:rsidR="009010E2">
        <w:rPr>
          <w:rFonts w:ascii="Arial" w:hAnsi="Arial" w:cs="Arial"/>
        </w:rPr>
        <w:t xml:space="preserve">This essay will then consider the </w:t>
      </w:r>
      <w:r w:rsidR="00CA34BD">
        <w:rPr>
          <w:rFonts w:ascii="Arial" w:hAnsi="Arial" w:cs="Arial"/>
        </w:rPr>
        <w:t xml:space="preserve">pros and cons regarding statutory interpretation, </w:t>
      </w:r>
      <w:r w:rsidR="00555D20">
        <w:rPr>
          <w:rFonts w:ascii="Arial" w:hAnsi="Arial" w:cs="Arial"/>
        </w:rPr>
        <w:t xml:space="preserve">evaluating </w:t>
      </w:r>
      <w:r w:rsidR="00806CBC">
        <w:rPr>
          <w:rFonts w:ascii="Arial" w:hAnsi="Arial" w:cs="Arial"/>
        </w:rPr>
        <w:t xml:space="preserve">how the judges </w:t>
      </w:r>
      <w:r w:rsidR="009E45C0">
        <w:rPr>
          <w:rFonts w:ascii="Arial" w:hAnsi="Arial" w:cs="Arial"/>
        </w:rPr>
        <w:t>incorporate</w:t>
      </w:r>
      <w:r w:rsidR="00FF10C2">
        <w:rPr>
          <w:rFonts w:ascii="Arial" w:hAnsi="Arial" w:cs="Arial"/>
        </w:rPr>
        <w:t xml:space="preserve"> the law to specific offences. </w:t>
      </w:r>
      <w:r w:rsidR="00FD2D5E">
        <w:rPr>
          <w:rFonts w:ascii="Arial" w:hAnsi="Arial" w:cs="Arial"/>
        </w:rPr>
        <w:t xml:space="preserve">Lastly, a conclusion to </w:t>
      </w:r>
      <w:r w:rsidR="002D369F">
        <w:rPr>
          <w:rFonts w:ascii="Arial" w:hAnsi="Arial" w:cs="Arial"/>
        </w:rPr>
        <w:t>provide a summary of my findings</w:t>
      </w:r>
      <w:r w:rsidR="00B31205">
        <w:rPr>
          <w:rFonts w:ascii="Arial" w:hAnsi="Arial" w:cs="Arial"/>
        </w:rPr>
        <w:t xml:space="preserve">, including </w:t>
      </w:r>
      <w:r w:rsidR="008734E2">
        <w:rPr>
          <w:rFonts w:ascii="Arial" w:hAnsi="Arial" w:cs="Arial"/>
        </w:rPr>
        <w:t>an answer to the statement</w:t>
      </w:r>
      <w:r w:rsidR="00001A83">
        <w:rPr>
          <w:rFonts w:ascii="Arial" w:hAnsi="Arial" w:cs="Arial"/>
        </w:rPr>
        <w:t>.</w:t>
      </w:r>
    </w:p>
    <w:p w14:paraId="7379EBDE" w14:textId="0705563B" w:rsidR="00586213" w:rsidRDefault="00586213" w:rsidP="001F00B9">
      <w:pPr>
        <w:ind w:left="720"/>
        <w:rPr>
          <w:rFonts w:ascii="Arial" w:hAnsi="Arial" w:cs="Arial"/>
        </w:rPr>
      </w:pPr>
    </w:p>
    <w:p w14:paraId="517A45BB" w14:textId="6C2B6BB1" w:rsidR="009B7217" w:rsidRDefault="009B7217" w:rsidP="001F00B9">
      <w:pPr>
        <w:ind w:left="720"/>
        <w:rPr>
          <w:rFonts w:ascii="Arial" w:hAnsi="Arial" w:cs="Arial"/>
        </w:rPr>
      </w:pPr>
      <w:r>
        <w:rPr>
          <w:rFonts w:ascii="Arial" w:hAnsi="Arial" w:cs="Arial"/>
        </w:rPr>
        <w:t xml:space="preserve">Legislation is a </w:t>
      </w:r>
      <w:r w:rsidR="000C365C">
        <w:rPr>
          <w:rFonts w:ascii="Arial" w:hAnsi="Arial" w:cs="Arial"/>
        </w:rPr>
        <w:t>set of laws that govern the UK</w:t>
      </w:r>
      <w:r w:rsidR="00BD34BE">
        <w:rPr>
          <w:rFonts w:ascii="Arial" w:hAnsi="Arial" w:cs="Arial"/>
        </w:rPr>
        <w:t xml:space="preserve"> </w:t>
      </w:r>
      <w:r w:rsidR="000C365C">
        <w:rPr>
          <w:rFonts w:ascii="Arial" w:hAnsi="Arial" w:cs="Arial"/>
        </w:rPr>
        <w:t>set by parliament</w:t>
      </w:r>
      <w:r w:rsidR="00BD34BE">
        <w:rPr>
          <w:rFonts w:ascii="Arial" w:hAnsi="Arial" w:cs="Arial"/>
        </w:rPr>
        <w:t xml:space="preserve">, which </w:t>
      </w:r>
      <w:r w:rsidR="00692F16">
        <w:rPr>
          <w:rFonts w:ascii="Arial" w:hAnsi="Arial" w:cs="Arial"/>
        </w:rPr>
        <w:t xml:space="preserve">are </w:t>
      </w:r>
      <w:r w:rsidR="00BD34BE">
        <w:rPr>
          <w:rFonts w:ascii="Arial" w:hAnsi="Arial" w:cs="Arial"/>
        </w:rPr>
        <w:t xml:space="preserve">sometimes </w:t>
      </w:r>
      <w:r w:rsidR="002546D8">
        <w:rPr>
          <w:rFonts w:ascii="Arial" w:hAnsi="Arial" w:cs="Arial"/>
        </w:rPr>
        <w:t>referred</w:t>
      </w:r>
      <w:r w:rsidR="00BD34BE">
        <w:rPr>
          <w:rFonts w:ascii="Arial" w:hAnsi="Arial" w:cs="Arial"/>
        </w:rPr>
        <w:t xml:space="preserve"> to as </w:t>
      </w:r>
      <w:r w:rsidR="002546D8">
        <w:rPr>
          <w:rFonts w:ascii="Arial" w:hAnsi="Arial" w:cs="Arial"/>
        </w:rPr>
        <w:t>‘</w:t>
      </w:r>
      <w:proofErr w:type="gramStart"/>
      <w:r w:rsidR="002546D8">
        <w:rPr>
          <w:rFonts w:ascii="Arial" w:hAnsi="Arial" w:cs="Arial"/>
        </w:rPr>
        <w:t>statutes’</w:t>
      </w:r>
      <w:proofErr w:type="gramEnd"/>
      <w:r w:rsidR="000C365C">
        <w:rPr>
          <w:rFonts w:ascii="Arial" w:hAnsi="Arial" w:cs="Arial"/>
        </w:rPr>
        <w:t xml:space="preserve">. The word ‘legislation’ is also a term used </w:t>
      </w:r>
      <w:r w:rsidR="001F74A6">
        <w:rPr>
          <w:rFonts w:ascii="Arial" w:hAnsi="Arial" w:cs="Arial"/>
        </w:rPr>
        <w:t xml:space="preserve">by parliament to define </w:t>
      </w:r>
      <w:r w:rsidR="000F43D7">
        <w:rPr>
          <w:rFonts w:ascii="Arial" w:hAnsi="Arial" w:cs="Arial"/>
        </w:rPr>
        <w:t>the act of ‘making a new law’ (</w:t>
      </w:r>
      <w:r w:rsidR="00803151">
        <w:rPr>
          <w:rFonts w:ascii="Arial" w:hAnsi="Arial" w:cs="Arial"/>
        </w:rPr>
        <w:t xml:space="preserve">UK Parliament, 2022). </w:t>
      </w:r>
      <w:r w:rsidR="00252ADB">
        <w:rPr>
          <w:rFonts w:ascii="Arial" w:hAnsi="Arial" w:cs="Arial"/>
        </w:rPr>
        <w:t xml:space="preserve">There are two types of legislation in the UK. </w:t>
      </w:r>
      <w:r w:rsidR="00FD172C">
        <w:rPr>
          <w:rFonts w:ascii="Arial" w:hAnsi="Arial" w:cs="Arial"/>
        </w:rPr>
        <w:t xml:space="preserve">Primary legislation is the term that describes </w:t>
      </w:r>
      <w:r w:rsidR="007858F0">
        <w:rPr>
          <w:rFonts w:ascii="Arial" w:hAnsi="Arial" w:cs="Arial"/>
        </w:rPr>
        <w:t xml:space="preserve">the main laws </w:t>
      </w:r>
      <w:r w:rsidR="004729E4">
        <w:rPr>
          <w:rFonts w:ascii="Arial" w:hAnsi="Arial" w:cs="Arial"/>
        </w:rPr>
        <w:t>approved</w:t>
      </w:r>
      <w:r w:rsidR="007858F0">
        <w:rPr>
          <w:rFonts w:ascii="Arial" w:hAnsi="Arial" w:cs="Arial"/>
        </w:rPr>
        <w:t xml:space="preserve"> by the legislative bodies</w:t>
      </w:r>
      <w:r w:rsidR="004729E4">
        <w:rPr>
          <w:rFonts w:ascii="Arial" w:hAnsi="Arial" w:cs="Arial"/>
        </w:rPr>
        <w:t xml:space="preserve">. Secondary legislation is </w:t>
      </w:r>
      <w:r w:rsidR="00B776D8">
        <w:rPr>
          <w:rFonts w:ascii="Arial" w:hAnsi="Arial" w:cs="Arial"/>
        </w:rPr>
        <w:t xml:space="preserve">a delegated legislation which is made by </w:t>
      </w:r>
      <w:r w:rsidR="005A6F0F">
        <w:rPr>
          <w:rFonts w:ascii="Arial" w:hAnsi="Arial" w:cs="Arial"/>
        </w:rPr>
        <w:t xml:space="preserve">a body under authority. </w:t>
      </w:r>
      <w:r w:rsidR="00A9690F">
        <w:rPr>
          <w:rFonts w:ascii="Arial" w:hAnsi="Arial" w:cs="Arial"/>
        </w:rPr>
        <w:t xml:space="preserve">The powers to make secondary legislation </w:t>
      </w:r>
      <w:r w:rsidR="001A70B7">
        <w:rPr>
          <w:rFonts w:ascii="Arial" w:hAnsi="Arial" w:cs="Arial"/>
        </w:rPr>
        <w:t xml:space="preserve">can be discussed by </w:t>
      </w:r>
      <w:r w:rsidR="00BD34BE">
        <w:rPr>
          <w:rFonts w:ascii="Arial" w:hAnsi="Arial" w:cs="Arial"/>
        </w:rPr>
        <w:t>the crown court, public bodies or ministers</w:t>
      </w:r>
      <w:r w:rsidR="00001A83">
        <w:rPr>
          <w:rFonts w:ascii="Arial" w:hAnsi="Arial" w:cs="Arial"/>
        </w:rPr>
        <w:t xml:space="preserve"> (Legislation.gov, 2011)</w:t>
      </w:r>
      <w:r w:rsidR="00BD34BE">
        <w:rPr>
          <w:rFonts w:ascii="Arial" w:hAnsi="Arial" w:cs="Arial"/>
        </w:rPr>
        <w:t xml:space="preserve">. </w:t>
      </w:r>
    </w:p>
    <w:p w14:paraId="465327F8" w14:textId="77777777" w:rsidR="009B7217" w:rsidRDefault="009B7217" w:rsidP="001F00B9">
      <w:pPr>
        <w:ind w:left="720"/>
        <w:rPr>
          <w:rFonts w:ascii="Arial" w:hAnsi="Arial" w:cs="Arial"/>
        </w:rPr>
      </w:pPr>
    </w:p>
    <w:p w14:paraId="72C9C263" w14:textId="2B70B17C" w:rsidR="00586213" w:rsidRDefault="00586213" w:rsidP="001F00B9">
      <w:pPr>
        <w:ind w:left="720"/>
        <w:rPr>
          <w:rFonts w:ascii="Arial" w:hAnsi="Arial" w:cs="Arial"/>
        </w:rPr>
      </w:pPr>
      <w:r>
        <w:rPr>
          <w:rFonts w:ascii="Arial" w:hAnsi="Arial" w:cs="Arial"/>
        </w:rPr>
        <w:t xml:space="preserve">Statutory interpretation is mostly required where the law is complex and there is uncertainty to how the law would apply in </w:t>
      </w:r>
      <w:r w:rsidR="00C448E4">
        <w:rPr>
          <w:rFonts w:ascii="Arial" w:hAnsi="Arial" w:cs="Arial"/>
        </w:rPr>
        <w:t>certain situations. It</w:t>
      </w:r>
      <w:r>
        <w:rPr>
          <w:rFonts w:ascii="Arial" w:hAnsi="Arial" w:cs="Arial"/>
        </w:rPr>
        <w:t xml:space="preserve"> is the process that allows </w:t>
      </w:r>
      <w:r w:rsidR="00E41307">
        <w:rPr>
          <w:rFonts w:ascii="Arial" w:hAnsi="Arial" w:cs="Arial"/>
        </w:rPr>
        <w:t xml:space="preserve">citizens to </w:t>
      </w:r>
      <w:r w:rsidR="007E7034">
        <w:rPr>
          <w:rFonts w:ascii="Arial" w:hAnsi="Arial" w:cs="Arial"/>
        </w:rPr>
        <w:t xml:space="preserve">have the ability to understand </w:t>
      </w:r>
      <w:r w:rsidR="00EE68A5">
        <w:rPr>
          <w:rFonts w:ascii="Arial" w:hAnsi="Arial" w:cs="Arial"/>
        </w:rPr>
        <w:t>parliamentary</w:t>
      </w:r>
      <w:r w:rsidR="007E7034">
        <w:rPr>
          <w:rFonts w:ascii="Arial" w:hAnsi="Arial" w:cs="Arial"/>
        </w:rPr>
        <w:t xml:space="preserve"> </w:t>
      </w:r>
      <w:r w:rsidR="00EE68A5">
        <w:rPr>
          <w:rFonts w:ascii="Arial" w:hAnsi="Arial" w:cs="Arial"/>
        </w:rPr>
        <w:t>enactments so that they can engage and un</w:t>
      </w:r>
      <w:r w:rsidR="00897505">
        <w:rPr>
          <w:rFonts w:ascii="Arial" w:hAnsi="Arial" w:cs="Arial"/>
        </w:rPr>
        <w:t xml:space="preserve">derstand the conduct. It also allows </w:t>
      </w:r>
      <w:r>
        <w:rPr>
          <w:rFonts w:ascii="Arial" w:hAnsi="Arial" w:cs="Arial"/>
        </w:rPr>
        <w:t>the court to identify and</w:t>
      </w:r>
      <w:r w:rsidR="00C448E4">
        <w:rPr>
          <w:rFonts w:ascii="Arial" w:hAnsi="Arial" w:cs="Arial"/>
        </w:rPr>
        <w:t xml:space="preserve"> clearly</w:t>
      </w:r>
      <w:r>
        <w:rPr>
          <w:rFonts w:ascii="Arial" w:hAnsi="Arial" w:cs="Arial"/>
        </w:rPr>
        <w:t xml:space="preserve"> understand the meaning of particular words in context</w:t>
      </w:r>
      <w:r w:rsidR="002A24AD">
        <w:rPr>
          <w:rFonts w:ascii="Arial" w:hAnsi="Arial" w:cs="Arial"/>
        </w:rPr>
        <w:t xml:space="preserve"> </w:t>
      </w:r>
      <w:r w:rsidR="00C448E4">
        <w:rPr>
          <w:rFonts w:ascii="Arial" w:hAnsi="Arial" w:cs="Arial"/>
        </w:rPr>
        <w:t>(</w:t>
      </w:r>
      <w:r w:rsidR="00A915BC">
        <w:rPr>
          <w:rFonts w:ascii="Arial" w:hAnsi="Arial" w:cs="Arial"/>
        </w:rPr>
        <w:t>S</w:t>
      </w:r>
      <w:r w:rsidR="00C448E4">
        <w:rPr>
          <w:rFonts w:ascii="Arial" w:hAnsi="Arial" w:cs="Arial"/>
        </w:rPr>
        <w:t xml:space="preserve">upreme court, </w:t>
      </w:r>
      <w:r w:rsidR="007658F4">
        <w:rPr>
          <w:rFonts w:ascii="Arial" w:hAnsi="Arial" w:cs="Arial"/>
        </w:rPr>
        <w:t xml:space="preserve">p.17, </w:t>
      </w:r>
      <w:r w:rsidR="00C448E4">
        <w:rPr>
          <w:rFonts w:ascii="Arial" w:hAnsi="Arial" w:cs="Arial"/>
        </w:rPr>
        <w:t>2021).</w:t>
      </w:r>
    </w:p>
    <w:p w14:paraId="6ECE74CE" w14:textId="62A62155" w:rsidR="00C448E4" w:rsidRDefault="00AF6783" w:rsidP="00AF6783">
      <w:pPr>
        <w:tabs>
          <w:tab w:val="left" w:pos="5742"/>
        </w:tabs>
        <w:ind w:left="720"/>
        <w:rPr>
          <w:rFonts w:ascii="Arial" w:hAnsi="Arial" w:cs="Arial"/>
        </w:rPr>
      </w:pPr>
      <w:r>
        <w:rPr>
          <w:rFonts w:ascii="Arial" w:hAnsi="Arial" w:cs="Arial"/>
        </w:rPr>
        <w:tab/>
      </w:r>
    </w:p>
    <w:p w14:paraId="1A59B118" w14:textId="171DBB91" w:rsidR="00AF6783" w:rsidRDefault="00B06041" w:rsidP="00AF6783">
      <w:pPr>
        <w:tabs>
          <w:tab w:val="left" w:pos="5742"/>
        </w:tabs>
        <w:ind w:left="720"/>
        <w:rPr>
          <w:rFonts w:ascii="Arial" w:hAnsi="Arial" w:cs="Arial"/>
        </w:rPr>
      </w:pPr>
      <w:r>
        <w:rPr>
          <w:rFonts w:ascii="Arial" w:hAnsi="Arial" w:cs="Arial"/>
        </w:rPr>
        <w:t xml:space="preserve">Statutory interpretation is designed to give a clear and fair </w:t>
      </w:r>
      <w:r w:rsidR="0027104C">
        <w:rPr>
          <w:rFonts w:ascii="Arial" w:hAnsi="Arial" w:cs="Arial"/>
        </w:rPr>
        <w:t xml:space="preserve">judgment in the courts. The judge is required to </w:t>
      </w:r>
      <w:r w:rsidR="00211411">
        <w:rPr>
          <w:rFonts w:ascii="Arial" w:hAnsi="Arial" w:cs="Arial"/>
        </w:rPr>
        <w:t>investigate</w:t>
      </w:r>
      <w:r w:rsidR="0027104C">
        <w:rPr>
          <w:rFonts w:ascii="Arial" w:hAnsi="Arial" w:cs="Arial"/>
        </w:rPr>
        <w:t xml:space="preserve"> the clear interpretation o</w:t>
      </w:r>
      <w:r w:rsidR="00493803">
        <w:rPr>
          <w:rFonts w:ascii="Arial" w:hAnsi="Arial" w:cs="Arial"/>
        </w:rPr>
        <w:t>f</w:t>
      </w:r>
      <w:r w:rsidR="0027104C">
        <w:rPr>
          <w:rFonts w:ascii="Arial" w:hAnsi="Arial" w:cs="Arial"/>
        </w:rPr>
        <w:t xml:space="preserve"> the </w:t>
      </w:r>
      <w:r w:rsidR="00493803">
        <w:rPr>
          <w:rFonts w:ascii="Arial" w:hAnsi="Arial" w:cs="Arial"/>
        </w:rPr>
        <w:t>statute in question</w:t>
      </w:r>
      <w:r w:rsidR="00211411">
        <w:rPr>
          <w:rFonts w:ascii="Arial" w:hAnsi="Arial" w:cs="Arial"/>
        </w:rPr>
        <w:t xml:space="preserve">. </w:t>
      </w:r>
      <w:r w:rsidR="0070765F">
        <w:rPr>
          <w:rFonts w:ascii="Arial" w:hAnsi="Arial" w:cs="Arial"/>
        </w:rPr>
        <w:t>Th</w:t>
      </w:r>
      <w:r w:rsidR="002864CD">
        <w:rPr>
          <w:rFonts w:ascii="Arial" w:hAnsi="Arial" w:cs="Arial"/>
        </w:rPr>
        <w:t xml:space="preserve">is does not only help the judge make a clear and fair decision, but also </w:t>
      </w:r>
      <w:r w:rsidR="000552F0">
        <w:rPr>
          <w:rFonts w:ascii="Arial" w:hAnsi="Arial" w:cs="Arial"/>
        </w:rPr>
        <w:t xml:space="preserve">gives a better understanding to other people in the courts as to what is meant by specific terms or phrases, </w:t>
      </w:r>
      <w:r w:rsidR="00FC0D32">
        <w:rPr>
          <w:rFonts w:ascii="Arial" w:hAnsi="Arial" w:cs="Arial"/>
        </w:rPr>
        <w:t>as well as benefitting the judge in potential future cases because he will have a better understanding too</w:t>
      </w:r>
      <w:r w:rsidR="00A358DF">
        <w:rPr>
          <w:rFonts w:ascii="Arial" w:hAnsi="Arial" w:cs="Arial"/>
        </w:rPr>
        <w:t xml:space="preserve"> (</w:t>
      </w:r>
      <w:proofErr w:type="spellStart"/>
      <w:r w:rsidR="00A358DF">
        <w:rPr>
          <w:rFonts w:ascii="Arial" w:hAnsi="Arial" w:cs="Arial"/>
        </w:rPr>
        <w:t>Mittra</w:t>
      </w:r>
      <w:proofErr w:type="spellEnd"/>
      <w:r w:rsidR="00A358DF">
        <w:rPr>
          <w:rFonts w:ascii="Arial" w:hAnsi="Arial" w:cs="Arial"/>
        </w:rPr>
        <w:t>, 2021)</w:t>
      </w:r>
      <w:r w:rsidR="00FC0D32">
        <w:rPr>
          <w:rFonts w:ascii="Arial" w:hAnsi="Arial" w:cs="Arial"/>
        </w:rPr>
        <w:t xml:space="preserve">. </w:t>
      </w:r>
    </w:p>
    <w:p w14:paraId="5252857B" w14:textId="77777777" w:rsidR="00AF6783" w:rsidRDefault="00AF6783" w:rsidP="00AF6783">
      <w:pPr>
        <w:tabs>
          <w:tab w:val="left" w:pos="5742"/>
        </w:tabs>
        <w:ind w:left="720"/>
        <w:rPr>
          <w:rFonts w:ascii="Arial" w:hAnsi="Arial" w:cs="Arial"/>
        </w:rPr>
      </w:pPr>
    </w:p>
    <w:p w14:paraId="4BA2C969" w14:textId="5A71B8D3" w:rsidR="00635E85" w:rsidRDefault="00C448E4" w:rsidP="00635E85">
      <w:pPr>
        <w:ind w:left="720"/>
        <w:rPr>
          <w:rFonts w:ascii="Arial" w:hAnsi="Arial" w:cs="Arial"/>
        </w:rPr>
      </w:pPr>
      <w:r>
        <w:rPr>
          <w:rFonts w:ascii="Arial" w:hAnsi="Arial" w:cs="Arial"/>
        </w:rPr>
        <w:t xml:space="preserve">There are </w:t>
      </w:r>
      <w:r w:rsidR="00DE6E16">
        <w:rPr>
          <w:rFonts w:ascii="Arial" w:hAnsi="Arial" w:cs="Arial"/>
        </w:rPr>
        <w:t>four</w:t>
      </w:r>
      <w:r>
        <w:rPr>
          <w:rFonts w:ascii="Arial" w:hAnsi="Arial" w:cs="Arial"/>
        </w:rPr>
        <w:t xml:space="preserve"> rules within statutory interpretation, which outline the boundaries to this exercise</w:t>
      </w:r>
      <w:r w:rsidR="00D7747A">
        <w:rPr>
          <w:rFonts w:ascii="Arial" w:hAnsi="Arial" w:cs="Arial"/>
        </w:rPr>
        <w:t xml:space="preserve">, while also </w:t>
      </w:r>
      <w:r w:rsidR="009F24DD">
        <w:rPr>
          <w:rFonts w:ascii="Arial" w:hAnsi="Arial" w:cs="Arial"/>
        </w:rPr>
        <w:t xml:space="preserve">helping the judges decide fairly </w:t>
      </w:r>
      <w:r w:rsidR="002B3545">
        <w:rPr>
          <w:rFonts w:ascii="Arial" w:hAnsi="Arial" w:cs="Arial"/>
        </w:rPr>
        <w:t>to determine</w:t>
      </w:r>
      <w:r w:rsidR="009F24DD">
        <w:rPr>
          <w:rFonts w:ascii="Arial" w:hAnsi="Arial" w:cs="Arial"/>
        </w:rPr>
        <w:t xml:space="preserve"> </w:t>
      </w:r>
      <w:r w:rsidR="002B3545">
        <w:rPr>
          <w:rFonts w:ascii="Arial" w:hAnsi="Arial" w:cs="Arial"/>
        </w:rPr>
        <w:t>and touch upon the intention of the legislature</w:t>
      </w:r>
      <w:r>
        <w:rPr>
          <w:rFonts w:ascii="Arial" w:hAnsi="Arial" w:cs="Arial"/>
        </w:rPr>
        <w:t xml:space="preserve">. </w:t>
      </w:r>
      <w:r w:rsidR="00542145">
        <w:rPr>
          <w:rFonts w:ascii="Arial" w:hAnsi="Arial" w:cs="Arial"/>
        </w:rPr>
        <w:t xml:space="preserve">The literal rule is </w:t>
      </w:r>
      <w:r w:rsidR="00E60A7E">
        <w:rPr>
          <w:rFonts w:ascii="Arial" w:hAnsi="Arial" w:cs="Arial"/>
        </w:rPr>
        <w:t xml:space="preserve">that </w:t>
      </w:r>
      <w:r w:rsidR="00EC1DED">
        <w:rPr>
          <w:rFonts w:ascii="Arial" w:hAnsi="Arial" w:cs="Arial"/>
        </w:rPr>
        <w:t xml:space="preserve">the words of law are given their ordinary </w:t>
      </w:r>
      <w:r w:rsidR="00E7247B">
        <w:rPr>
          <w:rFonts w:ascii="Arial" w:hAnsi="Arial" w:cs="Arial"/>
        </w:rPr>
        <w:t xml:space="preserve">meaning, so that the laws are read properly without need for question or further analysis. </w:t>
      </w:r>
      <w:r w:rsidR="00DF1852">
        <w:rPr>
          <w:rFonts w:ascii="Arial" w:hAnsi="Arial" w:cs="Arial"/>
        </w:rPr>
        <w:t xml:space="preserve">The golden rule means that </w:t>
      </w:r>
      <w:r w:rsidR="002E17B2">
        <w:rPr>
          <w:rFonts w:ascii="Arial" w:hAnsi="Arial" w:cs="Arial"/>
        </w:rPr>
        <w:t xml:space="preserve">words can be applied both </w:t>
      </w:r>
      <w:r w:rsidR="00786A70">
        <w:rPr>
          <w:rFonts w:ascii="Arial" w:hAnsi="Arial" w:cs="Arial"/>
        </w:rPr>
        <w:t>widely</w:t>
      </w:r>
      <w:r w:rsidR="002E17B2">
        <w:rPr>
          <w:rFonts w:ascii="Arial" w:hAnsi="Arial" w:cs="Arial"/>
        </w:rPr>
        <w:t xml:space="preserve"> and narrowly</w:t>
      </w:r>
      <w:r w:rsidR="00786A70">
        <w:rPr>
          <w:rFonts w:ascii="Arial" w:hAnsi="Arial" w:cs="Arial"/>
        </w:rPr>
        <w:t xml:space="preserve">. When a </w:t>
      </w:r>
      <w:r w:rsidR="007101F6">
        <w:rPr>
          <w:rFonts w:ascii="Arial" w:hAnsi="Arial" w:cs="Arial"/>
        </w:rPr>
        <w:t>word or phrase comes to a narrow approach, the judge can decide between the possible meanings</w:t>
      </w:r>
      <w:r w:rsidR="006F663F">
        <w:rPr>
          <w:rFonts w:ascii="Arial" w:hAnsi="Arial" w:cs="Arial"/>
        </w:rPr>
        <w:t xml:space="preserve"> and modify words to avoid conflict. </w:t>
      </w:r>
      <w:r w:rsidR="00A162F3">
        <w:rPr>
          <w:rFonts w:ascii="Arial" w:hAnsi="Arial" w:cs="Arial"/>
        </w:rPr>
        <w:t xml:space="preserve">The mischief rule </w:t>
      </w:r>
      <w:r w:rsidR="00906FC1">
        <w:rPr>
          <w:rFonts w:ascii="Arial" w:hAnsi="Arial" w:cs="Arial"/>
        </w:rPr>
        <w:t xml:space="preserve">is that when there is </w:t>
      </w:r>
      <w:r w:rsidR="00A94157">
        <w:rPr>
          <w:rFonts w:ascii="Arial" w:hAnsi="Arial" w:cs="Arial"/>
        </w:rPr>
        <w:t xml:space="preserve">uncertainty, the court pursues </w:t>
      </w:r>
      <w:r w:rsidR="00DE06CB">
        <w:rPr>
          <w:rFonts w:ascii="Arial" w:hAnsi="Arial" w:cs="Arial"/>
        </w:rPr>
        <w:t>to understand</w:t>
      </w:r>
      <w:r w:rsidR="009B0E45">
        <w:rPr>
          <w:rFonts w:ascii="Arial" w:hAnsi="Arial" w:cs="Arial"/>
        </w:rPr>
        <w:t xml:space="preserve"> problems when addressing a giving statute</w:t>
      </w:r>
      <w:r w:rsidR="004B0414">
        <w:rPr>
          <w:rFonts w:ascii="Arial" w:hAnsi="Arial" w:cs="Arial"/>
        </w:rPr>
        <w:t xml:space="preserve"> (Advanced, 2019</w:t>
      </w:r>
      <w:r w:rsidR="006D1D2B">
        <w:rPr>
          <w:rFonts w:ascii="Arial" w:hAnsi="Arial" w:cs="Arial"/>
        </w:rPr>
        <w:t>)</w:t>
      </w:r>
      <w:r w:rsidR="009B0E45">
        <w:rPr>
          <w:rFonts w:ascii="Arial" w:hAnsi="Arial" w:cs="Arial"/>
        </w:rPr>
        <w:t xml:space="preserve">. </w:t>
      </w:r>
      <w:r w:rsidR="00590416">
        <w:rPr>
          <w:rFonts w:ascii="Arial" w:hAnsi="Arial" w:cs="Arial"/>
        </w:rPr>
        <w:t xml:space="preserve">The purposive approach </w:t>
      </w:r>
      <w:r w:rsidR="008E1CFB">
        <w:rPr>
          <w:rFonts w:ascii="Arial" w:hAnsi="Arial" w:cs="Arial"/>
        </w:rPr>
        <w:t xml:space="preserve">as a more recent rule that </w:t>
      </w:r>
      <w:r w:rsidR="00222A91">
        <w:rPr>
          <w:rFonts w:ascii="Arial" w:hAnsi="Arial" w:cs="Arial"/>
        </w:rPr>
        <w:t>investigates</w:t>
      </w:r>
      <w:r w:rsidR="008E1CFB">
        <w:rPr>
          <w:rFonts w:ascii="Arial" w:hAnsi="Arial" w:cs="Arial"/>
        </w:rPr>
        <w:t xml:space="preserve"> </w:t>
      </w:r>
      <w:r w:rsidR="000E25F4">
        <w:rPr>
          <w:rFonts w:ascii="Arial" w:hAnsi="Arial" w:cs="Arial"/>
        </w:rPr>
        <w:t xml:space="preserve">what the gap was in the old law, </w:t>
      </w:r>
      <w:r w:rsidR="00CB5B9C">
        <w:rPr>
          <w:rFonts w:ascii="Arial" w:hAnsi="Arial" w:cs="Arial"/>
        </w:rPr>
        <w:t>as well as taking on board the parliaments vision on what they want to achieve</w:t>
      </w:r>
      <w:r w:rsidR="00EB7C2A">
        <w:rPr>
          <w:rFonts w:ascii="Arial" w:hAnsi="Arial" w:cs="Arial"/>
        </w:rPr>
        <w:t xml:space="preserve"> </w:t>
      </w:r>
      <w:r w:rsidR="00EB7C2A">
        <w:rPr>
          <w:rFonts w:ascii="Arial" w:hAnsi="Arial" w:cs="Arial"/>
        </w:rPr>
        <w:lastRenderedPageBreak/>
        <w:t xml:space="preserve">and </w:t>
      </w:r>
      <w:proofErr w:type="gramStart"/>
      <w:r w:rsidR="00EB7C2A">
        <w:rPr>
          <w:rFonts w:ascii="Arial" w:hAnsi="Arial" w:cs="Arial"/>
        </w:rPr>
        <w:t>making a decision</w:t>
      </w:r>
      <w:proofErr w:type="gramEnd"/>
      <w:r w:rsidR="00EB7C2A">
        <w:rPr>
          <w:rFonts w:ascii="Arial" w:hAnsi="Arial" w:cs="Arial"/>
        </w:rPr>
        <w:t xml:space="preserve"> bas</w:t>
      </w:r>
      <w:r w:rsidR="00D4103F">
        <w:rPr>
          <w:rFonts w:ascii="Arial" w:hAnsi="Arial" w:cs="Arial"/>
        </w:rPr>
        <w:t>ed</w:t>
      </w:r>
      <w:r w:rsidR="00EB7C2A">
        <w:rPr>
          <w:rFonts w:ascii="Arial" w:hAnsi="Arial" w:cs="Arial"/>
        </w:rPr>
        <w:t xml:space="preserve"> on that</w:t>
      </w:r>
      <w:r w:rsidR="00635E85">
        <w:rPr>
          <w:rFonts w:ascii="Arial" w:hAnsi="Arial" w:cs="Arial"/>
        </w:rPr>
        <w:t xml:space="preserve"> (</w:t>
      </w:r>
      <w:r w:rsidR="00D4103F">
        <w:rPr>
          <w:rFonts w:ascii="Arial" w:hAnsi="Arial" w:cs="Arial"/>
        </w:rPr>
        <w:t>Okur, 2021</w:t>
      </w:r>
      <w:r w:rsidR="00635E85">
        <w:rPr>
          <w:rFonts w:ascii="Arial" w:hAnsi="Arial" w:cs="Arial"/>
        </w:rPr>
        <w:t xml:space="preserve">). Lord Denning from the court of appeal </w:t>
      </w:r>
      <w:r w:rsidR="00831A1E">
        <w:rPr>
          <w:rFonts w:ascii="Arial" w:hAnsi="Arial" w:cs="Arial"/>
        </w:rPr>
        <w:t>stated,</w:t>
      </w:r>
      <w:r w:rsidR="00635E85">
        <w:rPr>
          <w:rFonts w:ascii="Arial" w:hAnsi="Arial" w:cs="Arial"/>
        </w:rPr>
        <w:t xml:space="preserve"> “we sit here to find out the intention of parliament and ministers and carry it out”</w:t>
      </w:r>
      <w:r w:rsidR="008C47D0">
        <w:rPr>
          <w:rFonts w:ascii="Arial" w:hAnsi="Arial" w:cs="Arial"/>
        </w:rPr>
        <w:t xml:space="preserve">. This implies that the purposive approach serves the parliaments </w:t>
      </w:r>
      <w:r w:rsidR="00831A1E">
        <w:rPr>
          <w:rFonts w:ascii="Arial" w:hAnsi="Arial" w:cs="Arial"/>
        </w:rPr>
        <w:t xml:space="preserve">needs. </w:t>
      </w:r>
      <w:r w:rsidR="00A81D65">
        <w:rPr>
          <w:rFonts w:ascii="Arial" w:hAnsi="Arial" w:cs="Arial"/>
        </w:rPr>
        <w:t xml:space="preserve">The application of </w:t>
      </w:r>
      <w:r w:rsidR="000059FF">
        <w:rPr>
          <w:rFonts w:ascii="Arial" w:hAnsi="Arial" w:cs="Arial"/>
        </w:rPr>
        <w:t>purposive approach can be found in the case Council v Newport Corporation (1950).</w:t>
      </w:r>
    </w:p>
    <w:p w14:paraId="29A3B463" w14:textId="188236B3" w:rsidR="006D3262" w:rsidRDefault="006D3262" w:rsidP="001F00B9">
      <w:pPr>
        <w:ind w:left="720"/>
        <w:rPr>
          <w:rFonts w:ascii="Arial" w:hAnsi="Arial" w:cs="Arial"/>
        </w:rPr>
      </w:pPr>
    </w:p>
    <w:p w14:paraId="56791EBC" w14:textId="67A0A39C" w:rsidR="006D3262" w:rsidRDefault="00292C3D" w:rsidP="001F00B9">
      <w:pPr>
        <w:ind w:left="720"/>
        <w:rPr>
          <w:rFonts w:ascii="Arial" w:hAnsi="Arial" w:cs="Arial"/>
        </w:rPr>
      </w:pPr>
      <w:r>
        <w:rPr>
          <w:rFonts w:ascii="Arial" w:hAnsi="Arial" w:cs="Arial"/>
        </w:rPr>
        <w:t xml:space="preserve">There are many advantages and disadvantages of the rules of statutory interpretation. </w:t>
      </w:r>
      <w:r w:rsidR="001C4DA6">
        <w:rPr>
          <w:rFonts w:ascii="Arial" w:hAnsi="Arial" w:cs="Arial"/>
        </w:rPr>
        <w:t xml:space="preserve">The literal rule </w:t>
      </w:r>
      <w:r w:rsidR="00290A06">
        <w:rPr>
          <w:rFonts w:ascii="Arial" w:hAnsi="Arial" w:cs="Arial"/>
        </w:rPr>
        <w:t xml:space="preserve">leaves law making for the people </w:t>
      </w:r>
      <w:r w:rsidR="00EC2E78">
        <w:rPr>
          <w:rFonts w:ascii="Arial" w:hAnsi="Arial" w:cs="Arial"/>
        </w:rPr>
        <w:t>designated</w:t>
      </w:r>
      <w:r w:rsidR="00290A06">
        <w:rPr>
          <w:rFonts w:ascii="Arial" w:hAnsi="Arial" w:cs="Arial"/>
        </w:rPr>
        <w:t xml:space="preserve"> </w:t>
      </w:r>
      <w:r w:rsidR="00EC2E78">
        <w:rPr>
          <w:rFonts w:ascii="Arial" w:hAnsi="Arial" w:cs="Arial"/>
        </w:rPr>
        <w:t xml:space="preserve">to </w:t>
      </w:r>
      <w:r w:rsidR="00290A06">
        <w:rPr>
          <w:rFonts w:ascii="Arial" w:hAnsi="Arial" w:cs="Arial"/>
        </w:rPr>
        <w:t xml:space="preserve">the job as it restricts </w:t>
      </w:r>
      <w:r w:rsidR="00EC2E78">
        <w:rPr>
          <w:rFonts w:ascii="Arial" w:hAnsi="Arial" w:cs="Arial"/>
        </w:rPr>
        <w:t>the courts</w:t>
      </w:r>
      <w:r w:rsidR="00454B0E">
        <w:rPr>
          <w:rFonts w:ascii="Arial" w:hAnsi="Arial" w:cs="Arial"/>
        </w:rPr>
        <w:t xml:space="preserve">. However, </w:t>
      </w:r>
      <w:r w:rsidR="00497476">
        <w:rPr>
          <w:rFonts w:ascii="Arial" w:hAnsi="Arial" w:cs="Arial"/>
        </w:rPr>
        <w:t xml:space="preserve">it doesn’t always enact </w:t>
      </w:r>
      <w:r w:rsidR="00B40B5F">
        <w:rPr>
          <w:rFonts w:ascii="Arial" w:hAnsi="Arial" w:cs="Arial"/>
        </w:rPr>
        <w:t>to the will of parliament</w:t>
      </w:r>
      <w:r w:rsidR="00092A26">
        <w:rPr>
          <w:rFonts w:ascii="Arial" w:hAnsi="Arial" w:cs="Arial"/>
        </w:rPr>
        <w:t>.</w:t>
      </w:r>
      <w:r w:rsidR="001F16AF">
        <w:rPr>
          <w:rFonts w:ascii="Arial" w:hAnsi="Arial" w:cs="Arial"/>
        </w:rPr>
        <w:t xml:space="preserve"> </w:t>
      </w:r>
      <w:r w:rsidR="009E3E9C">
        <w:rPr>
          <w:rFonts w:ascii="Arial" w:hAnsi="Arial" w:cs="Arial"/>
        </w:rPr>
        <w:t xml:space="preserve">The golden rule can </w:t>
      </w:r>
      <w:r w:rsidR="005D04A8">
        <w:rPr>
          <w:rFonts w:ascii="Arial" w:hAnsi="Arial" w:cs="Arial"/>
        </w:rPr>
        <w:t>be used to prevent problems caused by the literal rule, for example absurdity and inju</w:t>
      </w:r>
      <w:r w:rsidR="000F272A">
        <w:rPr>
          <w:rFonts w:ascii="Arial" w:hAnsi="Arial" w:cs="Arial"/>
        </w:rPr>
        <w:t xml:space="preserve">stice. </w:t>
      </w:r>
      <w:r w:rsidR="00901FC5">
        <w:rPr>
          <w:rFonts w:ascii="Arial" w:hAnsi="Arial" w:cs="Arial"/>
        </w:rPr>
        <w:t>However, the law commission</w:t>
      </w:r>
      <w:r w:rsidR="0040132B">
        <w:rPr>
          <w:rFonts w:ascii="Arial" w:hAnsi="Arial" w:cs="Arial"/>
        </w:rPr>
        <w:t xml:space="preserve"> noted that there is no clear meaning of an </w:t>
      </w:r>
      <w:r w:rsidR="00A901BC">
        <w:rPr>
          <w:rFonts w:ascii="Arial" w:hAnsi="Arial" w:cs="Arial"/>
        </w:rPr>
        <w:t>‘</w:t>
      </w:r>
      <w:r w:rsidR="0040132B">
        <w:rPr>
          <w:rFonts w:ascii="Arial" w:hAnsi="Arial" w:cs="Arial"/>
        </w:rPr>
        <w:t>absurd result</w:t>
      </w:r>
      <w:r w:rsidR="00A901BC">
        <w:rPr>
          <w:rFonts w:ascii="Arial" w:hAnsi="Arial" w:cs="Arial"/>
        </w:rPr>
        <w:t>’ in the rule</w:t>
      </w:r>
      <w:r w:rsidR="0096600F">
        <w:rPr>
          <w:rFonts w:ascii="Arial" w:hAnsi="Arial" w:cs="Arial"/>
        </w:rPr>
        <w:t>.</w:t>
      </w:r>
      <w:r w:rsidR="00C933BB">
        <w:rPr>
          <w:rFonts w:ascii="Arial" w:hAnsi="Arial" w:cs="Arial"/>
        </w:rPr>
        <w:t xml:space="preserve"> This </w:t>
      </w:r>
      <w:r w:rsidR="00B46B10">
        <w:rPr>
          <w:rFonts w:ascii="Arial" w:hAnsi="Arial" w:cs="Arial"/>
        </w:rPr>
        <w:t xml:space="preserve">shows that </w:t>
      </w:r>
      <w:r w:rsidR="0058181D">
        <w:rPr>
          <w:rFonts w:ascii="Arial" w:hAnsi="Arial" w:cs="Arial"/>
        </w:rPr>
        <w:t xml:space="preserve">if </w:t>
      </w:r>
      <w:r w:rsidR="00FF76C0">
        <w:rPr>
          <w:rFonts w:ascii="Arial" w:hAnsi="Arial" w:cs="Arial"/>
        </w:rPr>
        <w:t>statutory interpretation is diminishing legislation</w:t>
      </w:r>
      <w:r w:rsidR="0058181D">
        <w:rPr>
          <w:rFonts w:ascii="Arial" w:hAnsi="Arial" w:cs="Arial"/>
        </w:rPr>
        <w:t xml:space="preserve">, problems will arise in the courts. </w:t>
      </w:r>
      <w:r w:rsidR="0068291E">
        <w:rPr>
          <w:rFonts w:ascii="Arial" w:hAnsi="Arial" w:cs="Arial"/>
        </w:rPr>
        <w:t xml:space="preserve">The </w:t>
      </w:r>
      <w:r w:rsidR="00EE6070">
        <w:rPr>
          <w:rFonts w:ascii="Arial" w:hAnsi="Arial" w:cs="Arial"/>
        </w:rPr>
        <w:t>mischief rule</w:t>
      </w:r>
      <w:r w:rsidR="00353A34">
        <w:rPr>
          <w:rFonts w:ascii="Arial" w:hAnsi="Arial" w:cs="Arial"/>
        </w:rPr>
        <w:t xml:space="preserve"> is the law commissions favourite rule as it </w:t>
      </w:r>
      <w:r w:rsidR="000B1801">
        <w:rPr>
          <w:rFonts w:ascii="Arial" w:hAnsi="Arial" w:cs="Arial"/>
        </w:rPr>
        <w:t>delivers</w:t>
      </w:r>
      <w:r w:rsidR="00353A34">
        <w:rPr>
          <w:rFonts w:ascii="Arial" w:hAnsi="Arial" w:cs="Arial"/>
        </w:rPr>
        <w:t xml:space="preserve"> a more satisfactory </w:t>
      </w:r>
      <w:r w:rsidR="00522FFD">
        <w:rPr>
          <w:rFonts w:ascii="Arial" w:hAnsi="Arial" w:cs="Arial"/>
        </w:rPr>
        <w:t>approach</w:t>
      </w:r>
      <w:r w:rsidR="000B1801">
        <w:rPr>
          <w:rFonts w:ascii="Arial" w:hAnsi="Arial" w:cs="Arial"/>
        </w:rPr>
        <w:t>.</w:t>
      </w:r>
      <w:r w:rsidR="00EE6070">
        <w:rPr>
          <w:rFonts w:ascii="Arial" w:hAnsi="Arial" w:cs="Arial"/>
        </w:rPr>
        <w:t xml:space="preserve"> </w:t>
      </w:r>
      <w:r w:rsidR="000B1801">
        <w:rPr>
          <w:rFonts w:ascii="Arial" w:hAnsi="Arial" w:cs="Arial"/>
        </w:rPr>
        <w:t>It p</w:t>
      </w:r>
      <w:r w:rsidR="00983F77">
        <w:rPr>
          <w:rFonts w:ascii="Arial" w:hAnsi="Arial" w:cs="Arial"/>
        </w:rPr>
        <w:t>romotes flexibility</w:t>
      </w:r>
      <w:r w:rsidR="00607ED0">
        <w:rPr>
          <w:rFonts w:ascii="Arial" w:hAnsi="Arial" w:cs="Arial"/>
        </w:rPr>
        <w:t xml:space="preserve"> and </w:t>
      </w:r>
      <w:r w:rsidR="00BA5AC9">
        <w:rPr>
          <w:rFonts w:ascii="Arial" w:hAnsi="Arial" w:cs="Arial"/>
        </w:rPr>
        <w:t>avoids</w:t>
      </w:r>
      <w:r w:rsidR="00607ED0">
        <w:rPr>
          <w:rFonts w:ascii="Arial" w:hAnsi="Arial" w:cs="Arial"/>
        </w:rPr>
        <w:t xml:space="preserve"> injustic</w:t>
      </w:r>
      <w:r w:rsidR="00BA5AC9">
        <w:rPr>
          <w:rFonts w:ascii="Arial" w:hAnsi="Arial" w:cs="Arial"/>
        </w:rPr>
        <w:t>e</w:t>
      </w:r>
      <w:r w:rsidR="000333C3">
        <w:rPr>
          <w:rFonts w:ascii="Arial" w:hAnsi="Arial" w:cs="Arial"/>
        </w:rPr>
        <w:t xml:space="preserve"> </w:t>
      </w:r>
      <w:r w:rsidR="00220FC8">
        <w:rPr>
          <w:rFonts w:ascii="Arial" w:hAnsi="Arial" w:cs="Arial"/>
        </w:rPr>
        <w:t>(</w:t>
      </w:r>
      <w:proofErr w:type="spellStart"/>
      <w:r w:rsidR="00220FC8">
        <w:rPr>
          <w:rFonts w:ascii="Arial" w:hAnsi="Arial" w:cs="Arial"/>
        </w:rPr>
        <w:t>A</w:t>
      </w:r>
      <w:r w:rsidR="00D618CD">
        <w:rPr>
          <w:rFonts w:ascii="Arial" w:hAnsi="Arial" w:cs="Arial"/>
        </w:rPr>
        <w:t>llbon</w:t>
      </w:r>
      <w:proofErr w:type="spellEnd"/>
      <w:r w:rsidR="00F93B60">
        <w:rPr>
          <w:rFonts w:ascii="Arial" w:hAnsi="Arial" w:cs="Arial"/>
        </w:rPr>
        <w:t xml:space="preserve">, </w:t>
      </w:r>
      <w:r w:rsidR="003E0417">
        <w:rPr>
          <w:rFonts w:ascii="Arial" w:hAnsi="Arial" w:cs="Arial"/>
        </w:rPr>
        <w:t xml:space="preserve">p.70-73, </w:t>
      </w:r>
      <w:r w:rsidR="002648CD">
        <w:rPr>
          <w:rFonts w:ascii="Arial" w:hAnsi="Arial" w:cs="Arial"/>
        </w:rPr>
        <w:t xml:space="preserve">s.3.3, </w:t>
      </w:r>
      <w:r w:rsidR="00F93B60">
        <w:rPr>
          <w:rFonts w:ascii="Arial" w:hAnsi="Arial" w:cs="Arial"/>
        </w:rPr>
        <w:t>2020)</w:t>
      </w:r>
      <w:r w:rsidR="00BA5AC9">
        <w:rPr>
          <w:rFonts w:ascii="Arial" w:hAnsi="Arial" w:cs="Arial"/>
        </w:rPr>
        <w:t xml:space="preserve">. </w:t>
      </w:r>
    </w:p>
    <w:p w14:paraId="107FD625" w14:textId="77777777" w:rsidR="00D47949" w:rsidRDefault="00D47949" w:rsidP="001F00B9">
      <w:pPr>
        <w:ind w:left="720"/>
        <w:rPr>
          <w:rFonts w:ascii="Arial" w:hAnsi="Arial" w:cs="Arial"/>
        </w:rPr>
      </w:pPr>
    </w:p>
    <w:p w14:paraId="4E773B12" w14:textId="4E328D79" w:rsidR="00D47949" w:rsidRDefault="00D47949" w:rsidP="00D47949">
      <w:pPr>
        <w:ind w:left="720"/>
        <w:rPr>
          <w:rFonts w:ascii="Arial" w:hAnsi="Arial" w:cs="Arial"/>
        </w:rPr>
      </w:pPr>
      <w:r>
        <w:rPr>
          <w:rFonts w:ascii="Arial" w:hAnsi="Arial" w:cs="Arial"/>
        </w:rPr>
        <w:t>An example of the literal rule in use would be in the case London and North-eastern Railway Co v Berriman (1946) where a railway worker was doing maintenance checks and oils when he was knocked down and killed by a train in use. The man’s window tried to claim damages, however the statute argued that the claim is available to employees killed while ‘relaying or repairing’ the tracks. The court held that this case didn’t come under the meaning of ‘relaying or repairing. This is an example of the literal rule creating injustice because the type of job the railway worker was doing, does not diminish the degree of danger that he was working alongside (</w:t>
      </w:r>
      <w:proofErr w:type="spellStart"/>
      <w:r>
        <w:rPr>
          <w:rFonts w:ascii="Arial" w:hAnsi="Arial" w:cs="Arial"/>
        </w:rPr>
        <w:t>Allbon</w:t>
      </w:r>
      <w:proofErr w:type="spellEnd"/>
      <w:r>
        <w:rPr>
          <w:rFonts w:ascii="Arial" w:hAnsi="Arial" w:cs="Arial"/>
        </w:rPr>
        <w:t xml:space="preserve">, </w:t>
      </w:r>
      <w:r w:rsidR="002648CD">
        <w:rPr>
          <w:rFonts w:ascii="Arial" w:hAnsi="Arial" w:cs="Arial"/>
        </w:rPr>
        <w:t xml:space="preserve">p.70-73, s.3.3, </w:t>
      </w:r>
      <w:r>
        <w:rPr>
          <w:rFonts w:ascii="Arial" w:hAnsi="Arial" w:cs="Arial"/>
        </w:rPr>
        <w:t xml:space="preserve">2020). </w:t>
      </w:r>
    </w:p>
    <w:p w14:paraId="4F21F5AF" w14:textId="77777777" w:rsidR="00D47949" w:rsidRDefault="00D47949" w:rsidP="00D47949">
      <w:pPr>
        <w:ind w:left="720"/>
        <w:rPr>
          <w:rFonts w:ascii="Arial" w:hAnsi="Arial" w:cs="Arial"/>
        </w:rPr>
      </w:pPr>
    </w:p>
    <w:p w14:paraId="64DB13BD" w14:textId="425DC968" w:rsidR="00D47949" w:rsidRDefault="00D47949" w:rsidP="00D47949">
      <w:pPr>
        <w:ind w:left="720"/>
        <w:rPr>
          <w:rFonts w:ascii="Arial" w:hAnsi="Arial" w:cs="Arial"/>
        </w:rPr>
      </w:pPr>
      <w:r>
        <w:rPr>
          <w:rFonts w:ascii="Arial" w:hAnsi="Arial" w:cs="Arial"/>
        </w:rPr>
        <w:t>An example of the Golden rule can be found in the case Maddox v Storer (1963) where the Road Traffic Act (1960) stated that driving a vehicle ‘adapted to carry more than seven passengers’ at more than 30 mph is an offence. However, the vehicle in this case was a minibus designed to carry up to 11 passengers. The court proceeded to alter the statute rule and stated that ‘adapted to’ could be replaced with ‘suitable for’. This suggests that the golden rule has no clear meaning and is sometimes complex (</w:t>
      </w:r>
      <w:proofErr w:type="spellStart"/>
      <w:r>
        <w:rPr>
          <w:rFonts w:ascii="Arial" w:hAnsi="Arial" w:cs="Arial"/>
        </w:rPr>
        <w:t>Allbon</w:t>
      </w:r>
      <w:proofErr w:type="spellEnd"/>
      <w:r>
        <w:rPr>
          <w:rFonts w:ascii="Arial" w:hAnsi="Arial" w:cs="Arial"/>
        </w:rPr>
        <w:t xml:space="preserve"> </w:t>
      </w:r>
      <w:r w:rsidR="002648CD">
        <w:rPr>
          <w:rFonts w:ascii="Arial" w:hAnsi="Arial" w:cs="Arial"/>
        </w:rPr>
        <w:t xml:space="preserve">p.70-73, s.3.3, </w:t>
      </w:r>
      <w:r>
        <w:rPr>
          <w:rFonts w:ascii="Arial" w:hAnsi="Arial" w:cs="Arial"/>
        </w:rPr>
        <w:t xml:space="preserve">2020). </w:t>
      </w:r>
    </w:p>
    <w:p w14:paraId="43911958" w14:textId="77777777" w:rsidR="00D47949" w:rsidRDefault="00D47949" w:rsidP="00D47949">
      <w:pPr>
        <w:rPr>
          <w:rFonts w:ascii="Arial" w:hAnsi="Arial" w:cs="Arial"/>
        </w:rPr>
      </w:pPr>
    </w:p>
    <w:p w14:paraId="29020B46" w14:textId="7EFB94A7" w:rsidR="00D47949" w:rsidRDefault="00D47949" w:rsidP="00D47949">
      <w:pPr>
        <w:ind w:left="720"/>
        <w:rPr>
          <w:rFonts w:ascii="Arial" w:hAnsi="Arial" w:cs="Arial"/>
        </w:rPr>
      </w:pPr>
      <w:r>
        <w:rPr>
          <w:rFonts w:ascii="Arial" w:hAnsi="Arial" w:cs="Arial"/>
        </w:rPr>
        <w:t xml:space="preserve">An example of the mischief rule in use would be found in the case Corkery v Carpenter (1951) where a man was sentenced to one month in prison after being found on a public road, in charge of his bike while drunk. The court sentenced him under section 12 of the licensing act (1872), however the act made no reference to bicycles. The court decided to use the mischief rule and argued that the purpose of the act was to stop people from using transport whilst intoxicated, the bicycle was a form of transport and therefore, the defendant was charged (Open University, 2021). </w:t>
      </w:r>
    </w:p>
    <w:p w14:paraId="5367CEBF" w14:textId="4B141959" w:rsidR="00586213" w:rsidRDefault="00586213" w:rsidP="00A44330">
      <w:pPr>
        <w:rPr>
          <w:rFonts w:ascii="Arial" w:hAnsi="Arial" w:cs="Arial"/>
        </w:rPr>
      </w:pPr>
    </w:p>
    <w:p w14:paraId="5D1D391B" w14:textId="5A2682C3" w:rsidR="007D0B7F" w:rsidRDefault="000F1C66" w:rsidP="001F00B9">
      <w:pPr>
        <w:ind w:left="720"/>
        <w:rPr>
          <w:rFonts w:ascii="Arial" w:hAnsi="Arial" w:cs="Arial"/>
        </w:rPr>
      </w:pPr>
      <w:r>
        <w:rPr>
          <w:rFonts w:ascii="Arial" w:hAnsi="Arial" w:cs="Arial"/>
        </w:rPr>
        <w:t>The supreme court (</w:t>
      </w:r>
      <w:r w:rsidR="004E62E7">
        <w:rPr>
          <w:rFonts w:ascii="Arial" w:hAnsi="Arial" w:cs="Arial"/>
        </w:rPr>
        <w:t xml:space="preserve">p.1, </w:t>
      </w:r>
      <w:r>
        <w:rPr>
          <w:rFonts w:ascii="Arial" w:hAnsi="Arial" w:cs="Arial"/>
        </w:rPr>
        <w:t xml:space="preserve">2019) </w:t>
      </w:r>
      <w:r w:rsidR="00876E33">
        <w:rPr>
          <w:rFonts w:ascii="Arial" w:hAnsi="Arial" w:cs="Arial"/>
        </w:rPr>
        <w:t>suggests</w:t>
      </w:r>
      <w:r>
        <w:rPr>
          <w:rFonts w:ascii="Arial" w:hAnsi="Arial" w:cs="Arial"/>
        </w:rPr>
        <w:t xml:space="preserve"> that the legislative intention is </w:t>
      </w:r>
      <w:r w:rsidR="00286CF3">
        <w:rPr>
          <w:rFonts w:ascii="Arial" w:hAnsi="Arial" w:cs="Arial"/>
        </w:rPr>
        <w:t xml:space="preserve">constantly under pressure in </w:t>
      </w:r>
      <w:r w:rsidR="00303D8F">
        <w:rPr>
          <w:rFonts w:ascii="Arial" w:hAnsi="Arial" w:cs="Arial"/>
        </w:rPr>
        <w:t>several</w:t>
      </w:r>
      <w:r w:rsidR="00286CF3">
        <w:rPr>
          <w:rFonts w:ascii="Arial" w:hAnsi="Arial" w:cs="Arial"/>
        </w:rPr>
        <w:t xml:space="preserve"> directions</w:t>
      </w:r>
      <w:r w:rsidR="00CC587E">
        <w:rPr>
          <w:rFonts w:ascii="Arial" w:hAnsi="Arial" w:cs="Arial"/>
        </w:rPr>
        <w:t xml:space="preserve">. It is noticed that </w:t>
      </w:r>
      <w:r w:rsidR="001512A1">
        <w:rPr>
          <w:rFonts w:ascii="Arial" w:hAnsi="Arial" w:cs="Arial"/>
        </w:rPr>
        <w:t xml:space="preserve">statutes go </w:t>
      </w:r>
      <w:r w:rsidR="007E274F">
        <w:rPr>
          <w:rFonts w:ascii="Arial" w:hAnsi="Arial" w:cs="Arial"/>
        </w:rPr>
        <w:t>through</w:t>
      </w:r>
      <w:r w:rsidR="001512A1">
        <w:rPr>
          <w:rFonts w:ascii="Arial" w:hAnsi="Arial" w:cs="Arial"/>
        </w:rPr>
        <w:t xml:space="preserve"> a system of multi-member legislative bodies</w:t>
      </w:r>
      <w:r w:rsidR="001F5115">
        <w:rPr>
          <w:rFonts w:ascii="Arial" w:hAnsi="Arial" w:cs="Arial"/>
        </w:rPr>
        <w:t xml:space="preserve">. This means that the intentions of those </w:t>
      </w:r>
      <w:r w:rsidR="001C251C">
        <w:rPr>
          <w:rFonts w:ascii="Arial" w:hAnsi="Arial" w:cs="Arial"/>
        </w:rPr>
        <w:t xml:space="preserve">members when passing legislation </w:t>
      </w:r>
      <w:r w:rsidR="002755F9">
        <w:rPr>
          <w:rFonts w:ascii="Arial" w:hAnsi="Arial" w:cs="Arial"/>
        </w:rPr>
        <w:t xml:space="preserve">are often not </w:t>
      </w:r>
      <w:r w:rsidR="002755F9">
        <w:rPr>
          <w:rFonts w:ascii="Arial" w:hAnsi="Arial" w:cs="Arial"/>
        </w:rPr>
        <w:lastRenderedPageBreak/>
        <w:t xml:space="preserve">correspondent with </w:t>
      </w:r>
      <w:r w:rsidR="00265DED">
        <w:rPr>
          <w:rFonts w:ascii="Arial" w:hAnsi="Arial" w:cs="Arial"/>
        </w:rPr>
        <w:t>each other</w:t>
      </w:r>
      <w:r w:rsidR="002755F9">
        <w:rPr>
          <w:rFonts w:ascii="Arial" w:hAnsi="Arial" w:cs="Arial"/>
        </w:rPr>
        <w:t xml:space="preserve"> </w:t>
      </w:r>
      <w:r w:rsidR="00265DED">
        <w:rPr>
          <w:rFonts w:ascii="Arial" w:hAnsi="Arial" w:cs="Arial"/>
        </w:rPr>
        <w:t>as they vary</w:t>
      </w:r>
      <w:r w:rsidR="001F4C22">
        <w:rPr>
          <w:rFonts w:ascii="Arial" w:hAnsi="Arial" w:cs="Arial"/>
        </w:rPr>
        <w:t xml:space="preserve"> in meanings and intentions. </w:t>
      </w:r>
      <w:r w:rsidR="00A02560">
        <w:rPr>
          <w:rFonts w:ascii="Arial" w:hAnsi="Arial" w:cs="Arial"/>
        </w:rPr>
        <w:t>This means that there is a problem with the w</w:t>
      </w:r>
      <w:r w:rsidR="004E4672">
        <w:rPr>
          <w:rFonts w:ascii="Arial" w:hAnsi="Arial" w:cs="Arial"/>
        </w:rPr>
        <w:t xml:space="preserve">ay lawmakers express their intentions about statute because there is confusion and unclear proposals in the court. </w:t>
      </w:r>
    </w:p>
    <w:p w14:paraId="6574DC42" w14:textId="4F32C3E4" w:rsidR="00E376CA" w:rsidRDefault="00E376CA" w:rsidP="001F00B9">
      <w:pPr>
        <w:ind w:left="720"/>
        <w:rPr>
          <w:rFonts w:ascii="Arial" w:hAnsi="Arial" w:cs="Arial"/>
        </w:rPr>
      </w:pPr>
    </w:p>
    <w:p w14:paraId="6991DB97" w14:textId="5A5E6636" w:rsidR="00E376CA" w:rsidRDefault="00474C09" w:rsidP="001F00B9">
      <w:pPr>
        <w:ind w:left="720"/>
        <w:rPr>
          <w:rFonts w:ascii="Arial" w:hAnsi="Arial" w:cs="Arial"/>
        </w:rPr>
      </w:pPr>
      <w:r>
        <w:rPr>
          <w:rFonts w:ascii="Arial" w:hAnsi="Arial" w:cs="Arial"/>
        </w:rPr>
        <w:t>B</w:t>
      </w:r>
      <w:r w:rsidR="00337480">
        <w:rPr>
          <w:rFonts w:ascii="Arial" w:hAnsi="Arial" w:cs="Arial"/>
        </w:rPr>
        <w:t>urrows (</w:t>
      </w:r>
      <w:r w:rsidR="00C00B0F">
        <w:rPr>
          <w:rFonts w:ascii="Arial" w:hAnsi="Arial" w:cs="Arial"/>
        </w:rPr>
        <w:t>p</w:t>
      </w:r>
      <w:r w:rsidR="00D449FB">
        <w:rPr>
          <w:rFonts w:ascii="Arial" w:hAnsi="Arial" w:cs="Arial"/>
        </w:rPr>
        <w:t xml:space="preserve">.133, </w:t>
      </w:r>
      <w:r w:rsidR="00337480">
        <w:rPr>
          <w:rFonts w:ascii="Arial" w:hAnsi="Arial" w:cs="Arial"/>
        </w:rPr>
        <w:t xml:space="preserve">2018) </w:t>
      </w:r>
      <w:r w:rsidR="00876E33">
        <w:rPr>
          <w:rFonts w:ascii="Arial" w:hAnsi="Arial" w:cs="Arial"/>
        </w:rPr>
        <w:t xml:space="preserve">argues that </w:t>
      </w:r>
      <w:r w:rsidR="009E305D">
        <w:rPr>
          <w:rFonts w:ascii="Arial" w:hAnsi="Arial" w:cs="Arial"/>
        </w:rPr>
        <w:t xml:space="preserve">the practice of framing </w:t>
      </w:r>
      <w:r w:rsidR="001C3181">
        <w:rPr>
          <w:rFonts w:ascii="Arial" w:hAnsi="Arial" w:cs="Arial"/>
        </w:rPr>
        <w:t xml:space="preserve">statutory interpretation is ‘unhelpful fiction’. </w:t>
      </w:r>
      <w:r w:rsidR="006C7D8F">
        <w:rPr>
          <w:rFonts w:ascii="Arial" w:hAnsi="Arial" w:cs="Arial"/>
        </w:rPr>
        <w:t xml:space="preserve">He strongly believes that </w:t>
      </w:r>
      <w:r w:rsidR="004E0F36">
        <w:rPr>
          <w:rFonts w:ascii="Arial" w:hAnsi="Arial" w:cs="Arial"/>
        </w:rPr>
        <w:t xml:space="preserve">it is not possible to identify a </w:t>
      </w:r>
      <w:r w:rsidR="00235663">
        <w:rPr>
          <w:rFonts w:ascii="Arial" w:hAnsi="Arial" w:cs="Arial"/>
        </w:rPr>
        <w:t>person’s</w:t>
      </w:r>
      <w:r w:rsidR="004E0F36">
        <w:rPr>
          <w:rFonts w:ascii="Arial" w:hAnsi="Arial" w:cs="Arial"/>
        </w:rPr>
        <w:t xml:space="preserve"> intentions </w:t>
      </w:r>
      <w:r w:rsidR="00235663">
        <w:rPr>
          <w:rFonts w:ascii="Arial" w:hAnsi="Arial" w:cs="Arial"/>
        </w:rPr>
        <w:t xml:space="preserve">by the policy of statute. </w:t>
      </w:r>
      <w:r w:rsidR="00261039">
        <w:rPr>
          <w:rFonts w:ascii="Arial" w:hAnsi="Arial" w:cs="Arial"/>
        </w:rPr>
        <w:t xml:space="preserve">He explains that judges are now </w:t>
      </w:r>
      <w:r w:rsidR="002013B5">
        <w:rPr>
          <w:rFonts w:ascii="Arial" w:hAnsi="Arial" w:cs="Arial"/>
        </w:rPr>
        <w:t>willing to construe statutes,</w:t>
      </w:r>
      <w:r w:rsidR="00D369E4">
        <w:rPr>
          <w:rFonts w:ascii="Arial" w:hAnsi="Arial" w:cs="Arial"/>
        </w:rPr>
        <w:t xml:space="preserve"> considering the legislative history and often “rectifying” </w:t>
      </w:r>
      <w:r w:rsidR="005D2FB1">
        <w:rPr>
          <w:rFonts w:ascii="Arial" w:hAnsi="Arial" w:cs="Arial"/>
        </w:rPr>
        <w:t xml:space="preserve">the words of statute. </w:t>
      </w:r>
    </w:p>
    <w:p w14:paraId="4754EA6C" w14:textId="77777777" w:rsidR="00916884" w:rsidRDefault="00916884" w:rsidP="00A44330">
      <w:pPr>
        <w:rPr>
          <w:rFonts w:ascii="Arial" w:hAnsi="Arial" w:cs="Arial"/>
        </w:rPr>
      </w:pPr>
    </w:p>
    <w:p w14:paraId="57F88733" w14:textId="3658E2A7" w:rsidR="003E14A9" w:rsidRDefault="00791DB5" w:rsidP="004044AF">
      <w:pPr>
        <w:ind w:left="720"/>
        <w:rPr>
          <w:rFonts w:ascii="Arial" w:hAnsi="Arial" w:cs="Arial"/>
        </w:rPr>
      </w:pPr>
      <w:r>
        <w:rPr>
          <w:rFonts w:ascii="Arial" w:hAnsi="Arial" w:cs="Arial"/>
        </w:rPr>
        <w:t>The Law Commission</w:t>
      </w:r>
      <w:r w:rsidR="005A2CCB">
        <w:rPr>
          <w:rFonts w:ascii="Arial" w:hAnsi="Arial" w:cs="Arial"/>
        </w:rPr>
        <w:t xml:space="preserve"> </w:t>
      </w:r>
      <w:r w:rsidR="001D0B8C">
        <w:rPr>
          <w:rFonts w:ascii="Arial" w:hAnsi="Arial" w:cs="Arial"/>
        </w:rPr>
        <w:t>(</w:t>
      </w:r>
      <w:r w:rsidR="005C4F94">
        <w:rPr>
          <w:rFonts w:ascii="Arial" w:hAnsi="Arial" w:cs="Arial"/>
        </w:rPr>
        <w:t>p</w:t>
      </w:r>
      <w:r w:rsidR="00846F70">
        <w:rPr>
          <w:rFonts w:ascii="Arial" w:hAnsi="Arial" w:cs="Arial"/>
        </w:rPr>
        <w:t xml:space="preserve">.2-4, </w:t>
      </w:r>
      <w:r w:rsidR="001D0B8C">
        <w:rPr>
          <w:rFonts w:ascii="Arial" w:hAnsi="Arial" w:cs="Arial"/>
        </w:rPr>
        <w:t xml:space="preserve">1969) </w:t>
      </w:r>
      <w:r w:rsidR="00024FA1">
        <w:rPr>
          <w:rFonts w:ascii="Arial" w:hAnsi="Arial" w:cs="Arial"/>
        </w:rPr>
        <w:t xml:space="preserve">argues that the </w:t>
      </w:r>
      <w:r w:rsidR="009C092A">
        <w:rPr>
          <w:rFonts w:ascii="Arial" w:hAnsi="Arial" w:cs="Arial"/>
        </w:rPr>
        <w:t xml:space="preserve">rules of statutory interpretation </w:t>
      </w:r>
      <w:r w:rsidR="00D733A8">
        <w:rPr>
          <w:rFonts w:ascii="Arial" w:hAnsi="Arial" w:cs="Arial"/>
        </w:rPr>
        <w:t>are sometimes difficult to apply and causes problems in the court</w:t>
      </w:r>
      <w:r w:rsidR="003F62F4">
        <w:rPr>
          <w:rFonts w:ascii="Arial" w:hAnsi="Arial" w:cs="Arial"/>
        </w:rPr>
        <w:t xml:space="preserve">, especially when </w:t>
      </w:r>
      <w:r w:rsidR="000770D6">
        <w:rPr>
          <w:rFonts w:ascii="Arial" w:hAnsi="Arial" w:cs="Arial"/>
        </w:rPr>
        <w:t xml:space="preserve">they don’t agree with one another, it creates conflict </w:t>
      </w:r>
      <w:r w:rsidR="000D3104">
        <w:rPr>
          <w:rFonts w:ascii="Arial" w:hAnsi="Arial" w:cs="Arial"/>
        </w:rPr>
        <w:t>when</w:t>
      </w:r>
      <w:r w:rsidR="0059242E">
        <w:rPr>
          <w:rFonts w:ascii="Arial" w:hAnsi="Arial" w:cs="Arial"/>
        </w:rPr>
        <w:t xml:space="preserve"> the </w:t>
      </w:r>
      <w:r w:rsidR="000D3104">
        <w:rPr>
          <w:rFonts w:ascii="Arial" w:hAnsi="Arial" w:cs="Arial"/>
        </w:rPr>
        <w:t>hierarchy</w:t>
      </w:r>
      <w:r w:rsidR="0059242E">
        <w:rPr>
          <w:rFonts w:ascii="Arial" w:hAnsi="Arial" w:cs="Arial"/>
        </w:rPr>
        <w:t xml:space="preserve"> </w:t>
      </w:r>
      <w:r w:rsidR="000D3104">
        <w:rPr>
          <w:rFonts w:ascii="Arial" w:hAnsi="Arial" w:cs="Arial"/>
        </w:rPr>
        <w:t xml:space="preserve">of importance is not clearly </w:t>
      </w:r>
      <w:r w:rsidR="00A013DC">
        <w:rPr>
          <w:rFonts w:ascii="Arial" w:hAnsi="Arial" w:cs="Arial"/>
        </w:rPr>
        <w:t xml:space="preserve">recognised. </w:t>
      </w:r>
      <w:r w:rsidR="00CC7DCA">
        <w:rPr>
          <w:rFonts w:ascii="Arial" w:hAnsi="Arial" w:cs="Arial"/>
        </w:rPr>
        <w:t xml:space="preserve">The law commission </w:t>
      </w:r>
      <w:r w:rsidR="00BF2410">
        <w:rPr>
          <w:rFonts w:ascii="Arial" w:hAnsi="Arial" w:cs="Arial"/>
        </w:rPr>
        <w:t xml:space="preserve">took on board the feedback and listened to the problem that had been highlighted, </w:t>
      </w:r>
      <w:r w:rsidR="00E438FF">
        <w:rPr>
          <w:rFonts w:ascii="Arial" w:hAnsi="Arial" w:cs="Arial"/>
        </w:rPr>
        <w:t>and as part of their duty, they</w:t>
      </w:r>
      <w:r w:rsidR="00513CA2">
        <w:rPr>
          <w:rFonts w:ascii="Arial" w:hAnsi="Arial" w:cs="Arial"/>
        </w:rPr>
        <w:t xml:space="preserve"> reviewed </w:t>
      </w:r>
      <w:r w:rsidR="00E415A8">
        <w:rPr>
          <w:rFonts w:ascii="Arial" w:hAnsi="Arial" w:cs="Arial"/>
        </w:rPr>
        <w:t xml:space="preserve">the law so that it can become more user friendly, simplifying the problems so the statute can be understood by everyone, with no confusions or conflict. </w:t>
      </w:r>
      <w:r w:rsidR="00BD066D">
        <w:rPr>
          <w:rFonts w:ascii="Arial" w:hAnsi="Arial" w:cs="Arial"/>
        </w:rPr>
        <w:t xml:space="preserve">The law commission argues that in order to understand </w:t>
      </w:r>
      <w:r w:rsidR="00C66B17">
        <w:rPr>
          <w:rFonts w:ascii="Arial" w:hAnsi="Arial" w:cs="Arial"/>
        </w:rPr>
        <w:t xml:space="preserve">statutory interpretation, </w:t>
      </w:r>
      <w:r w:rsidR="001541D2">
        <w:rPr>
          <w:rFonts w:ascii="Arial" w:hAnsi="Arial" w:cs="Arial"/>
        </w:rPr>
        <w:t xml:space="preserve">individuals in the courts </w:t>
      </w:r>
      <w:proofErr w:type="gramStart"/>
      <w:r w:rsidR="001541D2">
        <w:rPr>
          <w:rFonts w:ascii="Arial" w:hAnsi="Arial" w:cs="Arial"/>
        </w:rPr>
        <w:t>have to</w:t>
      </w:r>
      <w:proofErr w:type="gramEnd"/>
      <w:r w:rsidR="001E2E3C">
        <w:rPr>
          <w:rFonts w:ascii="Arial" w:hAnsi="Arial" w:cs="Arial"/>
        </w:rPr>
        <w:t xml:space="preserve"> learn it</w:t>
      </w:r>
      <w:r w:rsidR="00EC622E">
        <w:rPr>
          <w:rFonts w:ascii="Arial" w:hAnsi="Arial" w:cs="Arial"/>
        </w:rPr>
        <w:t xml:space="preserve"> </w:t>
      </w:r>
      <w:r w:rsidR="00027159">
        <w:rPr>
          <w:rFonts w:ascii="Arial" w:hAnsi="Arial" w:cs="Arial"/>
        </w:rPr>
        <w:t xml:space="preserve">and it depends on the ultimate analysis </w:t>
      </w:r>
      <w:r w:rsidR="00117232">
        <w:rPr>
          <w:rFonts w:ascii="Arial" w:hAnsi="Arial" w:cs="Arial"/>
        </w:rPr>
        <w:t xml:space="preserve">on intelligent anticipation of the way the courts would </w:t>
      </w:r>
      <w:r w:rsidR="003E14A9">
        <w:rPr>
          <w:rFonts w:ascii="Arial" w:hAnsi="Arial" w:cs="Arial"/>
        </w:rPr>
        <w:t xml:space="preserve">interpretate it. </w:t>
      </w:r>
    </w:p>
    <w:p w14:paraId="376E33BA" w14:textId="77777777" w:rsidR="001F00B9" w:rsidRDefault="001F00B9" w:rsidP="00A44330">
      <w:pPr>
        <w:rPr>
          <w:rFonts w:ascii="Arial" w:hAnsi="Arial" w:cs="Arial"/>
        </w:rPr>
      </w:pPr>
    </w:p>
    <w:p w14:paraId="7E815AC5" w14:textId="6AB0664C" w:rsidR="00EB433B" w:rsidRDefault="00365583" w:rsidP="001F00B9">
      <w:pPr>
        <w:ind w:left="720"/>
        <w:rPr>
          <w:rFonts w:ascii="Arial" w:hAnsi="Arial" w:cs="Arial"/>
        </w:rPr>
      </w:pPr>
      <w:r>
        <w:rPr>
          <w:rFonts w:ascii="Arial" w:hAnsi="Arial" w:cs="Arial"/>
        </w:rPr>
        <w:t xml:space="preserve">Although there are many benefits of statutory interpretation, </w:t>
      </w:r>
      <w:r w:rsidR="00A63177">
        <w:rPr>
          <w:rFonts w:ascii="Arial" w:hAnsi="Arial" w:cs="Arial"/>
        </w:rPr>
        <w:t xml:space="preserve">there are also many critics that suggest it is </w:t>
      </w:r>
      <w:r w:rsidR="000C037F">
        <w:rPr>
          <w:rFonts w:ascii="Arial" w:hAnsi="Arial" w:cs="Arial"/>
        </w:rPr>
        <w:t>not very useful and causes problems in the courts</w:t>
      </w:r>
      <w:r w:rsidR="00950631">
        <w:rPr>
          <w:rFonts w:ascii="Arial" w:hAnsi="Arial" w:cs="Arial"/>
        </w:rPr>
        <w:t xml:space="preserve"> which was highlighted by B</w:t>
      </w:r>
      <w:r w:rsidR="00F066C0">
        <w:rPr>
          <w:rFonts w:ascii="Arial" w:hAnsi="Arial" w:cs="Arial"/>
        </w:rPr>
        <w:t>urrows (</w:t>
      </w:r>
      <w:r w:rsidR="00D449FB">
        <w:rPr>
          <w:rFonts w:ascii="Arial" w:hAnsi="Arial" w:cs="Arial"/>
        </w:rPr>
        <w:t xml:space="preserve">p.133, </w:t>
      </w:r>
      <w:r w:rsidR="00F066C0">
        <w:rPr>
          <w:rFonts w:ascii="Arial" w:hAnsi="Arial" w:cs="Arial"/>
        </w:rPr>
        <w:t xml:space="preserve">2018) and </w:t>
      </w:r>
      <w:r w:rsidR="00303D8F">
        <w:rPr>
          <w:rFonts w:ascii="Arial" w:hAnsi="Arial" w:cs="Arial"/>
        </w:rPr>
        <w:t>the</w:t>
      </w:r>
      <w:r w:rsidR="00F066C0">
        <w:rPr>
          <w:rFonts w:ascii="Arial" w:hAnsi="Arial" w:cs="Arial"/>
        </w:rPr>
        <w:t xml:space="preserve"> law commission (</w:t>
      </w:r>
      <w:r w:rsidR="005C4F94">
        <w:rPr>
          <w:rFonts w:ascii="Arial" w:hAnsi="Arial" w:cs="Arial"/>
        </w:rPr>
        <w:t xml:space="preserve">p.2-4, </w:t>
      </w:r>
      <w:r w:rsidR="00F066C0">
        <w:rPr>
          <w:rFonts w:ascii="Arial" w:hAnsi="Arial" w:cs="Arial"/>
        </w:rPr>
        <w:t>1969)</w:t>
      </w:r>
      <w:r w:rsidR="000C037F">
        <w:rPr>
          <w:rFonts w:ascii="Arial" w:hAnsi="Arial" w:cs="Arial"/>
        </w:rPr>
        <w:t xml:space="preserve">. </w:t>
      </w:r>
      <w:r w:rsidR="00E52459">
        <w:rPr>
          <w:rFonts w:ascii="Arial" w:hAnsi="Arial" w:cs="Arial"/>
        </w:rPr>
        <w:t xml:space="preserve">There is </w:t>
      </w:r>
      <w:r w:rsidR="00631F94">
        <w:rPr>
          <w:rFonts w:ascii="Arial" w:hAnsi="Arial" w:cs="Arial"/>
        </w:rPr>
        <w:t xml:space="preserve">evidence found in cases that demonstrate the rules of statutory interpretation </w:t>
      </w:r>
      <w:r w:rsidR="00BB707C">
        <w:rPr>
          <w:rFonts w:ascii="Arial" w:hAnsi="Arial" w:cs="Arial"/>
        </w:rPr>
        <w:t xml:space="preserve">creates injustice and complexity </w:t>
      </w:r>
      <w:r w:rsidR="00B045FC">
        <w:rPr>
          <w:rFonts w:ascii="Arial" w:hAnsi="Arial" w:cs="Arial"/>
        </w:rPr>
        <w:t xml:space="preserve">to families and people within the courts. </w:t>
      </w:r>
      <w:r w:rsidR="00C03A87">
        <w:rPr>
          <w:rFonts w:ascii="Arial" w:hAnsi="Arial" w:cs="Arial"/>
        </w:rPr>
        <w:t xml:space="preserve">The literal rule is seen as the most problematic rule </w:t>
      </w:r>
      <w:r w:rsidR="00D02A43">
        <w:rPr>
          <w:rFonts w:ascii="Arial" w:hAnsi="Arial" w:cs="Arial"/>
        </w:rPr>
        <w:t xml:space="preserve">because it is very vague and causes the most problems, while the mischief rule </w:t>
      </w:r>
      <w:r w:rsidR="00FE1C5D">
        <w:rPr>
          <w:rFonts w:ascii="Arial" w:hAnsi="Arial" w:cs="Arial"/>
        </w:rPr>
        <w:t xml:space="preserve">is the most useful but still has flaws. </w:t>
      </w:r>
      <w:r w:rsidR="00DB6153">
        <w:rPr>
          <w:rFonts w:ascii="Arial" w:hAnsi="Arial" w:cs="Arial"/>
        </w:rPr>
        <w:t>In the case London and North-Eastern Railway Co v Berriman (19</w:t>
      </w:r>
      <w:r w:rsidR="00E45857">
        <w:rPr>
          <w:rFonts w:ascii="Arial" w:hAnsi="Arial" w:cs="Arial"/>
        </w:rPr>
        <w:t>46), the literal rule caused injustice for the railway workers family, which cause</w:t>
      </w:r>
      <w:r w:rsidR="00A60F61">
        <w:rPr>
          <w:rFonts w:ascii="Arial" w:hAnsi="Arial" w:cs="Arial"/>
        </w:rPr>
        <w:t xml:space="preserve">s people to go against the rules, and lose trust in the courts. </w:t>
      </w:r>
      <w:r w:rsidR="00823A2F">
        <w:rPr>
          <w:rFonts w:ascii="Arial" w:hAnsi="Arial" w:cs="Arial"/>
        </w:rPr>
        <w:t>Burrows (</w:t>
      </w:r>
      <w:r w:rsidR="00846F70">
        <w:rPr>
          <w:rFonts w:ascii="Arial" w:hAnsi="Arial" w:cs="Arial"/>
        </w:rPr>
        <w:t xml:space="preserve">p.113, </w:t>
      </w:r>
      <w:r w:rsidR="00823A2F">
        <w:rPr>
          <w:rFonts w:ascii="Arial" w:hAnsi="Arial" w:cs="Arial"/>
        </w:rPr>
        <w:t xml:space="preserve">2018) </w:t>
      </w:r>
      <w:r w:rsidR="00E4583F">
        <w:rPr>
          <w:rFonts w:ascii="Arial" w:hAnsi="Arial" w:cs="Arial"/>
        </w:rPr>
        <w:t xml:space="preserve">Argues that it is impossible to determine a defendants criminal liability using statute </w:t>
      </w:r>
      <w:r w:rsidR="003C2DCE">
        <w:rPr>
          <w:rFonts w:ascii="Arial" w:hAnsi="Arial" w:cs="Arial"/>
        </w:rPr>
        <w:t xml:space="preserve">The rules that were examined in this essay are the </w:t>
      </w:r>
      <w:r w:rsidR="00A44330">
        <w:rPr>
          <w:rFonts w:ascii="Arial" w:hAnsi="Arial" w:cs="Arial"/>
        </w:rPr>
        <w:t>judge’s</w:t>
      </w:r>
      <w:r w:rsidR="003C2DCE">
        <w:rPr>
          <w:rFonts w:ascii="Arial" w:hAnsi="Arial" w:cs="Arial"/>
        </w:rPr>
        <w:t xml:space="preserve"> guidance to </w:t>
      </w:r>
      <w:r w:rsidR="009B20BB">
        <w:rPr>
          <w:rFonts w:ascii="Arial" w:hAnsi="Arial" w:cs="Arial"/>
        </w:rPr>
        <w:t>a successful and fair outcome in the courts.</w:t>
      </w:r>
    </w:p>
    <w:p w14:paraId="53EA4532" w14:textId="77777777" w:rsidR="00210C65" w:rsidRDefault="00210C65" w:rsidP="001F00B9">
      <w:pPr>
        <w:ind w:left="720"/>
        <w:rPr>
          <w:rFonts w:ascii="Arial" w:hAnsi="Arial" w:cs="Arial"/>
        </w:rPr>
      </w:pPr>
    </w:p>
    <w:p w14:paraId="26239927" w14:textId="065BD559" w:rsidR="00C448E4" w:rsidRDefault="00210C65" w:rsidP="00DB2937">
      <w:pPr>
        <w:ind w:left="720"/>
        <w:rPr>
          <w:rFonts w:ascii="Arial" w:hAnsi="Arial" w:cs="Arial"/>
        </w:rPr>
      </w:pPr>
      <w:r>
        <w:rPr>
          <w:rFonts w:ascii="Arial" w:hAnsi="Arial" w:cs="Arial"/>
        </w:rPr>
        <w:t xml:space="preserve">Overall, it is clear to see that statutory interpretation could diminish </w:t>
      </w:r>
      <w:r w:rsidR="00E93A21">
        <w:rPr>
          <w:rFonts w:ascii="Arial" w:hAnsi="Arial" w:cs="Arial"/>
        </w:rPr>
        <w:t xml:space="preserve">legislation as the primary source of law in the UK because if the rules were made </w:t>
      </w:r>
      <w:r w:rsidR="004F3753">
        <w:rPr>
          <w:rFonts w:ascii="Arial" w:hAnsi="Arial" w:cs="Arial"/>
        </w:rPr>
        <w:t>clearer</w:t>
      </w:r>
      <w:r w:rsidR="00E93A21">
        <w:rPr>
          <w:rFonts w:ascii="Arial" w:hAnsi="Arial" w:cs="Arial"/>
        </w:rPr>
        <w:t xml:space="preserve"> </w:t>
      </w:r>
      <w:r w:rsidR="00CD53EF">
        <w:rPr>
          <w:rFonts w:ascii="Arial" w:hAnsi="Arial" w:cs="Arial"/>
        </w:rPr>
        <w:t>and the problems were fixed, this source of law could be successful</w:t>
      </w:r>
      <w:r w:rsidR="00567CFC">
        <w:rPr>
          <w:rFonts w:ascii="Arial" w:hAnsi="Arial" w:cs="Arial"/>
        </w:rPr>
        <w:t xml:space="preserve"> w</w:t>
      </w:r>
      <w:r w:rsidR="00CD53EF">
        <w:rPr>
          <w:rFonts w:ascii="Arial" w:hAnsi="Arial" w:cs="Arial"/>
        </w:rPr>
        <w:t>ith the correct training of the judges to implement these rules</w:t>
      </w:r>
      <w:r w:rsidR="00567CFC">
        <w:rPr>
          <w:rFonts w:ascii="Arial" w:hAnsi="Arial" w:cs="Arial"/>
        </w:rPr>
        <w:t>. The most important thing is that the judges keep the rules consistent</w:t>
      </w:r>
      <w:r w:rsidR="002A048D">
        <w:rPr>
          <w:rFonts w:ascii="Arial" w:hAnsi="Arial" w:cs="Arial"/>
        </w:rPr>
        <w:t>,</w:t>
      </w:r>
      <w:r w:rsidR="00567CFC">
        <w:rPr>
          <w:rFonts w:ascii="Arial" w:hAnsi="Arial" w:cs="Arial"/>
        </w:rPr>
        <w:t xml:space="preserve"> fair</w:t>
      </w:r>
      <w:r w:rsidR="002A048D">
        <w:rPr>
          <w:rFonts w:ascii="Arial" w:hAnsi="Arial" w:cs="Arial"/>
        </w:rPr>
        <w:t xml:space="preserve"> and clear to the public when they are</w:t>
      </w:r>
      <w:r w:rsidR="00301517">
        <w:rPr>
          <w:rFonts w:ascii="Arial" w:hAnsi="Arial" w:cs="Arial"/>
        </w:rPr>
        <w:t xml:space="preserve"> applying these rules, while</w:t>
      </w:r>
      <w:r w:rsidR="00567CFC">
        <w:rPr>
          <w:rFonts w:ascii="Arial" w:hAnsi="Arial" w:cs="Arial"/>
        </w:rPr>
        <w:t xml:space="preserve"> us</w:t>
      </w:r>
      <w:r w:rsidR="00301517">
        <w:rPr>
          <w:rFonts w:ascii="Arial" w:hAnsi="Arial" w:cs="Arial"/>
        </w:rPr>
        <w:t>ing</w:t>
      </w:r>
      <w:r w:rsidR="00567CFC">
        <w:rPr>
          <w:rFonts w:ascii="Arial" w:hAnsi="Arial" w:cs="Arial"/>
        </w:rPr>
        <w:t xml:space="preserve"> them within the guidelines of the court.</w:t>
      </w:r>
      <w:r w:rsidR="000C363F">
        <w:rPr>
          <w:rFonts w:ascii="Arial" w:hAnsi="Arial" w:cs="Arial"/>
        </w:rPr>
        <w:t xml:space="preserve"> </w:t>
      </w:r>
      <w:r w:rsidR="00AC47DE">
        <w:rPr>
          <w:rFonts w:ascii="Arial" w:hAnsi="Arial" w:cs="Arial"/>
        </w:rPr>
        <w:t xml:space="preserve">If the judges make use the rules fairly, in a way that the </w:t>
      </w:r>
      <w:r w:rsidR="00254477">
        <w:rPr>
          <w:rFonts w:ascii="Arial" w:hAnsi="Arial" w:cs="Arial"/>
        </w:rPr>
        <w:t xml:space="preserve">public understand their proposals, then </w:t>
      </w:r>
      <w:r w:rsidR="003E02DE">
        <w:rPr>
          <w:rFonts w:ascii="Arial" w:hAnsi="Arial" w:cs="Arial"/>
        </w:rPr>
        <w:t xml:space="preserve">statutory interpretation </w:t>
      </w:r>
      <w:r w:rsidR="00303D8F">
        <w:rPr>
          <w:rFonts w:ascii="Arial" w:hAnsi="Arial" w:cs="Arial"/>
        </w:rPr>
        <w:t>won’t</w:t>
      </w:r>
      <w:r w:rsidR="003E02DE">
        <w:rPr>
          <w:rFonts w:ascii="Arial" w:hAnsi="Arial" w:cs="Arial"/>
        </w:rPr>
        <w:t xml:space="preserve"> </w:t>
      </w:r>
      <w:r w:rsidR="0030740B">
        <w:rPr>
          <w:rFonts w:ascii="Arial" w:hAnsi="Arial" w:cs="Arial"/>
        </w:rPr>
        <w:t>diminish legislation, whereas if the rules remain unclear, then it will.</w:t>
      </w:r>
      <w:r w:rsidR="00567CFC">
        <w:rPr>
          <w:rFonts w:ascii="Arial" w:hAnsi="Arial" w:cs="Arial"/>
        </w:rPr>
        <w:t xml:space="preserve"> </w:t>
      </w:r>
      <w:r w:rsidR="002740DA">
        <w:rPr>
          <w:rFonts w:ascii="Arial" w:hAnsi="Arial" w:cs="Arial"/>
        </w:rPr>
        <w:t xml:space="preserve">This problem is preventable, by using statutory interpretation alongside </w:t>
      </w:r>
      <w:r w:rsidR="00BB114F">
        <w:rPr>
          <w:rFonts w:ascii="Arial" w:hAnsi="Arial" w:cs="Arial"/>
        </w:rPr>
        <w:t xml:space="preserve">legislation and working together with them, because they both have advantages as well as </w:t>
      </w:r>
      <w:r w:rsidR="00BB114F">
        <w:rPr>
          <w:rFonts w:ascii="Arial" w:hAnsi="Arial" w:cs="Arial"/>
        </w:rPr>
        <w:lastRenderedPageBreak/>
        <w:t xml:space="preserve">disadvantages and they </w:t>
      </w:r>
      <w:r w:rsidR="00E346F6">
        <w:rPr>
          <w:rFonts w:ascii="Arial" w:hAnsi="Arial" w:cs="Arial"/>
        </w:rPr>
        <w:t>could</w:t>
      </w:r>
      <w:r w:rsidR="00BB114F">
        <w:rPr>
          <w:rFonts w:ascii="Arial" w:hAnsi="Arial" w:cs="Arial"/>
        </w:rPr>
        <w:t xml:space="preserve"> </w:t>
      </w:r>
      <w:r w:rsidR="00E346F6">
        <w:rPr>
          <w:rFonts w:ascii="Arial" w:hAnsi="Arial" w:cs="Arial"/>
        </w:rPr>
        <w:t>work effectively together, rather than against each other.</w:t>
      </w:r>
    </w:p>
    <w:p w14:paraId="07BF6873" w14:textId="77777777" w:rsidR="00DB2937" w:rsidRPr="00DB2937" w:rsidRDefault="00DB2937" w:rsidP="00DB2937">
      <w:pPr>
        <w:ind w:left="720"/>
        <w:rPr>
          <w:rFonts w:ascii="Arial" w:hAnsi="Arial" w:cs="Arial"/>
        </w:rPr>
      </w:pPr>
    </w:p>
    <w:p w14:paraId="20F67BA1" w14:textId="6ADF15A1" w:rsidR="002A52EB" w:rsidRPr="00DB2937" w:rsidRDefault="00C448E4">
      <w:pPr>
        <w:rPr>
          <w:b/>
          <w:bCs/>
          <w:u w:val="single"/>
        </w:rPr>
      </w:pPr>
      <w:r w:rsidRPr="00DB2937">
        <w:rPr>
          <w:b/>
          <w:bCs/>
          <w:u w:val="single"/>
        </w:rPr>
        <w:t>Reference:</w:t>
      </w:r>
    </w:p>
    <w:p w14:paraId="3FBC2441" w14:textId="77777777" w:rsidR="00DB2937" w:rsidRDefault="00DB2937"/>
    <w:p w14:paraId="2F16D25F" w14:textId="77777777" w:rsidR="00DB2937" w:rsidRDefault="002A52EB">
      <w:r>
        <w:t xml:space="preserve">Advanced (2019), statutory interpretation; </w:t>
      </w:r>
      <w:r w:rsidRPr="006434F9">
        <w:rPr>
          <w:i/>
          <w:iCs/>
        </w:rPr>
        <w:t>4 rules to remember</w:t>
      </w:r>
      <w:r>
        <w:t xml:space="preserve">. Available at </w:t>
      </w:r>
      <w:hyperlink r:id="rId4" w:history="1">
        <w:r w:rsidRPr="00DF2A6C">
          <w:rPr>
            <w:rStyle w:val="Hyperlink"/>
          </w:rPr>
          <w:t>http://advancedlawtutors.com/statutory-interpretation-5-things-know/</w:t>
        </w:r>
      </w:hyperlink>
      <w:r>
        <w:t>. Accessed on 25</w:t>
      </w:r>
      <w:r w:rsidRPr="00B0515E">
        <w:rPr>
          <w:vertAlign w:val="superscript"/>
        </w:rPr>
        <w:t>th</w:t>
      </w:r>
      <w:r>
        <w:t xml:space="preserve"> April 2022. </w:t>
      </w:r>
    </w:p>
    <w:p w14:paraId="777DE1A2" w14:textId="77777777" w:rsidR="00DB2937" w:rsidRDefault="00DB2937"/>
    <w:p w14:paraId="136FD366" w14:textId="19915530" w:rsidR="002A52EB" w:rsidRDefault="002A52EB">
      <w:proofErr w:type="spellStart"/>
      <w:r>
        <w:t>Allbon</w:t>
      </w:r>
      <w:proofErr w:type="spellEnd"/>
      <w:r>
        <w:t xml:space="preserve"> (2020), pp 70-73 s3.3; Pearson’s Education, </w:t>
      </w:r>
      <w:r w:rsidRPr="006434F9">
        <w:rPr>
          <w:i/>
          <w:iCs/>
        </w:rPr>
        <w:t xml:space="preserve">Elliott &amp; </w:t>
      </w:r>
      <w:proofErr w:type="spellStart"/>
      <w:r w:rsidRPr="006434F9">
        <w:rPr>
          <w:i/>
          <w:iCs/>
        </w:rPr>
        <w:t>Quinns</w:t>
      </w:r>
      <w:proofErr w:type="spellEnd"/>
      <w:r w:rsidRPr="006434F9">
        <w:rPr>
          <w:i/>
          <w:iCs/>
        </w:rPr>
        <w:t xml:space="preserve"> English Legal system. Rules of Statutory interpretation</w:t>
      </w:r>
      <w:r>
        <w:t>. Accessed on 26</w:t>
      </w:r>
      <w:r w:rsidRPr="00A326EA">
        <w:rPr>
          <w:vertAlign w:val="superscript"/>
        </w:rPr>
        <w:t>th</w:t>
      </w:r>
      <w:r>
        <w:t xml:space="preserve"> April 2022. </w:t>
      </w:r>
    </w:p>
    <w:p w14:paraId="200DBF26" w14:textId="77777777" w:rsidR="00DB2937" w:rsidRDefault="00DB2937"/>
    <w:p w14:paraId="440DA913" w14:textId="77777777" w:rsidR="002A52EB" w:rsidRDefault="002A52EB">
      <w:r>
        <w:t xml:space="preserve">Burrows (2018), pp133. The Cambridge Law Journal. </w:t>
      </w:r>
      <w:r w:rsidRPr="006434F9">
        <w:rPr>
          <w:i/>
          <w:iCs/>
        </w:rPr>
        <w:t>Thinking about statutes: interpretation, interaction, improvement.</w:t>
      </w:r>
      <w:r>
        <w:t xml:space="preserve"> Accessed on 3</w:t>
      </w:r>
      <w:r w:rsidRPr="00B0586F">
        <w:rPr>
          <w:vertAlign w:val="superscript"/>
        </w:rPr>
        <w:t>rd</w:t>
      </w:r>
      <w:r>
        <w:t xml:space="preserve"> May 2022. </w:t>
      </w:r>
    </w:p>
    <w:p w14:paraId="7F5B4F43" w14:textId="77777777" w:rsidR="00DB2937" w:rsidRDefault="00DB2937"/>
    <w:p w14:paraId="5B1C2082" w14:textId="77777777" w:rsidR="002A52EB" w:rsidRDefault="002A52EB">
      <w:r>
        <w:t xml:space="preserve">Legislation.gov (2011), </w:t>
      </w:r>
      <w:r w:rsidRPr="006434F9">
        <w:rPr>
          <w:i/>
          <w:iCs/>
        </w:rPr>
        <w:t>Understanding legislation; how legislation works</w:t>
      </w:r>
      <w:r>
        <w:t xml:space="preserve">. Available at </w:t>
      </w:r>
      <w:hyperlink r:id="rId5" w:history="1">
        <w:r w:rsidRPr="000B5021">
          <w:rPr>
            <w:rStyle w:val="Hyperlink"/>
          </w:rPr>
          <w:t>https://www.legislation.gov.uk/understanding-legislation</w:t>
        </w:r>
      </w:hyperlink>
      <w:r>
        <w:t>. Accessed on 6</w:t>
      </w:r>
      <w:r w:rsidRPr="004F3753">
        <w:rPr>
          <w:vertAlign w:val="superscript"/>
        </w:rPr>
        <w:t>th</w:t>
      </w:r>
      <w:r>
        <w:t xml:space="preserve"> May 2022. </w:t>
      </w:r>
    </w:p>
    <w:p w14:paraId="3679353F" w14:textId="77777777" w:rsidR="00DB2937" w:rsidRDefault="00DB2937"/>
    <w:p w14:paraId="6117F690" w14:textId="77777777" w:rsidR="002A52EB" w:rsidRDefault="002A52EB">
      <w:proofErr w:type="spellStart"/>
      <w:r>
        <w:t>Mittra</w:t>
      </w:r>
      <w:proofErr w:type="spellEnd"/>
      <w:r>
        <w:t xml:space="preserve">. A (2021), Law Corner. </w:t>
      </w:r>
      <w:r w:rsidRPr="006434F9">
        <w:rPr>
          <w:i/>
          <w:iCs/>
        </w:rPr>
        <w:t>Mischief rule of interpretation of statutes: need for interpretation of statute.</w:t>
      </w:r>
      <w:r>
        <w:t xml:space="preserve"> Available at </w:t>
      </w:r>
      <w:hyperlink r:id="rId6" w:history="1">
        <w:r w:rsidRPr="000B5021">
          <w:rPr>
            <w:rStyle w:val="Hyperlink"/>
          </w:rPr>
          <w:t>https://lawcorner.in/mischief-rule-of-interpretation-of-statutes/</w:t>
        </w:r>
      </w:hyperlink>
      <w:r>
        <w:t>. Accessed on 3</w:t>
      </w:r>
      <w:r w:rsidRPr="00A00E8C">
        <w:rPr>
          <w:vertAlign w:val="superscript"/>
        </w:rPr>
        <w:t>rd</w:t>
      </w:r>
      <w:r>
        <w:t xml:space="preserve"> May 2022. </w:t>
      </w:r>
    </w:p>
    <w:p w14:paraId="0DC2ADA9" w14:textId="77777777" w:rsidR="00DB2937" w:rsidRDefault="00DB2937"/>
    <w:p w14:paraId="6F5ADC42" w14:textId="77777777" w:rsidR="002A52EB" w:rsidRDefault="002A52EB">
      <w:r>
        <w:t xml:space="preserve">Okur (2021), 4.2d, journal. </w:t>
      </w:r>
      <w:r w:rsidRPr="006434F9">
        <w:rPr>
          <w:i/>
          <w:iCs/>
        </w:rPr>
        <w:t>The rules of statutory interpretation</w:t>
      </w:r>
      <w:r>
        <w:t xml:space="preserve">. Available at </w:t>
      </w:r>
      <w:hyperlink r:id="rId7" w:history="1">
        <w:r w:rsidRPr="000B5021">
          <w:rPr>
            <w:rStyle w:val="Hyperlink"/>
          </w:rPr>
          <w:t>https://www.researchgate.net/publication/352152336_42_The_rules_of_statutory_interpretation</w:t>
        </w:r>
      </w:hyperlink>
      <w:r>
        <w:t>. Accessed on 28</w:t>
      </w:r>
      <w:r w:rsidRPr="00610AB2">
        <w:rPr>
          <w:vertAlign w:val="superscript"/>
        </w:rPr>
        <w:t>th</w:t>
      </w:r>
      <w:r>
        <w:t xml:space="preserve"> April 2022. </w:t>
      </w:r>
    </w:p>
    <w:p w14:paraId="36898A4A" w14:textId="77777777" w:rsidR="00DB2937" w:rsidRDefault="00DB2937"/>
    <w:p w14:paraId="0BC0CA0A" w14:textId="77777777" w:rsidR="002A52EB" w:rsidRDefault="002A52EB">
      <w:r>
        <w:t xml:space="preserve">Open University (2021), </w:t>
      </w:r>
      <w:r w:rsidRPr="006434F9">
        <w:rPr>
          <w:i/>
          <w:iCs/>
        </w:rPr>
        <w:t>Judges and the law. 6.4, The mischief rule</w:t>
      </w:r>
      <w:r>
        <w:t xml:space="preserve">. Available at </w:t>
      </w:r>
      <w:hyperlink r:id="rId8" w:history="1">
        <w:r w:rsidRPr="000B5021">
          <w:rPr>
            <w:rStyle w:val="Hyperlink"/>
          </w:rPr>
          <w:t>https://www.open.edu/openlearn/society-politics-law/judges-and-the-law/content-section-6.4</w:t>
        </w:r>
      </w:hyperlink>
      <w:r>
        <w:t>. Accessed on 3</w:t>
      </w:r>
      <w:r w:rsidRPr="004772A2">
        <w:rPr>
          <w:vertAlign w:val="superscript"/>
        </w:rPr>
        <w:t>rd</w:t>
      </w:r>
      <w:r>
        <w:t xml:space="preserve"> May 2022. </w:t>
      </w:r>
    </w:p>
    <w:p w14:paraId="522F2DCB" w14:textId="77777777" w:rsidR="00DB2937" w:rsidRDefault="00DB2937"/>
    <w:p w14:paraId="7E13910F" w14:textId="77777777" w:rsidR="002A52EB" w:rsidRDefault="002A52EB">
      <w:r>
        <w:t xml:space="preserve">Supreme court (2021), p.17. Statutory interpretation: </w:t>
      </w:r>
      <w:r w:rsidRPr="006434F9">
        <w:rPr>
          <w:i/>
          <w:iCs/>
        </w:rPr>
        <w:t>A collaboration between the democratic legislatures and the courts?</w:t>
      </w:r>
      <w:r>
        <w:t xml:space="preserve"> Available at </w:t>
      </w:r>
      <w:hyperlink r:id="rId9" w:history="1">
        <w:r w:rsidRPr="00DF2A6C">
          <w:rPr>
            <w:rStyle w:val="Hyperlink"/>
          </w:rPr>
          <w:t>https://www.supremecourt.uk/docs/statutory-interpretation-a-collaboration-between-democratic-legislatures.pdf</w:t>
        </w:r>
      </w:hyperlink>
      <w:r>
        <w:t>. Accessed on 11</w:t>
      </w:r>
      <w:r w:rsidRPr="004E25C5">
        <w:rPr>
          <w:vertAlign w:val="superscript"/>
        </w:rPr>
        <w:t>th</w:t>
      </w:r>
      <w:r>
        <w:t xml:space="preserve"> April 2022.</w:t>
      </w:r>
    </w:p>
    <w:p w14:paraId="5414D565" w14:textId="77777777" w:rsidR="00DB2937" w:rsidRDefault="00DB2937"/>
    <w:p w14:paraId="4FB0EBD4" w14:textId="77777777" w:rsidR="002A52EB" w:rsidRDefault="002A52EB">
      <w:r>
        <w:t xml:space="preserve">The Law Commission (1969), p.2-4. The Interpretation of statutes; </w:t>
      </w:r>
      <w:r w:rsidRPr="006434F9">
        <w:rPr>
          <w:i/>
          <w:iCs/>
        </w:rPr>
        <w:t>The scope and nature of the problem</w:t>
      </w:r>
      <w:r>
        <w:t xml:space="preserve">. Available at </w:t>
      </w:r>
      <w:hyperlink r:id="rId10" w:history="1">
        <w:r w:rsidRPr="00DF2A6C">
          <w:rPr>
            <w:rStyle w:val="Hyperlink"/>
          </w:rPr>
          <w:t>https://assets.publishing.service.gov.uk/government/uploads/system/uploads/attachment_data/file/228894/0256.pdf</w:t>
        </w:r>
      </w:hyperlink>
      <w:r>
        <w:t>. Accessed on 26</w:t>
      </w:r>
      <w:r w:rsidRPr="004044AF">
        <w:rPr>
          <w:vertAlign w:val="superscript"/>
        </w:rPr>
        <w:t>th</w:t>
      </w:r>
      <w:r>
        <w:t xml:space="preserve"> April 2022. </w:t>
      </w:r>
    </w:p>
    <w:p w14:paraId="70328F54" w14:textId="77777777" w:rsidR="00DB2937" w:rsidRDefault="00DB2937"/>
    <w:p w14:paraId="5153F5C3" w14:textId="77777777" w:rsidR="002A52EB" w:rsidRDefault="002A52EB">
      <w:r>
        <w:t xml:space="preserve">The Supreme Court (2019), p.1. </w:t>
      </w:r>
      <w:r w:rsidRPr="006434F9">
        <w:rPr>
          <w:i/>
          <w:iCs/>
        </w:rPr>
        <w:t>In defence of legislative intention</w:t>
      </w:r>
      <w:r>
        <w:t xml:space="preserve">. Available at </w:t>
      </w:r>
      <w:hyperlink r:id="rId11" w:history="1">
        <w:r w:rsidRPr="000B5021">
          <w:rPr>
            <w:rStyle w:val="Hyperlink"/>
          </w:rPr>
          <w:t>https://www.supremecourt.uk/docs/speech-191119.pdf</w:t>
        </w:r>
      </w:hyperlink>
      <w:r>
        <w:t>. Accessed on 3</w:t>
      </w:r>
      <w:r w:rsidRPr="00C701EE">
        <w:rPr>
          <w:vertAlign w:val="superscript"/>
        </w:rPr>
        <w:t>rd</w:t>
      </w:r>
      <w:r>
        <w:t xml:space="preserve"> May 2022. </w:t>
      </w:r>
    </w:p>
    <w:p w14:paraId="5AF4B57D" w14:textId="77777777" w:rsidR="00DB2937" w:rsidRDefault="00DB2937"/>
    <w:p w14:paraId="1D081A33" w14:textId="77777777" w:rsidR="002A52EB" w:rsidRDefault="002A52EB">
      <w:r>
        <w:t xml:space="preserve">UK Parliament (2022), </w:t>
      </w:r>
      <w:r w:rsidRPr="006434F9">
        <w:rPr>
          <w:i/>
          <w:iCs/>
        </w:rPr>
        <w:t>Legislation</w:t>
      </w:r>
      <w:r>
        <w:t xml:space="preserve">. Available at </w:t>
      </w:r>
      <w:hyperlink r:id="rId12" w:history="1">
        <w:r w:rsidRPr="000B5021">
          <w:rPr>
            <w:rStyle w:val="Hyperlink"/>
          </w:rPr>
          <w:t>https://www.parliament.uk/site-information/glossary/legislation/</w:t>
        </w:r>
      </w:hyperlink>
      <w:r>
        <w:t>. Accessed on 6</w:t>
      </w:r>
      <w:r w:rsidRPr="00E842AD">
        <w:rPr>
          <w:vertAlign w:val="superscript"/>
        </w:rPr>
        <w:t>th</w:t>
      </w:r>
      <w:r>
        <w:t xml:space="preserve"> May 2022. </w:t>
      </w:r>
    </w:p>
    <w:p w14:paraId="642CD66F" w14:textId="09AF9604" w:rsidR="003A58A8" w:rsidRDefault="003A58A8">
      <w:pPr>
        <w:rPr>
          <w:b/>
          <w:bCs/>
          <w:u w:val="single"/>
        </w:rPr>
      </w:pPr>
      <w:r w:rsidRPr="00A44330">
        <w:rPr>
          <w:b/>
          <w:bCs/>
          <w:u w:val="single"/>
        </w:rPr>
        <w:t>Case Law</w:t>
      </w:r>
    </w:p>
    <w:p w14:paraId="44BE436E" w14:textId="77777777" w:rsidR="00DB2937" w:rsidRPr="00A44330" w:rsidRDefault="00DB2937">
      <w:pPr>
        <w:rPr>
          <w:b/>
          <w:bCs/>
          <w:u w:val="single"/>
        </w:rPr>
      </w:pPr>
    </w:p>
    <w:p w14:paraId="77932BAB" w14:textId="77777777" w:rsidR="00DB2937" w:rsidRDefault="00DB2937">
      <w:pPr>
        <w:rPr>
          <w:rFonts w:ascii="Arial" w:hAnsi="Arial" w:cs="Arial"/>
        </w:rPr>
      </w:pPr>
      <w:r w:rsidRPr="006434F9">
        <w:rPr>
          <w:rFonts w:ascii="Arial" w:hAnsi="Arial" w:cs="Arial"/>
          <w:i/>
          <w:iCs/>
        </w:rPr>
        <w:lastRenderedPageBreak/>
        <w:t>Corkery v Carpente</w:t>
      </w:r>
      <w:r>
        <w:rPr>
          <w:rFonts w:ascii="Arial" w:hAnsi="Arial" w:cs="Arial"/>
        </w:rPr>
        <w:t>r (1951)</w:t>
      </w:r>
    </w:p>
    <w:p w14:paraId="63FF4790" w14:textId="77777777" w:rsidR="00DB2937" w:rsidRDefault="00DB2937">
      <w:r w:rsidRPr="006434F9">
        <w:rPr>
          <w:rFonts w:ascii="Arial" w:hAnsi="Arial" w:cs="Arial"/>
          <w:i/>
          <w:iCs/>
        </w:rPr>
        <w:t>Council v Newport Corporation</w:t>
      </w:r>
      <w:r>
        <w:rPr>
          <w:rFonts w:ascii="Arial" w:hAnsi="Arial" w:cs="Arial"/>
        </w:rPr>
        <w:t xml:space="preserve"> (1950)</w:t>
      </w:r>
    </w:p>
    <w:p w14:paraId="536956AC" w14:textId="77777777" w:rsidR="00DB2937" w:rsidRDefault="00DB2937">
      <w:pPr>
        <w:rPr>
          <w:rFonts w:ascii="Arial" w:hAnsi="Arial" w:cs="Arial"/>
        </w:rPr>
      </w:pPr>
      <w:r w:rsidRPr="006434F9">
        <w:rPr>
          <w:rFonts w:ascii="Arial" w:hAnsi="Arial" w:cs="Arial"/>
          <w:i/>
          <w:iCs/>
        </w:rPr>
        <w:t>London and North-eastern Railway Co v Berriman</w:t>
      </w:r>
      <w:r>
        <w:rPr>
          <w:rFonts w:ascii="Arial" w:hAnsi="Arial" w:cs="Arial"/>
        </w:rPr>
        <w:t xml:space="preserve"> (1946)</w:t>
      </w:r>
    </w:p>
    <w:p w14:paraId="0B2EEBE4" w14:textId="77777777" w:rsidR="00DB2937" w:rsidRDefault="00DB2937">
      <w:pPr>
        <w:rPr>
          <w:rFonts w:ascii="Arial" w:hAnsi="Arial" w:cs="Arial"/>
        </w:rPr>
      </w:pPr>
      <w:r w:rsidRPr="006434F9">
        <w:rPr>
          <w:rFonts w:ascii="Arial" w:hAnsi="Arial" w:cs="Arial"/>
          <w:i/>
          <w:iCs/>
        </w:rPr>
        <w:t>Maddox v Storer</w:t>
      </w:r>
      <w:r>
        <w:rPr>
          <w:rFonts w:ascii="Arial" w:hAnsi="Arial" w:cs="Arial"/>
        </w:rPr>
        <w:t xml:space="preserve"> (1963)</w:t>
      </w:r>
    </w:p>
    <w:sectPr w:rsidR="00DB29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0B9"/>
    <w:rsid w:val="00001A83"/>
    <w:rsid w:val="000059FF"/>
    <w:rsid w:val="00024FA1"/>
    <w:rsid w:val="00027159"/>
    <w:rsid w:val="0002739F"/>
    <w:rsid w:val="000333C3"/>
    <w:rsid w:val="000372B7"/>
    <w:rsid w:val="000502B2"/>
    <w:rsid w:val="000552F0"/>
    <w:rsid w:val="00065041"/>
    <w:rsid w:val="000770D6"/>
    <w:rsid w:val="0008642D"/>
    <w:rsid w:val="00091D68"/>
    <w:rsid w:val="00092A26"/>
    <w:rsid w:val="000A734B"/>
    <w:rsid w:val="000B1801"/>
    <w:rsid w:val="000C037F"/>
    <w:rsid w:val="000C2205"/>
    <w:rsid w:val="000C363F"/>
    <w:rsid w:val="000C365C"/>
    <w:rsid w:val="000D3104"/>
    <w:rsid w:val="000E25F4"/>
    <w:rsid w:val="000E6867"/>
    <w:rsid w:val="000F1C66"/>
    <w:rsid w:val="000F272A"/>
    <w:rsid w:val="000F43D7"/>
    <w:rsid w:val="000F51D0"/>
    <w:rsid w:val="00102257"/>
    <w:rsid w:val="00114259"/>
    <w:rsid w:val="00117232"/>
    <w:rsid w:val="001405D6"/>
    <w:rsid w:val="001441B9"/>
    <w:rsid w:val="001512A1"/>
    <w:rsid w:val="001541D2"/>
    <w:rsid w:val="00160E3B"/>
    <w:rsid w:val="00187134"/>
    <w:rsid w:val="001A70B7"/>
    <w:rsid w:val="001B777F"/>
    <w:rsid w:val="001C251C"/>
    <w:rsid w:val="001C3181"/>
    <w:rsid w:val="001C4DA6"/>
    <w:rsid w:val="001D0B8C"/>
    <w:rsid w:val="001D3006"/>
    <w:rsid w:val="001E2E3C"/>
    <w:rsid w:val="001F00B9"/>
    <w:rsid w:val="001F16AF"/>
    <w:rsid w:val="001F4C22"/>
    <w:rsid w:val="001F5115"/>
    <w:rsid w:val="001F74A6"/>
    <w:rsid w:val="002013B5"/>
    <w:rsid w:val="00210C65"/>
    <w:rsid w:val="00211411"/>
    <w:rsid w:val="00220FC8"/>
    <w:rsid w:val="00222A91"/>
    <w:rsid w:val="00235663"/>
    <w:rsid w:val="00236A9C"/>
    <w:rsid w:val="00241814"/>
    <w:rsid w:val="00252ADB"/>
    <w:rsid w:val="00254477"/>
    <w:rsid w:val="002546D8"/>
    <w:rsid w:val="00261039"/>
    <w:rsid w:val="002648CD"/>
    <w:rsid w:val="00265DED"/>
    <w:rsid w:val="0027104C"/>
    <w:rsid w:val="002740DA"/>
    <w:rsid w:val="002755F9"/>
    <w:rsid w:val="00277D3C"/>
    <w:rsid w:val="00284344"/>
    <w:rsid w:val="002864CD"/>
    <w:rsid w:val="00286CF3"/>
    <w:rsid w:val="00290A06"/>
    <w:rsid w:val="00292C3D"/>
    <w:rsid w:val="002A048D"/>
    <w:rsid w:val="002A24AD"/>
    <w:rsid w:val="002A52EB"/>
    <w:rsid w:val="002B3545"/>
    <w:rsid w:val="002C357B"/>
    <w:rsid w:val="002D369F"/>
    <w:rsid w:val="002E17B2"/>
    <w:rsid w:val="00301517"/>
    <w:rsid w:val="00303D8F"/>
    <w:rsid w:val="0030740B"/>
    <w:rsid w:val="00337480"/>
    <w:rsid w:val="00353A34"/>
    <w:rsid w:val="0035542D"/>
    <w:rsid w:val="00365583"/>
    <w:rsid w:val="003A58A8"/>
    <w:rsid w:val="003B2E97"/>
    <w:rsid w:val="003B348D"/>
    <w:rsid w:val="003C2DCE"/>
    <w:rsid w:val="003E02DE"/>
    <w:rsid w:val="003E0417"/>
    <w:rsid w:val="003E14A9"/>
    <w:rsid w:val="003E44D1"/>
    <w:rsid w:val="003F62F4"/>
    <w:rsid w:val="0040132B"/>
    <w:rsid w:val="004044AF"/>
    <w:rsid w:val="004135BF"/>
    <w:rsid w:val="00446E0B"/>
    <w:rsid w:val="00452E93"/>
    <w:rsid w:val="00454B0E"/>
    <w:rsid w:val="004729E4"/>
    <w:rsid w:val="00474C09"/>
    <w:rsid w:val="004772A2"/>
    <w:rsid w:val="00487677"/>
    <w:rsid w:val="00493803"/>
    <w:rsid w:val="00497476"/>
    <w:rsid w:val="004B01ED"/>
    <w:rsid w:val="004B0414"/>
    <w:rsid w:val="004E0F36"/>
    <w:rsid w:val="004E25C5"/>
    <w:rsid w:val="004E4672"/>
    <w:rsid w:val="004E62E7"/>
    <w:rsid w:val="004E65D7"/>
    <w:rsid w:val="004F3753"/>
    <w:rsid w:val="004F382A"/>
    <w:rsid w:val="004F4BA5"/>
    <w:rsid w:val="00512581"/>
    <w:rsid w:val="00513CA2"/>
    <w:rsid w:val="00522FFD"/>
    <w:rsid w:val="00525DA5"/>
    <w:rsid w:val="00541E40"/>
    <w:rsid w:val="00542145"/>
    <w:rsid w:val="00555D20"/>
    <w:rsid w:val="00567CFC"/>
    <w:rsid w:val="00571FEC"/>
    <w:rsid w:val="0058181D"/>
    <w:rsid w:val="00586213"/>
    <w:rsid w:val="00590416"/>
    <w:rsid w:val="0059242E"/>
    <w:rsid w:val="005A2CCB"/>
    <w:rsid w:val="005A6F0F"/>
    <w:rsid w:val="005B36CC"/>
    <w:rsid w:val="005C4F94"/>
    <w:rsid w:val="005D04A8"/>
    <w:rsid w:val="005D2FB1"/>
    <w:rsid w:val="005D7F5D"/>
    <w:rsid w:val="005F245F"/>
    <w:rsid w:val="00606D2F"/>
    <w:rsid w:val="00607ED0"/>
    <w:rsid w:val="00610AB2"/>
    <w:rsid w:val="0063167F"/>
    <w:rsid w:val="00631F94"/>
    <w:rsid w:val="00635E85"/>
    <w:rsid w:val="006434F9"/>
    <w:rsid w:val="0067282E"/>
    <w:rsid w:val="0068291E"/>
    <w:rsid w:val="00692F16"/>
    <w:rsid w:val="006C2F27"/>
    <w:rsid w:val="006C361F"/>
    <w:rsid w:val="006C7D8F"/>
    <w:rsid w:val="006D1D2B"/>
    <w:rsid w:val="006D3262"/>
    <w:rsid w:val="006E7538"/>
    <w:rsid w:val="006F663F"/>
    <w:rsid w:val="0070765F"/>
    <w:rsid w:val="007101F6"/>
    <w:rsid w:val="007658F4"/>
    <w:rsid w:val="00774BE4"/>
    <w:rsid w:val="007858F0"/>
    <w:rsid w:val="00786A70"/>
    <w:rsid w:val="00791DB5"/>
    <w:rsid w:val="00794B5B"/>
    <w:rsid w:val="00794B5D"/>
    <w:rsid w:val="007C276C"/>
    <w:rsid w:val="007D0B7F"/>
    <w:rsid w:val="007E274F"/>
    <w:rsid w:val="007E7034"/>
    <w:rsid w:val="00803151"/>
    <w:rsid w:val="00806CBC"/>
    <w:rsid w:val="00823A2F"/>
    <w:rsid w:val="00831A1E"/>
    <w:rsid w:val="00846F70"/>
    <w:rsid w:val="008734E2"/>
    <w:rsid w:val="00876E33"/>
    <w:rsid w:val="00897505"/>
    <w:rsid w:val="008C47D0"/>
    <w:rsid w:val="008E1C4A"/>
    <w:rsid w:val="008E1CFB"/>
    <w:rsid w:val="008E6CB0"/>
    <w:rsid w:val="009010E2"/>
    <w:rsid w:val="00901FC5"/>
    <w:rsid w:val="009025B5"/>
    <w:rsid w:val="00906FC1"/>
    <w:rsid w:val="00916884"/>
    <w:rsid w:val="0094327D"/>
    <w:rsid w:val="00950631"/>
    <w:rsid w:val="00962846"/>
    <w:rsid w:val="0096600F"/>
    <w:rsid w:val="00983F77"/>
    <w:rsid w:val="00993244"/>
    <w:rsid w:val="009B0E45"/>
    <w:rsid w:val="009B20BB"/>
    <w:rsid w:val="009B7217"/>
    <w:rsid w:val="009C092A"/>
    <w:rsid w:val="009C160E"/>
    <w:rsid w:val="009E305D"/>
    <w:rsid w:val="009E3E9C"/>
    <w:rsid w:val="009E45C0"/>
    <w:rsid w:val="009F24DD"/>
    <w:rsid w:val="00A00E8C"/>
    <w:rsid w:val="00A013DC"/>
    <w:rsid w:val="00A02560"/>
    <w:rsid w:val="00A162F3"/>
    <w:rsid w:val="00A26FEB"/>
    <w:rsid w:val="00A326EA"/>
    <w:rsid w:val="00A358DF"/>
    <w:rsid w:val="00A44330"/>
    <w:rsid w:val="00A4708B"/>
    <w:rsid w:val="00A505E7"/>
    <w:rsid w:val="00A60F61"/>
    <w:rsid w:val="00A63177"/>
    <w:rsid w:val="00A74D82"/>
    <w:rsid w:val="00A81D65"/>
    <w:rsid w:val="00A901BC"/>
    <w:rsid w:val="00A915BC"/>
    <w:rsid w:val="00A94157"/>
    <w:rsid w:val="00A9452F"/>
    <w:rsid w:val="00A9690F"/>
    <w:rsid w:val="00AC47DE"/>
    <w:rsid w:val="00AE12AD"/>
    <w:rsid w:val="00AE7C07"/>
    <w:rsid w:val="00AF3989"/>
    <w:rsid w:val="00AF6783"/>
    <w:rsid w:val="00B03046"/>
    <w:rsid w:val="00B045FC"/>
    <w:rsid w:val="00B0515E"/>
    <w:rsid w:val="00B0586F"/>
    <w:rsid w:val="00B06041"/>
    <w:rsid w:val="00B1768A"/>
    <w:rsid w:val="00B213EB"/>
    <w:rsid w:val="00B31205"/>
    <w:rsid w:val="00B40B5F"/>
    <w:rsid w:val="00B44750"/>
    <w:rsid w:val="00B46B10"/>
    <w:rsid w:val="00B50E75"/>
    <w:rsid w:val="00B776D8"/>
    <w:rsid w:val="00B8777C"/>
    <w:rsid w:val="00BA5AC9"/>
    <w:rsid w:val="00BB114F"/>
    <w:rsid w:val="00BB707C"/>
    <w:rsid w:val="00BD066D"/>
    <w:rsid w:val="00BD34BE"/>
    <w:rsid w:val="00BE45FA"/>
    <w:rsid w:val="00BF2410"/>
    <w:rsid w:val="00C00B0F"/>
    <w:rsid w:val="00C03A87"/>
    <w:rsid w:val="00C25928"/>
    <w:rsid w:val="00C25EC6"/>
    <w:rsid w:val="00C448E4"/>
    <w:rsid w:val="00C64E96"/>
    <w:rsid w:val="00C66B17"/>
    <w:rsid w:val="00C701EE"/>
    <w:rsid w:val="00C8635F"/>
    <w:rsid w:val="00C869B4"/>
    <w:rsid w:val="00C933BB"/>
    <w:rsid w:val="00C93BB0"/>
    <w:rsid w:val="00CA34BD"/>
    <w:rsid w:val="00CA63D2"/>
    <w:rsid w:val="00CA7F2C"/>
    <w:rsid w:val="00CB5B9C"/>
    <w:rsid w:val="00CC587E"/>
    <w:rsid w:val="00CC7DCA"/>
    <w:rsid w:val="00CD53EF"/>
    <w:rsid w:val="00CF08B5"/>
    <w:rsid w:val="00D001CE"/>
    <w:rsid w:val="00D02A43"/>
    <w:rsid w:val="00D369E4"/>
    <w:rsid w:val="00D4103F"/>
    <w:rsid w:val="00D449FB"/>
    <w:rsid w:val="00D47949"/>
    <w:rsid w:val="00D513D9"/>
    <w:rsid w:val="00D5341C"/>
    <w:rsid w:val="00D618CD"/>
    <w:rsid w:val="00D733A8"/>
    <w:rsid w:val="00D7747A"/>
    <w:rsid w:val="00D82554"/>
    <w:rsid w:val="00DB2937"/>
    <w:rsid w:val="00DB6153"/>
    <w:rsid w:val="00DD7118"/>
    <w:rsid w:val="00DD761C"/>
    <w:rsid w:val="00DE06CB"/>
    <w:rsid w:val="00DE6E16"/>
    <w:rsid w:val="00DF1852"/>
    <w:rsid w:val="00E346F6"/>
    <w:rsid w:val="00E376CA"/>
    <w:rsid w:val="00E41307"/>
    <w:rsid w:val="00E415A8"/>
    <w:rsid w:val="00E438FF"/>
    <w:rsid w:val="00E4583F"/>
    <w:rsid w:val="00E45857"/>
    <w:rsid w:val="00E52459"/>
    <w:rsid w:val="00E556F8"/>
    <w:rsid w:val="00E60A7E"/>
    <w:rsid w:val="00E7247B"/>
    <w:rsid w:val="00E842AD"/>
    <w:rsid w:val="00E93A21"/>
    <w:rsid w:val="00EB433B"/>
    <w:rsid w:val="00EB7C2A"/>
    <w:rsid w:val="00EC1DED"/>
    <w:rsid w:val="00EC2E78"/>
    <w:rsid w:val="00EC622E"/>
    <w:rsid w:val="00EE6070"/>
    <w:rsid w:val="00EE68A5"/>
    <w:rsid w:val="00EF2268"/>
    <w:rsid w:val="00EF68FE"/>
    <w:rsid w:val="00F02BFA"/>
    <w:rsid w:val="00F066C0"/>
    <w:rsid w:val="00F1571B"/>
    <w:rsid w:val="00F51ED0"/>
    <w:rsid w:val="00F93B60"/>
    <w:rsid w:val="00FC0D32"/>
    <w:rsid w:val="00FD172C"/>
    <w:rsid w:val="00FD2D5E"/>
    <w:rsid w:val="00FE1C5D"/>
    <w:rsid w:val="00FE5AFA"/>
    <w:rsid w:val="00FF10C2"/>
    <w:rsid w:val="00FF7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8071B4"/>
  <w15:chartTrackingRefBased/>
  <w15:docId w15:val="{AC94E8C9-CDFC-B14D-836A-5E265F6AD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25C5"/>
    <w:rPr>
      <w:color w:val="0563C1" w:themeColor="hyperlink"/>
      <w:u w:val="single"/>
    </w:rPr>
  </w:style>
  <w:style w:type="character" w:styleId="UnresolvedMention">
    <w:name w:val="Unresolved Mention"/>
    <w:basedOn w:val="DefaultParagraphFont"/>
    <w:uiPriority w:val="99"/>
    <w:semiHidden/>
    <w:unhideWhenUsed/>
    <w:rsid w:val="004E25C5"/>
    <w:rPr>
      <w:color w:val="605E5C"/>
      <w:shd w:val="clear" w:color="auto" w:fill="E1DFDD"/>
    </w:rPr>
  </w:style>
  <w:style w:type="character" w:styleId="FollowedHyperlink">
    <w:name w:val="FollowedHyperlink"/>
    <w:basedOn w:val="DefaultParagraphFont"/>
    <w:uiPriority w:val="99"/>
    <w:semiHidden/>
    <w:unhideWhenUsed/>
    <w:rsid w:val="004E25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society-politics-law/judges-and-the-law/content-section-6.4"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esearchgate.net/publication/352152336_42_The_rules_of_statutory_interpretation" TargetMode="External"/><Relationship Id="rId12" Type="http://schemas.openxmlformats.org/officeDocument/2006/relationships/hyperlink" Target="https://www.parliament.uk/site-information/glossary/legisl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awcorner.in/mischief-rule-of-interpretation-of-statutes/" TargetMode="External"/><Relationship Id="rId11" Type="http://schemas.openxmlformats.org/officeDocument/2006/relationships/hyperlink" Target="https://www.supremecourt.uk/docs/speech-191119.pdf" TargetMode="External"/><Relationship Id="rId5" Type="http://schemas.openxmlformats.org/officeDocument/2006/relationships/hyperlink" Target="https://www.legislation.gov.uk/understanding-legislation" TargetMode="External"/><Relationship Id="rId10" Type="http://schemas.openxmlformats.org/officeDocument/2006/relationships/hyperlink" Target="https://assets.publishing.service.gov.uk/government/uploads/system/uploads/attachment_data/file/228894/0256.pdf" TargetMode="External"/><Relationship Id="rId4" Type="http://schemas.openxmlformats.org/officeDocument/2006/relationships/hyperlink" Target="http://advancedlawtutors.com/statutory-interpretation-5-things-know/" TargetMode="External"/><Relationship Id="rId9" Type="http://schemas.openxmlformats.org/officeDocument/2006/relationships/hyperlink" Target="https://www.supremecourt.uk/docs/statutory-interpretation-a-collaboration-between-democratic-legislature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5</Pages>
  <Words>1907</Words>
  <Characters>10872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Thomas (2103005)</dc:creator>
  <cp:keywords/>
  <dc:description/>
  <cp:lastModifiedBy>Paige Thomas (2103005)</cp:lastModifiedBy>
  <cp:revision>315</cp:revision>
  <dcterms:created xsi:type="dcterms:W3CDTF">2022-04-11T11:20:00Z</dcterms:created>
  <dcterms:modified xsi:type="dcterms:W3CDTF">2022-05-06T13:18:00Z</dcterms:modified>
</cp:coreProperties>
</file>