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560C7C">
        <w:t>Neal McWilliams</w:t>
      </w:r>
    </w:p>
    <w:p w:rsidR="007E4409" w:rsidRDefault="00560C7C">
      <w:r>
        <w:t>PC 6734</w:t>
      </w:r>
      <w:r w:rsidR="00E41B08">
        <w:t xml:space="preserve"> - </w:t>
      </w:r>
      <w:r w:rsidR="007E4409">
        <w:t>South Wales Police</w:t>
      </w:r>
    </w:p>
    <w:p w:rsidR="00390F03" w:rsidRDefault="007E4409">
      <w:r>
        <w:t xml:space="preserve">Student Number: </w:t>
      </w:r>
      <w:r w:rsidR="00560C7C">
        <w:t>1922465</w:t>
      </w:r>
    </w:p>
    <w:p w:rsidR="00682F3B" w:rsidRDefault="00560C7C">
      <w:r>
        <w:t>Exam 2 – 16/11/20</w:t>
      </w:r>
    </w:p>
    <w:p w:rsidR="00682F3B" w:rsidRDefault="00682F3B">
      <w:r>
        <w:t>Question 1</w:t>
      </w:r>
    </w:p>
    <w:p w:rsidR="00682F3B" w:rsidRDefault="009239A7">
      <w:r>
        <w:t xml:space="preserve">The road traffic act 1988 section 163 states that a constable in uniform has the power to stop any vehicle, on a road or other public place. </w:t>
      </w:r>
    </w:p>
    <w:p w:rsidR="00682F3B" w:rsidRDefault="00682F3B"/>
    <w:p w:rsidR="00682F3B" w:rsidRDefault="00682F3B">
      <w:r>
        <w:t>Question 2</w:t>
      </w:r>
    </w:p>
    <w:p w:rsidR="00682F3B" w:rsidRDefault="009709D8">
      <w:r>
        <w:t xml:space="preserve">A constable in uniform may stop any vehicle for committing any moving traffic offence under section 6(4) road traffic act 1988. </w:t>
      </w:r>
    </w:p>
    <w:p w:rsidR="00682F3B" w:rsidRDefault="00682F3B"/>
    <w:p w:rsidR="00682F3B" w:rsidRDefault="00682F3B" w:rsidP="00682F3B">
      <w:r>
        <w:t>Question 3</w:t>
      </w:r>
    </w:p>
    <w:p w:rsidR="00682F3B" w:rsidRDefault="009239A7">
      <w:r>
        <w:t xml:space="preserve">The road traffic act 1988 section 3 – a person is guilty of an offence is they drive a mechanically propelled vehicle on a road or other public place without due care and attention or reasonable consideration for other people on the road or public place. </w:t>
      </w:r>
    </w:p>
    <w:p w:rsidR="00682F3B" w:rsidRDefault="00682F3B"/>
    <w:p w:rsidR="00682F3B" w:rsidRDefault="00682F3B" w:rsidP="00682F3B">
      <w:r>
        <w:t>Question 4</w:t>
      </w:r>
    </w:p>
    <w:p w:rsidR="00682F3B" w:rsidRDefault="009239A7">
      <w:r>
        <w:t>Roads policing is vital to ensuring the detection and prevention of crime throughout the United Kingdom. The roads, linking one force area to another can be monitored</w:t>
      </w:r>
      <w:r w:rsidR="002A4D7A">
        <w:t xml:space="preserve"> via ANPR, or traffic cameras, or covert tracing </w:t>
      </w:r>
      <w:r>
        <w:t xml:space="preserve">to track criminals and organised crime groups who use the roads to transport and traffic drugs, people, and stolen goods. </w:t>
      </w:r>
    </w:p>
    <w:p w:rsidR="00682F3B" w:rsidRDefault="00682F3B"/>
    <w:p w:rsidR="00682F3B" w:rsidRDefault="00682F3B" w:rsidP="00682F3B">
      <w:r>
        <w:t>Question 5</w:t>
      </w:r>
    </w:p>
    <w:p w:rsidR="00682F3B" w:rsidRDefault="009239A7">
      <w:r>
        <w:t>Section 165A of the road traffic act 1988 states that a constable may seize any vehicle used o</w:t>
      </w:r>
      <w:r w:rsidR="00BF79BB">
        <w:t>n a road or other public place, if the driver has no insurance or has com</w:t>
      </w:r>
      <w:r w:rsidR="003B1005">
        <w:t xml:space="preserve">mitted another serious offence, such as being disqualified. </w:t>
      </w:r>
    </w:p>
    <w:p w:rsidR="00682F3B" w:rsidRDefault="00682F3B"/>
    <w:p w:rsidR="00682F3B" w:rsidRDefault="00682F3B" w:rsidP="00682F3B">
      <w:r>
        <w:t>Question 6</w:t>
      </w:r>
    </w:p>
    <w:p w:rsidR="00682F3B" w:rsidRDefault="009239A7">
      <w:r>
        <w:t>A reportable road</w:t>
      </w:r>
      <w:r w:rsidR="006337D8">
        <w:t xml:space="preserve"> traffic collision is one where; </w:t>
      </w:r>
      <w:r>
        <w:t>mor</w:t>
      </w:r>
      <w:r w:rsidR="006337D8">
        <w:t xml:space="preserve">e than one vehicle is involved, </w:t>
      </w:r>
      <w:r>
        <w:t xml:space="preserve">or there is </w:t>
      </w:r>
      <w:r w:rsidR="006337D8">
        <w:t>injur</w:t>
      </w:r>
      <w:r>
        <w:t>y to anyone other than the</w:t>
      </w:r>
      <w:r w:rsidR="006337D8">
        <w:t xml:space="preserve"> driver of</w:t>
      </w:r>
      <w:r>
        <w:t xml:space="preserve"> first vehicle</w:t>
      </w:r>
      <w:r w:rsidR="006337D8">
        <w:t>,</w:t>
      </w:r>
      <w:r>
        <w:t xml:space="preserve"> </w:t>
      </w:r>
      <w:r w:rsidR="006337D8">
        <w:t xml:space="preserve">damage has been done to the second vehicle, there is damage to property, or damage to traffic signals, or damage to livestock. </w:t>
      </w:r>
    </w:p>
    <w:p w:rsidR="00682F3B" w:rsidRDefault="00682F3B"/>
    <w:p w:rsidR="00682F3B" w:rsidRDefault="00682F3B" w:rsidP="00682F3B">
      <w:r>
        <w:t>Question 7</w:t>
      </w:r>
    </w:p>
    <w:p w:rsidR="006337D8" w:rsidRDefault="006337D8">
      <w:r>
        <w:lastRenderedPageBreak/>
        <w:t>A Family Liaison Officer (FLO) is specially trained to act as a</w:t>
      </w:r>
      <w:r w:rsidR="002A4D7A">
        <w:t>n</w:t>
      </w:r>
      <w:r>
        <w:t xml:space="preserve"> intermediary between the families of the victims and the Senior Investigating Officer. </w:t>
      </w:r>
    </w:p>
    <w:p w:rsidR="00682F3B" w:rsidRDefault="006337D8">
      <w:r>
        <w:t>Following the Stephen Lawrence inquiry, these roles have been deliberately introduced to make sure families dealing with grief and loss and kept informed of the ongoing investigation. They will stay tasked to that family all the way through to court, sentencing and even after. If the case is heard in court, the FLO can assist in getting the impact statement from families heard by a judge or jury.</w:t>
      </w:r>
    </w:p>
    <w:p w:rsidR="00682F3B" w:rsidRDefault="00682F3B"/>
    <w:p w:rsidR="00682F3B" w:rsidRDefault="00682F3B" w:rsidP="00682F3B">
      <w:r>
        <w:t>Question 8</w:t>
      </w:r>
    </w:p>
    <w:p w:rsidR="00682F3B" w:rsidRDefault="006337D8">
      <w:r>
        <w:t>A person must stay at the roadside of a reportable offence and provide certain details:</w:t>
      </w:r>
    </w:p>
    <w:p w:rsidR="006337D8" w:rsidRDefault="006337D8">
      <w:r>
        <w:t xml:space="preserve">Name, Address, Licence number, Registration, </w:t>
      </w:r>
    </w:p>
    <w:p w:rsidR="006337D8" w:rsidRDefault="006337D8">
      <w:r>
        <w:t>Where there is injury they must also provide their insurance details</w:t>
      </w:r>
      <w:r w:rsidR="003856B7">
        <w:t xml:space="preserve">. </w:t>
      </w:r>
    </w:p>
    <w:p w:rsidR="003856B7" w:rsidRDefault="003856B7">
      <w:r>
        <w:t xml:space="preserve">Failure to do so can be an offence. </w:t>
      </w:r>
    </w:p>
    <w:p w:rsidR="006337D8" w:rsidRDefault="006337D8"/>
    <w:p w:rsidR="00682F3B" w:rsidRDefault="00682F3B"/>
    <w:p w:rsidR="00682F3B" w:rsidRDefault="00682F3B" w:rsidP="00682F3B">
      <w:r>
        <w:t>Question 9</w:t>
      </w:r>
    </w:p>
    <w:p w:rsidR="00682F3B" w:rsidRDefault="009709D8">
      <w:r>
        <w:t>If an officer has reasonable grounds to believe that a person has driven a motor vehicle on a road or other public place whilst over the prescribed limit of alcohol or drugs, that officer may enter a premises to locate</w:t>
      </w:r>
      <w:r w:rsidR="002A4D7A">
        <w:t xml:space="preserve"> and detain the suspect so that they may provide a preliminary road side test. An officer must say that they require a specimen of breath and failure to provide is an offence. </w:t>
      </w:r>
    </w:p>
    <w:p w:rsidR="00682F3B" w:rsidRDefault="00682F3B"/>
    <w:p w:rsidR="00682F3B" w:rsidRDefault="00682F3B" w:rsidP="00682F3B">
      <w:r>
        <w:t>Question 10</w:t>
      </w:r>
    </w:p>
    <w:p w:rsidR="00682F3B" w:rsidRDefault="006C5871">
      <w:r>
        <w:t xml:space="preserve">A person commits an offence if he causes the death of another person by driving a mechanically propelled vehicle dangerously on a road or other public place. </w:t>
      </w:r>
    </w:p>
    <w:p w:rsidR="00682F3B" w:rsidRDefault="00682F3B"/>
    <w:p w:rsidR="00682F3B" w:rsidRDefault="00682F3B" w:rsidP="00682F3B">
      <w:r>
        <w:t>Question 11</w:t>
      </w:r>
    </w:p>
    <w:p w:rsidR="00682F3B" w:rsidRDefault="009B4862">
      <w:r>
        <w:t>Alcohol 35 micrograms in 100 ml of breath; or 80 mil in 100ml of blood; or 107 mil in 100ml of urine</w:t>
      </w:r>
    </w:p>
    <w:p w:rsidR="009B4862" w:rsidRDefault="009B4862">
      <w:r>
        <w:t>Cocaine is 10 micrograms in 100ml of blood or urine</w:t>
      </w:r>
    </w:p>
    <w:p w:rsidR="009B4862" w:rsidRDefault="009B4862">
      <w:r>
        <w:t xml:space="preserve">Cannabis is 2 micrograms in 100ml of blood or urine </w:t>
      </w:r>
    </w:p>
    <w:p w:rsidR="00682F3B" w:rsidRDefault="00682F3B"/>
    <w:p w:rsidR="00682F3B" w:rsidRDefault="00682F3B" w:rsidP="00682F3B">
      <w:r>
        <w:t>Question 12</w:t>
      </w:r>
    </w:p>
    <w:p w:rsidR="00682F3B" w:rsidRDefault="009B4862">
      <w:r>
        <w:t>Relevant other people might include any of the following:</w:t>
      </w:r>
    </w:p>
    <w:p w:rsidR="00682F3B" w:rsidRDefault="009B4862">
      <w:r>
        <w:t xml:space="preserve">Solicitor for the suspect who is there to support their client with free legal advice. They cannot answer the questions for the suspect. </w:t>
      </w:r>
    </w:p>
    <w:p w:rsidR="009B4862" w:rsidRDefault="009B4862">
      <w:r>
        <w:lastRenderedPageBreak/>
        <w:t xml:space="preserve">Translator may be required if the suspect’s first language is not English. They are not there to give legal advice. They cannot </w:t>
      </w:r>
      <w:r w:rsidR="003856B7">
        <w:t xml:space="preserve">directly </w:t>
      </w:r>
      <w:r>
        <w:t>answer the question for the suspect.</w:t>
      </w:r>
    </w:p>
    <w:p w:rsidR="009B4862" w:rsidRDefault="009B4862">
      <w:r>
        <w:t>An appropriate adult may also be required for anyone who has difficulty in understanding their rights or the questions being aske</w:t>
      </w:r>
      <w:bookmarkStart w:id="0" w:name="_GoBack"/>
      <w:bookmarkEnd w:id="0"/>
      <w:r>
        <w:t xml:space="preserve">d of them. They are </w:t>
      </w:r>
      <w:r w:rsidR="003A0638">
        <w:t xml:space="preserve">not there to give legal advice, and cannot answer questions for the suspect. </w:t>
      </w:r>
    </w:p>
    <w:p w:rsidR="009B4862" w:rsidRDefault="009B4862"/>
    <w:p w:rsidR="009B4862" w:rsidRDefault="009B4862" w:rsidP="00682F3B"/>
    <w:p w:rsidR="00682F3B" w:rsidRDefault="00682F3B" w:rsidP="00682F3B">
      <w:r>
        <w:t>Question 13</w:t>
      </w:r>
    </w:p>
    <w:p w:rsidR="00682F3B" w:rsidRDefault="009B4862">
      <w:r>
        <w:t>The national policing interviewing model is defined by a mnemonic PEACE</w:t>
      </w:r>
    </w:p>
    <w:p w:rsidR="009B4862" w:rsidRDefault="009B4862">
      <w:r>
        <w:t xml:space="preserve">P- stands for planning and preparation. This stage is for officers to equip themselves with all relevant information and intelligence, witness statements, evidence, Occurrence updates. They may also consider the codes of PACE that they are to be working under. </w:t>
      </w:r>
    </w:p>
    <w:p w:rsidR="009B4862" w:rsidRDefault="009B4862">
      <w:r>
        <w:t xml:space="preserve">E- stands for Engage &amp; Explain. This starts with some simple rapport building, perhaps setting out the ground rules for the interview, and what they will be discussing. </w:t>
      </w:r>
    </w:p>
    <w:p w:rsidR="009B4862" w:rsidRDefault="009B4862">
      <w:r>
        <w:t xml:space="preserve">A – stands for Account for </w:t>
      </w:r>
      <w:r w:rsidR="00C513BE">
        <w:t xml:space="preserve">challenges or clarification. Officers may ask the interviewee to begin with a free narrative of the event in question. Once completed officers will take one section at a time and probe each one for any clarifications and challenges. Often this is about the nitty gritty detail. Once satisfied that a topic has been totally covered they will move on to the next topic and repeat the process. </w:t>
      </w:r>
    </w:p>
    <w:p w:rsidR="00C513BE" w:rsidRDefault="00C513BE">
      <w:r>
        <w:t xml:space="preserve">C- stands for closure. This is the completion and closure of the interview. Following the exact wording on the page. </w:t>
      </w:r>
    </w:p>
    <w:p w:rsidR="00C513BE" w:rsidRDefault="00C513BE">
      <w:r>
        <w:t xml:space="preserve">E – stands for evaluation. Evaluation of the information, intelligence, and interview. </w:t>
      </w:r>
    </w:p>
    <w:p w:rsidR="00682F3B" w:rsidRDefault="00682F3B"/>
    <w:p w:rsidR="00682F3B" w:rsidRDefault="00682F3B" w:rsidP="00682F3B">
      <w:r>
        <w:t>Question 14</w:t>
      </w:r>
    </w:p>
    <w:p w:rsidR="00682F3B" w:rsidRDefault="009709D8">
      <w:r>
        <w:t xml:space="preserve">Contrary to section 76 of the serious crime act 2015 a person commits the offence if they use controlling or coercive behaviour towards another person, which results in a significant impact on their lives, and they ought to know that it has a significant impact on them. </w:t>
      </w:r>
    </w:p>
    <w:p w:rsidR="00682F3B" w:rsidRDefault="00682F3B"/>
    <w:p w:rsidR="00682F3B" w:rsidRDefault="00682F3B" w:rsidP="00682F3B">
      <w:r>
        <w:t>Question 15</w:t>
      </w:r>
    </w:p>
    <w:p w:rsidR="00682F3B" w:rsidRDefault="00EF13A4">
      <w:r>
        <w:t xml:space="preserve">Coercive control is often harder to detect and prosecute as there are not obvious physical scars. The effect on victims and vulnerable people is often psychological. </w:t>
      </w:r>
      <w:r w:rsidR="003856B7">
        <w:t xml:space="preserve">It can be a stepping stone for further more serious harmful offences. </w:t>
      </w:r>
    </w:p>
    <w:p w:rsidR="00682F3B" w:rsidRDefault="00682F3B"/>
    <w:p w:rsidR="00682F3B" w:rsidRDefault="00682F3B" w:rsidP="00682F3B">
      <w:r>
        <w:t>Question 16</w:t>
      </w:r>
    </w:p>
    <w:p w:rsidR="00682F3B" w:rsidRDefault="00EF13A4">
      <w:r>
        <w:t xml:space="preserve">Any officer who has belief that a child will come to some form of significant harm, whether that be physical or sexual abuse, or emotional or psychological neglect, has the power under section 46 of the Children Act 1989 to remove the child from that residence. They may seek short term </w:t>
      </w:r>
      <w:r>
        <w:lastRenderedPageBreak/>
        <w:t xml:space="preserve">accommodation with social services or other agencies, until investigations can take place. </w:t>
      </w:r>
      <w:r w:rsidR="008A5B5C">
        <w:t xml:space="preserve">A police station is a safe place, but it is not to be considered for longer than is absolutely necessary. </w:t>
      </w:r>
    </w:p>
    <w:p w:rsidR="00682F3B" w:rsidRDefault="00682F3B"/>
    <w:p w:rsidR="008A5B5C" w:rsidRDefault="008A5B5C" w:rsidP="00682F3B"/>
    <w:p w:rsidR="008A5B5C" w:rsidRDefault="008A5B5C" w:rsidP="00682F3B"/>
    <w:p w:rsidR="00682F3B" w:rsidRDefault="00682F3B" w:rsidP="00682F3B">
      <w:r>
        <w:t>Question 17</w:t>
      </w:r>
    </w:p>
    <w:p w:rsidR="00682F3B" w:rsidRDefault="009709D8">
      <w:r>
        <w:t>Contrary to section 1 of the Children and young person’s</w:t>
      </w:r>
      <w:r w:rsidR="00FE5315">
        <w:t xml:space="preserve"> act 1933, a person is guilty of the offence of child cruelty if they mistreat, abuse or otherwise harm a child </w:t>
      </w:r>
    </w:p>
    <w:p w:rsidR="00682F3B" w:rsidRDefault="00682F3B"/>
    <w:p w:rsidR="00682F3B" w:rsidRDefault="00682F3B" w:rsidP="00682F3B">
      <w:r>
        <w:t>Question 18</w:t>
      </w:r>
    </w:p>
    <w:p w:rsidR="00682F3B" w:rsidRDefault="00FE5315">
      <w:r>
        <w:t>A public protection notification is a safeguarding measure to assess the risk faced by victims and vulnerable people, in such cases involving children, domestic violence and hate crimes. It consists of up to 29 questions designed to</w:t>
      </w:r>
      <w:r w:rsidR="003856B7">
        <w:t xml:space="preserve"> assess</w:t>
      </w:r>
      <w:r>
        <w:t xml:space="preserve"> the level of risk and allow that information to be shared with outside agencies to</w:t>
      </w:r>
      <w:r w:rsidR="003856B7">
        <w:t xml:space="preserve"> manage and follow up on so as to</w:t>
      </w:r>
      <w:r>
        <w:t xml:space="preserve"> provide additional support and protections </w:t>
      </w:r>
    </w:p>
    <w:p w:rsidR="00682F3B" w:rsidRDefault="00682F3B"/>
    <w:p w:rsidR="00682F3B" w:rsidRDefault="00682F3B" w:rsidP="00682F3B">
      <w:r>
        <w:t>Question 19</w:t>
      </w:r>
    </w:p>
    <w:p w:rsidR="00682F3B" w:rsidRDefault="00FE5315">
      <w:r>
        <w:t xml:space="preserve">The PPN will normally be completed by the officer in charge of the case and it will be logged on the occurrence on NICHE. It will be sent to the public protection unit who will evaluate the responses to the questions and grade it. The intelligence is then disseminated to outside support agencies such as social services, probation, </w:t>
      </w:r>
      <w:r w:rsidR="003856B7">
        <w:t>and housing</w:t>
      </w:r>
      <w:r>
        <w:t xml:space="preserve"> association</w:t>
      </w:r>
      <w:r w:rsidR="003856B7">
        <w:t>.</w:t>
      </w:r>
    </w:p>
    <w:p w:rsidR="00FE5315" w:rsidRDefault="00FE5315"/>
    <w:p w:rsidR="00682F3B" w:rsidRDefault="00682F3B" w:rsidP="00682F3B">
      <w:r>
        <w:t>Question 20</w:t>
      </w:r>
    </w:p>
    <w:p w:rsidR="00682F3B" w:rsidRDefault="008151E4">
      <w:r>
        <w:t>When there is not significant enough evidence to place charges, and so therefore bail conditions cannot be used, an officer may decide to use a Domestic Violence Protection Notice. This is a safeguarding measure designed to further protect the vulnerable. It can be sought without the victims consent if they don’t wish charges to be brought. It is served on the suspect before they leave police custody. A DVPN grants certain restrictions for 48 hours to give the victim some breathing space.  A magistrate’s court will then hear the case and may agree to an exten</w:t>
      </w:r>
      <w:r w:rsidR="008A5B5C">
        <w:t>sion to a further 28 days, which is called a Domestic Violence Protection Order (DVPO).</w:t>
      </w:r>
      <w:r>
        <w:t xml:space="preserve"> If granted, this will prohibit the suspect from; making contact with the victim, (directly or indirectly), attending the victim’s address or location, or evicting the suspect from that address. If a suspect breaks these conditions it is an offence which they can be arrested for. </w:t>
      </w:r>
    </w:p>
    <w:p w:rsidR="00682F3B" w:rsidRDefault="00682F3B"/>
    <w:p w:rsidR="00682F3B" w:rsidRDefault="00682F3B" w:rsidP="00682F3B">
      <w:r>
        <w:t>Question 21</w:t>
      </w:r>
    </w:p>
    <w:p w:rsidR="00682F3B" w:rsidRDefault="008151E4">
      <w:r>
        <w:t>Child sexual exploitation is when a person or group of people take advantage of an imbalance of power to sexually exploit a vulnerable person. This imbalance could be age, money, status, physicality</w:t>
      </w:r>
      <w:r w:rsidR="00B85C57">
        <w:t>.</w:t>
      </w:r>
      <w:r>
        <w:t xml:space="preserve"> It can be money, gifts, </w:t>
      </w:r>
      <w:r w:rsidR="00B85C57">
        <w:t xml:space="preserve">or </w:t>
      </w:r>
      <w:r>
        <w:t>food exchanged for sex</w:t>
      </w:r>
      <w:r w:rsidR="00B85C57">
        <w:t xml:space="preserve"> or sexual acts</w:t>
      </w:r>
      <w:r>
        <w:t xml:space="preserve">. Those who perpetrate the crime deliberately take advantage of this imbalance for their own needs or gains. It doesn’t </w:t>
      </w:r>
      <w:r>
        <w:lastRenderedPageBreak/>
        <w:t xml:space="preserve">always have to be physical as </w:t>
      </w:r>
      <w:r w:rsidR="008A5B5C">
        <w:t xml:space="preserve">it can take place online, </w:t>
      </w:r>
      <w:r>
        <w:t xml:space="preserve">known as grooming. </w:t>
      </w:r>
      <w:r w:rsidR="00B85C57">
        <w:t>Often a victim may not know or feel they are exploited</w:t>
      </w:r>
      <w:r w:rsidR="008A5B5C">
        <w:t>, as the</w:t>
      </w:r>
      <w:r w:rsidR="00B85C57">
        <w:t xml:space="preserve"> perpetrator may follow what </w:t>
      </w:r>
      <w:r w:rsidR="008A5B5C">
        <w:t>is known as the boyfriend model. Persuading the victim that they are in a loving relationship.</w:t>
      </w:r>
      <w:r w:rsidR="00B85C57">
        <w:t xml:space="preserve"> Even is the sexual act is consensual, a victim cannot consent to their own abuse or exploitation. </w:t>
      </w:r>
    </w:p>
    <w:p w:rsidR="00682F3B" w:rsidRDefault="00682F3B"/>
    <w:p w:rsidR="00682F3B" w:rsidRDefault="00682F3B" w:rsidP="00682F3B">
      <w:r>
        <w:t>Question 22</w:t>
      </w:r>
    </w:p>
    <w:p w:rsidR="00682F3B" w:rsidRDefault="003A77FD">
      <w:r>
        <w:t>Following the abduction and murder of school girl Sarah Payne, he parents and supporters campaigned for parents to be able to</w:t>
      </w:r>
      <w:r w:rsidR="008A5B5C">
        <w:t xml:space="preserve"> access and</w:t>
      </w:r>
      <w:r>
        <w:t xml:space="preserve"> search a sex </w:t>
      </w:r>
      <w:r w:rsidR="008A5B5C">
        <w:t>offender’s</w:t>
      </w:r>
      <w:r>
        <w:t xml:space="preserve"> register. The murderer of their daughter had previous convictions for child abduction and sexual assault, and they were convinced that if they had the ability to search the sex offenders register, this would have saved their daughter’s life. </w:t>
      </w:r>
    </w:p>
    <w:p w:rsidR="003A77FD" w:rsidRDefault="003A77FD">
      <w:r>
        <w:t xml:space="preserve">Subsequently, a scheme was trialled in a small number of areas. It met with good results so the Child Sexual Offender Disclosure Scheme was implemented UK wide and was known as Sarah’s Law. Parents or concerned members of the public could now find out who and where offenders were located. </w:t>
      </w:r>
    </w:p>
    <w:p w:rsidR="00682F3B" w:rsidRDefault="00682F3B"/>
    <w:p w:rsidR="00682F3B" w:rsidRDefault="00682F3B" w:rsidP="00682F3B">
      <w:r>
        <w:t>Question 23</w:t>
      </w:r>
    </w:p>
    <w:p w:rsidR="00682F3B" w:rsidRDefault="00796788">
      <w:r>
        <w:t xml:space="preserve">The evidential presumptions will look at the idea of consent and whether someone (victim) agreed by choice and had the freedom and capacity to make that choice. </w:t>
      </w:r>
    </w:p>
    <w:p w:rsidR="00682F3B" w:rsidRDefault="00682F3B"/>
    <w:p w:rsidR="00682F3B" w:rsidRDefault="00682F3B" w:rsidP="00682F3B">
      <w:r>
        <w:t>Question 24</w:t>
      </w:r>
    </w:p>
    <w:p w:rsidR="00682F3B" w:rsidRDefault="008A5B5C">
      <w:r>
        <w:t xml:space="preserve">I’m going to guess this answer as we have not covered it - </w:t>
      </w:r>
      <w:r w:rsidR="003856B7">
        <w:t xml:space="preserve">Objectives might include; acquitting and freeing the innocent.  Providing fairness throughout. Bringing justice to victims in a timely manner. </w:t>
      </w:r>
    </w:p>
    <w:p w:rsidR="00682F3B" w:rsidRDefault="00682F3B"/>
    <w:p w:rsidR="00682F3B" w:rsidRDefault="00682F3B" w:rsidP="00682F3B">
      <w:r>
        <w:t>Question 25</w:t>
      </w:r>
    </w:p>
    <w:p w:rsidR="00682F3B" w:rsidRDefault="008A5B5C" w:rsidP="00682F3B">
      <w:r>
        <w:t xml:space="preserve">This has not been studied yet </w:t>
      </w:r>
    </w:p>
    <w:sectPr w:rsidR="00682F3B" w:rsidSect="006337D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37D8" w:rsidRDefault="006337D8" w:rsidP="006337D8">
      <w:pPr>
        <w:spacing w:after="0" w:line="240" w:lineRule="auto"/>
      </w:pPr>
      <w:r>
        <w:separator/>
      </w:r>
    </w:p>
  </w:endnote>
  <w:endnote w:type="continuationSeparator" w:id="0">
    <w:p w:rsidR="006337D8" w:rsidRDefault="006337D8" w:rsidP="00633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3BE" w:rsidRDefault="00B46839" w:rsidP="00B46839">
    <w:pPr>
      <w:pStyle w:val="Footer"/>
      <w:rPr>
        <w:color w:val="000000"/>
        <w:sz w:val="17"/>
      </w:rPr>
    </w:pPr>
    <w:bookmarkStart w:id="3" w:name="TITUS1FooterEvenPages"/>
    <w:r>
      <w:rPr>
        <w:color w:val="000000"/>
        <w:sz w:val="17"/>
      </w:rPr>
      <w:t> </w:t>
    </w:r>
  </w:p>
  <w:bookmarkEnd w:id="3"/>
  <w:p w:rsidR="00C513BE" w:rsidRDefault="00C513BE" w:rsidP="00C513BE">
    <w:pPr>
      <w:pStyle w:val="Footer"/>
    </w:pPr>
  </w:p>
  <w:p w:rsidR="006337D8" w:rsidRDefault="006337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7D8" w:rsidRDefault="00B46839" w:rsidP="00B46839">
    <w:pPr>
      <w:pStyle w:val="Footer"/>
      <w:rPr>
        <w:color w:val="000000"/>
        <w:sz w:val="17"/>
      </w:rPr>
    </w:pPr>
    <w:bookmarkStart w:id="4" w:name="TITUS1FooterPrimary"/>
    <w:r>
      <w:rPr>
        <w:color w:val="000000"/>
        <w:sz w:val="17"/>
      </w:rPr>
      <w:t> </w:t>
    </w:r>
  </w:p>
  <w:bookmarkEnd w:id="4"/>
  <w:p w:rsidR="006337D8" w:rsidRDefault="006337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7D8" w:rsidRDefault="00B46839" w:rsidP="00B46839">
    <w:pPr>
      <w:pStyle w:val="Footer"/>
      <w:rPr>
        <w:color w:val="000000"/>
        <w:sz w:val="17"/>
      </w:rPr>
    </w:pPr>
    <w:bookmarkStart w:id="6" w:name="TITUS1FooterFirstPage"/>
    <w:r>
      <w:rPr>
        <w:color w:val="000000"/>
        <w:sz w:val="17"/>
      </w:rPr>
      <w:t> </w:t>
    </w:r>
  </w:p>
  <w:bookmarkEnd w:id="6"/>
  <w:p w:rsidR="006337D8" w:rsidRDefault="00633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37D8" w:rsidRDefault="006337D8" w:rsidP="006337D8">
      <w:pPr>
        <w:spacing w:after="0" w:line="240" w:lineRule="auto"/>
      </w:pPr>
      <w:r>
        <w:separator/>
      </w:r>
    </w:p>
  </w:footnote>
  <w:footnote w:type="continuationSeparator" w:id="0">
    <w:p w:rsidR="006337D8" w:rsidRDefault="006337D8" w:rsidP="00633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3BE" w:rsidRDefault="00B46839" w:rsidP="00B46839">
    <w:pPr>
      <w:pStyle w:val="Header"/>
      <w:rPr>
        <w:color w:val="000000"/>
        <w:sz w:val="17"/>
      </w:rPr>
    </w:pPr>
    <w:bookmarkStart w:id="1" w:name="TITUS1HeaderEvenPages"/>
    <w:r>
      <w:rPr>
        <w:color w:val="000000"/>
        <w:sz w:val="17"/>
      </w:rPr>
      <w:t> </w:t>
    </w:r>
  </w:p>
  <w:bookmarkEnd w:id="1"/>
  <w:p w:rsidR="00C513BE" w:rsidRDefault="00C513BE" w:rsidP="00C513BE">
    <w:pPr>
      <w:pStyle w:val="Header"/>
    </w:pPr>
  </w:p>
  <w:p w:rsidR="006337D8" w:rsidRDefault="006337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7D8" w:rsidRDefault="00B46839" w:rsidP="00B46839">
    <w:pPr>
      <w:pStyle w:val="Header"/>
      <w:rPr>
        <w:color w:val="000000"/>
        <w:sz w:val="17"/>
      </w:rPr>
    </w:pPr>
    <w:bookmarkStart w:id="2" w:name="TITUS1HeaderPrimary"/>
    <w:r>
      <w:rPr>
        <w:color w:val="000000"/>
        <w:sz w:val="17"/>
      </w:rPr>
      <w:t> </w:t>
    </w:r>
  </w:p>
  <w:bookmarkEnd w:id="2"/>
  <w:p w:rsidR="006337D8" w:rsidRDefault="006337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7D8" w:rsidRDefault="00B46839" w:rsidP="00B46839">
    <w:pPr>
      <w:pStyle w:val="Header"/>
      <w:rPr>
        <w:color w:val="000000"/>
        <w:sz w:val="17"/>
      </w:rPr>
    </w:pPr>
    <w:bookmarkStart w:id="5" w:name="TITUS1HeaderFirstPage"/>
    <w:r>
      <w:rPr>
        <w:color w:val="000000"/>
        <w:sz w:val="17"/>
      </w:rPr>
      <w:t> </w:t>
    </w:r>
  </w:p>
  <w:bookmarkEnd w:id="5"/>
  <w:p w:rsidR="006337D8" w:rsidRDefault="006337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A4D7A"/>
    <w:rsid w:val="003856B7"/>
    <w:rsid w:val="003A0638"/>
    <w:rsid w:val="003A77FD"/>
    <w:rsid w:val="003B1005"/>
    <w:rsid w:val="00544969"/>
    <w:rsid w:val="00547AF4"/>
    <w:rsid w:val="00560C7C"/>
    <w:rsid w:val="006337D8"/>
    <w:rsid w:val="00682F3B"/>
    <w:rsid w:val="006C5871"/>
    <w:rsid w:val="00796788"/>
    <w:rsid w:val="007E4409"/>
    <w:rsid w:val="008151E4"/>
    <w:rsid w:val="00877432"/>
    <w:rsid w:val="008A5B5C"/>
    <w:rsid w:val="009239A7"/>
    <w:rsid w:val="009709D8"/>
    <w:rsid w:val="009B4862"/>
    <w:rsid w:val="00B46839"/>
    <w:rsid w:val="00B85C57"/>
    <w:rsid w:val="00BF79BB"/>
    <w:rsid w:val="00C513BE"/>
    <w:rsid w:val="00DC3CCC"/>
    <w:rsid w:val="00E41B08"/>
    <w:rsid w:val="00EF13A4"/>
    <w:rsid w:val="00F643BE"/>
    <w:rsid w:val="00FE5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D422B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3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7D8"/>
  </w:style>
  <w:style w:type="paragraph" w:styleId="Footer">
    <w:name w:val="footer"/>
    <w:basedOn w:val="Normal"/>
    <w:link w:val="FooterChar"/>
    <w:uiPriority w:val="99"/>
    <w:unhideWhenUsed/>
    <w:rsid w:val="00633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7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1456</Words>
  <Characters>8302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McWilliams,Neal swp6734</cp:lastModifiedBy>
  <cp:revision>8</cp:revision>
  <dcterms:created xsi:type="dcterms:W3CDTF">2020-11-16T14:43:00Z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