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1D6ABAD4" w14:textId="77777777" w:rsidR="00A04F0F" w:rsidRPr="00740FEF" w:rsidRDefault="00A04F0F" w:rsidP="00A04F0F">
      <w:pPr>
        <w:jc w:val="center"/>
        <w:rPr>
          <w:rStyle w:val="5yl5"/>
          <w:rFonts w:ascii="Cambria Math" w:hAnsi="Cambria Math"/>
          <w:b/>
          <w:sz w:val="48"/>
          <w:u w:val="single"/>
        </w:rPr>
      </w:pPr>
      <w:bookmarkStart w:id="0" w:name="_GoBack"/>
      <w:bookmarkEnd w:id="0"/>
    </w:p>
    <w:p w14:paraId="228E1A01" w14:textId="3EFD71DC" w:rsidR="00D6102B" w:rsidRPr="00740FEF" w:rsidRDefault="00A04F0F" w:rsidP="00A04F0F">
      <w:pPr>
        <w:jc w:val="center"/>
        <w:rPr>
          <w:rStyle w:val="5yl5"/>
          <w:rFonts w:ascii="Cambria Math" w:hAnsi="Cambria Math"/>
          <w:b/>
          <w:sz w:val="48"/>
          <w:u w:val="single"/>
        </w:rPr>
      </w:pPr>
      <w:r w:rsidRPr="00740FEF">
        <w:rPr>
          <w:rStyle w:val="5yl5"/>
          <w:rFonts w:ascii="Cambria Math" w:hAnsi="Cambria Math"/>
          <w:b/>
          <w:sz w:val="48"/>
          <w:u w:val="single"/>
        </w:rPr>
        <w:t xml:space="preserve">Has studying contemporary </w:t>
      </w:r>
      <w:r w:rsidR="007E6A1E" w:rsidRPr="00740FEF">
        <w:rPr>
          <w:rStyle w:val="5yl5"/>
          <w:rFonts w:ascii="Cambria Math" w:hAnsi="Cambria Math"/>
          <w:b/>
          <w:sz w:val="48"/>
          <w:u w:val="single"/>
        </w:rPr>
        <w:t>hunter-gatherer’s</w:t>
      </w:r>
      <w:r w:rsidRPr="00740FEF">
        <w:rPr>
          <w:rStyle w:val="5yl5"/>
          <w:rFonts w:ascii="Cambria Math" w:hAnsi="Cambria Math"/>
          <w:b/>
          <w:sz w:val="48"/>
          <w:u w:val="single"/>
        </w:rPr>
        <w:t xml:space="preserve"> lifestyles helped solve puzzles about human evolution? With detailed reference to a specific social group critically evaluate the relevance of</w:t>
      </w:r>
      <w:r w:rsidR="00202ABB" w:rsidRPr="00740FEF">
        <w:rPr>
          <w:rStyle w:val="5yl5"/>
          <w:rFonts w:ascii="Cambria Math" w:hAnsi="Cambria Math"/>
          <w:b/>
          <w:sz w:val="48"/>
          <w:u w:val="single"/>
        </w:rPr>
        <w:t xml:space="preserve"> this</w:t>
      </w:r>
      <w:r w:rsidRPr="00740FEF">
        <w:rPr>
          <w:rStyle w:val="5yl5"/>
          <w:rFonts w:ascii="Cambria Math" w:hAnsi="Cambria Math"/>
          <w:b/>
          <w:sz w:val="48"/>
          <w:u w:val="single"/>
        </w:rPr>
        <w:t xml:space="preserve"> study. Critically examine the value of using ethnographic analogy to understand human evolution.</w:t>
      </w:r>
    </w:p>
    <w:p w14:paraId="40885AAD" w14:textId="50673B71" w:rsidR="00A04F0F" w:rsidRPr="00740FEF" w:rsidRDefault="00A04F0F" w:rsidP="00A04F0F">
      <w:pPr>
        <w:jc w:val="center"/>
        <w:rPr>
          <w:rStyle w:val="5yl5"/>
          <w:rFonts w:ascii="Cambria Math" w:hAnsi="Cambria Math"/>
          <w:b/>
          <w:color w:val="FFFFFF" w:themeColor="background1"/>
          <w:sz w:val="48"/>
          <w:u w:val="single"/>
        </w:rPr>
      </w:pPr>
    </w:p>
    <w:p w14:paraId="35F658A2" w14:textId="77777777" w:rsidR="00F64FEF" w:rsidRPr="00740FEF" w:rsidRDefault="00ED5B78" w:rsidP="00F64FEF">
      <w:pPr>
        <w:rPr>
          <w:rStyle w:val="5yl5"/>
          <w:rFonts w:ascii="Cambria Math" w:hAnsi="Cambria Math"/>
          <w:sz w:val="36"/>
        </w:rPr>
      </w:pPr>
      <w:r w:rsidRPr="00740FEF">
        <w:rPr>
          <w:rStyle w:val="5yl5"/>
          <w:rFonts w:ascii="Cambria Math" w:hAnsi="Cambria Math"/>
          <w:sz w:val="36"/>
        </w:rPr>
        <w:t>For this piece of work I aim to evaluate whether or not the study of contemporary hunter gatherer life styles</w:t>
      </w:r>
      <w:r w:rsidR="003B2660" w:rsidRPr="00740FEF">
        <w:rPr>
          <w:rStyle w:val="5yl5"/>
          <w:rFonts w:ascii="Cambria Math" w:hAnsi="Cambria Math"/>
          <w:sz w:val="36"/>
        </w:rPr>
        <w:t xml:space="preserve"> has helped ethno-archaeologists to better understand human evolution. To aid me in this endeavour I have chosen to apply this evaluation to a specific group of hunter gatherers that exist in modern times; the Hadza people who live in Tanzania. By evaluating the ethnographic techniques used to study the Hadza people one may begin to formulate an answer as to whether or not studying modern hunter-gatherers can gain us any valuable insight into their lives and thus the lives of their forbears</w:t>
      </w:r>
      <w:r w:rsidR="00F64FEF" w:rsidRPr="00740FEF">
        <w:rPr>
          <w:rStyle w:val="5yl5"/>
          <w:rFonts w:ascii="Cambria Math" w:hAnsi="Cambria Math"/>
          <w:sz w:val="36"/>
        </w:rPr>
        <w:t xml:space="preserve"> or, contrastingly, if using certain ethnographic techniques can harm the validity of the information gathered whilst studying these modern hunter gather groups</w:t>
      </w:r>
      <w:r w:rsidR="003B2660" w:rsidRPr="00740FEF">
        <w:rPr>
          <w:rStyle w:val="5yl5"/>
          <w:rFonts w:ascii="Cambria Math" w:hAnsi="Cambria Math"/>
          <w:sz w:val="36"/>
        </w:rPr>
        <w:t>.</w:t>
      </w:r>
    </w:p>
    <w:p w14:paraId="7FFC9829" w14:textId="77777777" w:rsidR="00B56A4A" w:rsidRPr="00740FEF" w:rsidRDefault="00B56A4A" w:rsidP="00A04F0F">
      <w:pPr>
        <w:jc w:val="center"/>
        <w:rPr>
          <w:rStyle w:val="5yl5"/>
          <w:rFonts w:ascii="Cambria Math" w:hAnsi="Cambria Math"/>
          <w:sz w:val="48"/>
          <w:u w:val="single"/>
        </w:rPr>
      </w:pPr>
    </w:p>
    <w:p w14:paraId="2CB9E179" w14:textId="77777777" w:rsidR="00466746" w:rsidRPr="00740FEF" w:rsidRDefault="00466746" w:rsidP="00466746">
      <w:pPr>
        <w:pStyle w:val="Subtitle"/>
        <w:rPr>
          <w:rStyle w:val="5yl5"/>
          <w:rFonts w:ascii="Cambria Math" w:hAnsi="Cambria Math"/>
          <w:b/>
          <w:color w:val="auto"/>
          <w:sz w:val="40"/>
          <w:u w:val="single"/>
        </w:rPr>
      </w:pPr>
      <w:r w:rsidRPr="00740FEF">
        <w:rPr>
          <w:rStyle w:val="5yl5"/>
          <w:rFonts w:ascii="Cambria Math" w:hAnsi="Cambria Math"/>
          <w:b/>
          <w:color w:val="auto"/>
          <w:sz w:val="40"/>
          <w:u w:val="single"/>
        </w:rPr>
        <w:lastRenderedPageBreak/>
        <w:t>Ethno-archaeology</w:t>
      </w:r>
    </w:p>
    <w:p w14:paraId="546F1DA8" w14:textId="021C93C2" w:rsidR="00082C59" w:rsidRPr="00740FEF" w:rsidRDefault="00082C59" w:rsidP="00082C59">
      <w:pPr>
        <w:rPr>
          <w:rFonts w:ascii="Cambria Math" w:hAnsi="Cambria Math"/>
          <w:sz w:val="36"/>
          <w:szCs w:val="36"/>
        </w:rPr>
      </w:pPr>
      <w:r w:rsidRPr="00740FEF">
        <w:rPr>
          <w:rFonts w:ascii="Cambria Math" w:hAnsi="Cambria Math"/>
          <w:sz w:val="36"/>
          <w:szCs w:val="36"/>
        </w:rPr>
        <w:t>Modern hunter-gatherer societies have been viewed by some as living, breathing interpretations of what their prehistoric counterparts may have been like.</w:t>
      </w:r>
      <w:r w:rsidRPr="00740FEF">
        <w:rPr>
          <w:rFonts w:ascii="Cambria Math" w:hAnsi="Cambria Math"/>
          <w:sz w:val="36"/>
          <w:szCs w:val="36"/>
          <w:vertAlign w:val="superscript"/>
        </w:rPr>
        <w:footnoteReference w:id="1"/>
      </w:r>
      <w:r w:rsidRPr="00740FEF">
        <w:rPr>
          <w:rFonts w:ascii="Cambria Math" w:hAnsi="Cambria Math"/>
          <w:sz w:val="36"/>
          <w:szCs w:val="36"/>
        </w:rPr>
        <w:t xml:space="preserve"> David and Kramer believe that by observing these modern groups, ethno-archaeologists can ‘activate’ material culture, by providing “</w:t>
      </w:r>
      <w:r w:rsidRPr="00740FEF">
        <w:rPr>
          <w:rFonts w:ascii="Cambria Math" w:hAnsi="Cambria Math"/>
          <w:i/>
          <w:sz w:val="36"/>
          <w:szCs w:val="36"/>
        </w:rPr>
        <w:t>models of human behaviour from which to generate hypotheses”</w:t>
      </w:r>
      <w:r w:rsidRPr="00740FEF">
        <w:rPr>
          <w:rFonts w:ascii="Cambria Math" w:hAnsi="Cambria Math"/>
          <w:i/>
          <w:sz w:val="36"/>
          <w:szCs w:val="36"/>
          <w:vertAlign w:val="superscript"/>
        </w:rPr>
        <w:footnoteReference w:id="2"/>
      </w:r>
      <w:r w:rsidRPr="00740FEF">
        <w:rPr>
          <w:rFonts w:ascii="Cambria Math" w:hAnsi="Cambria Math"/>
          <w:sz w:val="36"/>
          <w:szCs w:val="36"/>
        </w:rPr>
        <w:t xml:space="preserve"> about how our Neolithic ancestors may have behaved,</w:t>
      </w:r>
      <w:r w:rsidRPr="00740FEF">
        <w:rPr>
          <w:rFonts w:ascii="Cambria Math" w:hAnsi="Cambria Math"/>
          <w:sz w:val="36"/>
          <w:szCs w:val="36"/>
          <w:vertAlign w:val="superscript"/>
        </w:rPr>
        <w:footnoteReference w:id="3"/>
      </w:r>
      <w:r w:rsidRPr="00740FEF">
        <w:rPr>
          <w:rFonts w:ascii="Cambria Math" w:hAnsi="Cambria Math"/>
          <w:sz w:val="36"/>
          <w:szCs w:val="36"/>
        </w:rPr>
        <w:t xml:space="preserve"> such as the Hadza people’s foraging techniques.</w:t>
      </w:r>
      <w:r w:rsidRPr="00740FEF">
        <w:rPr>
          <w:rFonts w:ascii="Cambria Math" w:hAnsi="Cambria Math"/>
          <w:sz w:val="36"/>
          <w:szCs w:val="36"/>
          <w:vertAlign w:val="superscript"/>
        </w:rPr>
        <w:footnoteReference w:id="4"/>
      </w:r>
      <w:r w:rsidRPr="00740FEF">
        <w:rPr>
          <w:rFonts w:ascii="Cambria Math" w:hAnsi="Cambria Math"/>
          <w:sz w:val="36"/>
          <w:szCs w:val="36"/>
        </w:rPr>
        <w:t xml:space="preserve"> During the so-called “New Ethnoarchaeology Period” of 1968-81</w:t>
      </w:r>
      <w:r w:rsidRPr="00740FEF">
        <w:rPr>
          <w:rFonts w:ascii="Cambria Math" w:hAnsi="Cambria Math"/>
          <w:sz w:val="36"/>
          <w:szCs w:val="36"/>
          <w:vertAlign w:val="superscript"/>
        </w:rPr>
        <w:footnoteReference w:id="5"/>
      </w:r>
      <w:r w:rsidRPr="00740FEF">
        <w:rPr>
          <w:rFonts w:ascii="Cambria Math" w:hAnsi="Cambria Math"/>
          <w:sz w:val="36"/>
          <w:szCs w:val="36"/>
        </w:rPr>
        <w:t>, studies of modern-day cultures as potential examples of the behavioural patterns of prehistoric cultures increased greatly, covering subjects from foraging strategies to lithics.</w:t>
      </w:r>
      <w:r w:rsidRPr="00740FEF">
        <w:rPr>
          <w:rFonts w:ascii="Cambria Math" w:hAnsi="Cambria Math"/>
          <w:sz w:val="36"/>
          <w:szCs w:val="36"/>
          <w:vertAlign w:val="superscript"/>
        </w:rPr>
        <w:footnoteReference w:id="6"/>
      </w:r>
      <w:r w:rsidRPr="00740FEF">
        <w:rPr>
          <w:rFonts w:ascii="Cambria Math" w:hAnsi="Cambria Math"/>
          <w:sz w:val="36"/>
          <w:szCs w:val="36"/>
        </w:rPr>
        <w:t xml:space="preserve"> The majority of studies were undertaken on Sub-Saharan societies, though Mesoamerica and Southwest Asia were also popular among ethno-archaeologists.</w:t>
      </w:r>
      <w:r w:rsidRPr="00740FEF">
        <w:rPr>
          <w:rFonts w:ascii="Cambria Math" w:hAnsi="Cambria Math"/>
          <w:sz w:val="36"/>
          <w:szCs w:val="36"/>
          <w:vertAlign w:val="superscript"/>
        </w:rPr>
        <w:footnoteReference w:id="7"/>
      </w:r>
      <w:r w:rsidRPr="00740FEF">
        <w:rPr>
          <w:rFonts w:ascii="Cambria Math" w:hAnsi="Cambria Math"/>
          <w:sz w:val="36"/>
          <w:szCs w:val="36"/>
        </w:rPr>
        <w:t xml:space="preserve"> This trend continued into the “Recent Period” of 1982-98, as the value of studying Sub-Saharan Africa became more widely known, due to their lives being “</w:t>
      </w:r>
      <w:r w:rsidRPr="00740FEF">
        <w:rPr>
          <w:rFonts w:ascii="Cambria Math" w:hAnsi="Cambria Math"/>
          <w:i/>
          <w:sz w:val="36"/>
          <w:szCs w:val="36"/>
        </w:rPr>
        <w:t>less affected by industrialisation and globalisation</w:t>
      </w:r>
      <w:r w:rsidRPr="00740FEF">
        <w:rPr>
          <w:rFonts w:ascii="Cambria Math" w:hAnsi="Cambria Math"/>
          <w:sz w:val="36"/>
          <w:szCs w:val="36"/>
        </w:rPr>
        <w:t>.”</w:t>
      </w:r>
      <w:r w:rsidRPr="00740FEF">
        <w:rPr>
          <w:rFonts w:ascii="Cambria Math" w:hAnsi="Cambria Math"/>
          <w:sz w:val="36"/>
          <w:szCs w:val="36"/>
          <w:vertAlign w:val="superscript"/>
        </w:rPr>
        <w:footnoteReference w:id="8"/>
      </w:r>
    </w:p>
    <w:p w14:paraId="33B4BA09" w14:textId="77777777" w:rsidR="00795AC1" w:rsidRPr="00740FEF" w:rsidRDefault="00795AC1" w:rsidP="00A04F0F">
      <w:pPr>
        <w:rPr>
          <w:rStyle w:val="5yl5"/>
          <w:rFonts w:ascii="Cambria Math" w:hAnsi="Cambria Math"/>
          <w:sz w:val="36"/>
        </w:rPr>
      </w:pPr>
    </w:p>
    <w:p w14:paraId="3751B6F3" w14:textId="71E753BC" w:rsidR="00795AC1" w:rsidRPr="00740FEF" w:rsidRDefault="00795AC1" w:rsidP="00A04F0F">
      <w:pPr>
        <w:rPr>
          <w:rStyle w:val="5yl5"/>
          <w:rFonts w:ascii="Cambria Math" w:hAnsi="Cambria Math"/>
          <w:sz w:val="36"/>
        </w:rPr>
      </w:pPr>
      <w:r w:rsidRPr="00740FEF">
        <w:rPr>
          <w:rStyle w:val="5yl5"/>
          <w:rFonts w:ascii="Cambria Math" w:hAnsi="Cambria Math"/>
          <w:sz w:val="36"/>
        </w:rPr>
        <w:t xml:space="preserve">The main </w:t>
      </w:r>
      <w:r w:rsidR="007C398B" w:rsidRPr="00740FEF">
        <w:rPr>
          <w:rStyle w:val="5yl5"/>
          <w:rFonts w:ascii="Cambria Math" w:hAnsi="Cambria Math"/>
          <w:sz w:val="36"/>
        </w:rPr>
        <w:t xml:space="preserve">studies undertaken by ethno-archaeologists involve investigations into the social evolution of humans, </w:t>
      </w:r>
      <w:r w:rsidR="007C398B" w:rsidRPr="00740FEF">
        <w:rPr>
          <w:rStyle w:val="5yl5"/>
          <w:rFonts w:ascii="Cambria Math" w:hAnsi="Cambria Math"/>
          <w:sz w:val="36"/>
        </w:rPr>
        <w:lastRenderedPageBreak/>
        <w:t>such as their mobility, subsistence strategies, and settlements.</w:t>
      </w:r>
      <w:r w:rsidR="00496968" w:rsidRPr="00740FEF">
        <w:rPr>
          <w:rStyle w:val="FootnoteReference"/>
          <w:rFonts w:ascii="Cambria Math" w:hAnsi="Cambria Math"/>
          <w:sz w:val="36"/>
        </w:rPr>
        <w:footnoteReference w:id="9"/>
      </w:r>
      <w:r w:rsidR="00B21845" w:rsidRPr="00740FEF">
        <w:rPr>
          <w:rStyle w:val="5yl5"/>
          <w:rFonts w:ascii="Cambria Math" w:hAnsi="Cambria Math"/>
          <w:sz w:val="36"/>
        </w:rPr>
        <w:t xml:space="preserve"> Some</w:t>
      </w:r>
      <w:r w:rsidR="00D17CEB" w:rsidRPr="00740FEF">
        <w:rPr>
          <w:rStyle w:val="5yl5"/>
          <w:rFonts w:ascii="Cambria Math" w:hAnsi="Cambria Math"/>
          <w:sz w:val="36"/>
        </w:rPr>
        <w:t xml:space="preserve"> researchers</w:t>
      </w:r>
      <w:r w:rsidR="00B21845" w:rsidRPr="00740FEF">
        <w:rPr>
          <w:rStyle w:val="5yl5"/>
          <w:rFonts w:ascii="Cambria Math" w:hAnsi="Cambria Math"/>
          <w:sz w:val="36"/>
        </w:rPr>
        <w:t xml:space="preserve"> take these</w:t>
      </w:r>
      <w:r w:rsidR="00D17CEB" w:rsidRPr="00740FEF">
        <w:rPr>
          <w:rStyle w:val="5yl5"/>
          <w:rFonts w:ascii="Cambria Math" w:hAnsi="Cambria Math"/>
          <w:sz w:val="36"/>
        </w:rPr>
        <w:t xml:space="preserve"> studies</w:t>
      </w:r>
      <w:r w:rsidR="00B21845" w:rsidRPr="00740FEF">
        <w:rPr>
          <w:rStyle w:val="5yl5"/>
          <w:rFonts w:ascii="Cambria Math" w:hAnsi="Cambria Math"/>
          <w:sz w:val="36"/>
        </w:rPr>
        <w:t xml:space="preserve"> </w:t>
      </w:r>
      <w:r w:rsidR="007E6A1E" w:rsidRPr="00740FEF">
        <w:rPr>
          <w:rStyle w:val="5yl5"/>
          <w:rFonts w:ascii="Cambria Math" w:hAnsi="Cambria Math"/>
          <w:sz w:val="36"/>
        </w:rPr>
        <w:t>further and</w:t>
      </w:r>
      <w:r w:rsidR="00B21845" w:rsidRPr="00740FEF">
        <w:rPr>
          <w:rStyle w:val="5yl5"/>
          <w:rFonts w:ascii="Cambria Math" w:hAnsi="Cambria Math"/>
          <w:sz w:val="36"/>
        </w:rPr>
        <w:t xml:space="preserve"> use the information they have gathered to analyse human evolution. A prominent group of ethno-archaeologists led by O’Connell,</w:t>
      </w:r>
      <w:r w:rsidR="00B21845" w:rsidRPr="00740FEF">
        <w:rPr>
          <w:rStyle w:val="FootnoteReference"/>
          <w:rFonts w:ascii="Cambria Math" w:hAnsi="Cambria Math"/>
          <w:sz w:val="36"/>
        </w:rPr>
        <w:footnoteReference w:id="10"/>
      </w:r>
      <w:r w:rsidR="00B21845" w:rsidRPr="00740FEF">
        <w:rPr>
          <w:rStyle w:val="5yl5"/>
          <w:rFonts w:ascii="Cambria Math" w:hAnsi="Cambria Math"/>
          <w:sz w:val="36"/>
        </w:rPr>
        <w:t xml:space="preserve"> spent time examining the hunting, scavenging and foraging techniques of the Hadza </w:t>
      </w:r>
      <w:r w:rsidR="00F64FEF" w:rsidRPr="00740FEF">
        <w:rPr>
          <w:rStyle w:val="5yl5"/>
          <w:rFonts w:ascii="Cambria Math" w:hAnsi="Cambria Math"/>
          <w:sz w:val="36"/>
        </w:rPr>
        <w:t xml:space="preserve">people </w:t>
      </w:r>
      <w:r w:rsidR="00B21845" w:rsidRPr="00740FEF">
        <w:rPr>
          <w:rStyle w:val="5yl5"/>
          <w:rFonts w:ascii="Cambria Math" w:hAnsi="Cambria Math"/>
          <w:sz w:val="36"/>
        </w:rPr>
        <w:t>in Tanzania, and the implications these techniques may have</w:t>
      </w:r>
      <w:r w:rsidR="00F64FEF" w:rsidRPr="00740FEF">
        <w:rPr>
          <w:rStyle w:val="5yl5"/>
          <w:rFonts w:ascii="Cambria Math" w:hAnsi="Cambria Math"/>
          <w:sz w:val="36"/>
        </w:rPr>
        <w:t xml:space="preserve"> </w:t>
      </w:r>
      <w:r w:rsidR="00B21845" w:rsidRPr="00740FEF">
        <w:rPr>
          <w:rStyle w:val="5yl5"/>
          <w:rFonts w:ascii="Cambria Math" w:hAnsi="Cambria Math"/>
          <w:sz w:val="36"/>
        </w:rPr>
        <w:t>on our understanding of human evolution.</w:t>
      </w:r>
      <w:r w:rsidR="00B21845" w:rsidRPr="00740FEF">
        <w:rPr>
          <w:rStyle w:val="FootnoteReference"/>
          <w:rFonts w:ascii="Cambria Math" w:hAnsi="Cambria Math"/>
          <w:sz w:val="36"/>
        </w:rPr>
        <w:footnoteReference w:id="11"/>
      </w:r>
      <w:r w:rsidR="002F7A40" w:rsidRPr="00740FEF">
        <w:rPr>
          <w:rStyle w:val="5yl5"/>
          <w:rFonts w:ascii="Cambria Math" w:hAnsi="Cambria Math"/>
          <w:sz w:val="36"/>
        </w:rPr>
        <w:t xml:space="preserve"> I will be examining the studies regarding the </w:t>
      </w:r>
      <w:r w:rsidR="00EB5D2F" w:rsidRPr="00740FEF">
        <w:rPr>
          <w:rStyle w:val="5yl5"/>
          <w:rFonts w:ascii="Cambria Math" w:hAnsi="Cambria Math"/>
          <w:sz w:val="36"/>
        </w:rPr>
        <w:t xml:space="preserve">Hadza </w:t>
      </w:r>
      <w:r w:rsidR="00321CE0" w:rsidRPr="00740FEF">
        <w:rPr>
          <w:rStyle w:val="5yl5"/>
          <w:rFonts w:ascii="Cambria Math" w:hAnsi="Cambria Math"/>
          <w:sz w:val="36"/>
        </w:rPr>
        <w:t>as a case study for the relevance of studying contemporary hunter-gatherers to understand human evolution later in</w:t>
      </w:r>
      <w:r w:rsidR="00EB5D2F" w:rsidRPr="00740FEF">
        <w:rPr>
          <w:rStyle w:val="5yl5"/>
          <w:rFonts w:ascii="Cambria Math" w:hAnsi="Cambria Math"/>
          <w:sz w:val="36"/>
        </w:rPr>
        <w:t xml:space="preserve"> this essay.</w:t>
      </w:r>
    </w:p>
    <w:p w14:paraId="2D46EE3A" w14:textId="152DF2E7" w:rsidR="00807056" w:rsidRPr="00740FEF" w:rsidRDefault="00807056" w:rsidP="00A04F0F">
      <w:pPr>
        <w:rPr>
          <w:rStyle w:val="5yl5"/>
          <w:rFonts w:ascii="Cambria Math" w:hAnsi="Cambria Math"/>
          <w:sz w:val="36"/>
        </w:rPr>
      </w:pPr>
    </w:p>
    <w:p w14:paraId="64FBF85C" w14:textId="77777777" w:rsidR="00F64FEF" w:rsidRPr="00740FEF" w:rsidRDefault="00807056" w:rsidP="00A04F0F">
      <w:pPr>
        <w:rPr>
          <w:rStyle w:val="5yl5"/>
          <w:rFonts w:ascii="Cambria Math" w:hAnsi="Cambria Math"/>
          <w:sz w:val="36"/>
        </w:rPr>
      </w:pPr>
      <w:r w:rsidRPr="00740FEF">
        <w:rPr>
          <w:rStyle w:val="5yl5"/>
          <w:rFonts w:ascii="Cambria Math" w:hAnsi="Cambria Math"/>
          <w:sz w:val="36"/>
        </w:rPr>
        <w:t>Ethno-archaeologists have a number of techniques for studying contemporary hunter-gatherer societies</w:t>
      </w:r>
      <w:r w:rsidR="00D7393C" w:rsidRPr="00740FEF">
        <w:rPr>
          <w:rStyle w:val="5yl5"/>
          <w:rFonts w:ascii="Cambria Math" w:hAnsi="Cambria Math"/>
          <w:sz w:val="36"/>
        </w:rPr>
        <w:t>, though these broadly fall into two categories.</w:t>
      </w:r>
      <w:r w:rsidRPr="00740FEF">
        <w:rPr>
          <w:rStyle w:val="5yl5"/>
          <w:rFonts w:ascii="Cambria Math" w:hAnsi="Cambria Math"/>
          <w:sz w:val="36"/>
        </w:rPr>
        <w:t xml:space="preserve"> </w:t>
      </w:r>
      <w:r w:rsidR="00D7393C" w:rsidRPr="00740FEF">
        <w:rPr>
          <w:rStyle w:val="5yl5"/>
          <w:rFonts w:ascii="Cambria Math" w:hAnsi="Cambria Math"/>
          <w:sz w:val="36"/>
        </w:rPr>
        <w:t xml:space="preserve">The majority of </w:t>
      </w:r>
      <w:r w:rsidRPr="00740FEF">
        <w:rPr>
          <w:rStyle w:val="5yl5"/>
          <w:rFonts w:ascii="Cambria Math" w:hAnsi="Cambria Math"/>
          <w:sz w:val="36"/>
        </w:rPr>
        <w:t xml:space="preserve">these involve direct contact with the societies they are studying, which can have both positive and negative effects on their reliability and relevance for understanding human evolution. </w:t>
      </w:r>
    </w:p>
    <w:p w14:paraId="1ECC3481" w14:textId="6F9A6A06" w:rsidR="00807056" w:rsidRPr="00740FEF" w:rsidRDefault="00807056" w:rsidP="00A04F0F">
      <w:pPr>
        <w:rPr>
          <w:rStyle w:val="5yl5"/>
          <w:rFonts w:ascii="Cambria Math" w:hAnsi="Cambria Math"/>
          <w:sz w:val="36"/>
        </w:rPr>
      </w:pPr>
      <w:r w:rsidRPr="00740FEF">
        <w:rPr>
          <w:rStyle w:val="5yl5"/>
          <w:rFonts w:ascii="Cambria Math" w:hAnsi="Cambria Math"/>
          <w:sz w:val="36"/>
        </w:rPr>
        <w:t xml:space="preserve">In order to better understand the subjects of their study, ethno-archaeologists </w:t>
      </w:r>
      <w:r w:rsidR="00F64FEF" w:rsidRPr="00740FEF">
        <w:rPr>
          <w:rStyle w:val="5yl5"/>
          <w:rFonts w:ascii="Cambria Math" w:hAnsi="Cambria Math"/>
          <w:sz w:val="36"/>
        </w:rPr>
        <w:t xml:space="preserve">have been known to regularly </w:t>
      </w:r>
      <w:r w:rsidRPr="00740FEF">
        <w:rPr>
          <w:rStyle w:val="5yl5"/>
          <w:rFonts w:ascii="Cambria Math" w:hAnsi="Cambria Math"/>
          <w:sz w:val="36"/>
        </w:rPr>
        <w:t>integrate themselves into the society</w:t>
      </w:r>
      <w:r w:rsidR="00F64FEF" w:rsidRPr="00740FEF">
        <w:rPr>
          <w:rStyle w:val="5yl5"/>
          <w:rFonts w:ascii="Cambria Math" w:hAnsi="Cambria Math"/>
          <w:sz w:val="36"/>
        </w:rPr>
        <w:t xml:space="preserve"> they are studying. In doing so the researchers can</w:t>
      </w:r>
      <w:r w:rsidRPr="00740FEF">
        <w:rPr>
          <w:rStyle w:val="5yl5"/>
          <w:rFonts w:ascii="Cambria Math" w:hAnsi="Cambria Math"/>
          <w:sz w:val="36"/>
        </w:rPr>
        <w:t xml:space="preserve"> interact with the people on a daily basis, often with the assistance of native research assistants who can act as a liaison </w:t>
      </w:r>
      <w:r w:rsidR="00F64FEF" w:rsidRPr="00740FEF">
        <w:rPr>
          <w:rStyle w:val="5yl5"/>
          <w:rFonts w:ascii="Cambria Math" w:hAnsi="Cambria Math"/>
          <w:sz w:val="36"/>
        </w:rPr>
        <w:t xml:space="preserve">between the </w:t>
      </w:r>
      <w:r w:rsidR="00F64FEF" w:rsidRPr="00740FEF">
        <w:rPr>
          <w:rStyle w:val="5yl5"/>
          <w:rFonts w:ascii="Cambria Math" w:hAnsi="Cambria Math"/>
          <w:sz w:val="36"/>
        </w:rPr>
        <w:lastRenderedPageBreak/>
        <w:t>researchers and the native groups</w:t>
      </w:r>
      <w:r w:rsidRPr="00740FEF">
        <w:rPr>
          <w:rStyle w:val="5yl5"/>
          <w:rFonts w:ascii="Cambria Math" w:hAnsi="Cambria Math"/>
          <w:sz w:val="36"/>
        </w:rPr>
        <w:t>.</w:t>
      </w:r>
      <w:r w:rsidRPr="00740FEF">
        <w:rPr>
          <w:rStyle w:val="FootnoteReference"/>
          <w:rFonts w:ascii="Cambria Math" w:hAnsi="Cambria Math"/>
          <w:sz w:val="36"/>
        </w:rPr>
        <w:footnoteReference w:id="12"/>
      </w:r>
      <w:r w:rsidR="00D7393C" w:rsidRPr="00740FEF">
        <w:rPr>
          <w:rStyle w:val="5yl5"/>
          <w:rFonts w:ascii="Cambria Math" w:hAnsi="Cambria Math"/>
          <w:sz w:val="36"/>
        </w:rPr>
        <w:t xml:space="preserve"> This is known as ‘the participant observer’ category of techniques. The other category used is less intrusive, and involves the observation of subjects from a distance</w:t>
      </w:r>
      <w:r w:rsidR="00F64FEF" w:rsidRPr="00740FEF">
        <w:rPr>
          <w:rStyle w:val="5yl5"/>
          <w:rFonts w:ascii="Cambria Math" w:hAnsi="Cambria Math"/>
          <w:sz w:val="36"/>
        </w:rPr>
        <w:t xml:space="preserve"> using camera equipped aeroplanes and unmanned drones</w:t>
      </w:r>
      <w:r w:rsidR="00D7393C" w:rsidRPr="00740FEF">
        <w:rPr>
          <w:rStyle w:val="5yl5"/>
          <w:rFonts w:ascii="Cambria Math" w:hAnsi="Cambria Math"/>
          <w:sz w:val="36"/>
        </w:rPr>
        <w:t xml:space="preserve"> or by the use of questionnaires.</w:t>
      </w:r>
    </w:p>
    <w:p w14:paraId="701679FD" w14:textId="5E3B7657" w:rsidR="00C87D03" w:rsidRPr="00740FEF" w:rsidRDefault="00C87D03" w:rsidP="00A04F0F">
      <w:pPr>
        <w:rPr>
          <w:rStyle w:val="5yl5"/>
          <w:rFonts w:ascii="Cambria Math" w:hAnsi="Cambria Math"/>
          <w:sz w:val="36"/>
        </w:rPr>
      </w:pPr>
    </w:p>
    <w:p w14:paraId="2A37D4ED" w14:textId="2113CEF7" w:rsidR="005644AA" w:rsidRPr="00740FEF" w:rsidRDefault="005644AA" w:rsidP="005644AA">
      <w:pPr>
        <w:pStyle w:val="Subtitle"/>
        <w:rPr>
          <w:rStyle w:val="5yl5"/>
          <w:rFonts w:ascii="Cambria Math" w:hAnsi="Cambria Math"/>
          <w:b/>
          <w:color w:val="auto"/>
          <w:sz w:val="36"/>
          <w:u w:val="single"/>
        </w:rPr>
      </w:pPr>
      <w:r w:rsidRPr="00740FEF">
        <w:rPr>
          <w:rStyle w:val="5yl5"/>
          <w:rFonts w:ascii="Cambria Math" w:hAnsi="Cambria Math"/>
          <w:b/>
          <w:color w:val="auto"/>
          <w:sz w:val="36"/>
          <w:u w:val="single"/>
        </w:rPr>
        <w:t>The ‘participant observer’</w:t>
      </w:r>
    </w:p>
    <w:p w14:paraId="1ECE57ED" w14:textId="4690DC42" w:rsidR="00B6052B" w:rsidRPr="00740FEF" w:rsidRDefault="00F53838" w:rsidP="00E664E8">
      <w:pPr>
        <w:rPr>
          <w:rStyle w:val="5yl5"/>
          <w:rFonts w:ascii="Cambria Math" w:hAnsi="Cambria Math"/>
          <w:sz w:val="36"/>
        </w:rPr>
      </w:pPr>
      <w:r w:rsidRPr="00740FEF">
        <w:rPr>
          <w:rStyle w:val="5yl5"/>
          <w:rFonts w:ascii="Cambria Math" w:hAnsi="Cambria Math"/>
          <w:sz w:val="36"/>
        </w:rPr>
        <w:t>One method used by researchers is to play the role of a ‘participant observer’. This often involves simply integrating oneself into the community and observing how they interact with each other and the environment around them.</w:t>
      </w:r>
      <w:r w:rsidRPr="00740FEF">
        <w:rPr>
          <w:rStyle w:val="FootnoteReference"/>
          <w:rFonts w:ascii="Cambria Math" w:hAnsi="Cambria Math"/>
          <w:sz w:val="36"/>
        </w:rPr>
        <w:footnoteReference w:id="13"/>
      </w:r>
      <w:r w:rsidRPr="00740FEF">
        <w:rPr>
          <w:rStyle w:val="5yl5"/>
          <w:rFonts w:ascii="Cambria Math" w:hAnsi="Cambria Math"/>
          <w:sz w:val="36"/>
        </w:rPr>
        <w:t xml:space="preserve"> In this way, they are able to observe the social and cultural behaviours of the study’s subjects, </w:t>
      </w:r>
      <w:r w:rsidR="00BF2D3D" w:rsidRPr="00740FEF">
        <w:rPr>
          <w:rStyle w:val="5yl5"/>
          <w:rFonts w:ascii="Cambria Math" w:hAnsi="Cambria Math"/>
          <w:sz w:val="36"/>
        </w:rPr>
        <w:t>and using these observations are able to propose theories about the social development of similar prehistoric cultures. O’Connell et al used this method when researching the</w:t>
      </w:r>
      <w:r w:rsidR="00E664E8" w:rsidRPr="00740FEF">
        <w:rPr>
          <w:rStyle w:val="5yl5"/>
          <w:rFonts w:ascii="Cambria Math" w:hAnsi="Cambria Math"/>
          <w:sz w:val="36"/>
        </w:rPr>
        <w:t xml:space="preserve"> Hadza of Tanzania and were able to use their observations to propose a number of theories about the evolution of humans through ethnographic analogy.</w:t>
      </w:r>
      <w:r w:rsidR="00E664E8" w:rsidRPr="00740FEF">
        <w:rPr>
          <w:rStyle w:val="FootnoteReference"/>
          <w:rFonts w:ascii="Cambria Math" w:hAnsi="Cambria Math"/>
          <w:sz w:val="36"/>
        </w:rPr>
        <w:footnoteReference w:id="14"/>
      </w:r>
    </w:p>
    <w:p w14:paraId="3E5EA565" w14:textId="5E5D8D63" w:rsidR="006E4578" w:rsidRPr="00740FEF" w:rsidRDefault="006E4578" w:rsidP="00E664E8">
      <w:pPr>
        <w:rPr>
          <w:rStyle w:val="5yl5"/>
          <w:rFonts w:ascii="Cambria Math" w:hAnsi="Cambria Math"/>
          <w:sz w:val="36"/>
        </w:rPr>
      </w:pPr>
      <w:r w:rsidRPr="00740FEF">
        <w:rPr>
          <w:rStyle w:val="5yl5"/>
          <w:rFonts w:ascii="Cambria Math" w:hAnsi="Cambria Math"/>
          <w:sz w:val="36"/>
        </w:rPr>
        <w:t xml:space="preserve">Some of the problems with using the ‘participant observer’ method is outlined by Hodder. He points out that the presence of the researcher can often affect the behaviour of the </w:t>
      </w:r>
      <w:r w:rsidR="00413CCF" w:rsidRPr="00740FEF">
        <w:rPr>
          <w:rStyle w:val="5yl5"/>
          <w:rFonts w:ascii="Cambria Math" w:hAnsi="Cambria Math"/>
          <w:sz w:val="36"/>
        </w:rPr>
        <w:t>native group being studied</w:t>
      </w:r>
      <w:r w:rsidRPr="00740FEF">
        <w:rPr>
          <w:rStyle w:val="5yl5"/>
          <w:rFonts w:ascii="Cambria Math" w:hAnsi="Cambria Math"/>
          <w:sz w:val="36"/>
        </w:rPr>
        <w:t>, even to the extent that they can change their</w:t>
      </w:r>
      <w:r w:rsidR="00413CCF" w:rsidRPr="00740FEF">
        <w:rPr>
          <w:rStyle w:val="5yl5"/>
          <w:rFonts w:ascii="Cambria Math" w:hAnsi="Cambria Math"/>
          <w:sz w:val="36"/>
        </w:rPr>
        <w:t xml:space="preserve"> daily</w:t>
      </w:r>
      <w:r w:rsidRPr="00740FEF">
        <w:rPr>
          <w:rStyle w:val="5yl5"/>
          <w:rFonts w:ascii="Cambria Math" w:hAnsi="Cambria Math"/>
          <w:sz w:val="36"/>
        </w:rPr>
        <w:t xml:space="preserve"> </w:t>
      </w:r>
      <w:r w:rsidR="00413CCF" w:rsidRPr="00740FEF">
        <w:rPr>
          <w:rStyle w:val="5yl5"/>
          <w:rFonts w:ascii="Cambria Math" w:hAnsi="Cambria Math"/>
          <w:sz w:val="36"/>
        </w:rPr>
        <w:t xml:space="preserve">mannerisms quite drastically. In the case of Yellen’s 1977 study, where the group he integrated himself into changed the way food was </w:t>
      </w:r>
      <w:r w:rsidR="00413CCF" w:rsidRPr="00740FEF">
        <w:rPr>
          <w:rStyle w:val="5yl5"/>
          <w:rFonts w:ascii="Cambria Math" w:hAnsi="Cambria Math"/>
          <w:sz w:val="36"/>
        </w:rPr>
        <w:lastRenderedPageBreak/>
        <w:t>distributed at the feast he attended in a way that they normally would not have practised in order</w:t>
      </w:r>
      <w:r w:rsidRPr="00740FEF">
        <w:rPr>
          <w:rStyle w:val="5yl5"/>
          <w:rFonts w:ascii="Cambria Math" w:hAnsi="Cambria Math"/>
          <w:sz w:val="36"/>
        </w:rPr>
        <w:t xml:space="preserve"> to incorporate</w:t>
      </w:r>
      <w:r w:rsidR="00413CCF" w:rsidRPr="00740FEF">
        <w:rPr>
          <w:rStyle w:val="5yl5"/>
          <w:rFonts w:ascii="Cambria Math" w:hAnsi="Cambria Math"/>
          <w:sz w:val="36"/>
        </w:rPr>
        <w:t xml:space="preserve"> him,</w:t>
      </w:r>
      <w:r w:rsidRPr="00740FEF">
        <w:rPr>
          <w:rStyle w:val="5yl5"/>
          <w:rFonts w:ascii="Cambria Math" w:hAnsi="Cambria Math"/>
          <w:sz w:val="36"/>
        </w:rPr>
        <w:t xml:space="preserve"> </w:t>
      </w:r>
      <w:r w:rsidR="00413CCF" w:rsidRPr="00740FEF">
        <w:rPr>
          <w:rStyle w:val="5yl5"/>
          <w:rFonts w:ascii="Cambria Math" w:hAnsi="Cambria Math"/>
          <w:sz w:val="36"/>
        </w:rPr>
        <w:t>an</w:t>
      </w:r>
      <w:r w:rsidRPr="00740FEF">
        <w:rPr>
          <w:rStyle w:val="5yl5"/>
          <w:rFonts w:ascii="Cambria Math" w:hAnsi="Cambria Math"/>
          <w:sz w:val="36"/>
        </w:rPr>
        <w:t xml:space="preserve"> ‘outsider’, which they </w:t>
      </w:r>
      <w:r w:rsidR="00413CCF" w:rsidRPr="00740FEF">
        <w:rPr>
          <w:rStyle w:val="5yl5"/>
          <w:rFonts w:ascii="Cambria Math" w:hAnsi="Cambria Math"/>
          <w:sz w:val="36"/>
        </w:rPr>
        <w:t>would</w:t>
      </w:r>
      <w:r w:rsidRPr="00740FEF">
        <w:rPr>
          <w:rStyle w:val="5yl5"/>
          <w:rFonts w:ascii="Cambria Math" w:hAnsi="Cambria Math"/>
          <w:sz w:val="36"/>
        </w:rPr>
        <w:t xml:space="preserve"> not </w:t>
      </w:r>
      <w:r w:rsidR="00413CCF" w:rsidRPr="00740FEF">
        <w:rPr>
          <w:rStyle w:val="5yl5"/>
          <w:rFonts w:ascii="Cambria Math" w:hAnsi="Cambria Math"/>
          <w:sz w:val="36"/>
        </w:rPr>
        <w:t>have done</w:t>
      </w:r>
      <w:r w:rsidRPr="00740FEF">
        <w:rPr>
          <w:rStyle w:val="5yl5"/>
          <w:rFonts w:ascii="Cambria Math" w:hAnsi="Cambria Math"/>
          <w:sz w:val="36"/>
        </w:rPr>
        <w:t xml:space="preserve"> if </w:t>
      </w:r>
      <w:r w:rsidR="00413CCF" w:rsidRPr="00740FEF">
        <w:rPr>
          <w:rStyle w:val="5yl5"/>
          <w:rFonts w:ascii="Cambria Math" w:hAnsi="Cambria Math"/>
          <w:sz w:val="36"/>
        </w:rPr>
        <w:t>he</w:t>
      </w:r>
      <w:r w:rsidRPr="00740FEF">
        <w:rPr>
          <w:rStyle w:val="5yl5"/>
          <w:rFonts w:ascii="Cambria Math" w:hAnsi="Cambria Math"/>
          <w:sz w:val="36"/>
        </w:rPr>
        <w:t xml:space="preserve"> was not present</w:t>
      </w:r>
      <w:r w:rsidR="00413CCF" w:rsidRPr="00740FEF">
        <w:rPr>
          <w:rStyle w:val="5yl5"/>
          <w:rFonts w:ascii="Cambria Math" w:hAnsi="Cambria Math"/>
          <w:sz w:val="36"/>
        </w:rPr>
        <w:t xml:space="preserve"> as they had been observed doing before he was </w:t>
      </w:r>
      <w:r w:rsidR="00082C59" w:rsidRPr="00740FEF">
        <w:rPr>
          <w:rStyle w:val="5yl5"/>
          <w:rFonts w:ascii="Cambria Math" w:hAnsi="Cambria Math"/>
          <w:sz w:val="36"/>
        </w:rPr>
        <w:t>integrated</w:t>
      </w:r>
      <w:r w:rsidRPr="00740FEF">
        <w:rPr>
          <w:rStyle w:val="5yl5"/>
          <w:rFonts w:ascii="Cambria Math" w:hAnsi="Cambria Math"/>
          <w:sz w:val="36"/>
        </w:rPr>
        <w:t>.</w:t>
      </w:r>
      <w:r w:rsidRPr="00740FEF">
        <w:rPr>
          <w:rStyle w:val="FootnoteReference"/>
          <w:rFonts w:ascii="Cambria Math" w:hAnsi="Cambria Math"/>
          <w:sz w:val="36"/>
        </w:rPr>
        <w:footnoteReference w:id="15"/>
      </w:r>
    </w:p>
    <w:p w14:paraId="0F958BB3" w14:textId="6132094F" w:rsidR="004310AA" w:rsidRPr="00740FEF" w:rsidRDefault="00E04D38" w:rsidP="00E664E8">
      <w:pPr>
        <w:rPr>
          <w:rStyle w:val="5yl5"/>
          <w:rFonts w:ascii="Cambria Math" w:hAnsi="Cambria Math"/>
          <w:sz w:val="36"/>
        </w:rPr>
      </w:pPr>
      <w:r w:rsidRPr="00740FEF">
        <w:rPr>
          <w:rStyle w:val="5yl5"/>
          <w:rFonts w:ascii="Cambria Math" w:hAnsi="Cambria Math"/>
          <w:sz w:val="36"/>
        </w:rPr>
        <w:t>The</w:t>
      </w:r>
      <w:r w:rsidR="00413CCF" w:rsidRPr="00740FEF">
        <w:rPr>
          <w:rStyle w:val="5yl5"/>
          <w:rFonts w:ascii="Cambria Math" w:hAnsi="Cambria Math"/>
          <w:sz w:val="36"/>
        </w:rPr>
        <w:t xml:space="preserve"> shift in behaviour</w:t>
      </w:r>
      <w:r w:rsidRPr="00740FEF">
        <w:rPr>
          <w:rStyle w:val="5yl5"/>
          <w:rFonts w:ascii="Cambria Math" w:hAnsi="Cambria Math"/>
          <w:sz w:val="36"/>
        </w:rPr>
        <w:t xml:space="preserve"> of the </w:t>
      </w:r>
      <w:r w:rsidR="00413CCF" w:rsidRPr="00740FEF">
        <w:rPr>
          <w:rStyle w:val="5yl5"/>
          <w:rFonts w:ascii="Cambria Math" w:hAnsi="Cambria Math"/>
          <w:sz w:val="36"/>
        </w:rPr>
        <w:t>study group, brought on by the presence of outsiders</w:t>
      </w:r>
      <w:r w:rsidRPr="00740FEF">
        <w:rPr>
          <w:rStyle w:val="5yl5"/>
          <w:rFonts w:ascii="Cambria Math" w:hAnsi="Cambria Math"/>
          <w:sz w:val="36"/>
        </w:rPr>
        <w:t xml:space="preserve"> can also pose a potential problem to the accuracy</w:t>
      </w:r>
      <w:r w:rsidR="004310AA" w:rsidRPr="00740FEF">
        <w:rPr>
          <w:rStyle w:val="5yl5"/>
          <w:rFonts w:ascii="Cambria Math" w:hAnsi="Cambria Math"/>
          <w:sz w:val="36"/>
        </w:rPr>
        <w:t xml:space="preserve"> and validity of this</w:t>
      </w:r>
      <w:r w:rsidRPr="00740FEF">
        <w:rPr>
          <w:rStyle w:val="5yl5"/>
          <w:rFonts w:ascii="Cambria Math" w:hAnsi="Cambria Math"/>
          <w:sz w:val="36"/>
        </w:rPr>
        <w:t xml:space="preserve"> study</w:t>
      </w:r>
      <w:r w:rsidR="004310AA" w:rsidRPr="00740FEF">
        <w:rPr>
          <w:rStyle w:val="5yl5"/>
          <w:rFonts w:ascii="Cambria Math" w:hAnsi="Cambria Math"/>
          <w:sz w:val="36"/>
        </w:rPr>
        <w:t xml:space="preserve"> and other studies like it as the group in question may be </w:t>
      </w:r>
      <w:r w:rsidR="00082C59" w:rsidRPr="00740FEF">
        <w:rPr>
          <w:rStyle w:val="5yl5"/>
          <w:rFonts w:ascii="Cambria Math" w:hAnsi="Cambria Math"/>
          <w:sz w:val="36"/>
        </w:rPr>
        <w:t>anxious</w:t>
      </w:r>
      <w:r w:rsidR="004310AA" w:rsidRPr="00740FEF">
        <w:rPr>
          <w:rStyle w:val="5yl5"/>
          <w:rFonts w:ascii="Cambria Math" w:hAnsi="Cambria Math"/>
          <w:sz w:val="36"/>
        </w:rPr>
        <w:t xml:space="preserve"> </w:t>
      </w:r>
      <w:r w:rsidR="00082C59" w:rsidRPr="00740FEF">
        <w:rPr>
          <w:rStyle w:val="5yl5"/>
          <w:rFonts w:ascii="Cambria Math" w:hAnsi="Cambria Math"/>
          <w:sz w:val="36"/>
        </w:rPr>
        <w:t>about</w:t>
      </w:r>
      <w:r w:rsidR="004310AA" w:rsidRPr="00740FEF">
        <w:rPr>
          <w:rStyle w:val="5yl5"/>
          <w:rFonts w:ascii="Cambria Math" w:hAnsi="Cambria Math"/>
          <w:sz w:val="36"/>
        </w:rPr>
        <w:t xml:space="preserve"> outsiders sitting in on their lives and they may keep certain aspects or details of their lives</w:t>
      </w:r>
      <w:r w:rsidR="00082C59" w:rsidRPr="00740FEF">
        <w:rPr>
          <w:rStyle w:val="5yl5"/>
          <w:rFonts w:ascii="Cambria Math" w:hAnsi="Cambria Math"/>
          <w:sz w:val="36"/>
        </w:rPr>
        <w:t xml:space="preserve"> and ceremonies</w:t>
      </w:r>
      <w:r w:rsidR="004310AA" w:rsidRPr="00740FEF">
        <w:rPr>
          <w:rStyle w:val="5yl5"/>
          <w:rFonts w:ascii="Cambria Math" w:hAnsi="Cambria Math"/>
          <w:sz w:val="36"/>
        </w:rPr>
        <w:t xml:space="preserve"> a secret</w:t>
      </w:r>
      <w:r w:rsidR="00082C59" w:rsidRPr="00740FEF">
        <w:rPr>
          <w:rStyle w:val="5yl5"/>
          <w:rFonts w:ascii="Cambria Math" w:hAnsi="Cambria Math"/>
          <w:sz w:val="36"/>
        </w:rPr>
        <w:t xml:space="preserve"> from outsiders as they try to preserve their culture and this can cause recorded data to be inaccurate or even completely false</w:t>
      </w:r>
      <w:r w:rsidRPr="00740FEF">
        <w:rPr>
          <w:rStyle w:val="5yl5"/>
          <w:rFonts w:ascii="Cambria Math" w:hAnsi="Cambria Math"/>
          <w:sz w:val="36"/>
        </w:rPr>
        <w:t>.</w:t>
      </w:r>
      <w:r w:rsidR="004310AA" w:rsidRPr="00740FEF">
        <w:rPr>
          <w:rStyle w:val="5yl5"/>
          <w:rFonts w:ascii="Cambria Math" w:hAnsi="Cambria Math"/>
          <w:sz w:val="36"/>
        </w:rPr>
        <w:t xml:space="preserve"> On the other hand, this can also be seen as human nature acting </w:t>
      </w:r>
      <w:r w:rsidR="004310AA" w:rsidRPr="0026534C">
        <w:rPr>
          <w:rStyle w:val="5yl5"/>
          <w:rFonts w:ascii="Cambria Math" w:hAnsi="Cambria Math"/>
          <w:sz w:val="36"/>
        </w:rPr>
        <w:t>normally</w:t>
      </w:r>
      <w:r w:rsidR="0026534C">
        <w:rPr>
          <w:rStyle w:val="5yl5"/>
          <w:rFonts w:ascii="Cambria Math" w:hAnsi="Cambria Math"/>
          <w:sz w:val="36"/>
        </w:rPr>
        <w:t xml:space="preserve"> as even humans today are known to act un ordinarily when being observed or studied by outsiders.</w:t>
      </w:r>
    </w:p>
    <w:p w14:paraId="10AAB338" w14:textId="1E17BC0A" w:rsidR="00413CCF" w:rsidRPr="00740FEF" w:rsidRDefault="00E04D38" w:rsidP="00E664E8">
      <w:pPr>
        <w:rPr>
          <w:rStyle w:val="5yl5"/>
          <w:rFonts w:ascii="Cambria Math" w:hAnsi="Cambria Math"/>
          <w:sz w:val="36"/>
        </w:rPr>
      </w:pPr>
      <w:r w:rsidRPr="00740FEF">
        <w:rPr>
          <w:rStyle w:val="5yl5"/>
          <w:rFonts w:ascii="Cambria Math" w:hAnsi="Cambria Math"/>
          <w:sz w:val="36"/>
        </w:rPr>
        <w:t xml:space="preserve"> Hodder again notes that problems with white colonialism</w:t>
      </w:r>
      <w:r w:rsidR="002A45CE" w:rsidRPr="00740FEF">
        <w:rPr>
          <w:rStyle w:val="5yl5"/>
          <w:rFonts w:ascii="Cambria Math" w:hAnsi="Cambria Math"/>
          <w:sz w:val="36"/>
        </w:rPr>
        <w:t xml:space="preserve"> and capitalism</w:t>
      </w:r>
      <w:r w:rsidRPr="00740FEF">
        <w:rPr>
          <w:rStyle w:val="5yl5"/>
          <w:rFonts w:ascii="Cambria Math" w:hAnsi="Cambria Math"/>
          <w:sz w:val="36"/>
        </w:rPr>
        <w:t xml:space="preserve"> can cause the subjects to act differently, as his own experience had taught him.</w:t>
      </w:r>
      <w:r w:rsidRPr="00740FEF">
        <w:rPr>
          <w:rStyle w:val="FootnoteReference"/>
          <w:rFonts w:ascii="Cambria Math" w:hAnsi="Cambria Math"/>
          <w:sz w:val="36"/>
        </w:rPr>
        <w:footnoteReference w:id="16"/>
      </w:r>
      <w:r w:rsidRPr="00740FEF">
        <w:rPr>
          <w:rStyle w:val="5yl5"/>
          <w:rFonts w:ascii="Cambria Math" w:hAnsi="Cambria Math"/>
          <w:sz w:val="36"/>
        </w:rPr>
        <w:t xml:space="preserve"> </w:t>
      </w:r>
    </w:p>
    <w:p w14:paraId="1AB380B2" w14:textId="68C01558" w:rsidR="00E04D38" w:rsidRPr="00740FEF" w:rsidRDefault="00E04D38" w:rsidP="00E664E8">
      <w:pPr>
        <w:rPr>
          <w:rStyle w:val="5yl5"/>
          <w:rFonts w:ascii="Cambria Math" w:hAnsi="Cambria Math"/>
          <w:sz w:val="36"/>
        </w:rPr>
      </w:pPr>
      <w:r w:rsidRPr="00740FEF">
        <w:rPr>
          <w:rStyle w:val="5yl5"/>
          <w:rFonts w:ascii="Cambria Math" w:hAnsi="Cambria Math"/>
          <w:sz w:val="36"/>
        </w:rPr>
        <w:t xml:space="preserve">While attempting a study of the Baringo people and their pot-making techniques, he was given false information that the pots would last for 80 years, whereas upon analysis, they would not last longer than 8. Hodder attributed this to the Baringo believing he wanted to buy the pots, as that was their experience with previous outsiders, and so they were embellishing the attributes of </w:t>
      </w:r>
      <w:r w:rsidRPr="00740FEF">
        <w:rPr>
          <w:rStyle w:val="5yl5"/>
          <w:rFonts w:ascii="Cambria Math" w:hAnsi="Cambria Math"/>
          <w:sz w:val="36"/>
        </w:rPr>
        <w:lastRenderedPageBreak/>
        <w:t>the pots to appeal to a potential buyer, rather than a researcher interested in their techniques.</w:t>
      </w:r>
      <w:r w:rsidRPr="00740FEF">
        <w:rPr>
          <w:rStyle w:val="FootnoteReference"/>
          <w:rFonts w:ascii="Cambria Math" w:hAnsi="Cambria Math"/>
          <w:sz w:val="36"/>
        </w:rPr>
        <w:footnoteReference w:id="17"/>
      </w:r>
    </w:p>
    <w:p w14:paraId="2BFFC303" w14:textId="77777777" w:rsidR="00740FEF" w:rsidRPr="00740FEF" w:rsidRDefault="00740FEF" w:rsidP="00E664E8">
      <w:pPr>
        <w:rPr>
          <w:rStyle w:val="5yl5"/>
          <w:rFonts w:ascii="Cambria Math" w:hAnsi="Cambria Math"/>
          <w:sz w:val="36"/>
        </w:rPr>
      </w:pPr>
    </w:p>
    <w:p w14:paraId="3DDF7911" w14:textId="77777777" w:rsidR="00740FEF" w:rsidRPr="00740FEF" w:rsidRDefault="00740FEF" w:rsidP="00740FEF">
      <w:pPr>
        <w:rPr>
          <w:rFonts w:ascii="Cambria Math" w:hAnsi="Cambria Math"/>
          <w:sz w:val="36"/>
          <w:szCs w:val="36"/>
        </w:rPr>
      </w:pPr>
      <w:r w:rsidRPr="00740FEF">
        <w:rPr>
          <w:rFonts w:ascii="Cambria Math" w:hAnsi="Cambria Math"/>
          <w:sz w:val="36"/>
          <w:szCs w:val="36"/>
        </w:rPr>
        <w:t>Another concern is that the study can be affected by the researchers providing the subjects with tools they would not otherwise have had.</w:t>
      </w:r>
      <w:r w:rsidRPr="00740FEF">
        <w:rPr>
          <w:rFonts w:ascii="Cambria Math" w:hAnsi="Cambria Math"/>
          <w:sz w:val="36"/>
          <w:szCs w:val="36"/>
          <w:vertAlign w:val="superscript"/>
        </w:rPr>
        <w:footnoteReference w:id="18"/>
      </w:r>
      <w:r w:rsidRPr="00740FEF">
        <w:rPr>
          <w:rFonts w:ascii="Cambria Math" w:hAnsi="Cambria Math"/>
          <w:sz w:val="36"/>
          <w:szCs w:val="36"/>
        </w:rPr>
        <w:t xml:space="preserve"> In the case of the Hadza, Marlowe et al, a follow-up investigation to O’Connel’s group, write that they occasionally provided the Hadza with buckets for the collection of honey, where the Hadza would normally use baobab seed pods.</w:t>
      </w:r>
      <w:r w:rsidRPr="00740FEF">
        <w:rPr>
          <w:rFonts w:ascii="Cambria Math" w:hAnsi="Cambria Math"/>
          <w:sz w:val="36"/>
          <w:szCs w:val="36"/>
          <w:vertAlign w:val="superscript"/>
        </w:rPr>
        <w:footnoteReference w:id="19"/>
      </w:r>
    </w:p>
    <w:p w14:paraId="61935BBD" w14:textId="0DE90F1A" w:rsidR="0023031D" w:rsidRPr="00740FEF" w:rsidRDefault="0023031D" w:rsidP="00A04F0F">
      <w:pPr>
        <w:rPr>
          <w:rStyle w:val="5yl5"/>
          <w:rFonts w:ascii="Cambria Math" w:hAnsi="Cambria Math"/>
          <w:sz w:val="36"/>
        </w:rPr>
      </w:pPr>
    </w:p>
    <w:p w14:paraId="2B6348B7" w14:textId="1F3AB2FC" w:rsidR="005644AA" w:rsidRPr="00740FEF" w:rsidRDefault="005644AA" w:rsidP="005644AA">
      <w:pPr>
        <w:pStyle w:val="Subtitle"/>
        <w:rPr>
          <w:rStyle w:val="5yl5"/>
          <w:rFonts w:ascii="Cambria Math" w:hAnsi="Cambria Math"/>
          <w:b/>
          <w:color w:val="auto"/>
          <w:sz w:val="40"/>
          <w:u w:val="single"/>
        </w:rPr>
      </w:pPr>
      <w:r w:rsidRPr="00740FEF">
        <w:rPr>
          <w:rStyle w:val="5yl5"/>
          <w:rFonts w:ascii="Cambria Math" w:hAnsi="Cambria Math"/>
          <w:b/>
          <w:color w:val="auto"/>
          <w:sz w:val="40"/>
          <w:u w:val="single"/>
        </w:rPr>
        <w:t>Recording Subjects and Questionnaires</w:t>
      </w:r>
    </w:p>
    <w:p w14:paraId="54E44D49" w14:textId="2F8D8397" w:rsidR="00202ABB" w:rsidRPr="00740FEF" w:rsidRDefault="0023031D" w:rsidP="00A04F0F">
      <w:pPr>
        <w:rPr>
          <w:rStyle w:val="5yl5"/>
          <w:rFonts w:ascii="Cambria Math" w:hAnsi="Cambria Math"/>
          <w:sz w:val="36"/>
        </w:rPr>
      </w:pPr>
      <w:r w:rsidRPr="00740FEF">
        <w:rPr>
          <w:rStyle w:val="5yl5"/>
          <w:rFonts w:ascii="Cambria Math" w:hAnsi="Cambria Math"/>
          <w:sz w:val="36"/>
        </w:rPr>
        <w:t>Another method of research used by ethno-archaeologists is less intrusive and involves the recording of subjects via cameras and voice recorders.</w:t>
      </w:r>
      <w:r w:rsidRPr="00740FEF">
        <w:rPr>
          <w:rStyle w:val="FootnoteReference"/>
          <w:rFonts w:ascii="Cambria Math" w:hAnsi="Cambria Math"/>
          <w:sz w:val="36"/>
        </w:rPr>
        <w:footnoteReference w:id="20"/>
      </w:r>
      <w:r w:rsidRPr="00740FEF">
        <w:rPr>
          <w:rStyle w:val="5yl5"/>
          <w:rFonts w:ascii="Cambria Math" w:hAnsi="Cambria Math"/>
          <w:sz w:val="36"/>
        </w:rPr>
        <w:t xml:space="preserve"> This method will remove the factor of the researcher and can often prompt the subjects into acting more naturally than they would if the researcher was present.</w:t>
      </w:r>
      <w:r w:rsidRPr="00740FEF">
        <w:rPr>
          <w:rStyle w:val="FootnoteReference"/>
          <w:rFonts w:ascii="Cambria Math" w:hAnsi="Cambria Math"/>
          <w:sz w:val="36"/>
        </w:rPr>
        <w:footnoteReference w:id="21"/>
      </w:r>
      <w:r w:rsidRPr="00740FEF">
        <w:rPr>
          <w:rStyle w:val="5yl5"/>
          <w:rFonts w:ascii="Cambria Math" w:hAnsi="Cambria Math"/>
          <w:sz w:val="36"/>
        </w:rPr>
        <w:t xml:space="preserve"> This was used to great effect by Guilbert Lewis in 1980, during his observation of the Gnua in Papua New Guinea, as he would leave his tape recorder on a rock near to the tribe he was studying, and they would, after a brief examination of the recorder, ignore it and continue with their normal routine and conversation.</w:t>
      </w:r>
      <w:r w:rsidRPr="00740FEF">
        <w:rPr>
          <w:rStyle w:val="FootnoteReference"/>
          <w:rFonts w:ascii="Cambria Math" w:hAnsi="Cambria Math"/>
          <w:sz w:val="36"/>
        </w:rPr>
        <w:footnoteReference w:id="22"/>
      </w:r>
      <w:r w:rsidR="00BB320F" w:rsidRPr="00740FEF">
        <w:rPr>
          <w:rStyle w:val="5yl5"/>
          <w:rFonts w:ascii="Cambria Math" w:hAnsi="Cambria Math"/>
          <w:sz w:val="36"/>
        </w:rPr>
        <w:t xml:space="preserve"> One of the problems with using this </w:t>
      </w:r>
      <w:r w:rsidR="00BB320F" w:rsidRPr="00740FEF">
        <w:rPr>
          <w:rStyle w:val="5yl5"/>
          <w:rFonts w:ascii="Cambria Math" w:hAnsi="Cambria Math"/>
          <w:sz w:val="36"/>
        </w:rPr>
        <w:lastRenderedPageBreak/>
        <w:t>technique, is that there is only so much that can be learnt through observation alone, and some interaction will usually be required, depending on the theme and purpose of the study. In some cases, a simple questionnaire may also be used along with the recordings that will help researchers to understand what was said or done.</w:t>
      </w:r>
      <w:r w:rsidR="00BB320F" w:rsidRPr="00740FEF">
        <w:rPr>
          <w:rStyle w:val="FootnoteReference"/>
          <w:rFonts w:ascii="Cambria Math" w:hAnsi="Cambria Math"/>
          <w:sz w:val="36"/>
        </w:rPr>
        <w:footnoteReference w:id="23"/>
      </w:r>
      <w:r w:rsidR="00BB320F" w:rsidRPr="00740FEF">
        <w:rPr>
          <w:rStyle w:val="5yl5"/>
          <w:rFonts w:ascii="Cambria Math" w:hAnsi="Cambria Math"/>
          <w:sz w:val="36"/>
        </w:rPr>
        <w:t xml:space="preserve"> Using a questionnaire also has its own problems, however, as sometimes the questions can be misunderstood, or answered in a way that does not provide much information of value</w:t>
      </w:r>
      <w:r w:rsidR="00656CDE" w:rsidRPr="00740FEF">
        <w:rPr>
          <w:rStyle w:val="5yl5"/>
          <w:rFonts w:ascii="Cambria Math" w:hAnsi="Cambria Math"/>
          <w:sz w:val="36"/>
        </w:rPr>
        <w:t>,</w:t>
      </w:r>
      <w:r w:rsidR="00BB320F" w:rsidRPr="00740FEF">
        <w:rPr>
          <w:rStyle w:val="FootnoteReference"/>
          <w:rFonts w:ascii="Cambria Math" w:hAnsi="Cambria Math"/>
          <w:sz w:val="36"/>
        </w:rPr>
        <w:footnoteReference w:id="24"/>
      </w:r>
      <w:r w:rsidR="00656CDE" w:rsidRPr="00740FEF">
        <w:rPr>
          <w:rStyle w:val="5yl5"/>
          <w:rFonts w:ascii="Cambria Math" w:hAnsi="Cambria Math"/>
          <w:sz w:val="36"/>
        </w:rPr>
        <w:t xml:space="preserve"> and so it can be difficult to form theories about human evolution based on recordings and questionnaires alone.</w:t>
      </w:r>
      <w:r w:rsidR="002E385B" w:rsidRPr="00740FEF">
        <w:rPr>
          <w:rStyle w:val="5yl5"/>
          <w:rFonts w:ascii="Cambria Math" w:hAnsi="Cambria Math"/>
          <w:sz w:val="36"/>
        </w:rPr>
        <w:t xml:space="preserve"> Therefore, it seems that this type of ethno-archaeology is not relevant to the solving of puzzles involving human evolution.</w:t>
      </w:r>
    </w:p>
    <w:p w14:paraId="62FE093A" w14:textId="46B4D9F3" w:rsidR="007316C5" w:rsidRPr="00740FEF" w:rsidRDefault="007316C5" w:rsidP="00A04F0F">
      <w:pPr>
        <w:rPr>
          <w:rStyle w:val="5yl5"/>
          <w:rFonts w:ascii="Cambria Math" w:hAnsi="Cambria Math"/>
          <w:sz w:val="36"/>
        </w:rPr>
      </w:pPr>
    </w:p>
    <w:p w14:paraId="3D690735" w14:textId="01E32E16" w:rsidR="00740FEF" w:rsidRPr="00740FEF" w:rsidRDefault="007316C5" w:rsidP="00740FEF">
      <w:pPr>
        <w:pStyle w:val="Subtitle"/>
        <w:rPr>
          <w:rFonts w:ascii="Cambria Math" w:hAnsi="Cambria Math"/>
          <w:b/>
          <w:color w:val="auto"/>
          <w:sz w:val="40"/>
          <w:u w:val="single"/>
        </w:rPr>
      </w:pPr>
      <w:r w:rsidRPr="00740FEF">
        <w:rPr>
          <w:rStyle w:val="5yl5"/>
          <w:rFonts w:ascii="Cambria Math" w:hAnsi="Cambria Math"/>
          <w:b/>
          <w:color w:val="auto"/>
          <w:sz w:val="40"/>
          <w:u w:val="single"/>
        </w:rPr>
        <w:t>Problems with Ethno-archaeology</w:t>
      </w:r>
    </w:p>
    <w:p w14:paraId="71E44590" w14:textId="77777777" w:rsidR="00740FEF" w:rsidRPr="00740FEF" w:rsidRDefault="00740FEF" w:rsidP="00740FEF">
      <w:pPr>
        <w:rPr>
          <w:rFonts w:ascii="Cambria Math" w:hAnsi="Cambria Math"/>
          <w:sz w:val="36"/>
          <w:szCs w:val="36"/>
          <w:vertAlign w:val="superscript"/>
        </w:rPr>
      </w:pPr>
      <w:r w:rsidRPr="00740FEF">
        <w:rPr>
          <w:rFonts w:ascii="Cambria Math" w:hAnsi="Cambria Math"/>
          <w:sz w:val="36"/>
          <w:szCs w:val="36"/>
        </w:rPr>
        <w:t>The use of ethno-archaeology as an analogy for solving puzzles of human evolution also has some drawbacks. Tilley notes that by using contemporary hunter-gatherer groups as study subjects, we are observing people that may be influenced by modern ways of thinking that would not have been the way that prehistoric man would have thought.</w:t>
      </w:r>
      <w:r w:rsidRPr="00740FEF">
        <w:rPr>
          <w:rFonts w:ascii="Cambria Math" w:hAnsi="Cambria Math"/>
          <w:sz w:val="36"/>
          <w:szCs w:val="36"/>
          <w:vertAlign w:val="superscript"/>
        </w:rPr>
        <w:footnoteReference w:id="25"/>
      </w:r>
      <w:r w:rsidRPr="00740FEF">
        <w:rPr>
          <w:rFonts w:ascii="Cambria Math" w:hAnsi="Cambria Math"/>
          <w:sz w:val="36"/>
          <w:szCs w:val="36"/>
        </w:rPr>
        <w:t xml:space="preserve"> The thought-processes of modern researchers are also a problem in Tilley’s opinion. Researchers will form opinions based on the way that modern people think and may not be open-minded enough to consider </w:t>
      </w:r>
      <w:r w:rsidRPr="00740FEF">
        <w:rPr>
          <w:rFonts w:ascii="Cambria Math" w:hAnsi="Cambria Math"/>
          <w:sz w:val="36"/>
          <w:szCs w:val="36"/>
        </w:rPr>
        <w:lastRenderedPageBreak/>
        <w:t>alternative ways of seeing things.</w:t>
      </w:r>
      <w:r w:rsidRPr="00740FEF">
        <w:rPr>
          <w:rFonts w:ascii="Cambria Math" w:hAnsi="Cambria Math"/>
          <w:sz w:val="36"/>
          <w:szCs w:val="36"/>
          <w:vertAlign w:val="superscript"/>
        </w:rPr>
        <w:footnoteReference w:id="26"/>
      </w:r>
      <w:r w:rsidRPr="00740FEF">
        <w:rPr>
          <w:rFonts w:ascii="Cambria Math" w:hAnsi="Cambria Math"/>
          <w:sz w:val="36"/>
          <w:szCs w:val="36"/>
        </w:rPr>
        <w:t xml:space="preserve"> Sheehan provides a particularly relevant example of this from the early 20</w:t>
      </w:r>
      <w:r w:rsidRPr="00740FEF">
        <w:rPr>
          <w:rFonts w:ascii="Cambria Math" w:hAnsi="Cambria Math"/>
          <w:sz w:val="36"/>
          <w:szCs w:val="36"/>
          <w:vertAlign w:val="superscript"/>
        </w:rPr>
        <w:t>th</w:t>
      </w:r>
      <w:r w:rsidRPr="00740FEF">
        <w:rPr>
          <w:rFonts w:ascii="Cambria Math" w:hAnsi="Cambria Math"/>
          <w:sz w:val="36"/>
          <w:szCs w:val="36"/>
        </w:rPr>
        <w:t xml:space="preserve"> century, when two studies by Sterns and Wissler argued that prehistoric man would not have been able to hunt buffalo as they had not tamed horses, which were a key part of contemporary hunter-gatherer subsistence techniques.</w:t>
      </w:r>
      <w:r w:rsidRPr="00740FEF">
        <w:rPr>
          <w:rFonts w:ascii="Cambria Math" w:hAnsi="Cambria Math"/>
          <w:sz w:val="36"/>
          <w:szCs w:val="36"/>
          <w:vertAlign w:val="superscript"/>
        </w:rPr>
        <w:footnoteReference w:id="27"/>
      </w:r>
    </w:p>
    <w:p w14:paraId="5D4D90FC" w14:textId="77777777" w:rsidR="00740FEF" w:rsidRPr="00740FEF" w:rsidRDefault="00740FEF" w:rsidP="00740FEF">
      <w:pPr>
        <w:rPr>
          <w:rFonts w:ascii="Cambria Math" w:hAnsi="Cambria Math"/>
          <w:sz w:val="36"/>
          <w:szCs w:val="36"/>
        </w:rPr>
      </w:pPr>
    </w:p>
    <w:p w14:paraId="03BFEE24" w14:textId="77777777" w:rsidR="00740FEF" w:rsidRPr="00740FEF" w:rsidRDefault="00740FEF" w:rsidP="00740FEF">
      <w:pPr>
        <w:rPr>
          <w:rFonts w:ascii="Cambria Math" w:hAnsi="Cambria Math"/>
          <w:sz w:val="36"/>
          <w:szCs w:val="36"/>
        </w:rPr>
      </w:pPr>
      <w:r w:rsidRPr="00740FEF">
        <w:rPr>
          <w:rFonts w:ascii="Cambria Math" w:hAnsi="Cambria Math"/>
          <w:sz w:val="36"/>
          <w:szCs w:val="36"/>
        </w:rPr>
        <w:t>Another problem with using ethnographic analogy is that the observations of the contemporary cultures usually only last for a short period of time.</w:t>
      </w:r>
      <w:r w:rsidRPr="00740FEF">
        <w:rPr>
          <w:rFonts w:ascii="Cambria Math" w:hAnsi="Cambria Math"/>
          <w:sz w:val="36"/>
          <w:szCs w:val="36"/>
          <w:vertAlign w:val="superscript"/>
        </w:rPr>
        <w:footnoteReference w:id="28"/>
      </w:r>
      <w:r w:rsidRPr="00740FEF">
        <w:rPr>
          <w:rFonts w:ascii="Cambria Math" w:hAnsi="Cambria Math"/>
          <w:sz w:val="36"/>
          <w:szCs w:val="36"/>
        </w:rPr>
        <w:t xml:space="preserve"> In the case of the Hadza, O’Connell’s team spent only 188 days with them,</w:t>
      </w:r>
      <w:r w:rsidRPr="00740FEF">
        <w:rPr>
          <w:rFonts w:ascii="Cambria Math" w:hAnsi="Cambria Math"/>
          <w:sz w:val="36"/>
          <w:szCs w:val="36"/>
          <w:vertAlign w:val="superscript"/>
        </w:rPr>
        <w:footnoteReference w:id="29"/>
      </w:r>
      <w:r w:rsidRPr="00740FEF">
        <w:rPr>
          <w:rFonts w:ascii="Cambria Math" w:hAnsi="Cambria Math"/>
          <w:sz w:val="36"/>
          <w:szCs w:val="36"/>
        </w:rPr>
        <w:t xml:space="preserve"> which may not have been enough to make accurate predictions of how this culture will evolve and adapt over the same time period as prehistoric man had.</w:t>
      </w:r>
      <w:r w:rsidRPr="00740FEF">
        <w:rPr>
          <w:rFonts w:ascii="Cambria Math" w:hAnsi="Cambria Math"/>
          <w:sz w:val="36"/>
          <w:szCs w:val="36"/>
          <w:vertAlign w:val="superscript"/>
        </w:rPr>
        <w:footnoteReference w:id="30"/>
      </w:r>
      <w:r w:rsidRPr="00740FEF">
        <w:rPr>
          <w:rFonts w:ascii="Cambria Math" w:hAnsi="Cambria Math"/>
          <w:sz w:val="36"/>
          <w:szCs w:val="36"/>
        </w:rPr>
        <w:t xml:space="preserve"> The only way that such analogies can be applied is if the researchers are making comparisons to short periods of time in prehistory, or if they are theorising about whether a similar approach to a task could have led our ancestors to evolve the way they did.</w:t>
      </w:r>
      <w:r w:rsidRPr="00740FEF">
        <w:rPr>
          <w:rFonts w:ascii="Cambria Math" w:hAnsi="Cambria Math"/>
          <w:sz w:val="36"/>
          <w:szCs w:val="36"/>
          <w:vertAlign w:val="superscript"/>
        </w:rPr>
        <w:footnoteReference w:id="31"/>
      </w:r>
      <w:r w:rsidRPr="00740FEF">
        <w:rPr>
          <w:rFonts w:ascii="Cambria Math" w:hAnsi="Cambria Math"/>
          <w:sz w:val="36"/>
          <w:szCs w:val="36"/>
        </w:rPr>
        <w:t xml:space="preserve"> O’Connell et al follow the latter format of analogy when they theorise that early hominids may have evolved into our </w:t>
      </w:r>
      <w:r w:rsidRPr="00740FEF">
        <w:rPr>
          <w:rFonts w:ascii="Cambria Math" w:hAnsi="Cambria Math"/>
          <w:i/>
          <w:sz w:val="36"/>
          <w:szCs w:val="36"/>
        </w:rPr>
        <w:t>homo erectus</w:t>
      </w:r>
      <w:r w:rsidRPr="00740FEF">
        <w:rPr>
          <w:rFonts w:ascii="Cambria Math" w:hAnsi="Cambria Math"/>
          <w:sz w:val="36"/>
          <w:szCs w:val="36"/>
        </w:rPr>
        <w:t xml:space="preserve"> ancestor partly through a particular foraging strategy that elongated lifespan of senior members of the group and reduced the infant mortality rate by senior females taking </w:t>
      </w:r>
      <w:r w:rsidRPr="00740FEF">
        <w:rPr>
          <w:rFonts w:ascii="Cambria Math" w:hAnsi="Cambria Math"/>
          <w:sz w:val="36"/>
          <w:szCs w:val="36"/>
        </w:rPr>
        <w:lastRenderedPageBreak/>
        <w:t>on the task of foraging for young children while their mothers contributed to the foraging for the rest of the group.</w:t>
      </w:r>
      <w:r w:rsidRPr="00740FEF">
        <w:rPr>
          <w:rFonts w:ascii="Cambria Math" w:hAnsi="Cambria Math"/>
          <w:sz w:val="36"/>
          <w:szCs w:val="36"/>
          <w:vertAlign w:val="superscript"/>
        </w:rPr>
        <w:footnoteReference w:id="32"/>
      </w:r>
    </w:p>
    <w:p w14:paraId="751F7F57" w14:textId="77777777" w:rsidR="00740FEF" w:rsidRPr="00740FEF" w:rsidRDefault="00740FEF" w:rsidP="00740FEF">
      <w:pPr>
        <w:rPr>
          <w:rFonts w:ascii="Cambria Math" w:hAnsi="Cambria Math"/>
          <w:sz w:val="36"/>
          <w:szCs w:val="36"/>
        </w:rPr>
      </w:pPr>
    </w:p>
    <w:p w14:paraId="54652983" w14:textId="036BAA89" w:rsidR="00740FEF" w:rsidRPr="00740FEF" w:rsidRDefault="00740FEF" w:rsidP="00740FEF">
      <w:pPr>
        <w:rPr>
          <w:rFonts w:ascii="Cambria Math" w:hAnsi="Cambria Math"/>
          <w:sz w:val="36"/>
          <w:szCs w:val="36"/>
        </w:rPr>
      </w:pPr>
      <w:r w:rsidRPr="00740FEF">
        <w:rPr>
          <w:rFonts w:ascii="Cambria Math" w:hAnsi="Cambria Math"/>
          <w:sz w:val="36"/>
          <w:szCs w:val="36"/>
        </w:rPr>
        <w:t>David and Kramer highlight another criticism that is often aimed towards ethno-archaeology. Critics such as Gould and Wobst are concerned that those who use ethnographic research to solve problems of human evolution become too reliant and biased by their ethnographic information, and stop considering the data from the archaeological record.</w:t>
      </w:r>
      <w:r w:rsidRPr="00740FEF">
        <w:rPr>
          <w:rFonts w:ascii="Cambria Math" w:hAnsi="Cambria Math"/>
          <w:sz w:val="36"/>
          <w:szCs w:val="36"/>
          <w:vertAlign w:val="superscript"/>
        </w:rPr>
        <w:footnoteReference w:id="33"/>
      </w:r>
      <w:r w:rsidRPr="00740FEF">
        <w:rPr>
          <w:rFonts w:ascii="Cambria Math" w:hAnsi="Cambria Math"/>
          <w:sz w:val="36"/>
          <w:szCs w:val="36"/>
        </w:rPr>
        <w:t xml:space="preserve"> This could potentially be a problem for the Hadza researchers, whose ethnographic data on bone assemblies (see below) often contradicts models put forward by other archaeologists that do not utilise ethnographic analogy.</w:t>
      </w:r>
      <w:r w:rsidRPr="00740FEF">
        <w:rPr>
          <w:rFonts w:ascii="Cambria Math" w:hAnsi="Cambria Math"/>
          <w:sz w:val="36"/>
          <w:szCs w:val="36"/>
          <w:vertAlign w:val="superscript"/>
        </w:rPr>
        <w:footnoteReference w:id="34"/>
      </w:r>
      <w:r w:rsidRPr="00740FEF">
        <w:rPr>
          <w:rFonts w:ascii="Cambria Math" w:hAnsi="Cambria Math"/>
          <w:sz w:val="36"/>
          <w:szCs w:val="36"/>
        </w:rPr>
        <w:t xml:space="preserve"> There is a danger among all ethno-archaeologists that in their eagerness to fit their data to a new theory, they may overlook key aspects of archaeological data. O’Connell et al are no exception, as their solution for the puzzle of variation of bone assemblies is based mainly on their own data,</w:t>
      </w:r>
      <w:r w:rsidRPr="00740FEF">
        <w:rPr>
          <w:rFonts w:ascii="Cambria Math" w:hAnsi="Cambria Math"/>
          <w:sz w:val="36"/>
          <w:szCs w:val="36"/>
          <w:vertAlign w:val="superscript"/>
        </w:rPr>
        <w:footnoteReference w:id="35"/>
      </w:r>
      <w:r w:rsidRPr="00740FEF">
        <w:rPr>
          <w:rFonts w:ascii="Cambria Math" w:hAnsi="Cambria Math"/>
          <w:sz w:val="36"/>
          <w:szCs w:val="36"/>
        </w:rPr>
        <w:t xml:space="preserve"> which could be biased.</w:t>
      </w:r>
    </w:p>
    <w:p w14:paraId="5479ECA5" w14:textId="77777777" w:rsidR="00740FEF" w:rsidRPr="00740FEF" w:rsidRDefault="00740FEF" w:rsidP="00740FEF">
      <w:pPr>
        <w:rPr>
          <w:rFonts w:ascii="Cambria Math" w:hAnsi="Cambria Math"/>
          <w:sz w:val="36"/>
          <w:szCs w:val="36"/>
        </w:rPr>
      </w:pPr>
    </w:p>
    <w:p w14:paraId="3E1BCE60" w14:textId="4E39702D" w:rsidR="00CC719C" w:rsidRPr="00740FEF" w:rsidRDefault="0041168B" w:rsidP="00CC719C">
      <w:pPr>
        <w:pStyle w:val="Subtitle"/>
        <w:rPr>
          <w:rFonts w:ascii="Cambria Math" w:hAnsi="Cambria Math"/>
          <w:b/>
          <w:color w:val="auto"/>
          <w:sz w:val="40"/>
          <w:u w:val="single"/>
        </w:rPr>
      </w:pPr>
      <w:r w:rsidRPr="00740FEF">
        <w:rPr>
          <w:rStyle w:val="5yl5"/>
          <w:rFonts w:ascii="Cambria Math" w:hAnsi="Cambria Math"/>
          <w:b/>
          <w:color w:val="auto"/>
          <w:sz w:val="40"/>
          <w:u w:val="single"/>
        </w:rPr>
        <w:t>Hadza Foraging and ‘Grandmothering’</w:t>
      </w:r>
    </w:p>
    <w:p w14:paraId="1D596EEE" w14:textId="4F401C4D" w:rsidR="00CC719C" w:rsidRPr="00740FEF" w:rsidRDefault="00CC719C" w:rsidP="00E664E8">
      <w:pPr>
        <w:rPr>
          <w:rStyle w:val="5yl5"/>
          <w:rFonts w:ascii="Cambria Math" w:hAnsi="Cambria Math"/>
          <w:sz w:val="36"/>
        </w:rPr>
      </w:pPr>
      <w:r w:rsidRPr="00740FEF">
        <w:rPr>
          <w:rStyle w:val="5yl5"/>
          <w:rFonts w:ascii="Cambria Math" w:hAnsi="Cambria Math"/>
          <w:sz w:val="36"/>
        </w:rPr>
        <w:t xml:space="preserve">The Hadza people of Tanzania have been the subject of several studies by a group of ethno-archaeologists including O’Connell, Hawkes, </w:t>
      </w:r>
      <w:r w:rsidR="003D2C53" w:rsidRPr="00740FEF">
        <w:rPr>
          <w:rStyle w:val="5yl5"/>
          <w:rFonts w:ascii="Cambria Math" w:hAnsi="Cambria Math"/>
          <w:sz w:val="36"/>
        </w:rPr>
        <w:t>Marlowe and Blurton-Jones.</w:t>
      </w:r>
      <w:r w:rsidR="00804EA3" w:rsidRPr="00740FEF">
        <w:rPr>
          <w:rStyle w:val="5yl5"/>
          <w:rFonts w:ascii="Cambria Math" w:hAnsi="Cambria Math"/>
          <w:sz w:val="36"/>
        </w:rPr>
        <w:t xml:space="preserve"> </w:t>
      </w:r>
      <w:r w:rsidR="00804EA3" w:rsidRPr="00740FEF">
        <w:rPr>
          <w:rStyle w:val="5yl5"/>
          <w:rFonts w:ascii="Cambria Math" w:hAnsi="Cambria Math"/>
          <w:sz w:val="36"/>
        </w:rPr>
        <w:lastRenderedPageBreak/>
        <w:t>Through a series of articles, they have proposed several theories about human evolution based on their observations of the Hadza, which I will now examine.</w:t>
      </w:r>
    </w:p>
    <w:p w14:paraId="51C398E5" w14:textId="77777777" w:rsidR="00CC719C" w:rsidRPr="00740FEF" w:rsidRDefault="00CC719C" w:rsidP="00E664E8">
      <w:pPr>
        <w:rPr>
          <w:rStyle w:val="5yl5"/>
          <w:rFonts w:ascii="Cambria Math" w:hAnsi="Cambria Math"/>
          <w:sz w:val="36"/>
        </w:rPr>
      </w:pPr>
    </w:p>
    <w:p w14:paraId="1641FAC2" w14:textId="73E650A1" w:rsidR="00E664E8" w:rsidRPr="00740FEF" w:rsidRDefault="001224F8" w:rsidP="00E664E8">
      <w:pPr>
        <w:rPr>
          <w:rStyle w:val="5yl5"/>
          <w:rFonts w:ascii="Cambria Math" w:hAnsi="Cambria Math"/>
          <w:sz w:val="36"/>
        </w:rPr>
      </w:pPr>
      <w:r w:rsidRPr="00740FEF">
        <w:rPr>
          <w:rStyle w:val="5yl5"/>
          <w:rFonts w:ascii="Cambria Math" w:hAnsi="Cambria Math"/>
          <w:sz w:val="36"/>
        </w:rPr>
        <w:t>T</w:t>
      </w:r>
      <w:r w:rsidR="00E664E8" w:rsidRPr="00740FEF">
        <w:rPr>
          <w:rStyle w:val="5yl5"/>
          <w:rFonts w:ascii="Cambria Math" w:hAnsi="Cambria Math"/>
          <w:sz w:val="36"/>
        </w:rPr>
        <w:t>hrough the observation of the Hadza, a “</w:t>
      </w:r>
      <w:r w:rsidR="00E664E8" w:rsidRPr="00740FEF">
        <w:rPr>
          <w:rStyle w:val="5yl5"/>
          <w:rFonts w:ascii="Cambria Math" w:hAnsi="Cambria Math"/>
          <w:i/>
          <w:sz w:val="36"/>
        </w:rPr>
        <w:t>small population of traditional foragers”</w:t>
      </w:r>
      <w:r w:rsidR="00E664E8" w:rsidRPr="00740FEF">
        <w:rPr>
          <w:rStyle w:val="FootnoteReference"/>
          <w:rFonts w:ascii="Cambria Math" w:hAnsi="Cambria Math"/>
          <w:i/>
          <w:sz w:val="36"/>
        </w:rPr>
        <w:footnoteReference w:id="36"/>
      </w:r>
      <w:r w:rsidR="00E664E8" w:rsidRPr="00740FEF">
        <w:rPr>
          <w:rStyle w:val="5yl5"/>
          <w:rFonts w:ascii="Cambria Math" w:hAnsi="Cambria Math"/>
          <w:i/>
          <w:sz w:val="36"/>
        </w:rPr>
        <w:t>,</w:t>
      </w:r>
      <w:r w:rsidR="00E664E8" w:rsidRPr="00740FEF">
        <w:rPr>
          <w:rStyle w:val="5yl5"/>
          <w:rFonts w:ascii="Cambria Math" w:hAnsi="Cambria Math"/>
          <w:sz w:val="36"/>
        </w:rPr>
        <w:t xml:space="preserve"> O’Connell et al noticed that the older members of the tribe took a particularly active role in the raising of the younger members.</w:t>
      </w:r>
      <w:r w:rsidR="00E664E8" w:rsidRPr="00740FEF">
        <w:rPr>
          <w:rStyle w:val="FootnoteReference"/>
          <w:rFonts w:ascii="Cambria Math" w:hAnsi="Cambria Math"/>
          <w:sz w:val="36"/>
        </w:rPr>
        <w:footnoteReference w:id="37"/>
      </w:r>
      <w:r w:rsidR="00E664E8" w:rsidRPr="00740FEF">
        <w:rPr>
          <w:rStyle w:val="5yl5"/>
          <w:rFonts w:ascii="Cambria Math" w:hAnsi="Cambria Math"/>
          <w:sz w:val="36"/>
        </w:rPr>
        <w:t xml:space="preserve"> Among the Hadza, every member of the tribe is involved in active foraging, apart from the very oldest and the very youngest.</w:t>
      </w:r>
      <w:r w:rsidR="00E664E8" w:rsidRPr="00740FEF">
        <w:rPr>
          <w:rStyle w:val="FootnoteReference"/>
          <w:rFonts w:ascii="Cambria Math" w:hAnsi="Cambria Math"/>
          <w:sz w:val="36"/>
        </w:rPr>
        <w:footnoteReference w:id="38"/>
      </w:r>
      <w:r w:rsidR="00E664E8" w:rsidRPr="00740FEF">
        <w:rPr>
          <w:rStyle w:val="5yl5"/>
          <w:rFonts w:ascii="Cambria Math" w:hAnsi="Cambria Math"/>
          <w:sz w:val="36"/>
        </w:rPr>
        <w:t xml:space="preserve"> The senior women of the Hadza would often take care of weaned children, so that the mother would be able to care for younger offspring, or have more offspring sooner.</w:t>
      </w:r>
      <w:r w:rsidR="00E664E8" w:rsidRPr="00740FEF">
        <w:rPr>
          <w:rStyle w:val="FootnoteReference"/>
          <w:rFonts w:ascii="Cambria Math" w:hAnsi="Cambria Math"/>
          <w:sz w:val="36"/>
        </w:rPr>
        <w:footnoteReference w:id="39"/>
      </w:r>
      <w:r w:rsidR="00E664E8" w:rsidRPr="00740FEF">
        <w:rPr>
          <w:rStyle w:val="5yl5"/>
          <w:rFonts w:ascii="Cambria Math" w:hAnsi="Cambria Math"/>
          <w:sz w:val="36"/>
        </w:rPr>
        <w:t xml:space="preserve"> This relationship is beneficial for both the young and the ‘grandmothers’, as foraging for sustenance for the children allows the Hadza senior women to remain active and physically fit, extending their lifespan and usefulness to the Hadza.</w:t>
      </w:r>
      <w:r w:rsidR="00E664E8" w:rsidRPr="00740FEF">
        <w:rPr>
          <w:rStyle w:val="FootnoteReference"/>
          <w:rFonts w:ascii="Cambria Math" w:hAnsi="Cambria Math"/>
          <w:sz w:val="36"/>
        </w:rPr>
        <w:footnoteReference w:id="40"/>
      </w:r>
    </w:p>
    <w:p w14:paraId="7C3DA297" w14:textId="6C8237A7" w:rsidR="00E664E8" w:rsidRPr="0026534C" w:rsidRDefault="00E664E8" w:rsidP="00E664E8">
      <w:pPr>
        <w:rPr>
          <w:rStyle w:val="5yl5"/>
          <w:rFonts w:ascii="Cambria Math" w:hAnsi="Cambria Math"/>
          <w:sz w:val="36"/>
        </w:rPr>
      </w:pPr>
      <w:r w:rsidRPr="00740FEF">
        <w:rPr>
          <w:rStyle w:val="5yl5"/>
          <w:rFonts w:ascii="Cambria Math" w:hAnsi="Cambria Math"/>
          <w:sz w:val="36"/>
        </w:rPr>
        <w:t>In other societies, the survival rate of the young would be dependent on the mother’s ability to forage and provide for her children, whereas in the Hadza, as this role is supported by the ‘grandmothers’, child mortality rate is also lower.</w:t>
      </w:r>
      <w:r w:rsidRPr="00740FEF">
        <w:rPr>
          <w:rStyle w:val="FootnoteReference"/>
          <w:rFonts w:ascii="Cambria Math" w:hAnsi="Cambria Math"/>
          <w:sz w:val="36"/>
        </w:rPr>
        <w:footnoteReference w:id="41"/>
      </w:r>
      <w:r w:rsidRPr="00740FEF">
        <w:rPr>
          <w:rStyle w:val="5yl5"/>
          <w:rFonts w:ascii="Cambria Math" w:hAnsi="Cambria Math"/>
          <w:sz w:val="36"/>
        </w:rPr>
        <w:t xml:space="preserve"> This technique when used by the Hadza, allows them to survive in habitats which would not normally be suitable for ‘weanlings’, as some of the foods </w:t>
      </w:r>
      <w:r w:rsidRPr="00740FEF">
        <w:rPr>
          <w:rStyle w:val="5yl5"/>
          <w:rFonts w:ascii="Cambria Math" w:hAnsi="Cambria Math"/>
          <w:sz w:val="36"/>
        </w:rPr>
        <w:lastRenderedPageBreak/>
        <w:t xml:space="preserve">they would need to survive are not easily obtained on their own, such as the </w:t>
      </w:r>
      <w:r w:rsidR="00D6102B" w:rsidRPr="00740FEF">
        <w:rPr>
          <w:rStyle w:val="5yl5"/>
          <w:rFonts w:ascii="Cambria Math" w:hAnsi="Cambria Math"/>
          <w:i/>
          <w:sz w:val="36"/>
        </w:rPr>
        <w:t>Vigna</w:t>
      </w:r>
      <w:r w:rsidRPr="00740FEF">
        <w:rPr>
          <w:rStyle w:val="5yl5"/>
          <w:rFonts w:ascii="Cambria Math" w:hAnsi="Cambria Math"/>
          <w:i/>
          <w:sz w:val="36"/>
        </w:rPr>
        <w:t xml:space="preserve"> frutescens</w:t>
      </w:r>
      <w:r w:rsidRPr="00740FEF">
        <w:rPr>
          <w:rStyle w:val="5yl5"/>
          <w:rFonts w:ascii="Cambria Math" w:hAnsi="Cambria Math"/>
          <w:sz w:val="36"/>
        </w:rPr>
        <w:t xml:space="preserve"> root, which requires “</w:t>
      </w:r>
      <w:r w:rsidRPr="00740FEF">
        <w:rPr>
          <w:rStyle w:val="5yl5"/>
          <w:rFonts w:ascii="Cambria Math" w:hAnsi="Cambria Math"/>
          <w:i/>
          <w:sz w:val="36"/>
        </w:rPr>
        <w:t>both substantial upper body strength and endurance to collect and the ability to make and control fire to process.”</w:t>
      </w:r>
      <w:r w:rsidRPr="00740FEF">
        <w:rPr>
          <w:rStyle w:val="FootnoteReference"/>
          <w:rFonts w:ascii="Cambria Math" w:hAnsi="Cambria Math"/>
          <w:i/>
          <w:sz w:val="36"/>
        </w:rPr>
        <w:footnoteReference w:id="42"/>
      </w:r>
      <w:r w:rsidRPr="00740FEF">
        <w:rPr>
          <w:rStyle w:val="5yl5"/>
          <w:rFonts w:ascii="Cambria Math" w:hAnsi="Cambria Math"/>
          <w:sz w:val="36"/>
        </w:rPr>
        <w:t xml:space="preserve"> The senior women of the Hadza are able to procure this root, which can then be prepared for the ‘</w:t>
      </w:r>
      <w:r w:rsidRPr="0026534C">
        <w:rPr>
          <w:rStyle w:val="5yl5"/>
          <w:rFonts w:ascii="Cambria Math" w:hAnsi="Cambria Math"/>
          <w:sz w:val="36"/>
        </w:rPr>
        <w:t>weanlings’ so that they might survive when they cannot forage for themselves the required food for their own survival.</w:t>
      </w:r>
      <w:r w:rsidRPr="0026534C">
        <w:rPr>
          <w:rStyle w:val="FootnoteReference"/>
          <w:rFonts w:ascii="Cambria Math" w:hAnsi="Cambria Math"/>
          <w:sz w:val="36"/>
        </w:rPr>
        <w:footnoteReference w:id="43"/>
      </w:r>
    </w:p>
    <w:p w14:paraId="2FB7EB56" w14:textId="77777777" w:rsidR="00B2753A" w:rsidRPr="0026534C" w:rsidRDefault="00B2753A" w:rsidP="00B2753A">
      <w:pPr>
        <w:rPr>
          <w:rFonts w:ascii="Cambria Math" w:hAnsi="Cambria Math"/>
          <w:sz w:val="36"/>
          <w:szCs w:val="36"/>
        </w:rPr>
      </w:pPr>
      <w:r w:rsidRPr="0026534C">
        <w:rPr>
          <w:rFonts w:ascii="Cambria Math" w:hAnsi="Cambria Math"/>
          <w:sz w:val="36"/>
          <w:szCs w:val="36"/>
        </w:rPr>
        <w:t xml:space="preserve">These observations allowed O’Connell et al to propose a hypothesis that </w:t>
      </w:r>
      <w:r w:rsidRPr="0026534C">
        <w:rPr>
          <w:rFonts w:ascii="Cambria Math" w:hAnsi="Cambria Math"/>
          <w:i/>
          <w:sz w:val="36"/>
          <w:szCs w:val="36"/>
        </w:rPr>
        <w:t>homo erectus</w:t>
      </w:r>
      <w:r w:rsidRPr="0026534C">
        <w:rPr>
          <w:rFonts w:ascii="Cambria Math" w:hAnsi="Cambria Math"/>
          <w:sz w:val="36"/>
          <w:szCs w:val="36"/>
        </w:rPr>
        <w:t xml:space="preserve"> hunter-gatherer societies may have functioned in a similar way, which would account for the archaeological data of longer lifespans among certain groups, which had puzzled archaeologists for some time.</w:t>
      </w:r>
      <w:r w:rsidRPr="0026534C">
        <w:rPr>
          <w:rFonts w:ascii="Cambria Math" w:hAnsi="Cambria Math"/>
          <w:sz w:val="36"/>
          <w:szCs w:val="36"/>
          <w:vertAlign w:val="superscript"/>
        </w:rPr>
        <w:footnoteReference w:id="44"/>
      </w:r>
      <w:r w:rsidRPr="0026534C">
        <w:rPr>
          <w:rFonts w:ascii="Cambria Math" w:hAnsi="Cambria Math"/>
          <w:sz w:val="36"/>
          <w:szCs w:val="36"/>
        </w:rPr>
        <w:t xml:space="preserve"> This hypothesis is taken one step further, to suggest that the evolution of </w:t>
      </w:r>
      <w:r w:rsidRPr="0026534C">
        <w:rPr>
          <w:rFonts w:ascii="Cambria Math" w:hAnsi="Cambria Math"/>
          <w:i/>
          <w:sz w:val="36"/>
          <w:szCs w:val="36"/>
        </w:rPr>
        <w:t>homo erectus</w:t>
      </w:r>
      <w:r w:rsidRPr="0026534C">
        <w:rPr>
          <w:rFonts w:ascii="Cambria Math" w:hAnsi="Cambria Math"/>
          <w:sz w:val="36"/>
          <w:szCs w:val="36"/>
        </w:rPr>
        <w:t xml:space="preserve"> may have come about partially due to the “</w:t>
      </w:r>
      <w:r w:rsidRPr="0026534C">
        <w:rPr>
          <w:rFonts w:ascii="Cambria Math" w:hAnsi="Cambria Math"/>
          <w:i/>
          <w:sz w:val="36"/>
          <w:szCs w:val="36"/>
        </w:rPr>
        <w:t>climate-driven changes in female foraging and food sharing practices.”</w:t>
      </w:r>
      <w:r w:rsidRPr="0026534C">
        <w:rPr>
          <w:rFonts w:ascii="Cambria Math" w:hAnsi="Cambria Math"/>
          <w:i/>
          <w:sz w:val="36"/>
          <w:szCs w:val="36"/>
          <w:vertAlign w:val="superscript"/>
        </w:rPr>
        <w:footnoteReference w:id="45"/>
      </w:r>
      <w:r w:rsidRPr="0026534C">
        <w:rPr>
          <w:rFonts w:ascii="Cambria Math" w:hAnsi="Cambria Math"/>
          <w:sz w:val="36"/>
          <w:szCs w:val="36"/>
        </w:rPr>
        <w:t xml:space="preserve"> This hypothesis is a particularly good example of how valuable ethnographic analogy can be when using such data to solve puzzles of human evolution. Here, the ethno-archaeologists have very clearly used ethnographic data and compared it to the archaeological record, using it to support their theory, which I feel makes this study highly relevant to understanding the evolution form hominid to </w:t>
      </w:r>
      <w:r w:rsidRPr="0026534C">
        <w:rPr>
          <w:rFonts w:ascii="Cambria Math" w:hAnsi="Cambria Math"/>
          <w:i/>
          <w:sz w:val="36"/>
          <w:szCs w:val="36"/>
        </w:rPr>
        <w:t>homo erectus</w:t>
      </w:r>
      <w:r w:rsidRPr="0026534C">
        <w:rPr>
          <w:rFonts w:ascii="Cambria Math" w:hAnsi="Cambria Math"/>
          <w:sz w:val="36"/>
          <w:szCs w:val="36"/>
        </w:rPr>
        <w:t>.</w:t>
      </w:r>
    </w:p>
    <w:p w14:paraId="77B095BC" w14:textId="0481B55E" w:rsidR="00EC3399" w:rsidRPr="00740FEF" w:rsidRDefault="00EC3399" w:rsidP="00A04F0F">
      <w:pPr>
        <w:rPr>
          <w:rStyle w:val="5yl5"/>
          <w:rFonts w:ascii="Cambria Math" w:hAnsi="Cambria Math"/>
          <w:sz w:val="36"/>
        </w:rPr>
      </w:pPr>
    </w:p>
    <w:p w14:paraId="7F177737" w14:textId="085FB3A6" w:rsidR="0041168B" w:rsidRPr="00740FEF" w:rsidRDefault="0041168B" w:rsidP="0041168B">
      <w:pPr>
        <w:pStyle w:val="Subtitle"/>
        <w:rPr>
          <w:rStyle w:val="5yl5"/>
          <w:rFonts w:ascii="Cambria Math" w:hAnsi="Cambria Math"/>
          <w:b/>
          <w:color w:val="auto"/>
          <w:sz w:val="40"/>
          <w:u w:val="single"/>
        </w:rPr>
      </w:pPr>
      <w:r w:rsidRPr="00740FEF">
        <w:rPr>
          <w:rStyle w:val="5yl5"/>
          <w:rFonts w:ascii="Cambria Math" w:hAnsi="Cambria Math"/>
          <w:b/>
          <w:color w:val="auto"/>
          <w:sz w:val="40"/>
          <w:u w:val="single"/>
        </w:rPr>
        <w:t>Hadza Hunting and Scavenging</w:t>
      </w:r>
    </w:p>
    <w:p w14:paraId="32C29905" w14:textId="7B75CBF4" w:rsidR="00412BDB" w:rsidRPr="00740FEF" w:rsidRDefault="00EC3399" w:rsidP="00A04F0F">
      <w:pPr>
        <w:rPr>
          <w:rStyle w:val="5yl5"/>
          <w:rFonts w:ascii="Cambria Math" w:hAnsi="Cambria Math"/>
          <w:sz w:val="36"/>
        </w:rPr>
      </w:pPr>
      <w:r w:rsidRPr="00740FEF">
        <w:rPr>
          <w:rStyle w:val="5yl5"/>
          <w:rFonts w:ascii="Cambria Math" w:hAnsi="Cambria Math"/>
          <w:sz w:val="36"/>
        </w:rPr>
        <w:t xml:space="preserve">Another aspect of the Hadza that was studied was their </w:t>
      </w:r>
      <w:r w:rsidR="00412BDB" w:rsidRPr="00740FEF">
        <w:rPr>
          <w:rStyle w:val="5yl5"/>
          <w:rFonts w:ascii="Cambria Math" w:hAnsi="Cambria Math"/>
          <w:sz w:val="36"/>
        </w:rPr>
        <w:t xml:space="preserve">hunting and </w:t>
      </w:r>
      <w:r w:rsidRPr="00740FEF">
        <w:rPr>
          <w:rStyle w:val="5yl5"/>
          <w:rFonts w:ascii="Cambria Math" w:hAnsi="Cambria Math"/>
          <w:sz w:val="36"/>
        </w:rPr>
        <w:t xml:space="preserve">butchering techniques, and what this could tell us about the </w:t>
      </w:r>
      <w:r w:rsidR="00412BDB" w:rsidRPr="00740FEF">
        <w:rPr>
          <w:rStyle w:val="5yl5"/>
          <w:rFonts w:ascii="Cambria Math" w:hAnsi="Cambria Math"/>
          <w:sz w:val="36"/>
        </w:rPr>
        <w:t xml:space="preserve">hunting and </w:t>
      </w:r>
      <w:r w:rsidRPr="00740FEF">
        <w:rPr>
          <w:rStyle w:val="5yl5"/>
          <w:rFonts w:ascii="Cambria Math" w:hAnsi="Cambria Math"/>
          <w:sz w:val="36"/>
        </w:rPr>
        <w:t>butchering techniques of our prehistoric ancestors.</w:t>
      </w:r>
      <w:r w:rsidRPr="00740FEF">
        <w:rPr>
          <w:rStyle w:val="FootnoteReference"/>
          <w:rFonts w:ascii="Cambria Math" w:hAnsi="Cambria Math"/>
          <w:sz w:val="36"/>
        </w:rPr>
        <w:footnoteReference w:id="46"/>
      </w:r>
      <w:r w:rsidRPr="00740FEF">
        <w:rPr>
          <w:rStyle w:val="5yl5"/>
          <w:rFonts w:ascii="Cambria Math" w:hAnsi="Cambria Math"/>
          <w:sz w:val="36"/>
        </w:rPr>
        <w:t xml:space="preserve"> By comparing archaeological bone assemblages belonging to Neolithic cultures to those of the Hadza, O’Connell et al sought to find common ground upon which to build an ethnological analogy which could be developed into a theory about human evolution.</w:t>
      </w:r>
      <w:r w:rsidR="00E20679" w:rsidRPr="00740FEF">
        <w:rPr>
          <w:rStyle w:val="FootnoteReference"/>
          <w:rFonts w:ascii="Cambria Math" w:hAnsi="Cambria Math"/>
          <w:sz w:val="36"/>
        </w:rPr>
        <w:footnoteReference w:id="47"/>
      </w:r>
      <w:r w:rsidR="00570280" w:rsidRPr="00740FEF">
        <w:rPr>
          <w:rStyle w:val="5yl5"/>
          <w:rFonts w:ascii="Cambria Math" w:hAnsi="Cambria Math"/>
          <w:sz w:val="36"/>
        </w:rPr>
        <w:t xml:space="preserve"> The Hadza are a foraging, hunting and scavenging society that rely on the environment around them for their survival, in the same way that Pleistocene hominids would have done.</w:t>
      </w:r>
      <w:r w:rsidR="00570280" w:rsidRPr="00740FEF">
        <w:rPr>
          <w:rStyle w:val="FootnoteReference"/>
          <w:rFonts w:ascii="Cambria Math" w:hAnsi="Cambria Math"/>
          <w:sz w:val="36"/>
        </w:rPr>
        <w:footnoteReference w:id="48"/>
      </w:r>
      <w:r w:rsidR="00412BDB" w:rsidRPr="00740FEF">
        <w:rPr>
          <w:rStyle w:val="5yl5"/>
          <w:rFonts w:ascii="Cambria Math" w:hAnsi="Cambria Math"/>
          <w:sz w:val="36"/>
        </w:rPr>
        <w:t xml:space="preserve"> The Hadza hunt a wide variety of animal prey, including buffalo, zebra, giraffe, warthog and even on occasion lion and leopard.</w:t>
      </w:r>
      <w:r w:rsidR="00412BDB" w:rsidRPr="00740FEF">
        <w:rPr>
          <w:rStyle w:val="FootnoteReference"/>
          <w:rFonts w:ascii="Cambria Math" w:hAnsi="Cambria Math"/>
          <w:sz w:val="36"/>
        </w:rPr>
        <w:footnoteReference w:id="49"/>
      </w:r>
      <w:r w:rsidR="00412BDB" w:rsidRPr="00740FEF">
        <w:rPr>
          <w:rStyle w:val="5yl5"/>
          <w:rFonts w:ascii="Cambria Math" w:hAnsi="Cambria Math"/>
          <w:sz w:val="36"/>
        </w:rPr>
        <w:t xml:space="preserve"> Their hunting technique involves the use of a bow and arrow, often with poison applied to the arrowhead to bring down their prey.</w:t>
      </w:r>
      <w:r w:rsidR="00412BDB" w:rsidRPr="00740FEF">
        <w:rPr>
          <w:rStyle w:val="FootnoteReference"/>
          <w:rFonts w:ascii="Cambria Math" w:hAnsi="Cambria Math"/>
          <w:sz w:val="36"/>
        </w:rPr>
        <w:footnoteReference w:id="50"/>
      </w:r>
    </w:p>
    <w:p w14:paraId="20BC9282" w14:textId="7D9B9057" w:rsidR="00412BDB" w:rsidRPr="00740FEF" w:rsidRDefault="00412BDB" w:rsidP="00A04F0F">
      <w:pPr>
        <w:rPr>
          <w:rStyle w:val="5yl5"/>
          <w:rFonts w:ascii="Cambria Math" w:hAnsi="Cambria Math"/>
          <w:sz w:val="36"/>
        </w:rPr>
      </w:pPr>
      <w:r w:rsidRPr="00740FEF">
        <w:rPr>
          <w:rStyle w:val="5yl5"/>
          <w:rFonts w:ascii="Cambria Math" w:hAnsi="Cambria Math"/>
          <w:sz w:val="36"/>
        </w:rPr>
        <w:t>Once a kill had been made, the Hadza would build a fire in the nearest shady place, usually within 10-15m of the kill, and roast smaller pieces of meat, as well as warming the bones until they cracked to access the bone marrow easier. They would then butcher the larger carcass, skinning and dismembering it into smaller more easily transported portions</w:t>
      </w:r>
      <w:r w:rsidR="00ED063A" w:rsidRPr="00740FEF">
        <w:rPr>
          <w:rStyle w:val="5yl5"/>
          <w:rFonts w:ascii="Cambria Math" w:hAnsi="Cambria Math"/>
          <w:sz w:val="36"/>
        </w:rPr>
        <w:t xml:space="preserve">, often with the meat stripped from </w:t>
      </w:r>
      <w:r w:rsidR="00ED063A" w:rsidRPr="00740FEF">
        <w:rPr>
          <w:rStyle w:val="5yl5"/>
          <w:rFonts w:ascii="Cambria Math" w:hAnsi="Cambria Math"/>
          <w:sz w:val="36"/>
        </w:rPr>
        <w:lastRenderedPageBreak/>
        <w:t>some or occasionally all of the bones</w:t>
      </w:r>
      <w:r w:rsidRPr="00740FEF">
        <w:rPr>
          <w:rStyle w:val="5yl5"/>
          <w:rFonts w:ascii="Cambria Math" w:hAnsi="Cambria Math"/>
          <w:sz w:val="36"/>
        </w:rPr>
        <w:t>.</w:t>
      </w:r>
      <w:r w:rsidRPr="00740FEF">
        <w:rPr>
          <w:rStyle w:val="FootnoteReference"/>
          <w:rFonts w:ascii="Cambria Math" w:hAnsi="Cambria Math"/>
          <w:sz w:val="36"/>
        </w:rPr>
        <w:footnoteReference w:id="51"/>
      </w:r>
      <w:r w:rsidRPr="00740FEF">
        <w:rPr>
          <w:rStyle w:val="5yl5"/>
          <w:rFonts w:ascii="Cambria Math" w:hAnsi="Cambria Math"/>
          <w:sz w:val="36"/>
        </w:rPr>
        <w:t xml:space="preserve"> Normally, the meat would not be consumed at the butchering station, instead it would be transported back to camp, sometimes with the hides.</w:t>
      </w:r>
      <w:r w:rsidR="00C7399D" w:rsidRPr="00740FEF">
        <w:rPr>
          <w:rStyle w:val="5yl5"/>
          <w:rFonts w:ascii="Cambria Math" w:hAnsi="Cambria Math"/>
          <w:sz w:val="36"/>
        </w:rPr>
        <w:t xml:space="preserve"> Then, it would be taken to </w:t>
      </w:r>
      <w:r w:rsidR="008B2EDF" w:rsidRPr="00740FEF">
        <w:rPr>
          <w:rStyle w:val="5yl5"/>
          <w:rFonts w:ascii="Cambria Math" w:hAnsi="Cambria Math"/>
          <w:sz w:val="36"/>
        </w:rPr>
        <w:t>the household</w:t>
      </w:r>
      <w:r w:rsidR="00C7399D" w:rsidRPr="00740FEF">
        <w:rPr>
          <w:rStyle w:val="5yl5"/>
          <w:rFonts w:ascii="Cambria Math" w:hAnsi="Cambria Math"/>
          <w:sz w:val="36"/>
        </w:rPr>
        <w:t xml:space="preserve"> area for further preparation before consumption.</w:t>
      </w:r>
      <w:r w:rsidR="00C7399D" w:rsidRPr="00740FEF">
        <w:rPr>
          <w:rStyle w:val="FootnoteReference"/>
          <w:rFonts w:ascii="Cambria Math" w:hAnsi="Cambria Math"/>
          <w:sz w:val="36"/>
        </w:rPr>
        <w:footnoteReference w:id="52"/>
      </w:r>
    </w:p>
    <w:p w14:paraId="2732CC46" w14:textId="711E438D" w:rsidR="00153397" w:rsidRPr="00740FEF" w:rsidRDefault="00153397" w:rsidP="00A04F0F">
      <w:pPr>
        <w:rPr>
          <w:rStyle w:val="5yl5"/>
          <w:rFonts w:ascii="Cambria Math" w:hAnsi="Cambria Math"/>
          <w:sz w:val="36"/>
        </w:rPr>
      </w:pPr>
      <w:r w:rsidRPr="00740FEF">
        <w:rPr>
          <w:rStyle w:val="5yl5"/>
          <w:rFonts w:ascii="Cambria Math" w:hAnsi="Cambria Math"/>
          <w:sz w:val="36"/>
        </w:rPr>
        <w:t>The Hadza were also scavengers, and the meat obtained through scavenging was slightly different depending on how intact the carcass was upon discovery.</w:t>
      </w:r>
      <w:r w:rsidRPr="00740FEF">
        <w:rPr>
          <w:rStyle w:val="FootnoteReference"/>
          <w:rFonts w:ascii="Cambria Math" w:hAnsi="Cambria Math"/>
          <w:sz w:val="36"/>
        </w:rPr>
        <w:footnoteReference w:id="53"/>
      </w:r>
      <w:r w:rsidRPr="00740FEF">
        <w:rPr>
          <w:rStyle w:val="5yl5"/>
          <w:rFonts w:ascii="Cambria Math" w:hAnsi="Cambria Math"/>
          <w:sz w:val="36"/>
        </w:rPr>
        <w:t xml:space="preserve"> They would often not bother with taking all of the bones, as they would have to decide how much the portions of the carcass were worth, and whether it would be beneficial to take everything.</w:t>
      </w:r>
      <w:r w:rsidRPr="00740FEF">
        <w:rPr>
          <w:rStyle w:val="FootnoteReference"/>
          <w:rFonts w:ascii="Cambria Math" w:hAnsi="Cambria Math"/>
          <w:sz w:val="36"/>
        </w:rPr>
        <w:footnoteReference w:id="54"/>
      </w:r>
      <w:r w:rsidRPr="00740FEF">
        <w:rPr>
          <w:rStyle w:val="5yl5"/>
          <w:rFonts w:ascii="Cambria Math" w:hAnsi="Cambria Math"/>
          <w:sz w:val="36"/>
        </w:rPr>
        <w:t xml:space="preserve"> This led to a disproportion in the types of bones found in Hadza bone assemblages, as the bones taken from scavenged kills were more varied and less in number than those from fresh kills made by the Hadza themselves.</w:t>
      </w:r>
      <w:r w:rsidRPr="00740FEF">
        <w:rPr>
          <w:rStyle w:val="FootnoteReference"/>
          <w:rFonts w:ascii="Cambria Math" w:hAnsi="Cambria Math"/>
          <w:sz w:val="36"/>
        </w:rPr>
        <w:footnoteReference w:id="55"/>
      </w:r>
    </w:p>
    <w:p w14:paraId="479527E2" w14:textId="445A96A6" w:rsidR="00740FEF" w:rsidRDefault="00740FEF" w:rsidP="00740FEF">
      <w:pPr>
        <w:rPr>
          <w:rFonts w:ascii="Cambria Math" w:hAnsi="Cambria Math"/>
          <w:sz w:val="36"/>
          <w:szCs w:val="36"/>
        </w:rPr>
      </w:pPr>
      <w:r w:rsidRPr="00740FEF">
        <w:rPr>
          <w:rFonts w:ascii="Cambria Math" w:hAnsi="Cambria Math"/>
          <w:sz w:val="36"/>
          <w:szCs w:val="36"/>
        </w:rPr>
        <w:t>The uses for the Hadza data as an analogy for early hunter-gatherers are varied. O’Connell et al put forward proposals for what this could tell us about the transportation of bones in the Pleistocene, as it could explain the different varieties and amounts of certain bone types found at prehistoric sites. The Hadza have three main bone assemblage sites: the residential base camp, the ambush sites and the butchering sites.</w:t>
      </w:r>
      <w:r w:rsidRPr="00740FEF">
        <w:rPr>
          <w:rFonts w:ascii="Cambria Math" w:hAnsi="Cambria Math"/>
          <w:sz w:val="36"/>
          <w:szCs w:val="36"/>
          <w:vertAlign w:val="superscript"/>
        </w:rPr>
        <w:footnoteReference w:id="56"/>
      </w:r>
      <w:r w:rsidRPr="00740FEF">
        <w:rPr>
          <w:rFonts w:ascii="Cambria Math" w:hAnsi="Cambria Math"/>
          <w:sz w:val="36"/>
          <w:szCs w:val="36"/>
        </w:rPr>
        <w:t xml:space="preserve"> Each of these produced different varieties of bones as explained above, and similar patterns have been observed in the archaeological </w:t>
      </w:r>
      <w:r w:rsidRPr="00740FEF">
        <w:rPr>
          <w:rFonts w:ascii="Cambria Math" w:hAnsi="Cambria Math"/>
          <w:sz w:val="36"/>
          <w:szCs w:val="36"/>
        </w:rPr>
        <w:lastRenderedPageBreak/>
        <w:t>record.</w:t>
      </w:r>
      <w:r w:rsidRPr="00740FEF">
        <w:rPr>
          <w:rFonts w:ascii="Cambria Math" w:hAnsi="Cambria Math"/>
          <w:sz w:val="36"/>
          <w:szCs w:val="36"/>
          <w:vertAlign w:val="superscript"/>
        </w:rPr>
        <w:footnoteReference w:id="57"/>
      </w:r>
      <w:r w:rsidRPr="00740FEF">
        <w:rPr>
          <w:rFonts w:ascii="Cambria Math" w:hAnsi="Cambria Math"/>
          <w:sz w:val="36"/>
          <w:szCs w:val="36"/>
        </w:rPr>
        <w:t xml:space="preserve"> The theory formed by O’Connell et al was contrary to the traditionally accepted models, which suggested that the sites with the largest bone assemblages were the residential areas, not butchery sites, whereas the data from the Hadza shows that the bone assemblages could come from either.</w:t>
      </w:r>
      <w:r w:rsidRPr="00740FEF">
        <w:rPr>
          <w:rFonts w:ascii="Cambria Math" w:hAnsi="Cambria Math"/>
          <w:sz w:val="36"/>
          <w:szCs w:val="36"/>
          <w:vertAlign w:val="superscript"/>
        </w:rPr>
        <w:footnoteReference w:id="58"/>
      </w:r>
      <w:r w:rsidRPr="00740FEF">
        <w:rPr>
          <w:rFonts w:ascii="Cambria Math" w:hAnsi="Cambria Math"/>
          <w:sz w:val="36"/>
          <w:szCs w:val="36"/>
        </w:rPr>
        <w:t xml:space="preserve"> Though O’Connell et al make it clear that this is only a possible model for the hunting strategies of the prehistoric hunter-gatherers, they make a very strong case for the similarities between prehistoric assemblages and Hadza assemblages which do have some value as theories for the way that hunting strategies may have affected human evolution. This study is very relevant in my opinion, as it shows how data from a contemporary hunter-gatherer society can be applied to understanding prehistoric hunting, scavenging and butchering techniques, all of which were key stages in human evolution.</w:t>
      </w:r>
    </w:p>
    <w:p w14:paraId="62523A8A" w14:textId="079CB0FB" w:rsidR="00D4233A" w:rsidRDefault="00D4233A" w:rsidP="00740FEF">
      <w:pPr>
        <w:rPr>
          <w:rFonts w:ascii="Cambria Math" w:hAnsi="Cambria Math"/>
          <w:sz w:val="36"/>
          <w:szCs w:val="36"/>
        </w:rPr>
      </w:pPr>
    </w:p>
    <w:p w14:paraId="69AE42CF" w14:textId="77777777" w:rsidR="00D4233A" w:rsidRPr="00D4233A" w:rsidRDefault="00D4233A" w:rsidP="00D4233A">
      <w:pPr>
        <w:pStyle w:val="Subtitle"/>
        <w:rPr>
          <w:b/>
          <w:color w:val="auto"/>
          <w:sz w:val="40"/>
          <w:szCs w:val="36"/>
          <w:u w:val="single"/>
        </w:rPr>
      </w:pPr>
      <w:r w:rsidRPr="00D4233A">
        <w:rPr>
          <w:b/>
          <w:color w:val="auto"/>
          <w:sz w:val="40"/>
          <w:szCs w:val="36"/>
          <w:u w:val="single"/>
        </w:rPr>
        <w:t>Hadza Honey Gathering</w:t>
      </w:r>
    </w:p>
    <w:p w14:paraId="1D4998CE" w14:textId="22E15C64" w:rsidR="00D4233A" w:rsidRPr="00D4233A" w:rsidRDefault="00D4233A" w:rsidP="00D4233A">
      <w:pPr>
        <w:rPr>
          <w:rFonts w:ascii="Cambria Math" w:hAnsi="Cambria Math"/>
          <w:sz w:val="36"/>
          <w:szCs w:val="36"/>
        </w:rPr>
      </w:pPr>
      <w:r w:rsidRPr="00D4233A">
        <w:rPr>
          <w:rFonts w:ascii="Cambria Math" w:hAnsi="Cambria Math"/>
          <w:sz w:val="36"/>
          <w:szCs w:val="36"/>
        </w:rPr>
        <w:t>The follow-up study completed by Marlowe et al in 2014 was centred on the collection of honey by the Hadza, and how that could be used as a model for collection techniques of hominids in the Pleistocene.</w:t>
      </w:r>
      <w:r w:rsidRPr="00D4233A">
        <w:rPr>
          <w:rFonts w:ascii="Cambria Math" w:hAnsi="Cambria Math"/>
          <w:sz w:val="36"/>
          <w:szCs w:val="36"/>
          <w:vertAlign w:val="superscript"/>
        </w:rPr>
        <w:footnoteReference w:id="59"/>
      </w:r>
      <w:r w:rsidRPr="00D4233A">
        <w:rPr>
          <w:rFonts w:ascii="Cambria Math" w:hAnsi="Cambria Math"/>
          <w:sz w:val="36"/>
          <w:szCs w:val="36"/>
        </w:rPr>
        <w:t xml:space="preserve"> The Hadza used a combination of axes and smoke to drive the bees away from the nest so that they could collect the honey.</w:t>
      </w:r>
      <w:r w:rsidRPr="00D4233A">
        <w:rPr>
          <w:rFonts w:ascii="Cambria Math" w:hAnsi="Cambria Math"/>
          <w:sz w:val="36"/>
          <w:szCs w:val="36"/>
          <w:vertAlign w:val="superscript"/>
        </w:rPr>
        <w:footnoteReference w:id="60"/>
      </w:r>
      <w:r w:rsidRPr="00D4233A">
        <w:rPr>
          <w:rFonts w:ascii="Cambria Math" w:hAnsi="Cambria Math"/>
          <w:sz w:val="36"/>
          <w:szCs w:val="36"/>
        </w:rPr>
        <w:t xml:space="preserve"> Marlowe et al used these observations to theories that </w:t>
      </w:r>
      <w:r w:rsidRPr="00D4233A">
        <w:rPr>
          <w:rFonts w:ascii="Cambria Math" w:hAnsi="Cambria Math"/>
          <w:sz w:val="36"/>
          <w:szCs w:val="36"/>
        </w:rPr>
        <w:lastRenderedPageBreak/>
        <w:t>early hominid foragers would have used similar, though cruder methods of also retrieving honey.</w:t>
      </w:r>
      <w:r w:rsidRPr="00D4233A">
        <w:rPr>
          <w:rFonts w:ascii="Cambria Math" w:hAnsi="Cambria Math"/>
          <w:sz w:val="36"/>
          <w:szCs w:val="36"/>
          <w:vertAlign w:val="superscript"/>
        </w:rPr>
        <w:footnoteReference w:id="61"/>
      </w:r>
      <w:r w:rsidRPr="00D4233A">
        <w:rPr>
          <w:rFonts w:ascii="Cambria Math" w:hAnsi="Cambria Math"/>
          <w:sz w:val="36"/>
          <w:szCs w:val="36"/>
        </w:rPr>
        <w:t xml:space="preserve"> As honey is such a rich provider or calories and is particularly sweet and flavourful, it became a favourite food of the Hadza, as well as other contemporary hunter-gatherer societies.</w:t>
      </w:r>
      <w:r w:rsidRPr="00D4233A">
        <w:rPr>
          <w:rFonts w:ascii="Cambria Math" w:hAnsi="Cambria Math"/>
          <w:sz w:val="36"/>
          <w:szCs w:val="36"/>
          <w:vertAlign w:val="superscript"/>
        </w:rPr>
        <w:footnoteReference w:id="62"/>
      </w:r>
      <w:r w:rsidRPr="00D4233A">
        <w:rPr>
          <w:rFonts w:ascii="Cambria Math" w:hAnsi="Cambria Math"/>
          <w:sz w:val="36"/>
          <w:szCs w:val="36"/>
        </w:rPr>
        <w:t xml:space="preserve"> Marlowe et al used the fact that this food was so commonly consumed by contemporary hunter-gatherers that it was likely to have also been a favourite of early man.</w:t>
      </w:r>
      <w:r w:rsidRPr="00D4233A">
        <w:rPr>
          <w:rFonts w:ascii="Cambria Math" w:hAnsi="Cambria Math"/>
          <w:sz w:val="36"/>
          <w:szCs w:val="36"/>
          <w:vertAlign w:val="superscript"/>
        </w:rPr>
        <w:footnoteReference w:id="63"/>
      </w:r>
      <w:r w:rsidRPr="00D4233A">
        <w:rPr>
          <w:rFonts w:ascii="Cambria Math" w:hAnsi="Cambria Math"/>
          <w:sz w:val="36"/>
          <w:szCs w:val="36"/>
        </w:rPr>
        <w:t xml:space="preserve"> Though the arguments made by Marlowe et al are based more on modern observations that any archaeological data, it makes for an interesting theory, and may well provide a solution for the question of how prehistoric man may have evolved through the use of tools and fire to gain access to a highly nutritional food.</w:t>
      </w:r>
      <w:r w:rsidRPr="00D4233A">
        <w:rPr>
          <w:rFonts w:ascii="Cambria Math" w:hAnsi="Cambria Math"/>
          <w:sz w:val="36"/>
          <w:szCs w:val="36"/>
          <w:vertAlign w:val="superscript"/>
        </w:rPr>
        <w:footnoteReference w:id="64"/>
      </w:r>
      <w:r w:rsidRPr="00D4233A">
        <w:rPr>
          <w:rFonts w:ascii="Cambria Math" w:hAnsi="Cambria Math"/>
          <w:sz w:val="36"/>
          <w:szCs w:val="36"/>
        </w:rPr>
        <w:t xml:space="preserve"> This is not the most valuable example of how relevant ethnographic analogy can be, though it does provide a promising theory regarding human evolution and how contemporary hunter-gatherers can be used as a model.</w:t>
      </w:r>
    </w:p>
    <w:p w14:paraId="213E2F6E" w14:textId="77777777" w:rsidR="00D4233A" w:rsidRDefault="00D4233A" w:rsidP="00740FEF">
      <w:pPr>
        <w:rPr>
          <w:rFonts w:ascii="Cambria Math" w:hAnsi="Cambria Math"/>
          <w:sz w:val="36"/>
          <w:szCs w:val="36"/>
        </w:rPr>
      </w:pPr>
    </w:p>
    <w:p w14:paraId="39975185" w14:textId="3F4E8A3C" w:rsidR="0044459C" w:rsidRPr="00D4233A" w:rsidRDefault="00D4233A" w:rsidP="00740FEF">
      <w:pPr>
        <w:rPr>
          <w:rFonts w:ascii="Cambria Math" w:hAnsi="Cambria Math"/>
          <w:b/>
          <w:sz w:val="40"/>
          <w:szCs w:val="36"/>
          <w:u w:val="single"/>
        </w:rPr>
      </w:pPr>
      <w:r w:rsidRPr="00D4233A">
        <w:rPr>
          <w:rFonts w:ascii="Cambria Math" w:hAnsi="Cambria Math"/>
          <w:b/>
          <w:sz w:val="40"/>
          <w:szCs w:val="36"/>
          <w:u w:val="single"/>
        </w:rPr>
        <w:t>Conclusion</w:t>
      </w:r>
    </w:p>
    <w:p w14:paraId="2DC359AF" w14:textId="476EB0EF" w:rsidR="0044459C" w:rsidRPr="00740FEF" w:rsidRDefault="00C87D74" w:rsidP="00740FEF">
      <w:pPr>
        <w:rPr>
          <w:rFonts w:ascii="Cambria Math" w:hAnsi="Cambria Math"/>
          <w:sz w:val="36"/>
          <w:szCs w:val="36"/>
        </w:rPr>
      </w:pPr>
      <w:r>
        <w:rPr>
          <w:rFonts w:ascii="Cambria Math" w:hAnsi="Cambria Math"/>
          <w:sz w:val="36"/>
          <w:szCs w:val="36"/>
        </w:rPr>
        <w:t xml:space="preserve">To conclude, </w:t>
      </w:r>
      <w:r w:rsidR="0044459C">
        <w:rPr>
          <w:rFonts w:ascii="Cambria Math" w:hAnsi="Cambria Math"/>
          <w:sz w:val="36"/>
          <w:szCs w:val="36"/>
        </w:rPr>
        <w:t xml:space="preserve">Ethno-archaeology has some draw backs such as overreliance on ethnographic data can create a somewhat unreliable result and interference from first hand observation can add to this as study groups can act differently whilst being directly observed and this can seriously impact the validity and accuracy of the study </w:t>
      </w:r>
      <w:r w:rsidR="0044459C">
        <w:rPr>
          <w:rFonts w:ascii="Cambria Math" w:hAnsi="Cambria Math"/>
          <w:sz w:val="36"/>
          <w:szCs w:val="36"/>
        </w:rPr>
        <w:lastRenderedPageBreak/>
        <w:t>results. However, the example of the study carried out on the</w:t>
      </w:r>
      <w:r w:rsidR="00230FAB">
        <w:rPr>
          <w:rFonts w:ascii="Cambria Math" w:hAnsi="Cambria Math"/>
          <w:sz w:val="36"/>
          <w:szCs w:val="36"/>
        </w:rPr>
        <w:t xml:space="preserve"> Hadz</w:t>
      </w:r>
      <w:r w:rsidR="0044459C">
        <w:rPr>
          <w:rFonts w:ascii="Cambria Math" w:hAnsi="Cambria Math"/>
          <w:sz w:val="36"/>
          <w:szCs w:val="36"/>
        </w:rPr>
        <w:t>a</w:t>
      </w:r>
      <w:r w:rsidR="00230FAB">
        <w:rPr>
          <w:rFonts w:ascii="Cambria Math" w:hAnsi="Cambria Math"/>
          <w:sz w:val="36"/>
          <w:szCs w:val="36"/>
        </w:rPr>
        <w:t xml:space="preserve"> people and their culture and mannerisms allowed</w:t>
      </w:r>
      <w:r>
        <w:rPr>
          <w:rFonts w:ascii="Cambria Math" w:hAnsi="Cambria Math"/>
          <w:sz w:val="36"/>
          <w:szCs w:val="36"/>
        </w:rPr>
        <w:t xml:space="preserve"> researchers valuable insight into knowing how our ancestors may have carried out tasks such as foraging and hunting but again the results collected are based on modern groups of hunter gathers and the way they perceive the world and their place in it could well be different to how prehistoric groups thought and acted. Overall, using contemporary hunter gatherers to solve puzzles of human evolution is a very relevant method of study and research which can be used to great effect when supported with archaeological data but on its own it can be misleading or weak in its conclusions but still very useful for insight into how things may have been for prehistoric hunter gatherers.</w:t>
      </w:r>
    </w:p>
    <w:p w14:paraId="3EFD8D18" w14:textId="54AB7C19" w:rsidR="00740FEF" w:rsidRDefault="00740FEF" w:rsidP="00740FEF">
      <w:pPr>
        <w:rPr>
          <w:rFonts w:ascii="Cambria Math" w:hAnsi="Cambria Math"/>
          <w:sz w:val="36"/>
          <w:szCs w:val="36"/>
        </w:rPr>
      </w:pPr>
    </w:p>
    <w:p w14:paraId="51C4B973" w14:textId="030B5FFA" w:rsidR="00B2753A" w:rsidRDefault="00B2753A" w:rsidP="00740FEF">
      <w:pPr>
        <w:rPr>
          <w:rFonts w:ascii="Cambria Math" w:hAnsi="Cambria Math"/>
          <w:sz w:val="36"/>
          <w:szCs w:val="36"/>
        </w:rPr>
      </w:pPr>
    </w:p>
    <w:p w14:paraId="666D9C36" w14:textId="160EABC6" w:rsidR="00B2753A" w:rsidRDefault="00B2753A" w:rsidP="00740FEF">
      <w:pPr>
        <w:rPr>
          <w:rFonts w:ascii="Cambria Math" w:hAnsi="Cambria Math"/>
          <w:sz w:val="36"/>
          <w:szCs w:val="36"/>
        </w:rPr>
      </w:pPr>
    </w:p>
    <w:p w14:paraId="4BE0817A" w14:textId="7ED40826" w:rsidR="00B2753A" w:rsidRDefault="00B2753A" w:rsidP="00740FEF">
      <w:pPr>
        <w:rPr>
          <w:rFonts w:ascii="Cambria Math" w:hAnsi="Cambria Math"/>
          <w:sz w:val="36"/>
          <w:szCs w:val="36"/>
        </w:rPr>
      </w:pPr>
    </w:p>
    <w:p w14:paraId="27498A0D" w14:textId="4B41CC18" w:rsidR="00B2753A" w:rsidRDefault="00B2753A" w:rsidP="00740FEF">
      <w:pPr>
        <w:rPr>
          <w:rFonts w:ascii="Cambria Math" w:hAnsi="Cambria Math"/>
          <w:sz w:val="36"/>
          <w:szCs w:val="36"/>
        </w:rPr>
      </w:pPr>
    </w:p>
    <w:p w14:paraId="363F977A" w14:textId="40A2E63B" w:rsidR="00B2753A" w:rsidRDefault="00B2753A" w:rsidP="00740FEF">
      <w:pPr>
        <w:rPr>
          <w:rFonts w:ascii="Cambria Math" w:hAnsi="Cambria Math"/>
          <w:sz w:val="36"/>
          <w:szCs w:val="36"/>
        </w:rPr>
      </w:pPr>
    </w:p>
    <w:p w14:paraId="74D94AB0" w14:textId="62A7BF03" w:rsidR="00B2753A" w:rsidRDefault="00B2753A" w:rsidP="00740FEF">
      <w:pPr>
        <w:rPr>
          <w:rFonts w:ascii="Cambria Math" w:hAnsi="Cambria Math"/>
          <w:sz w:val="36"/>
          <w:szCs w:val="36"/>
        </w:rPr>
      </w:pPr>
    </w:p>
    <w:p w14:paraId="2FB23E47" w14:textId="640BEA61" w:rsidR="00B2753A" w:rsidRDefault="00B2753A" w:rsidP="00740FEF">
      <w:pPr>
        <w:rPr>
          <w:rFonts w:ascii="Cambria Math" w:hAnsi="Cambria Math"/>
          <w:sz w:val="36"/>
          <w:szCs w:val="36"/>
        </w:rPr>
      </w:pPr>
    </w:p>
    <w:p w14:paraId="791CD37A" w14:textId="52D9B3A5" w:rsidR="00D4233A" w:rsidRDefault="00D4233A" w:rsidP="00740FEF">
      <w:pPr>
        <w:rPr>
          <w:rFonts w:ascii="Cambria Math" w:hAnsi="Cambria Math"/>
          <w:sz w:val="36"/>
          <w:szCs w:val="36"/>
        </w:rPr>
      </w:pPr>
    </w:p>
    <w:p w14:paraId="04CD96E3" w14:textId="77777777" w:rsidR="00F857A7" w:rsidRPr="00740FEF" w:rsidRDefault="00F857A7" w:rsidP="00740FEF">
      <w:pPr>
        <w:rPr>
          <w:rFonts w:ascii="Cambria Math" w:hAnsi="Cambria Math"/>
          <w:sz w:val="36"/>
          <w:szCs w:val="36"/>
        </w:rPr>
      </w:pPr>
    </w:p>
    <w:p w14:paraId="3C146906" w14:textId="760DE6E4" w:rsidR="00740FEF" w:rsidRPr="00740FEF" w:rsidRDefault="00740FEF" w:rsidP="00740FEF">
      <w:pPr>
        <w:rPr>
          <w:rFonts w:ascii="Cambria Math" w:hAnsi="Cambria Math"/>
          <w:sz w:val="36"/>
          <w:szCs w:val="36"/>
        </w:rPr>
      </w:pPr>
    </w:p>
    <w:p w14:paraId="0E5F9F42" w14:textId="118032DA" w:rsidR="00740FEF" w:rsidRPr="00B2753A" w:rsidRDefault="00740FEF" w:rsidP="00740FEF">
      <w:pPr>
        <w:rPr>
          <w:rFonts w:ascii="Cambria Math" w:hAnsi="Cambria Math"/>
          <w:b/>
          <w:sz w:val="40"/>
          <w:szCs w:val="36"/>
          <w:u w:val="single"/>
        </w:rPr>
      </w:pPr>
      <w:r w:rsidRPr="00B2753A">
        <w:rPr>
          <w:rFonts w:ascii="Cambria Math" w:hAnsi="Cambria Math"/>
          <w:b/>
          <w:sz w:val="40"/>
          <w:szCs w:val="36"/>
          <w:u w:val="single"/>
        </w:rPr>
        <w:lastRenderedPageBreak/>
        <w:t>Bibliography:</w:t>
      </w:r>
    </w:p>
    <w:p w14:paraId="7E2B98DA" w14:textId="6993E438" w:rsidR="00B2753A" w:rsidRPr="00B2753A" w:rsidRDefault="00B2753A" w:rsidP="00740FEF">
      <w:pPr>
        <w:rPr>
          <w:rFonts w:ascii="Cambria Math" w:hAnsi="Cambria Math"/>
          <w:b/>
          <w:sz w:val="40"/>
          <w:szCs w:val="36"/>
          <w:u w:val="single"/>
        </w:rPr>
      </w:pPr>
    </w:p>
    <w:p w14:paraId="635EF3F2" w14:textId="77777777" w:rsidR="00B2753A" w:rsidRPr="00B2753A" w:rsidRDefault="00B2753A" w:rsidP="00B2753A">
      <w:pPr>
        <w:spacing w:line="240" w:lineRule="auto"/>
        <w:rPr>
          <w:rFonts w:ascii="Cambria Math" w:eastAsia="Times New Roman" w:hAnsi="Cambria Math" w:cs="Times New Roman"/>
          <w:sz w:val="24"/>
          <w:szCs w:val="24"/>
          <w:lang w:val="en-US"/>
        </w:rPr>
      </w:pPr>
      <w:r w:rsidRPr="00B2753A">
        <w:rPr>
          <w:rFonts w:ascii="Cambria Math" w:eastAsia="Times New Roman" w:hAnsi="Cambria Math" w:cs="Calibri"/>
          <w:b/>
          <w:bCs/>
          <w:sz w:val="36"/>
          <w:szCs w:val="36"/>
          <w:lang w:val="en-US"/>
        </w:rPr>
        <w:t xml:space="preserve">David, N. and Kramer, C. 2001. </w:t>
      </w:r>
      <w:r w:rsidRPr="00B2753A">
        <w:rPr>
          <w:rFonts w:ascii="Cambria Math" w:eastAsia="Times New Roman" w:hAnsi="Cambria Math" w:cs="Calibri"/>
          <w:b/>
          <w:bCs/>
          <w:i/>
          <w:iCs/>
          <w:sz w:val="36"/>
          <w:szCs w:val="36"/>
          <w:lang w:val="en-US"/>
        </w:rPr>
        <w:t xml:space="preserve">Ethnoarchaeology in Action. </w:t>
      </w:r>
      <w:r w:rsidRPr="00B2753A">
        <w:rPr>
          <w:rFonts w:ascii="Cambria Math" w:eastAsia="Times New Roman" w:hAnsi="Cambria Math" w:cs="Calibri"/>
          <w:b/>
          <w:bCs/>
          <w:sz w:val="36"/>
          <w:szCs w:val="36"/>
          <w:lang w:val="en-US"/>
        </w:rPr>
        <w:t>Cambridge: Cambridge University Press</w:t>
      </w:r>
    </w:p>
    <w:p w14:paraId="4CC18605" w14:textId="77777777" w:rsidR="00B2753A" w:rsidRPr="00B2753A" w:rsidRDefault="00B2753A" w:rsidP="00B2753A">
      <w:pPr>
        <w:spacing w:after="0" w:line="240" w:lineRule="auto"/>
        <w:rPr>
          <w:rFonts w:ascii="Cambria Math" w:eastAsia="Times New Roman" w:hAnsi="Cambria Math" w:cs="Times New Roman"/>
          <w:sz w:val="24"/>
          <w:szCs w:val="24"/>
          <w:lang w:val="en-US"/>
        </w:rPr>
      </w:pPr>
    </w:p>
    <w:p w14:paraId="373F585E" w14:textId="77777777" w:rsidR="00B2753A" w:rsidRPr="00B2753A" w:rsidRDefault="00B2753A" w:rsidP="00B2753A">
      <w:pPr>
        <w:spacing w:line="240" w:lineRule="auto"/>
        <w:rPr>
          <w:rFonts w:ascii="Cambria Math" w:eastAsia="Times New Roman" w:hAnsi="Cambria Math" w:cs="Times New Roman"/>
          <w:sz w:val="24"/>
          <w:szCs w:val="24"/>
          <w:lang w:val="en-US"/>
        </w:rPr>
      </w:pPr>
      <w:r w:rsidRPr="00B2753A">
        <w:rPr>
          <w:rFonts w:ascii="Cambria Math" w:eastAsia="Times New Roman" w:hAnsi="Cambria Math" w:cs="Calibri"/>
          <w:b/>
          <w:bCs/>
          <w:sz w:val="36"/>
          <w:szCs w:val="36"/>
          <w:lang w:val="en-US"/>
        </w:rPr>
        <w:t xml:space="preserve">Hodder, I. 1982. The Present Past: </w:t>
      </w:r>
      <w:r w:rsidRPr="00B2753A">
        <w:rPr>
          <w:rFonts w:ascii="Cambria Math" w:eastAsia="Times New Roman" w:hAnsi="Cambria Math" w:cs="Calibri"/>
          <w:b/>
          <w:bCs/>
          <w:i/>
          <w:iCs/>
          <w:sz w:val="36"/>
          <w:szCs w:val="36"/>
          <w:lang w:val="en-US"/>
        </w:rPr>
        <w:t>An Introduction to Anthropology for Archaeologists.</w:t>
      </w:r>
      <w:r w:rsidRPr="00B2753A">
        <w:rPr>
          <w:rFonts w:ascii="Cambria Math" w:eastAsia="Times New Roman" w:hAnsi="Cambria Math" w:cs="Calibri"/>
          <w:b/>
          <w:bCs/>
          <w:sz w:val="36"/>
          <w:szCs w:val="36"/>
          <w:lang w:val="en-US"/>
        </w:rPr>
        <w:t xml:space="preserve"> Bath: The Pitman Press Ltd</w:t>
      </w:r>
    </w:p>
    <w:p w14:paraId="142DCCDE" w14:textId="77777777" w:rsidR="00B2753A" w:rsidRPr="00B2753A" w:rsidRDefault="00B2753A" w:rsidP="00B2753A">
      <w:pPr>
        <w:spacing w:after="0" w:line="240" w:lineRule="auto"/>
        <w:rPr>
          <w:rFonts w:ascii="Cambria Math" w:eastAsia="Times New Roman" w:hAnsi="Cambria Math" w:cs="Times New Roman"/>
          <w:sz w:val="24"/>
          <w:szCs w:val="24"/>
          <w:lang w:val="en-US"/>
        </w:rPr>
      </w:pPr>
    </w:p>
    <w:p w14:paraId="3C191566" w14:textId="77777777" w:rsidR="00B2753A" w:rsidRPr="00B2753A" w:rsidRDefault="00B2753A" w:rsidP="00B2753A">
      <w:pPr>
        <w:spacing w:line="240" w:lineRule="auto"/>
        <w:rPr>
          <w:rFonts w:ascii="Cambria Math" w:eastAsia="Times New Roman" w:hAnsi="Cambria Math" w:cs="Times New Roman"/>
          <w:sz w:val="24"/>
          <w:szCs w:val="24"/>
          <w:lang w:val="en-US"/>
        </w:rPr>
      </w:pPr>
      <w:r w:rsidRPr="00B2753A">
        <w:rPr>
          <w:rFonts w:ascii="Cambria Math" w:eastAsia="Times New Roman" w:hAnsi="Cambria Math" w:cs="Calibri"/>
          <w:b/>
          <w:bCs/>
          <w:sz w:val="36"/>
          <w:szCs w:val="36"/>
          <w:lang w:val="en-US"/>
        </w:rPr>
        <w:t xml:space="preserve">Marlowe, F.W., Colette Berbesque, C., Wood, B., Crittenden, A., Porter, C. and Mabulla, A. 2014. 'Honey, Hadza, Hunter-Gatherers and Human Evolution' </w:t>
      </w:r>
      <w:r w:rsidRPr="00B2753A">
        <w:rPr>
          <w:rFonts w:ascii="Cambria Math" w:eastAsia="Times New Roman" w:hAnsi="Cambria Math" w:cs="Calibri"/>
          <w:b/>
          <w:bCs/>
          <w:i/>
          <w:iCs/>
          <w:sz w:val="36"/>
          <w:szCs w:val="36"/>
          <w:lang w:val="en-US"/>
        </w:rPr>
        <w:t>Journal of Human Evolution 71</w:t>
      </w:r>
      <w:r w:rsidRPr="00B2753A">
        <w:rPr>
          <w:rFonts w:ascii="Cambria Math" w:eastAsia="Times New Roman" w:hAnsi="Cambria Math" w:cs="Calibri"/>
          <w:b/>
          <w:bCs/>
          <w:sz w:val="36"/>
          <w:szCs w:val="36"/>
          <w:lang w:val="en-US"/>
        </w:rPr>
        <w:t>. 119-128</w:t>
      </w:r>
    </w:p>
    <w:p w14:paraId="2956BF1A" w14:textId="77777777" w:rsidR="00B2753A" w:rsidRPr="00B2753A" w:rsidRDefault="00B2753A" w:rsidP="00B2753A">
      <w:pPr>
        <w:spacing w:after="0" w:line="240" w:lineRule="auto"/>
        <w:rPr>
          <w:rFonts w:ascii="Cambria Math" w:eastAsia="Times New Roman" w:hAnsi="Cambria Math" w:cs="Times New Roman"/>
          <w:sz w:val="24"/>
          <w:szCs w:val="24"/>
          <w:lang w:val="en-US"/>
        </w:rPr>
      </w:pPr>
    </w:p>
    <w:p w14:paraId="7FEE0223" w14:textId="77777777" w:rsidR="00B2753A" w:rsidRPr="00B2753A" w:rsidRDefault="00B2753A" w:rsidP="00B2753A">
      <w:pPr>
        <w:spacing w:line="240" w:lineRule="auto"/>
        <w:rPr>
          <w:rFonts w:ascii="Cambria Math" w:eastAsia="Times New Roman" w:hAnsi="Cambria Math" w:cs="Times New Roman"/>
          <w:sz w:val="24"/>
          <w:szCs w:val="24"/>
          <w:lang w:val="en-US"/>
        </w:rPr>
      </w:pPr>
      <w:r w:rsidRPr="00B2753A">
        <w:rPr>
          <w:rFonts w:ascii="Cambria Math" w:eastAsia="Times New Roman" w:hAnsi="Cambria Math" w:cs="Calibri"/>
          <w:b/>
          <w:bCs/>
          <w:sz w:val="36"/>
          <w:szCs w:val="36"/>
          <w:lang w:val="en-US"/>
        </w:rPr>
        <w:t xml:space="preserve">O'Connell, J.F., Hawkes, K. and Blurton Jones, N. 1988. 'Hadza Hunting, Butchering and Bone Transport and their Archaeological Importance' </w:t>
      </w:r>
      <w:r w:rsidRPr="00B2753A">
        <w:rPr>
          <w:rFonts w:ascii="Cambria Math" w:eastAsia="Times New Roman" w:hAnsi="Cambria Math" w:cs="Calibri"/>
          <w:b/>
          <w:bCs/>
          <w:i/>
          <w:iCs/>
          <w:sz w:val="36"/>
          <w:szCs w:val="36"/>
          <w:lang w:val="en-US"/>
        </w:rPr>
        <w:t>Journal of Anthropological Research 44.2</w:t>
      </w:r>
      <w:r w:rsidRPr="00B2753A">
        <w:rPr>
          <w:rFonts w:ascii="Cambria Math" w:eastAsia="Times New Roman" w:hAnsi="Cambria Math" w:cs="Calibri"/>
          <w:b/>
          <w:bCs/>
          <w:sz w:val="36"/>
          <w:szCs w:val="36"/>
          <w:lang w:val="en-US"/>
        </w:rPr>
        <w:t>. 113-161</w:t>
      </w:r>
    </w:p>
    <w:p w14:paraId="68D4F3AC" w14:textId="77777777" w:rsidR="00B2753A" w:rsidRPr="00B2753A" w:rsidRDefault="00B2753A" w:rsidP="00B2753A">
      <w:pPr>
        <w:spacing w:after="0" w:line="240" w:lineRule="auto"/>
        <w:rPr>
          <w:rFonts w:ascii="Cambria Math" w:eastAsia="Times New Roman" w:hAnsi="Cambria Math" w:cs="Times New Roman"/>
          <w:sz w:val="24"/>
          <w:szCs w:val="24"/>
          <w:lang w:val="en-US"/>
        </w:rPr>
      </w:pPr>
    </w:p>
    <w:p w14:paraId="4C94EA2C" w14:textId="77777777" w:rsidR="00B2753A" w:rsidRPr="00B2753A" w:rsidRDefault="00B2753A" w:rsidP="00B2753A">
      <w:pPr>
        <w:spacing w:line="240" w:lineRule="auto"/>
        <w:rPr>
          <w:rFonts w:ascii="Cambria Math" w:eastAsia="Times New Roman" w:hAnsi="Cambria Math" w:cs="Times New Roman"/>
          <w:sz w:val="24"/>
          <w:szCs w:val="24"/>
          <w:lang w:val="en-US"/>
        </w:rPr>
      </w:pPr>
      <w:r w:rsidRPr="00B2753A">
        <w:rPr>
          <w:rFonts w:ascii="Cambria Math" w:eastAsia="Times New Roman" w:hAnsi="Cambria Math" w:cs="Calibri"/>
          <w:b/>
          <w:bCs/>
          <w:sz w:val="36"/>
          <w:szCs w:val="36"/>
          <w:lang w:val="en-US"/>
        </w:rPr>
        <w:t xml:space="preserve">O'Connell, J.F. Hawkes, K. and Blurton Jones, N. 1999. 'Grandmothering and the Evolution of Homo Erectus' </w:t>
      </w:r>
      <w:r w:rsidRPr="00B2753A">
        <w:rPr>
          <w:rFonts w:ascii="Cambria Math" w:eastAsia="Times New Roman" w:hAnsi="Cambria Math" w:cs="Calibri"/>
          <w:b/>
          <w:bCs/>
          <w:i/>
          <w:iCs/>
          <w:sz w:val="36"/>
          <w:szCs w:val="36"/>
          <w:lang w:val="en-US"/>
        </w:rPr>
        <w:t>Journal of Human Evolution 36</w:t>
      </w:r>
      <w:r w:rsidRPr="00B2753A">
        <w:rPr>
          <w:rFonts w:ascii="Cambria Math" w:eastAsia="Times New Roman" w:hAnsi="Cambria Math" w:cs="Calibri"/>
          <w:b/>
          <w:bCs/>
          <w:sz w:val="36"/>
          <w:szCs w:val="36"/>
          <w:lang w:val="en-US"/>
        </w:rPr>
        <w:t>. 461-485</w:t>
      </w:r>
    </w:p>
    <w:p w14:paraId="07E867EA" w14:textId="77777777" w:rsidR="00B2753A" w:rsidRPr="00B2753A" w:rsidRDefault="00B2753A" w:rsidP="00B2753A">
      <w:pPr>
        <w:spacing w:after="0" w:line="240" w:lineRule="auto"/>
        <w:rPr>
          <w:rFonts w:ascii="Cambria Math" w:eastAsia="Times New Roman" w:hAnsi="Cambria Math" w:cs="Times New Roman"/>
          <w:sz w:val="24"/>
          <w:szCs w:val="24"/>
          <w:lang w:val="en-US"/>
        </w:rPr>
      </w:pPr>
    </w:p>
    <w:p w14:paraId="79E72BE2" w14:textId="77777777" w:rsidR="00B2753A" w:rsidRPr="00B2753A" w:rsidRDefault="00B2753A" w:rsidP="00B2753A">
      <w:pPr>
        <w:spacing w:line="240" w:lineRule="auto"/>
        <w:rPr>
          <w:rFonts w:ascii="Cambria Math" w:eastAsia="Times New Roman" w:hAnsi="Cambria Math" w:cs="Times New Roman"/>
          <w:sz w:val="24"/>
          <w:szCs w:val="24"/>
          <w:lang w:val="en-US"/>
        </w:rPr>
      </w:pPr>
      <w:r w:rsidRPr="00B2753A">
        <w:rPr>
          <w:rFonts w:ascii="Cambria Math" w:eastAsia="Times New Roman" w:hAnsi="Cambria Math" w:cs="Calibri"/>
          <w:b/>
          <w:bCs/>
          <w:sz w:val="36"/>
          <w:szCs w:val="36"/>
          <w:lang w:val="en-US"/>
        </w:rPr>
        <w:t xml:space="preserve">Sheehan, M.S. 2004. 'Ethnographic Models, Archaeological Data, and the Applicability of Modern Foraging Theory'. In Barnard, A. (ed) </w:t>
      </w:r>
      <w:r w:rsidRPr="00B2753A">
        <w:rPr>
          <w:rFonts w:ascii="Cambria Math" w:eastAsia="Times New Roman" w:hAnsi="Cambria Math" w:cs="Calibri"/>
          <w:b/>
          <w:bCs/>
          <w:i/>
          <w:iCs/>
          <w:sz w:val="36"/>
          <w:szCs w:val="36"/>
          <w:lang w:val="en-US"/>
        </w:rPr>
        <w:t>Hunter-Gatherers in History, Archaeology and Anthropology.</w:t>
      </w:r>
      <w:r w:rsidRPr="00B2753A">
        <w:rPr>
          <w:rFonts w:ascii="Cambria Math" w:eastAsia="Times New Roman" w:hAnsi="Cambria Math" w:cs="Calibri"/>
          <w:b/>
          <w:bCs/>
          <w:sz w:val="36"/>
          <w:szCs w:val="36"/>
          <w:lang w:val="en-US"/>
        </w:rPr>
        <w:t xml:space="preserve"> New York: Berg</w:t>
      </w:r>
    </w:p>
    <w:p w14:paraId="348B7FED" w14:textId="77777777" w:rsidR="00B2753A" w:rsidRPr="00B2753A" w:rsidRDefault="00B2753A" w:rsidP="00B2753A">
      <w:pPr>
        <w:spacing w:after="0" w:line="240" w:lineRule="auto"/>
        <w:rPr>
          <w:rFonts w:ascii="Cambria Math" w:eastAsia="Times New Roman" w:hAnsi="Cambria Math" w:cs="Times New Roman"/>
          <w:sz w:val="24"/>
          <w:szCs w:val="24"/>
          <w:lang w:val="en-US"/>
        </w:rPr>
      </w:pPr>
    </w:p>
    <w:p w14:paraId="573029E4" w14:textId="38AEF008" w:rsidR="00B2753A" w:rsidRPr="00B2753A" w:rsidRDefault="00B2753A" w:rsidP="00942479">
      <w:pPr>
        <w:spacing w:line="240" w:lineRule="auto"/>
        <w:rPr>
          <w:rStyle w:val="5yl5"/>
          <w:rFonts w:ascii="Cambria Math" w:hAnsi="Cambria Math"/>
          <w:sz w:val="36"/>
        </w:rPr>
      </w:pPr>
      <w:r w:rsidRPr="00B2753A">
        <w:rPr>
          <w:rFonts w:ascii="Cambria Math" w:eastAsia="Times New Roman" w:hAnsi="Cambria Math" w:cs="Calibri"/>
          <w:b/>
          <w:bCs/>
          <w:sz w:val="36"/>
          <w:szCs w:val="36"/>
          <w:lang w:val="en-US"/>
        </w:rPr>
        <w:t xml:space="preserve">Tilley, C. 1996. </w:t>
      </w:r>
      <w:r w:rsidRPr="00B2753A">
        <w:rPr>
          <w:rFonts w:ascii="Cambria Math" w:eastAsia="Times New Roman" w:hAnsi="Cambria Math" w:cs="Calibri"/>
          <w:b/>
          <w:bCs/>
          <w:i/>
          <w:iCs/>
          <w:sz w:val="36"/>
          <w:szCs w:val="36"/>
          <w:lang w:val="en-US"/>
        </w:rPr>
        <w:t>An Ethnography of the Neolithic: Early Prehistoric Societies in Southern Scandinavia.</w:t>
      </w:r>
      <w:r w:rsidRPr="00B2753A">
        <w:rPr>
          <w:rFonts w:ascii="Cambria Math" w:eastAsia="Times New Roman" w:hAnsi="Cambria Math" w:cs="Calibri"/>
          <w:b/>
          <w:bCs/>
          <w:sz w:val="36"/>
          <w:szCs w:val="36"/>
          <w:lang w:val="en-US"/>
        </w:rPr>
        <w:t xml:space="preserve"> Cambridge: Cambridge University Press</w:t>
      </w:r>
    </w:p>
    <w:sectPr w:rsidR="00B2753A" w:rsidRPr="00B2753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8D42B8" w14:textId="77777777" w:rsidR="00D824E0" w:rsidRDefault="00D824E0" w:rsidP="00A04F0F">
      <w:pPr>
        <w:spacing w:after="0" w:line="240" w:lineRule="auto"/>
      </w:pPr>
      <w:r>
        <w:separator/>
      </w:r>
    </w:p>
  </w:endnote>
  <w:endnote w:type="continuationSeparator" w:id="0">
    <w:p w14:paraId="65E6373F" w14:textId="77777777" w:rsidR="00D824E0" w:rsidRDefault="00D824E0" w:rsidP="00A04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24D975" w14:textId="77777777" w:rsidR="00D824E0" w:rsidRDefault="00D824E0" w:rsidP="00A04F0F">
      <w:pPr>
        <w:spacing w:after="0" w:line="240" w:lineRule="auto"/>
      </w:pPr>
      <w:r>
        <w:separator/>
      </w:r>
    </w:p>
  </w:footnote>
  <w:footnote w:type="continuationSeparator" w:id="0">
    <w:p w14:paraId="70620822" w14:textId="77777777" w:rsidR="00D824E0" w:rsidRDefault="00D824E0" w:rsidP="00A04F0F">
      <w:pPr>
        <w:spacing w:after="0" w:line="240" w:lineRule="auto"/>
      </w:pPr>
      <w:r>
        <w:continuationSeparator/>
      </w:r>
    </w:p>
  </w:footnote>
  <w:footnote w:id="1">
    <w:p w14:paraId="45D19890" w14:textId="77777777" w:rsidR="00082C59" w:rsidRDefault="00082C59" w:rsidP="00082C59">
      <w:pPr>
        <w:pBdr>
          <w:top w:val="nil"/>
          <w:left w:val="nil"/>
          <w:bottom w:val="nil"/>
          <w:right w:val="nil"/>
          <w:between w:val="nil"/>
        </w:pBdr>
        <w:spacing w:after="0" w:line="240" w:lineRule="auto"/>
        <w:rPr>
          <w:color w:val="000000"/>
          <w:sz w:val="20"/>
          <w:szCs w:val="20"/>
        </w:rPr>
      </w:pPr>
      <w:r>
        <w:rPr>
          <w:vertAlign w:val="superscript"/>
        </w:rPr>
        <w:footnoteRef/>
      </w:r>
      <w:r>
        <w:rPr>
          <w:rFonts w:ascii="Calibri" w:eastAsia="Calibri" w:hAnsi="Calibri" w:cs="Calibri"/>
          <w:color w:val="000000"/>
          <w:sz w:val="20"/>
          <w:szCs w:val="20"/>
        </w:rPr>
        <w:t xml:space="preserve"> David and Kramer 2001:6-7</w:t>
      </w:r>
    </w:p>
  </w:footnote>
  <w:footnote w:id="2">
    <w:p w14:paraId="14D6A0AF" w14:textId="77777777" w:rsidR="00082C59" w:rsidRDefault="00082C59" w:rsidP="00082C59">
      <w:pPr>
        <w:pBdr>
          <w:top w:val="nil"/>
          <w:left w:val="nil"/>
          <w:bottom w:val="nil"/>
          <w:right w:val="nil"/>
          <w:between w:val="nil"/>
        </w:pBdr>
        <w:spacing w:after="0" w:line="240" w:lineRule="auto"/>
        <w:rPr>
          <w:color w:val="000000"/>
          <w:sz w:val="20"/>
          <w:szCs w:val="20"/>
        </w:rPr>
      </w:pPr>
      <w:r>
        <w:rPr>
          <w:vertAlign w:val="superscript"/>
        </w:rPr>
        <w:footnoteRef/>
      </w:r>
      <w:r>
        <w:rPr>
          <w:rFonts w:ascii="Calibri" w:eastAsia="Calibri" w:hAnsi="Calibri" w:cs="Calibri"/>
          <w:color w:val="000000"/>
          <w:sz w:val="20"/>
          <w:szCs w:val="20"/>
        </w:rPr>
        <w:t xml:space="preserve"> David and Kramer 2001:18</w:t>
      </w:r>
    </w:p>
  </w:footnote>
  <w:footnote w:id="3">
    <w:p w14:paraId="08DF2149" w14:textId="77777777" w:rsidR="00082C59" w:rsidRDefault="00082C59" w:rsidP="00082C59">
      <w:pPr>
        <w:pBdr>
          <w:top w:val="nil"/>
          <w:left w:val="nil"/>
          <w:bottom w:val="nil"/>
          <w:right w:val="nil"/>
          <w:between w:val="nil"/>
        </w:pBdr>
        <w:spacing w:after="0" w:line="240" w:lineRule="auto"/>
        <w:rPr>
          <w:color w:val="000000"/>
          <w:sz w:val="20"/>
          <w:szCs w:val="20"/>
        </w:rPr>
      </w:pPr>
      <w:r>
        <w:rPr>
          <w:vertAlign w:val="superscript"/>
        </w:rPr>
        <w:footnoteRef/>
      </w:r>
      <w:r>
        <w:rPr>
          <w:rFonts w:ascii="Calibri" w:eastAsia="Calibri" w:hAnsi="Calibri" w:cs="Calibri"/>
          <w:color w:val="000000"/>
          <w:sz w:val="20"/>
          <w:szCs w:val="20"/>
        </w:rPr>
        <w:t xml:space="preserve"> David and Kramer 2001:18</w:t>
      </w:r>
    </w:p>
  </w:footnote>
  <w:footnote w:id="4">
    <w:p w14:paraId="730C9A79" w14:textId="77777777" w:rsidR="00082C59" w:rsidRDefault="00082C59" w:rsidP="00082C59">
      <w:pPr>
        <w:pBdr>
          <w:top w:val="nil"/>
          <w:left w:val="nil"/>
          <w:bottom w:val="nil"/>
          <w:right w:val="nil"/>
          <w:between w:val="nil"/>
        </w:pBdr>
        <w:spacing w:after="0" w:line="240" w:lineRule="auto"/>
        <w:rPr>
          <w:color w:val="000000"/>
          <w:sz w:val="20"/>
          <w:szCs w:val="20"/>
        </w:rPr>
      </w:pPr>
      <w:r>
        <w:rPr>
          <w:vertAlign w:val="superscript"/>
        </w:rPr>
        <w:footnoteRef/>
      </w:r>
      <w:r>
        <w:rPr>
          <w:rFonts w:ascii="Calibri" w:eastAsia="Calibri" w:hAnsi="Calibri" w:cs="Calibri"/>
          <w:color w:val="000000"/>
          <w:sz w:val="20"/>
          <w:szCs w:val="20"/>
        </w:rPr>
        <w:t xml:space="preserve"> O’Connell et al 1999: 466</w:t>
      </w:r>
    </w:p>
  </w:footnote>
  <w:footnote w:id="5">
    <w:p w14:paraId="458F138F" w14:textId="77777777" w:rsidR="00082C59" w:rsidRDefault="00082C59" w:rsidP="00082C59">
      <w:pPr>
        <w:pBdr>
          <w:top w:val="nil"/>
          <w:left w:val="nil"/>
          <w:bottom w:val="nil"/>
          <w:right w:val="nil"/>
          <w:between w:val="nil"/>
        </w:pBdr>
        <w:spacing w:after="0" w:line="240" w:lineRule="auto"/>
        <w:rPr>
          <w:color w:val="000000"/>
          <w:sz w:val="20"/>
          <w:szCs w:val="20"/>
        </w:rPr>
      </w:pPr>
      <w:r>
        <w:rPr>
          <w:vertAlign w:val="superscript"/>
        </w:rPr>
        <w:footnoteRef/>
      </w:r>
      <w:r>
        <w:rPr>
          <w:rFonts w:ascii="Calibri" w:eastAsia="Calibri" w:hAnsi="Calibri" w:cs="Calibri"/>
          <w:color w:val="000000"/>
          <w:sz w:val="20"/>
          <w:szCs w:val="20"/>
        </w:rPr>
        <w:t xml:space="preserve"> David and Kramer 2001:19-20</w:t>
      </w:r>
    </w:p>
  </w:footnote>
  <w:footnote w:id="6">
    <w:p w14:paraId="1CEE3BAE" w14:textId="77777777" w:rsidR="00082C59" w:rsidRDefault="00082C59" w:rsidP="00082C59">
      <w:pPr>
        <w:pBdr>
          <w:top w:val="nil"/>
          <w:left w:val="nil"/>
          <w:bottom w:val="nil"/>
          <w:right w:val="nil"/>
          <w:between w:val="nil"/>
        </w:pBdr>
        <w:spacing w:after="0" w:line="240" w:lineRule="auto"/>
        <w:rPr>
          <w:color w:val="000000"/>
          <w:sz w:val="20"/>
          <w:szCs w:val="20"/>
        </w:rPr>
      </w:pPr>
      <w:r>
        <w:rPr>
          <w:vertAlign w:val="superscript"/>
        </w:rPr>
        <w:footnoteRef/>
      </w:r>
      <w:r>
        <w:rPr>
          <w:rFonts w:ascii="Calibri" w:eastAsia="Calibri" w:hAnsi="Calibri" w:cs="Calibri"/>
          <w:color w:val="000000"/>
          <w:sz w:val="20"/>
          <w:szCs w:val="20"/>
        </w:rPr>
        <w:t xml:space="preserve"> David and Kramer 2001:19</w:t>
      </w:r>
    </w:p>
  </w:footnote>
  <w:footnote w:id="7">
    <w:p w14:paraId="7A7436CF" w14:textId="77777777" w:rsidR="00082C59" w:rsidRDefault="00082C59" w:rsidP="00082C59">
      <w:pPr>
        <w:pBdr>
          <w:top w:val="nil"/>
          <w:left w:val="nil"/>
          <w:bottom w:val="nil"/>
          <w:right w:val="nil"/>
          <w:between w:val="nil"/>
        </w:pBdr>
        <w:spacing w:after="0" w:line="240" w:lineRule="auto"/>
        <w:rPr>
          <w:color w:val="000000"/>
          <w:sz w:val="20"/>
          <w:szCs w:val="20"/>
        </w:rPr>
      </w:pPr>
      <w:r>
        <w:rPr>
          <w:vertAlign w:val="superscript"/>
        </w:rPr>
        <w:footnoteRef/>
      </w:r>
      <w:r>
        <w:rPr>
          <w:rFonts w:ascii="Calibri" w:eastAsia="Calibri" w:hAnsi="Calibri" w:cs="Calibri"/>
          <w:color w:val="000000"/>
          <w:sz w:val="20"/>
          <w:szCs w:val="20"/>
        </w:rPr>
        <w:t xml:space="preserve"> David and Kramer 2001:19</w:t>
      </w:r>
    </w:p>
  </w:footnote>
  <w:footnote w:id="8">
    <w:p w14:paraId="576790AB" w14:textId="77777777" w:rsidR="00082C59" w:rsidRDefault="00082C59" w:rsidP="00082C59">
      <w:pPr>
        <w:pBdr>
          <w:top w:val="nil"/>
          <w:left w:val="nil"/>
          <w:bottom w:val="nil"/>
          <w:right w:val="nil"/>
          <w:between w:val="nil"/>
        </w:pBdr>
        <w:spacing w:after="0" w:line="240" w:lineRule="auto"/>
        <w:rPr>
          <w:color w:val="000000"/>
          <w:sz w:val="20"/>
          <w:szCs w:val="20"/>
        </w:rPr>
      </w:pPr>
      <w:r>
        <w:rPr>
          <w:vertAlign w:val="superscript"/>
        </w:rPr>
        <w:footnoteRef/>
      </w:r>
      <w:r>
        <w:rPr>
          <w:rFonts w:ascii="Calibri" w:eastAsia="Calibri" w:hAnsi="Calibri" w:cs="Calibri"/>
          <w:color w:val="000000"/>
          <w:sz w:val="20"/>
          <w:szCs w:val="20"/>
        </w:rPr>
        <w:t xml:space="preserve"> David and Kramer 2001:24</w:t>
      </w:r>
    </w:p>
  </w:footnote>
  <w:footnote w:id="9">
    <w:p w14:paraId="568CA470" w14:textId="2D55B662" w:rsidR="00D6102B" w:rsidRDefault="00D6102B">
      <w:pPr>
        <w:pStyle w:val="FootnoteText"/>
      </w:pPr>
      <w:r>
        <w:rPr>
          <w:rStyle w:val="FootnoteReference"/>
        </w:rPr>
        <w:footnoteRef/>
      </w:r>
      <w:r>
        <w:t xml:space="preserve"> David and Kramer 2001:42</w:t>
      </w:r>
    </w:p>
  </w:footnote>
  <w:footnote w:id="10">
    <w:p w14:paraId="7820D545" w14:textId="576DC98B" w:rsidR="00D6102B" w:rsidRDefault="00D6102B">
      <w:pPr>
        <w:pStyle w:val="FootnoteText"/>
      </w:pPr>
      <w:r>
        <w:rPr>
          <w:rStyle w:val="FootnoteReference"/>
        </w:rPr>
        <w:footnoteRef/>
      </w:r>
      <w:r>
        <w:t xml:space="preserve"> David and Kramer 2001:42</w:t>
      </w:r>
    </w:p>
  </w:footnote>
  <w:footnote w:id="11">
    <w:p w14:paraId="28200432" w14:textId="5CC63159" w:rsidR="00D6102B" w:rsidRDefault="00D6102B">
      <w:pPr>
        <w:pStyle w:val="FootnoteText"/>
      </w:pPr>
      <w:r>
        <w:rPr>
          <w:rStyle w:val="FootnoteReference"/>
        </w:rPr>
        <w:footnoteRef/>
      </w:r>
      <w:r>
        <w:t xml:space="preserve"> David and Kramer 2001:42</w:t>
      </w:r>
    </w:p>
  </w:footnote>
  <w:footnote w:id="12">
    <w:p w14:paraId="66D839F7" w14:textId="72ED80B1" w:rsidR="00D6102B" w:rsidRDefault="00D6102B">
      <w:pPr>
        <w:pStyle w:val="FootnoteText"/>
      </w:pPr>
      <w:r>
        <w:rPr>
          <w:rStyle w:val="FootnoteReference"/>
        </w:rPr>
        <w:footnoteRef/>
      </w:r>
      <w:r>
        <w:t xml:space="preserve"> David and Kramer 2001:67</w:t>
      </w:r>
    </w:p>
  </w:footnote>
  <w:footnote w:id="13">
    <w:p w14:paraId="5E9A7B5F" w14:textId="4F47EA0E" w:rsidR="00D6102B" w:rsidRDefault="00D6102B">
      <w:pPr>
        <w:pStyle w:val="FootnoteText"/>
      </w:pPr>
      <w:r>
        <w:rPr>
          <w:rStyle w:val="FootnoteReference"/>
        </w:rPr>
        <w:footnoteRef/>
      </w:r>
      <w:r>
        <w:t xml:space="preserve"> David and Kramer 2001:66-7</w:t>
      </w:r>
    </w:p>
  </w:footnote>
  <w:footnote w:id="14">
    <w:p w14:paraId="13419CC1" w14:textId="0C5E7B48" w:rsidR="00D6102B" w:rsidRDefault="00D6102B">
      <w:pPr>
        <w:pStyle w:val="FootnoteText"/>
      </w:pPr>
      <w:r>
        <w:rPr>
          <w:rStyle w:val="FootnoteReference"/>
        </w:rPr>
        <w:footnoteRef/>
      </w:r>
      <w:r>
        <w:t xml:space="preserve"> O’Connell et al 1988:116</w:t>
      </w:r>
    </w:p>
  </w:footnote>
  <w:footnote w:id="15">
    <w:p w14:paraId="439996A6" w14:textId="45609CC0" w:rsidR="00D6102B" w:rsidRDefault="00D6102B">
      <w:pPr>
        <w:pStyle w:val="FootnoteText"/>
      </w:pPr>
      <w:r>
        <w:rPr>
          <w:rStyle w:val="FootnoteReference"/>
        </w:rPr>
        <w:footnoteRef/>
      </w:r>
      <w:r>
        <w:t xml:space="preserve"> Hodder 1982: 42-3</w:t>
      </w:r>
    </w:p>
  </w:footnote>
  <w:footnote w:id="16">
    <w:p w14:paraId="29D79E2E" w14:textId="7E30C2D7" w:rsidR="00D6102B" w:rsidRDefault="00D6102B">
      <w:pPr>
        <w:pStyle w:val="FootnoteText"/>
      </w:pPr>
      <w:r>
        <w:rPr>
          <w:rStyle w:val="FootnoteReference"/>
        </w:rPr>
        <w:footnoteRef/>
      </w:r>
      <w:r>
        <w:t xml:space="preserve"> Hodder 1982:42</w:t>
      </w:r>
    </w:p>
  </w:footnote>
  <w:footnote w:id="17">
    <w:p w14:paraId="4ED47179" w14:textId="4C67CFAB" w:rsidR="00D6102B" w:rsidRDefault="00D6102B">
      <w:pPr>
        <w:pStyle w:val="FootnoteText"/>
      </w:pPr>
      <w:r>
        <w:rPr>
          <w:rStyle w:val="FootnoteReference"/>
        </w:rPr>
        <w:footnoteRef/>
      </w:r>
      <w:r>
        <w:t xml:space="preserve"> Hodder 1982:41-2</w:t>
      </w:r>
    </w:p>
  </w:footnote>
  <w:footnote w:id="18">
    <w:p w14:paraId="4134437D" w14:textId="77777777" w:rsidR="00740FEF" w:rsidRDefault="00740FEF" w:rsidP="00740FEF">
      <w:pPr>
        <w:spacing w:after="0" w:line="240" w:lineRule="auto"/>
        <w:rPr>
          <w:sz w:val="20"/>
          <w:szCs w:val="20"/>
        </w:rPr>
      </w:pPr>
      <w:r>
        <w:rPr>
          <w:vertAlign w:val="superscript"/>
        </w:rPr>
        <w:footnoteRef/>
      </w:r>
      <w:r>
        <w:rPr>
          <w:sz w:val="20"/>
          <w:szCs w:val="20"/>
        </w:rPr>
        <w:t xml:space="preserve"> David and Kramer 2001:117</w:t>
      </w:r>
    </w:p>
  </w:footnote>
  <w:footnote w:id="19">
    <w:p w14:paraId="0D0DE2BD" w14:textId="77777777" w:rsidR="00740FEF" w:rsidRDefault="00740FEF" w:rsidP="00740FEF">
      <w:pPr>
        <w:spacing w:after="0" w:line="240" w:lineRule="auto"/>
        <w:rPr>
          <w:sz w:val="20"/>
          <w:szCs w:val="20"/>
        </w:rPr>
      </w:pPr>
      <w:r>
        <w:rPr>
          <w:vertAlign w:val="superscript"/>
        </w:rPr>
        <w:footnoteRef/>
      </w:r>
      <w:r>
        <w:rPr>
          <w:sz w:val="20"/>
          <w:szCs w:val="20"/>
        </w:rPr>
        <w:t xml:space="preserve"> Marlowe et al 2014:124</w:t>
      </w:r>
    </w:p>
  </w:footnote>
  <w:footnote w:id="20">
    <w:p w14:paraId="51BFB3A4" w14:textId="71622F9C" w:rsidR="00D6102B" w:rsidRDefault="00D6102B">
      <w:pPr>
        <w:pStyle w:val="FootnoteText"/>
      </w:pPr>
      <w:r>
        <w:rPr>
          <w:rStyle w:val="FootnoteReference"/>
        </w:rPr>
        <w:footnoteRef/>
      </w:r>
      <w:r>
        <w:t xml:space="preserve"> Hodder 1982:44</w:t>
      </w:r>
    </w:p>
  </w:footnote>
  <w:footnote w:id="21">
    <w:p w14:paraId="28CEC05C" w14:textId="0681229C" w:rsidR="00D6102B" w:rsidRDefault="00D6102B">
      <w:pPr>
        <w:pStyle w:val="FootnoteText"/>
      </w:pPr>
      <w:r>
        <w:rPr>
          <w:rStyle w:val="FootnoteReference"/>
        </w:rPr>
        <w:footnoteRef/>
      </w:r>
      <w:r>
        <w:t xml:space="preserve"> Hodder 1982:44</w:t>
      </w:r>
    </w:p>
  </w:footnote>
  <w:footnote w:id="22">
    <w:p w14:paraId="3A156FFD" w14:textId="360A841F" w:rsidR="00D6102B" w:rsidRDefault="00D6102B">
      <w:pPr>
        <w:pStyle w:val="FootnoteText"/>
      </w:pPr>
      <w:r>
        <w:rPr>
          <w:rStyle w:val="FootnoteReference"/>
        </w:rPr>
        <w:footnoteRef/>
      </w:r>
      <w:r>
        <w:t xml:space="preserve"> Hodder 1982:44</w:t>
      </w:r>
    </w:p>
  </w:footnote>
  <w:footnote w:id="23">
    <w:p w14:paraId="36F60D32" w14:textId="4EFC37C3" w:rsidR="00D6102B" w:rsidRDefault="00D6102B">
      <w:pPr>
        <w:pStyle w:val="FootnoteText"/>
      </w:pPr>
      <w:r>
        <w:rPr>
          <w:rStyle w:val="FootnoteReference"/>
        </w:rPr>
        <w:footnoteRef/>
      </w:r>
      <w:r>
        <w:t xml:space="preserve"> Hodder 1982:44-5</w:t>
      </w:r>
    </w:p>
  </w:footnote>
  <w:footnote w:id="24">
    <w:p w14:paraId="640507D0" w14:textId="5F85A827" w:rsidR="00D6102B" w:rsidRDefault="00D6102B">
      <w:pPr>
        <w:pStyle w:val="FootnoteText"/>
      </w:pPr>
      <w:r>
        <w:rPr>
          <w:rStyle w:val="FootnoteReference"/>
        </w:rPr>
        <w:footnoteRef/>
      </w:r>
      <w:r>
        <w:t xml:space="preserve"> Hodder 1982:44-5</w:t>
      </w:r>
    </w:p>
  </w:footnote>
  <w:footnote w:id="25">
    <w:p w14:paraId="47F658A3" w14:textId="77777777" w:rsidR="00740FEF" w:rsidRDefault="00740FEF" w:rsidP="00740FEF">
      <w:pPr>
        <w:pBdr>
          <w:top w:val="nil"/>
          <w:left w:val="nil"/>
          <w:bottom w:val="nil"/>
          <w:right w:val="nil"/>
          <w:between w:val="nil"/>
        </w:pBdr>
        <w:spacing w:after="0" w:line="240" w:lineRule="auto"/>
        <w:rPr>
          <w:color w:val="000000"/>
          <w:sz w:val="20"/>
          <w:szCs w:val="20"/>
        </w:rPr>
      </w:pPr>
      <w:r>
        <w:rPr>
          <w:vertAlign w:val="superscript"/>
        </w:rPr>
        <w:footnoteRef/>
      </w:r>
      <w:r>
        <w:rPr>
          <w:rFonts w:ascii="Calibri" w:eastAsia="Calibri" w:hAnsi="Calibri" w:cs="Calibri"/>
          <w:color w:val="000000"/>
          <w:sz w:val="20"/>
          <w:szCs w:val="20"/>
        </w:rPr>
        <w:t xml:space="preserve"> Tilley 1996: 2-3</w:t>
      </w:r>
    </w:p>
  </w:footnote>
  <w:footnote w:id="26">
    <w:p w14:paraId="50B33B15" w14:textId="77777777" w:rsidR="00740FEF" w:rsidRDefault="00740FEF" w:rsidP="00740FEF">
      <w:pPr>
        <w:pBdr>
          <w:top w:val="nil"/>
          <w:left w:val="nil"/>
          <w:bottom w:val="nil"/>
          <w:right w:val="nil"/>
          <w:between w:val="nil"/>
        </w:pBdr>
        <w:spacing w:after="0" w:line="240" w:lineRule="auto"/>
        <w:rPr>
          <w:color w:val="000000"/>
          <w:sz w:val="20"/>
          <w:szCs w:val="20"/>
        </w:rPr>
      </w:pPr>
      <w:r>
        <w:rPr>
          <w:vertAlign w:val="superscript"/>
        </w:rPr>
        <w:footnoteRef/>
      </w:r>
      <w:r>
        <w:rPr>
          <w:rFonts w:ascii="Calibri" w:eastAsia="Calibri" w:hAnsi="Calibri" w:cs="Calibri"/>
          <w:color w:val="000000"/>
          <w:sz w:val="20"/>
          <w:szCs w:val="20"/>
        </w:rPr>
        <w:t xml:space="preserve"> Tilley 1996:3</w:t>
      </w:r>
    </w:p>
  </w:footnote>
  <w:footnote w:id="27">
    <w:p w14:paraId="06EE749E" w14:textId="77777777" w:rsidR="00740FEF" w:rsidRDefault="00740FEF" w:rsidP="00740FEF">
      <w:pPr>
        <w:pBdr>
          <w:top w:val="nil"/>
          <w:left w:val="nil"/>
          <w:bottom w:val="nil"/>
          <w:right w:val="nil"/>
          <w:between w:val="nil"/>
        </w:pBdr>
        <w:spacing w:after="0" w:line="240" w:lineRule="auto"/>
        <w:rPr>
          <w:color w:val="000000"/>
          <w:sz w:val="20"/>
          <w:szCs w:val="20"/>
        </w:rPr>
      </w:pPr>
      <w:r>
        <w:rPr>
          <w:vertAlign w:val="superscript"/>
        </w:rPr>
        <w:footnoteRef/>
      </w:r>
      <w:r>
        <w:rPr>
          <w:rFonts w:ascii="Calibri" w:eastAsia="Calibri" w:hAnsi="Calibri" w:cs="Calibri"/>
          <w:color w:val="000000"/>
          <w:sz w:val="20"/>
          <w:szCs w:val="20"/>
        </w:rPr>
        <w:t xml:space="preserve"> Sheehan 2004:164</w:t>
      </w:r>
    </w:p>
  </w:footnote>
  <w:footnote w:id="28">
    <w:p w14:paraId="04FC78AA" w14:textId="77777777" w:rsidR="00740FEF" w:rsidRDefault="00740FEF" w:rsidP="00740FEF">
      <w:pPr>
        <w:spacing w:after="0" w:line="240" w:lineRule="auto"/>
        <w:rPr>
          <w:sz w:val="20"/>
          <w:szCs w:val="20"/>
        </w:rPr>
      </w:pPr>
      <w:r>
        <w:rPr>
          <w:vertAlign w:val="superscript"/>
        </w:rPr>
        <w:footnoteRef/>
      </w:r>
      <w:r>
        <w:rPr>
          <w:sz w:val="20"/>
          <w:szCs w:val="20"/>
        </w:rPr>
        <w:t xml:space="preserve"> David and Kramer 2001:50</w:t>
      </w:r>
    </w:p>
  </w:footnote>
  <w:footnote w:id="29">
    <w:p w14:paraId="64ADCC20" w14:textId="77777777" w:rsidR="00740FEF" w:rsidRDefault="00740FEF" w:rsidP="00740FEF">
      <w:pPr>
        <w:spacing w:after="0" w:line="240" w:lineRule="auto"/>
        <w:rPr>
          <w:sz w:val="20"/>
          <w:szCs w:val="20"/>
        </w:rPr>
      </w:pPr>
      <w:r>
        <w:rPr>
          <w:vertAlign w:val="superscript"/>
        </w:rPr>
        <w:footnoteRef/>
      </w:r>
      <w:r>
        <w:rPr>
          <w:sz w:val="20"/>
          <w:szCs w:val="20"/>
        </w:rPr>
        <w:t xml:space="preserve"> O’Connell et al 1988:116</w:t>
      </w:r>
    </w:p>
  </w:footnote>
  <w:footnote w:id="30">
    <w:p w14:paraId="7A7CD491" w14:textId="77777777" w:rsidR="00740FEF" w:rsidRDefault="00740FEF" w:rsidP="00740FEF">
      <w:pPr>
        <w:spacing w:after="0" w:line="240" w:lineRule="auto"/>
        <w:rPr>
          <w:sz w:val="20"/>
          <w:szCs w:val="20"/>
        </w:rPr>
      </w:pPr>
      <w:r>
        <w:rPr>
          <w:vertAlign w:val="superscript"/>
        </w:rPr>
        <w:footnoteRef/>
      </w:r>
      <w:r>
        <w:rPr>
          <w:sz w:val="20"/>
          <w:szCs w:val="20"/>
        </w:rPr>
        <w:t xml:space="preserve"> David and Kramer 2001:50</w:t>
      </w:r>
    </w:p>
  </w:footnote>
  <w:footnote w:id="31">
    <w:p w14:paraId="21F3C2ED" w14:textId="77777777" w:rsidR="00740FEF" w:rsidRDefault="00740FEF" w:rsidP="00740FEF">
      <w:pPr>
        <w:spacing w:after="0" w:line="240" w:lineRule="auto"/>
        <w:rPr>
          <w:sz w:val="20"/>
          <w:szCs w:val="20"/>
        </w:rPr>
      </w:pPr>
      <w:r>
        <w:rPr>
          <w:vertAlign w:val="superscript"/>
        </w:rPr>
        <w:footnoteRef/>
      </w:r>
      <w:r>
        <w:rPr>
          <w:sz w:val="20"/>
          <w:szCs w:val="20"/>
        </w:rPr>
        <w:t xml:space="preserve"> David and Kramer 2001:51</w:t>
      </w:r>
    </w:p>
  </w:footnote>
  <w:footnote w:id="32">
    <w:p w14:paraId="1F89C881" w14:textId="77777777" w:rsidR="00740FEF" w:rsidRDefault="00740FEF" w:rsidP="00740FEF">
      <w:pPr>
        <w:spacing w:after="0" w:line="240" w:lineRule="auto"/>
        <w:rPr>
          <w:sz w:val="20"/>
          <w:szCs w:val="20"/>
        </w:rPr>
      </w:pPr>
      <w:r>
        <w:rPr>
          <w:vertAlign w:val="superscript"/>
        </w:rPr>
        <w:footnoteRef/>
      </w:r>
      <w:r>
        <w:rPr>
          <w:sz w:val="20"/>
          <w:szCs w:val="20"/>
        </w:rPr>
        <w:t xml:space="preserve"> O’Connell et al 1999:466</w:t>
      </w:r>
    </w:p>
  </w:footnote>
  <w:footnote w:id="33">
    <w:p w14:paraId="03DDBE81" w14:textId="77777777" w:rsidR="00740FEF" w:rsidRDefault="00740FEF" w:rsidP="00740FEF">
      <w:pPr>
        <w:spacing w:after="0" w:line="240" w:lineRule="auto"/>
        <w:rPr>
          <w:sz w:val="20"/>
          <w:szCs w:val="20"/>
        </w:rPr>
      </w:pPr>
      <w:r>
        <w:rPr>
          <w:vertAlign w:val="superscript"/>
        </w:rPr>
        <w:footnoteRef/>
      </w:r>
      <w:r>
        <w:rPr>
          <w:sz w:val="20"/>
          <w:szCs w:val="20"/>
        </w:rPr>
        <w:t xml:space="preserve"> David and Kramer 2001:52</w:t>
      </w:r>
    </w:p>
  </w:footnote>
  <w:footnote w:id="34">
    <w:p w14:paraId="6CE212D5" w14:textId="77777777" w:rsidR="00740FEF" w:rsidRDefault="00740FEF" w:rsidP="00740FEF">
      <w:pPr>
        <w:spacing w:after="0" w:line="240" w:lineRule="auto"/>
        <w:rPr>
          <w:sz w:val="20"/>
          <w:szCs w:val="20"/>
        </w:rPr>
      </w:pPr>
      <w:r>
        <w:rPr>
          <w:vertAlign w:val="superscript"/>
        </w:rPr>
        <w:footnoteRef/>
      </w:r>
      <w:r>
        <w:rPr>
          <w:sz w:val="20"/>
          <w:szCs w:val="20"/>
        </w:rPr>
        <w:t xml:space="preserve"> O’Connell et al 1988:144</w:t>
      </w:r>
    </w:p>
  </w:footnote>
  <w:footnote w:id="35">
    <w:p w14:paraId="37F96985" w14:textId="77777777" w:rsidR="00740FEF" w:rsidRDefault="00740FEF" w:rsidP="00740FEF">
      <w:pPr>
        <w:spacing w:after="0" w:line="240" w:lineRule="auto"/>
        <w:rPr>
          <w:sz w:val="20"/>
          <w:szCs w:val="20"/>
        </w:rPr>
      </w:pPr>
      <w:r>
        <w:rPr>
          <w:vertAlign w:val="superscript"/>
        </w:rPr>
        <w:footnoteRef/>
      </w:r>
      <w:r>
        <w:rPr>
          <w:sz w:val="20"/>
          <w:szCs w:val="20"/>
        </w:rPr>
        <w:t xml:space="preserve"> O’Connell et al 1988:144</w:t>
      </w:r>
    </w:p>
  </w:footnote>
  <w:footnote w:id="36">
    <w:p w14:paraId="297ABBEE" w14:textId="77777777" w:rsidR="00D6102B" w:rsidRDefault="00D6102B" w:rsidP="00E664E8">
      <w:pPr>
        <w:pStyle w:val="FootnoteText"/>
      </w:pPr>
      <w:r>
        <w:rPr>
          <w:rStyle w:val="FootnoteReference"/>
        </w:rPr>
        <w:footnoteRef/>
      </w:r>
      <w:r>
        <w:t xml:space="preserve"> O’Connell et al 1999:465</w:t>
      </w:r>
    </w:p>
  </w:footnote>
  <w:footnote w:id="37">
    <w:p w14:paraId="64885028" w14:textId="77777777" w:rsidR="00D6102B" w:rsidRDefault="00D6102B" w:rsidP="00E664E8">
      <w:pPr>
        <w:pStyle w:val="FootnoteText"/>
      </w:pPr>
      <w:r>
        <w:rPr>
          <w:rStyle w:val="FootnoteReference"/>
        </w:rPr>
        <w:footnoteRef/>
      </w:r>
      <w:r>
        <w:t xml:space="preserve"> O’Connell et al 1999:466</w:t>
      </w:r>
    </w:p>
  </w:footnote>
  <w:footnote w:id="38">
    <w:p w14:paraId="5C77FF4C" w14:textId="77777777" w:rsidR="00D6102B" w:rsidRDefault="00D6102B" w:rsidP="00E664E8">
      <w:pPr>
        <w:pStyle w:val="FootnoteText"/>
      </w:pPr>
      <w:r>
        <w:rPr>
          <w:rStyle w:val="FootnoteReference"/>
        </w:rPr>
        <w:footnoteRef/>
      </w:r>
      <w:r>
        <w:t xml:space="preserve"> O’Connell et al 1999:465</w:t>
      </w:r>
    </w:p>
  </w:footnote>
  <w:footnote w:id="39">
    <w:p w14:paraId="0289EE9D" w14:textId="77777777" w:rsidR="00D6102B" w:rsidRDefault="00D6102B" w:rsidP="00E664E8">
      <w:pPr>
        <w:pStyle w:val="FootnoteText"/>
      </w:pPr>
      <w:r>
        <w:rPr>
          <w:rStyle w:val="FootnoteReference"/>
        </w:rPr>
        <w:footnoteRef/>
      </w:r>
      <w:r>
        <w:t xml:space="preserve"> O’Connell et al 1999:466</w:t>
      </w:r>
    </w:p>
  </w:footnote>
  <w:footnote w:id="40">
    <w:p w14:paraId="0093B503" w14:textId="77777777" w:rsidR="00D6102B" w:rsidRDefault="00D6102B" w:rsidP="00E664E8">
      <w:pPr>
        <w:pStyle w:val="FootnoteText"/>
      </w:pPr>
      <w:r>
        <w:rPr>
          <w:rStyle w:val="FootnoteReference"/>
        </w:rPr>
        <w:footnoteRef/>
      </w:r>
      <w:r>
        <w:t xml:space="preserve"> O’Connell et al 1999:466</w:t>
      </w:r>
    </w:p>
  </w:footnote>
  <w:footnote w:id="41">
    <w:p w14:paraId="3D93DB81" w14:textId="77777777" w:rsidR="00D6102B" w:rsidRDefault="00D6102B" w:rsidP="00E664E8">
      <w:pPr>
        <w:pStyle w:val="FootnoteText"/>
      </w:pPr>
      <w:r>
        <w:rPr>
          <w:rStyle w:val="FootnoteReference"/>
        </w:rPr>
        <w:footnoteRef/>
      </w:r>
      <w:r>
        <w:t xml:space="preserve"> O’Connell et al 1999:466</w:t>
      </w:r>
    </w:p>
  </w:footnote>
  <w:footnote w:id="42">
    <w:p w14:paraId="6C58C32A" w14:textId="77777777" w:rsidR="00D6102B" w:rsidRDefault="00D6102B" w:rsidP="00E664E8">
      <w:pPr>
        <w:pStyle w:val="FootnoteText"/>
      </w:pPr>
      <w:r>
        <w:rPr>
          <w:rStyle w:val="FootnoteReference"/>
        </w:rPr>
        <w:footnoteRef/>
      </w:r>
      <w:r>
        <w:t xml:space="preserve"> O’Connell et al 1999:466</w:t>
      </w:r>
    </w:p>
  </w:footnote>
  <w:footnote w:id="43">
    <w:p w14:paraId="24441127" w14:textId="77777777" w:rsidR="00D6102B" w:rsidRDefault="00D6102B" w:rsidP="00E664E8">
      <w:pPr>
        <w:pStyle w:val="FootnoteText"/>
      </w:pPr>
      <w:r>
        <w:rPr>
          <w:rStyle w:val="FootnoteReference"/>
        </w:rPr>
        <w:footnoteRef/>
      </w:r>
      <w:r>
        <w:t xml:space="preserve"> O’Connell et al 1999:466</w:t>
      </w:r>
    </w:p>
  </w:footnote>
  <w:footnote w:id="44">
    <w:p w14:paraId="3DCC02D5" w14:textId="77777777" w:rsidR="00B2753A" w:rsidRDefault="00B2753A" w:rsidP="00B2753A">
      <w:pPr>
        <w:pBdr>
          <w:top w:val="nil"/>
          <w:left w:val="nil"/>
          <w:bottom w:val="nil"/>
          <w:right w:val="nil"/>
          <w:between w:val="nil"/>
        </w:pBdr>
        <w:spacing w:after="0" w:line="240" w:lineRule="auto"/>
        <w:rPr>
          <w:color w:val="000000"/>
          <w:sz w:val="20"/>
          <w:szCs w:val="20"/>
        </w:rPr>
      </w:pPr>
      <w:r>
        <w:rPr>
          <w:vertAlign w:val="superscript"/>
        </w:rPr>
        <w:footnoteRef/>
      </w:r>
      <w:r>
        <w:rPr>
          <w:rFonts w:ascii="Calibri" w:eastAsia="Calibri" w:hAnsi="Calibri" w:cs="Calibri"/>
          <w:color w:val="000000"/>
          <w:sz w:val="20"/>
          <w:szCs w:val="20"/>
        </w:rPr>
        <w:t xml:space="preserve"> O’Connell et al 1999:466</w:t>
      </w:r>
    </w:p>
  </w:footnote>
  <w:footnote w:id="45">
    <w:p w14:paraId="56956EE2" w14:textId="77777777" w:rsidR="00B2753A" w:rsidRDefault="00B2753A" w:rsidP="00B2753A">
      <w:pPr>
        <w:pBdr>
          <w:top w:val="nil"/>
          <w:left w:val="nil"/>
          <w:bottom w:val="nil"/>
          <w:right w:val="nil"/>
          <w:between w:val="nil"/>
        </w:pBdr>
        <w:spacing w:after="0" w:line="240" w:lineRule="auto"/>
        <w:rPr>
          <w:color w:val="000000"/>
          <w:sz w:val="20"/>
          <w:szCs w:val="20"/>
        </w:rPr>
      </w:pPr>
      <w:r>
        <w:rPr>
          <w:vertAlign w:val="superscript"/>
        </w:rPr>
        <w:footnoteRef/>
      </w:r>
      <w:r>
        <w:rPr>
          <w:rFonts w:ascii="Calibri" w:eastAsia="Calibri" w:hAnsi="Calibri" w:cs="Calibri"/>
          <w:color w:val="000000"/>
          <w:sz w:val="20"/>
          <w:szCs w:val="20"/>
        </w:rPr>
        <w:t xml:space="preserve"> O’Connell et al 1999:462</w:t>
      </w:r>
    </w:p>
  </w:footnote>
  <w:footnote w:id="46">
    <w:p w14:paraId="5B99B6AE" w14:textId="4E3294A6" w:rsidR="00D6102B" w:rsidRDefault="00D6102B">
      <w:pPr>
        <w:pStyle w:val="FootnoteText"/>
      </w:pPr>
      <w:r>
        <w:rPr>
          <w:rStyle w:val="FootnoteReference"/>
        </w:rPr>
        <w:footnoteRef/>
      </w:r>
      <w:r>
        <w:t xml:space="preserve"> O’Connell et al 1988:113</w:t>
      </w:r>
    </w:p>
  </w:footnote>
  <w:footnote w:id="47">
    <w:p w14:paraId="6BB47C7A" w14:textId="7AAC3C70" w:rsidR="00D6102B" w:rsidRDefault="00D6102B">
      <w:pPr>
        <w:pStyle w:val="FootnoteText"/>
      </w:pPr>
      <w:r>
        <w:rPr>
          <w:rStyle w:val="FootnoteReference"/>
        </w:rPr>
        <w:footnoteRef/>
      </w:r>
      <w:r>
        <w:t xml:space="preserve"> O’Connell et al 1988:114</w:t>
      </w:r>
    </w:p>
  </w:footnote>
  <w:footnote w:id="48">
    <w:p w14:paraId="1E9C1C33" w14:textId="106A803B" w:rsidR="00D6102B" w:rsidRDefault="00D6102B">
      <w:pPr>
        <w:pStyle w:val="FootnoteText"/>
      </w:pPr>
      <w:r>
        <w:rPr>
          <w:rStyle w:val="FootnoteReference"/>
        </w:rPr>
        <w:footnoteRef/>
      </w:r>
      <w:r>
        <w:t xml:space="preserve"> O’Connell et al 1988:116-7</w:t>
      </w:r>
    </w:p>
  </w:footnote>
  <w:footnote w:id="49">
    <w:p w14:paraId="57BEDE9C" w14:textId="7EA8F002" w:rsidR="00D6102B" w:rsidRDefault="00D6102B">
      <w:pPr>
        <w:pStyle w:val="FootnoteText"/>
      </w:pPr>
      <w:r>
        <w:rPr>
          <w:rStyle w:val="FootnoteReference"/>
        </w:rPr>
        <w:footnoteRef/>
      </w:r>
      <w:r>
        <w:t xml:space="preserve"> O’Connell et al 1988:116-7</w:t>
      </w:r>
    </w:p>
  </w:footnote>
  <w:footnote w:id="50">
    <w:p w14:paraId="6C61B68C" w14:textId="392E0901" w:rsidR="00D6102B" w:rsidRDefault="00D6102B">
      <w:pPr>
        <w:pStyle w:val="FootnoteText"/>
      </w:pPr>
      <w:r>
        <w:rPr>
          <w:rStyle w:val="FootnoteReference"/>
        </w:rPr>
        <w:footnoteRef/>
      </w:r>
      <w:r>
        <w:t xml:space="preserve"> O’Connell et al 1988:117</w:t>
      </w:r>
    </w:p>
  </w:footnote>
  <w:footnote w:id="51">
    <w:p w14:paraId="50EFDFAF" w14:textId="1A6326E5" w:rsidR="00D6102B" w:rsidRDefault="00D6102B">
      <w:pPr>
        <w:pStyle w:val="FootnoteText"/>
      </w:pPr>
      <w:r>
        <w:rPr>
          <w:rStyle w:val="FootnoteReference"/>
        </w:rPr>
        <w:footnoteRef/>
      </w:r>
      <w:r>
        <w:t xml:space="preserve"> O’Connell et al 1988:119-120</w:t>
      </w:r>
    </w:p>
  </w:footnote>
  <w:footnote w:id="52">
    <w:p w14:paraId="3D2B4F2A" w14:textId="0655E041" w:rsidR="00D6102B" w:rsidRDefault="00D6102B">
      <w:pPr>
        <w:pStyle w:val="FootnoteText"/>
      </w:pPr>
      <w:r>
        <w:rPr>
          <w:rStyle w:val="FootnoteReference"/>
        </w:rPr>
        <w:footnoteRef/>
      </w:r>
      <w:r>
        <w:t xml:space="preserve"> O’Connell et al 1988:121</w:t>
      </w:r>
    </w:p>
  </w:footnote>
  <w:footnote w:id="53">
    <w:p w14:paraId="69BC36D8" w14:textId="066CE530" w:rsidR="00D6102B" w:rsidRDefault="00D6102B">
      <w:pPr>
        <w:pStyle w:val="FootnoteText"/>
      </w:pPr>
      <w:r>
        <w:rPr>
          <w:rStyle w:val="FootnoteReference"/>
        </w:rPr>
        <w:footnoteRef/>
      </w:r>
      <w:r>
        <w:t xml:space="preserve"> O’Connell et al 1988:137</w:t>
      </w:r>
    </w:p>
  </w:footnote>
  <w:footnote w:id="54">
    <w:p w14:paraId="06C4CBE2" w14:textId="664EFAEC" w:rsidR="00D6102B" w:rsidRDefault="00D6102B">
      <w:pPr>
        <w:pStyle w:val="FootnoteText"/>
      </w:pPr>
      <w:r>
        <w:rPr>
          <w:rStyle w:val="FootnoteReference"/>
        </w:rPr>
        <w:footnoteRef/>
      </w:r>
      <w:r>
        <w:t xml:space="preserve"> O’Connell et al 1988:138</w:t>
      </w:r>
    </w:p>
  </w:footnote>
  <w:footnote w:id="55">
    <w:p w14:paraId="6EAF66D3" w14:textId="55CED95E" w:rsidR="00D6102B" w:rsidRDefault="00D6102B">
      <w:pPr>
        <w:pStyle w:val="FootnoteText"/>
      </w:pPr>
      <w:r>
        <w:rPr>
          <w:rStyle w:val="FootnoteReference"/>
        </w:rPr>
        <w:footnoteRef/>
      </w:r>
      <w:r>
        <w:t xml:space="preserve"> O’Connell et al 1988:137</w:t>
      </w:r>
    </w:p>
  </w:footnote>
  <w:footnote w:id="56">
    <w:p w14:paraId="4027EC62" w14:textId="77777777" w:rsidR="00740FEF" w:rsidRDefault="00740FEF" w:rsidP="00740FEF">
      <w:pPr>
        <w:pBdr>
          <w:top w:val="nil"/>
          <w:left w:val="nil"/>
          <w:bottom w:val="nil"/>
          <w:right w:val="nil"/>
          <w:between w:val="nil"/>
        </w:pBdr>
        <w:spacing w:after="0" w:line="240" w:lineRule="auto"/>
        <w:rPr>
          <w:color w:val="000000"/>
          <w:sz w:val="20"/>
          <w:szCs w:val="20"/>
        </w:rPr>
      </w:pPr>
      <w:r>
        <w:rPr>
          <w:vertAlign w:val="superscript"/>
        </w:rPr>
        <w:footnoteRef/>
      </w:r>
      <w:r>
        <w:rPr>
          <w:rFonts w:ascii="Calibri" w:eastAsia="Calibri" w:hAnsi="Calibri" w:cs="Calibri"/>
          <w:color w:val="000000"/>
          <w:sz w:val="20"/>
          <w:szCs w:val="20"/>
        </w:rPr>
        <w:t xml:space="preserve"> O’Connell et al 1988:138-9</w:t>
      </w:r>
    </w:p>
  </w:footnote>
  <w:footnote w:id="57">
    <w:p w14:paraId="56A438ED" w14:textId="77777777" w:rsidR="00740FEF" w:rsidRDefault="00740FEF" w:rsidP="00740FEF">
      <w:pPr>
        <w:pBdr>
          <w:top w:val="nil"/>
          <w:left w:val="nil"/>
          <w:bottom w:val="nil"/>
          <w:right w:val="nil"/>
          <w:between w:val="nil"/>
        </w:pBdr>
        <w:spacing w:after="0" w:line="240" w:lineRule="auto"/>
        <w:rPr>
          <w:color w:val="000000"/>
          <w:sz w:val="20"/>
          <w:szCs w:val="20"/>
        </w:rPr>
      </w:pPr>
      <w:r>
        <w:rPr>
          <w:vertAlign w:val="superscript"/>
        </w:rPr>
        <w:footnoteRef/>
      </w:r>
      <w:r>
        <w:rPr>
          <w:rFonts w:ascii="Calibri" w:eastAsia="Calibri" w:hAnsi="Calibri" w:cs="Calibri"/>
          <w:color w:val="000000"/>
          <w:sz w:val="20"/>
          <w:szCs w:val="20"/>
        </w:rPr>
        <w:t xml:space="preserve"> O’Connell et al 1988:142-3</w:t>
      </w:r>
    </w:p>
  </w:footnote>
  <w:footnote w:id="58">
    <w:p w14:paraId="7528C751" w14:textId="77777777" w:rsidR="00740FEF" w:rsidRDefault="00740FEF" w:rsidP="00740FEF">
      <w:pPr>
        <w:pBdr>
          <w:top w:val="nil"/>
          <w:left w:val="nil"/>
          <w:bottom w:val="nil"/>
          <w:right w:val="nil"/>
          <w:between w:val="nil"/>
        </w:pBdr>
        <w:spacing w:after="0" w:line="240" w:lineRule="auto"/>
        <w:rPr>
          <w:color w:val="000000"/>
          <w:sz w:val="20"/>
          <w:szCs w:val="20"/>
        </w:rPr>
      </w:pPr>
      <w:r>
        <w:rPr>
          <w:vertAlign w:val="superscript"/>
        </w:rPr>
        <w:footnoteRef/>
      </w:r>
      <w:r>
        <w:rPr>
          <w:rFonts w:ascii="Calibri" w:eastAsia="Calibri" w:hAnsi="Calibri" w:cs="Calibri"/>
          <w:color w:val="000000"/>
          <w:sz w:val="20"/>
          <w:szCs w:val="20"/>
        </w:rPr>
        <w:t xml:space="preserve"> O’Connell et al 1988:144</w:t>
      </w:r>
    </w:p>
  </w:footnote>
  <w:footnote w:id="59">
    <w:p w14:paraId="2B77D0FB" w14:textId="77777777" w:rsidR="00D4233A" w:rsidRDefault="00D4233A" w:rsidP="00D4233A">
      <w:pPr>
        <w:spacing w:after="0" w:line="240" w:lineRule="auto"/>
        <w:rPr>
          <w:sz w:val="20"/>
          <w:szCs w:val="20"/>
        </w:rPr>
      </w:pPr>
      <w:r>
        <w:rPr>
          <w:vertAlign w:val="superscript"/>
        </w:rPr>
        <w:footnoteRef/>
      </w:r>
      <w:r>
        <w:rPr>
          <w:sz w:val="20"/>
          <w:szCs w:val="20"/>
        </w:rPr>
        <w:t xml:space="preserve"> Marlowe et al 2014:119</w:t>
      </w:r>
    </w:p>
  </w:footnote>
  <w:footnote w:id="60">
    <w:p w14:paraId="2E99053A" w14:textId="77777777" w:rsidR="00D4233A" w:rsidRDefault="00D4233A" w:rsidP="00D4233A">
      <w:pPr>
        <w:spacing w:after="0" w:line="240" w:lineRule="auto"/>
        <w:rPr>
          <w:sz w:val="20"/>
          <w:szCs w:val="20"/>
        </w:rPr>
      </w:pPr>
      <w:r>
        <w:rPr>
          <w:vertAlign w:val="superscript"/>
        </w:rPr>
        <w:footnoteRef/>
      </w:r>
      <w:r>
        <w:rPr>
          <w:sz w:val="20"/>
          <w:szCs w:val="20"/>
        </w:rPr>
        <w:t xml:space="preserve"> Marlowe et al 2014: 128</w:t>
      </w:r>
    </w:p>
  </w:footnote>
  <w:footnote w:id="61">
    <w:p w14:paraId="3F6A45F5" w14:textId="77777777" w:rsidR="00D4233A" w:rsidRDefault="00D4233A" w:rsidP="00D4233A">
      <w:pPr>
        <w:spacing w:after="0" w:line="240" w:lineRule="auto"/>
        <w:rPr>
          <w:sz w:val="20"/>
          <w:szCs w:val="20"/>
        </w:rPr>
      </w:pPr>
      <w:r>
        <w:rPr>
          <w:vertAlign w:val="superscript"/>
        </w:rPr>
        <w:footnoteRef/>
      </w:r>
      <w:r>
        <w:rPr>
          <w:sz w:val="20"/>
          <w:szCs w:val="20"/>
        </w:rPr>
        <w:t xml:space="preserve"> Marlowe et al 2014:128</w:t>
      </w:r>
    </w:p>
  </w:footnote>
  <w:footnote w:id="62">
    <w:p w14:paraId="6B0A9135" w14:textId="77777777" w:rsidR="00D4233A" w:rsidRDefault="00D4233A" w:rsidP="00D4233A">
      <w:pPr>
        <w:spacing w:after="0" w:line="240" w:lineRule="auto"/>
        <w:rPr>
          <w:sz w:val="20"/>
          <w:szCs w:val="20"/>
        </w:rPr>
      </w:pPr>
      <w:r>
        <w:rPr>
          <w:vertAlign w:val="superscript"/>
        </w:rPr>
        <w:footnoteRef/>
      </w:r>
      <w:r>
        <w:rPr>
          <w:sz w:val="20"/>
          <w:szCs w:val="20"/>
        </w:rPr>
        <w:t xml:space="preserve"> Marlowe et al 2014:127</w:t>
      </w:r>
    </w:p>
  </w:footnote>
  <w:footnote w:id="63">
    <w:p w14:paraId="0F7189DB" w14:textId="77777777" w:rsidR="00D4233A" w:rsidRDefault="00D4233A" w:rsidP="00D4233A">
      <w:pPr>
        <w:spacing w:after="0" w:line="240" w:lineRule="auto"/>
        <w:rPr>
          <w:sz w:val="20"/>
          <w:szCs w:val="20"/>
        </w:rPr>
      </w:pPr>
      <w:r>
        <w:rPr>
          <w:vertAlign w:val="superscript"/>
        </w:rPr>
        <w:footnoteRef/>
      </w:r>
      <w:r>
        <w:rPr>
          <w:sz w:val="20"/>
          <w:szCs w:val="20"/>
        </w:rPr>
        <w:t xml:space="preserve"> Marlowe et al 2014:127</w:t>
      </w:r>
    </w:p>
  </w:footnote>
  <w:footnote w:id="64">
    <w:p w14:paraId="11C243BE" w14:textId="77777777" w:rsidR="00D4233A" w:rsidRDefault="00D4233A" w:rsidP="00D4233A">
      <w:pPr>
        <w:spacing w:after="0" w:line="240" w:lineRule="auto"/>
        <w:rPr>
          <w:sz w:val="20"/>
          <w:szCs w:val="20"/>
        </w:rPr>
      </w:pPr>
      <w:r>
        <w:rPr>
          <w:vertAlign w:val="superscript"/>
        </w:rPr>
        <w:footnoteRef/>
      </w:r>
      <w:r>
        <w:rPr>
          <w:sz w:val="20"/>
          <w:szCs w:val="20"/>
        </w:rPr>
        <w:t xml:space="preserve"> Marlowe et al 2014:128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17FBC2" w14:textId="77777777" w:rsidR="00D6102B" w:rsidRDefault="00D6102B">
    <w:pPr>
      <w:pStyle w:val="Header"/>
    </w:pPr>
    <w:r>
      <w:t>Daniel Robert Fairfield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492A50"/>
    <w:multiLevelType w:val="hybridMultilevel"/>
    <w:tmpl w:val="6C50AF7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6B26039"/>
    <w:multiLevelType w:val="hybridMultilevel"/>
    <w:tmpl w:val="5B7899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4F0F"/>
    <w:rsid w:val="0004190F"/>
    <w:rsid w:val="00057473"/>
    <w:rsid w:val="00063731"/>
    <w:rsid w:val="00082C59"/>
    <w:rsid w:val="001224F8"/>
    <w:rsid w:val="00153397"/>
    <w:rsid w:val="00202ABB"/>
    <w:rsid w:val="00211878"/>
    <w:rsid w:val="0023031D"/>
    <w:rsid w:val="00230FAB"/>
    <w:rsid w:val="0026534C"/>
    <w:rsid w:val="002A45CE"/>
    <w:rsid w:val="002E385B"/>
    <w:rsid w:val="002F7A40"/>
    <w:rsid w:val="00321CE0"/>
    <w:rsid w:val="003408B4"/>
    <w:rsid w:val="003B2660"/>
    <w:rsid w:val="003D2C53"/>
    <w:rsid w:val="0041168B"/>
    <w:rsid w:val="00412BDB"/>
    <w:rsid w:val="00413CCF"/>
    <w:rsid w:val="004310AA"/>
    <w:rsid w:val="0044459C"/>
    <w:rsid w:val="00466746"/>
    <w:rsid w:val="00480782"/>
    <w:rsid w:val="0048373D"/>
    <w:rsid w:val="00496968"/>
    <w:rsid w:val="00510EA7"/>
    <w:rsid w:val="005644AA"/>
    <w:rsid w:val="00570280"/>
    <w:rsid w:val="00581B3A"/>
    <w:rsid w:val="005D255F"/>
    <w:rsid w:val="005E35AA"/>
    <w:rsid w:val="005F0DDE"/>
    <w:rsid w:val="00656CDE"/>
    <w:rsid w:val="00656EE6"/>
    <w:rsid w:val="00683789"/>
    <w:rsid w:val="006C7360"/>
    <w:rsid w:val="006E3B83"/>
    <w:rsid w:val="006E4578"/>
    <w:rsid w:val="00720600"/>
    <w:rsid w:val="007217E3"/>
    <w:rsid w:val="0072481D"/>
    <w:rsid w:val="007316C5"/>
    <w:rsid w:val="00740FEF"/>
    <w:rsid w:val="007920FB"/>
    <w:rsid w:val="00795AC1"/>
    <w:rsid w:val="007B5DDB"/>
    <w:rsid w:val="007C398B"/>
    <w:rsid w:val="007E6A1E"/>
    <w:rsid w:val="00804EA3"/>
    <w:rsid w:val="00807056"/>
    <w:rsid w:val="00870345"/>
    <w:rsid w:val="00897B59"/>
    <w:rsid w:val="008B2EDF"/>
    <w:rsid w:val="008D2F47"/>
    <w:rsid w:val="00942479"/>
    <w:rsid w:val="00965B81"/>
    <w:rsid w:val="00982F77"/>
    <w:rsid w:val="009E5E44"/>
    <w:rsid w:val="00A04F0F"/>
    <w:rsid w:val="00A61452"/>
    <w:rsid w:val="00A83A58"/>
    <w:rsid w:val="00AA0A2E"/>
    <w:rsid w:val="00AA2F3A"/>
    <w:rsid w:val="00AB73E6"/>
    <w:rsid w:val="00AD7A12"/>
    <w:rsid w:val="00B21845"/>
    <w:rsid w:val="00B2753A"/>
    <w:rsid w:val="00B56A4A"/>
    <w:rsid w:val="00B6052B"/>
    <w:rsid w:val="00B71102"/>
    <w:rsid w:val="00B740D8"/>
    <w:rsid w:val="00BA1AD3"/>
    <w:rsid w:val="00BA5B37"/>
    <w:rsid w:val="00BB320F"/>
    <w:rsid w:val="00BB3F7C"/>
    <w:rsid w:val="00BF2D3D"/>
    <w:rsid w:val="00C1011B"/>
    <w:rsid w:val="00C27301"/>
    <w:rsid w:val="00C576EB"/>
    <w:rsid w:val="00C7399D"/>
    <w:rsid w:val="00C87D03"/>
    <w:rsid w:val="00C87D74"/>
    <w:rsid w:val="00CC719C"/>
    <w:rsid w:val="00D114E3"/>
    <w:rsid w:val="00D17CEB"/>
    <w:rsid w:val="00D26D85"/>
    <w:rsid w:val="00D4233A"/>
    <w:rsid w:val="00D42F6B"/>
    <w:rsid w:val="00D6102B"/>
    <w:rsid w:val="00D7393C"/>
    <w:rsid w:val="00D824E0"/>
    <w:rsid w:val="00E04D38"/>
    <w:rsid w:val="00E20679"/>
    <w:rsid w:val="00E45E66"/>
    <w:rsid w:val="00E664E8"/>
    <w:rsid w:val="00EA26B4"/>
    <w:rsid w:val="00EB5D2F"/>
    <w:rsid w:val="00EC3399"/>
    <w:rsid w:val="00ED063A"/>
    <w:rsid w:val="00ED5B78"/>
    <w:rsid w:val="00F462B1"/>
    <w:rsid w:val="00F53838"/>
    <w:rsid w:val="00F64FEF"/>
    <w:rsid w:val="00F85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CFA16"/>
  <w15:chartTrackingRefBased/>
  <w15:docId w15:val="{1B094A7C-0752-4E51-AFDA-5DB1514B6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5yl5">
    <w:name w:val="_5yl5"/>
    <w:basedOn w:val="DefaultParagraphFont"/>
    <w:rsid w:val="00A04F0F"/>
  </w:style>
  <w:style w:type="paragraph" w:styleId="Header">
    <w:name w:val="header"/>
    <w:basedOn w:val="Normal"/>
    <w:link w:val="HeaderChar"/>
    <w:uiPriority w:val="99"/>
    <w:unhideWhenUsed/>
    <w:rsid w:val="00A04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F0F"/>
  </w:style>
  <w:style w:type="paragraph" w:styleId="Footer">
    <w:name w:val="footer"/>
    <w:basedOn w:val="Normal"/>
    <w:link w:val="FooterChar"/>
    <w:uiPriority w:val="99"/>
    <w:unhideWhenUsed/>
    <w:rsid w:val="00A04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F0F"/>
  </w:style>
  <w:style w:type="paragraph" w:styleId="ListParagraph">
    <w:name w:val="List Paragraph"/>
    <w:basedOn w:val="Normal"/>
    <w:uiPriority w:val="34"/>
    <w:qFormat/>
    <w:rsid w:val="00B740D8"/>
    <w:pPr>
      <w:ind w:left="720"/>
      <w:contextualSpacing/>
    </w:pPr>
  </w:style>
  <w:style w:type="paragraph" w:styleId="FootnoteText">
    <w:name w:val="footnote text"/>
    <w:basedOn w:val="Normal"/>
    <w:link w:val="FootnoteTextChar"/>
    <w:uiPriority w:val="99"/>
    <w:semiHidden/>
    <w:unhideWhenUsed/>
    <w:rsid w:val="005F0DD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0DDE"/>
    <w:rPr>
      <w:sz w:val="20"/>
      <w:szCs w:val="20"/>
    </w:rPr>
  </w:style>
  <w:style w:type="character" w:styleId="FootnoteReference">
    <w:name w:val="footnote reference"/>
    <w:basedOn w:val="DefaultParagraphFont"/>
    <w:uiPriority w:val="99"/>
    <w:semiHidden/>
    <w:unhideWhenUsed/>
    <w:rsid w:val="005F0DDE"/>
    <w:rPr>
      <w:vertAlign w:val="superscript"/>
    </w:rPr>
  </w:style>
  <w:style w:type="paragraph" w:styleId="Subtitle">
    <w:name w:val="Subtitle"/>
    <w:basedOn w:val="Normal"/>
    <w:next w:val="Normal"/>
    <w:link w:val="SubtitleChar"/>
    <w:qFormat/>
    <w:rsid w:val="005644A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644AA"/>
    <w:rPr>
      <w:rFonts w:eastAsiaTheme="minorEastAsia"/>
      <w:color w:val="5A5A5A" w:themeColor="text1" w:themeTint="A5"/>
      <w:spacing w:val="15"/>
    </w:rPr>
  </w:style>
  <w:style w:type="paragraph" w:styleId="NormalWeb">
    <w:name w:val="Normal (Web)"/>
    <w:basedOn w:val="Normal"/>
    <w:uiPriority w:val="99"/>
    <w:semiHidden/>
    <w:unhideWhenUsed/>
    <w:rsid w:val="00B2753A"/>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2607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014EBF-620F-40CC-A391-A907694F7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2108</TotalTime>
  <Pages>1</Pages>
  <Words>3164</Words>
  <Characters>18036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c:creator>
  <cp:keywords/>
  <dc:description/>
  <cp:lastModifiedBy>Dan</cp:lastModifiedBy>
  <cp:revision>74</cp:revision>
  <dcterms:created xsi:type="dcterms:W3CDTF">2018-05-29T11:11:00Z</dcterms:created>
  <dcterms:modified xsi:type="dcterms:W3CDTF">2018-05-30T23:14:00Z</dcterms:modified>
</cp:coreProperties>
</file>