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CEB6F" w14:textId="51A938C0" w:rsidR="00521CE1" w:rsidRPr="0013030C" w:rsidRDefault="00C73246">
      <w:pPr>
        <w:rPr>
          <w:rFonts w:cstheme="minorHAnsi"/>
          <w:u w:val="single"/>
        </w:rPr>
      </w:pPr>
      <w:r w:rsidRPr="0013030C">
        <w:rPr>
          <w:rFonts w:cstheme="minorHAnsi"/>
          <w:u w:val="single"/>
        </w:rPr>
        <w:t>ECAD7004 – RESEARCHING THE LEARNING</w:t>
      </w:r>
    </w:p>
    <w:p w14:paraId="2668EFDE" w14:textId="77777777" w:rsidR="00BD09DC" w:rsidRPr="0013030C" w:rsidRDefault="00BD09DC">
      <w:pPr>
        <w:rPr>
          <w:rFonts w:cstheme="minorHAnsi"/>
          <w:u w:val="single"/>
        </w:rPr>
      </w:pPr>
    </w:p>
    <w:p w14:paraId="42BB5625" w14:textId="7B90F9BD" w:rsidR="00BD09DC" w:rsidRPr="0013030C" w:rsidRDefault="00BD09DC">
      <w:pPr>
        <w:rPr>
          <w:rFonts w:cstheme="minorHAnsi"/>
          <w:u w:val="single"/>
        </w:rPr>
      </w:pPr>
      <w:r w:rsidRPr="0013030C">
        <w:rPr>
          <w:rFonts w:cstheme="minorHAnsi"/>
          <w:u w:val="single"/>
        </w:rPr>
        <w:t>Aim, focus and purpose of the research/ Research Context</w:t>
      </w:r>
    </w:p>
    <w:p w14:paraId="315BE90F" w14:textId="74344D9E" w:rsidR="00BD09DC" w:rsidRPr="0013030C" w:rsidRDefault="00BD09DC">
      <w:pPr>
        <w:rPr>
          <w:rFonts w:cstheme="minorHAnsi"/>
          <w:u w:val="single"/>
        </w:rPr>
      </w:pPr>
    </w:p>
    <w:p w14:paraId="7D0221F3" w14:textId="77777777" w:rsidR="00BD09DC" w:rsidRPr="0013030C" w:rsidRDefault="00BD09DC">
      <w:pPr>
        <w:rPr>
          <w:rFonts w:cstheme="minorHAnsi"/>
        </w:rPr>
      </w:pPr>
    </w:p>
    <w:p w14:paraId="442F69CE" w14:textId="34988481" w:rsidR="00BD09DC" w:rsidRPr="00CE6B38" w:rsidRDefault="00BD09DC">
      <w:pPr>
        <w:rPr>
          <w:rFonts w:cstheme="minorHAnsi"/>
        </w:rPr>
      </w:pPr>
      <w:r w:rsidRPr="0013030C">
        <w:rPr>
          <w:rFonts w:cstheme="minorHAnsi"/>
        </w:rPr>
        <w:t>This essay will aim to explo</w:t>
      </w:r>
      <w:r w:rsidR="001E113C" w:rsidRPr="0013030C">
        <w:rPr>
          <w:rFonts w:cstheme="minorHAnsi"/>
        </w:rPr>
        <w:t>re and ana</w:t>
      </w:r>
      <w:r w:rsidR="00255C95" w:rsidRPr="0013030C">
        <w:rPr>
          <w:rFonts w:cstheme="minorHAnsi"/>
        </w:rPr>
        <w:t>lyse the findings of a research project carried out in a comprehensive school, while also engaging with the wider literature on a chosen topic. This blended approach will seek to demonstrate an understanding of both practice and theory, as both are vital in ensuring the continued provision of exemplary educational practice.</w:t>
      </w:r>
    </w:p>
    <w:p w14:paraId="3E2AD9DD" w14:textId="77777777" w:rsidR="00BD09DC" w:rsidRPr="0013030C" w:rsidRDefault="00BD09DC">
      <w:pPr>
        <w:rPr>
          <w:rFonts w:cstheme="minorHAnsi"/>
          <w:u w:val="single"/>
        </w:rPr>
      </w:pPr>
    </w:p>
    <w:p w14:paraId="2897EF7D" w14:textId="5A2027DF" w:rsidR="008C3C9D" w:rsidRPr="0013030C" w:rsidRDefault="001E113C">
      <w:pPr>
        <w:rPr>
          <w:rFonts w:cstheme="minorHAnsi"/>
        </w:rPr>
      </w:pPr>
      <w:r w:rsidRPr="0013030C">
        <w:rPr>
          <w:rFonts w:cstheme="minorHAnsi"/>
        </w:rPr>
        <w:t xml:space="preserve">The research conducted for this case study will focus on student engagement levels in English lessons, and </w:t>
      </w:r>
      <w:r w:rsidR="00255C95" w:rsidRPr="0013030C">
        <w:rPr>
          <w:rFonts w:cstheme="minorHAnsi"/>
        </w:rPr>
        <w:t xml:space="preserve">the extent to which they are </w:t>
      </w:r>
      <w:r w:rsidR="008C3C9D" w:rsidRPr="0013030C">
        <w:rPr>
          <w:rFonts w:cstheme="minorHAnsi"/>
        </w:rPr>
        <w:t>affected</w:t>
      </w:r>
      <w:r w:rsidR="00255C95" w:rsidRPr="0013030C">
        <w:rPr>
          <w:rFonts w:cstheme="minorHAnsi"/>
        </w:rPr>
        <w:t xml:space="preserve"> </w:t>
      </w:r>
      <w:r w:rsidR="008C3C9D" w:rsidRPr="0013030C">
        <w:rPr>
          <w:rFonts w:cstheme="minorHAnsi"/>
        </w:rPr>
        <w:t>by using</w:t>
      </w:r>
      <w:r w:rsidR="00255C95" w:rsidRPr="0013030C">
        <w:rPr>
          <w:rFonts w:cstheme="minorHAnsi"/>
        </w:rPr>
        <w:t xml:space="preserve"> alternative forms of m</w:t>
      </w:r>
      <w:r w:rsidR="008C3C9D" w:rsidRPr="0013030C">
        <w:rPr>
          <w:rFonts w:cstheme="minorHAnsi"/>
        </w:rPr>
        <w:t xml:space="preserve">edia, which have narrative and thematic consistencies, in conjunction with the set texts. </w:t>
      </w:r>
    </w:p>
    <w:p w14:paraId="705A1258" w14:textId="31699834" w:rsidR="00C74F34" w:rsidRPr="00CE6B38" w:rsidRDefault="008C3C9D">
      <w:pPr>
        <w:rPr>
          <w:rFonts w:cstheme="minorHAnsi"/>
        </w:rPr>
      </w:pPr>
      <w:r w:rsidRPr="0013030C">
        <w:rPr>
          <w:rFonts w:cstheme="minorHAnsi"/>
        </w:rPr>
        <w:t>This decision is based on a lesson I taught during PTE 1. The class were reading ‘Macbeth</w:t>
      </w:r>
      <w:proofErr w:type="gramStart"/>
      <w:r w:rsidRPr="0013030C">
        <w:rPr>
          <w:rFonts w:cstheme="minorHAnsi"/>
        </w:rPr>
        <w:t>’</w:t>
      </w:r>
      <w:proofErr w:type="gramEnd"/>
      <w:r w:rsidRPr="0013030C">
        <w:rPr>
          <w:rFonts w:cstheme="minorHAnsi"/>
        </w:rPr>
        <w:t xml:space="preserve"> and </w:t>
      </w:r>
      <w:r w:rsidR="0076335A" w:rsidRPr="0013030C">
        <w:rPr>
          <w:rFonts w:cstheme="minorHAnsi"/>
        </w:rPr>
        <w:t xml:space="preserve">I was trying to outline the titular character’s traits and personality to the students. </w:t>
      </w:r>
      <w:r w:rsidR="009F7AD5" w:rsidRPr="0013030C">
        <w:rPr>
          <w:rFonts w:cstheme="minorHAnsi"/>
        </w:rPr>
        <w:t xml:space="preserve">I noted that some of the pupils were </w:t>
      </w:r>
      <w:r w:rsidRPr="0013030C">
        <w:rPr>
          <w:rFonts w:cstheme="minorHAnsi"/>
        </w:rPr>
        <w:t>struggling to engage with the themes and language used</w:t>
      </w:r>
      <w:r w:rsidR="0076335A" w:rsidRPr="0013030C">
        <w:rPr>
          <w:rFonts w:cstheme="minorHAnsi"/>
        </w:rPr>
        <w:t xml:space="preserve"> </w:t>
      </w:r>
      <w:r w:rsidR="009F7AD5" w:rsidRPr="0013030C">
        <w:rPr>
          <w:rFonts w:cstheme="minorHAnsi"/>
        </w:rPr>
        <w:t>to present the character of Macbeth. For the next lesson I decided I would utilise some examples of characters in other pieces of media with similar traits and narratives as Macbeth. The example I chose was Anakin Skywalker from the Star Wars franchise, who is an honourable, kind person at the start of the story, but is corrupted by his ambition and thirst for power by its conclusion</w:t>
      </w:r>
      <w:r w:rsidR="00830AC7" w:rsidRPr="0013030C">
        <w:rPr>
          <w:rFonts w:cstheme="minorHAnsi"/>
        </w:rPr>
        <w:t xml:space="preserve"> and becomes Darth Vader</w:t>
      </w:r>
      <w:r w:rsidR="009F7AD5" w:rsidRPr="0013030C">
        <w:rPr>
          <w:rFonts w:cstheme="minorHAnsi"/>
        </w:rPr>
        <w:t>.</w:t>
      </w:r>
      <w:r w:rsidR="00C74F34" w:rsidRPr="0013030C">
        <w:rPr>
          <w:rFonts w:cstheme="minorHAnsi"/>
        </w:rPr>
        <w:t xml:space="preserve"> The use of an alternative narrative with thematic parallels to describe the character allowed the students to grasp the character and I felt this could be developed further. </w:t>
      </w:r>
    </w:p>
    <w:p w14:paraId="5264B4EC" w14:textId="77777777" w:rsidR="00BD09DC" w:rsidRPr="0013030C" w:rsidRDefault="00BD09DC">
      <w:pPr>
        <w:rPr>
          <w:rFonts w:cstheme="minorHAnsi"/>
        </w:rPr>
      </w:pPr>
    </w:p>
    <w:p w14:paraId="43647324" w14:textId="098F451B" w:rsidR="00C74F34" w:rsidRPr="0013030C" w:rsidRDefault="00C74F34">
      <w:pPr>
        <w:rPr>
          <w:rFonts w:cstheme="minorHAnsi"/>
        </w:rPr>
      </w:pPr>
      <w:r w:rsidRPr="0013030C">
        <w:rPr>
          <w:rFonts w:cstheme="minorHAnsi"/>
        </w:rPr>
        <w:t>This research was carried out in an English medium, mixed gender Secondary School in the Swansea area, which will be referred to as School X henceforth. School X has 1,285 pupils, of which 631 are male and 654 are female, with 11.6% of students for whom English is an Additional Language, which is above the National Average of 3.4%. 32.1% of students in School X are Black, Asian or Ethnic Minority students, compared to the National Average of 12.9%. Attendance for School X is 86.3%, just below the National Average of 87.5%.</w:t>
      </w:r>
    </w:p>
    <w:p w14:paraId="5BFE5FE7" w14:textId="77777777" w:rsidR="00C74F34" w:rsidRPr="0013030C" w:rsidRDefault="00C74F34">
      <w:pPr>
        <w:rPr>
          <w:rFonts w:cstheme="minorHAnsi"/>
          <w:u w:val="single"/>
        </w:rPr>
      </w:pPr>
    </w:p>
    <w:p w14:paraId="726E8DCC" w14:textId="36052C11" w:rsidR="00C74F34" w:rsidRPr="0013030C" w:rsidRDefault="00C74F34">
      <w:pPr>
        <w:rPr>
          <w:rFonts w:cstheme="minorHAnsi"/>
        </w:rPr>
      </w:pPr>
      <w:r w:rsidRPr="0013030C">
        <w:rPr>
          <w:rFonts w:cstheme="minorHAnsi"/>
        </w:rPr>
        <w:t xml:space="preserve">This research was carried out in a Year 11 </w:t>
      </w:r>
      <w:r w:rsidR="00490EBF" w:rsidRPr="0013030C">
        <w:rPr>
          <w:rFonts w:cstheme="minorHAnsi"/>
        </w:rPr>
        <w:t>set A2 class, which is one set from top.</w:t>
      </w:r>
    </w:p>
    <w:p w14:paraId="11C6E4A2" w14:textId="45250301" w:rsidR="00830AC7" w:rsidRPr="0013030C" w:rsidRDefault="00CE6B38">
      <w:pPr>
        <w:rPr>
          <w:rFonts w:cstheme="minorHAnsi"/>
        </w:rPr>
      </w:pPr>
      <w:r>
        <w:rPr>
          <w:rFonts w:cstheme="minorHAnsi"/>
        </w:rPr>
        <w:t>The research question for the study is ‘</w:t>
      </w:r>
      <w:r w:rsidR="00830AC7" w:rsidRPr="0013030C">
        <w:rPr>
          <w:rFonts w:cstheme="minorHAnsi"/>
        </w:rPr>
        <w:t>To what extent does the use of popular culture references affect student engagement in English lessons?</w:t>
      </w:r>
      <w:r>
        <w:rPr>
          <w:rFonts w:cstheme="minorHAnsi"/>
        </w:rPr>
        <w:t>’</w:t>
      </w:r>
    </w:p>
    <w:p w14:paraId="213AA6CF" w14:textId="77777777" w:rsidR="00031265" w:rsidRPr="0013030C" w:rsidRDefault="00031265">
      <w:pPr>
        <w:rPr>
          <w:rFonts w:cstheme="minorHAnsi"/>
        </w:rPr>
      </w:pPr>
    </w:p>
    <w:p w14:paraId="371DB38F" w14:textId="5A60FCBD" w:rsidR="00031265" w:rsidRDefault="00031265">
      <w:pPr>
        <w:rPr>
          <w:rFonts w:cstheme="minorHAnsi"/>
          <w:u w:val="single"/>
        </w:rPr>
      </w:pPr>
      <w:r w:rsidRPr="0013030C">
        <w:rPr>
          <w:rFonts w:cstheme="minorHAnsi"/>
          <w:u w:val="single"/>
        </w:rPr>
        <w:t>Literature Review</w:t>
      </w:r>
    </w:p>
    <w:p w14:paraId="269DFAD8" w14:textId="77777777" w:rsidR="004C4024" w:rsidRPr="0013030C" w:rsidRDefault="004C4024">
      <w:pPr>
        <w:rPr>
          <w:rFonts w:cstheme="minorHAnsi"/>
          <w:u w:val="single"/>
        </w:rPr>
      </w:pPr>
    </w:p>
    <w:p w14:paraId="186111AD" w14:textId="1CCA9CE8" w:rsidR="00C95F56" w:rsidRPr="0013030C" w:rsidRDefault="00031265">
      <w:pPr>
        <w:rPr>
          <w:rFonts w:cstheme="minorHAnsi"/>
        </w:rPr>
      </w:pPr>
      <w:r w:rsidRPr="0013030C">
        <w:rPr>
          <w:rFonts w:cstheme="minorHAnsi"/>
        </w:rPr>
        <w:t xml:space="preserve">New Literacy Studies </w:t>
      </w:r>
      <w:r w:rsidR="00A60E2E" w:rsidRPr="0013030C">
        <w:rPr>
          <w:rFonts w:cstheme="minorHAnsi"/>
        </w:rPr>
        <w:t>can be</w:t>
      </w:r>
      <w:r w:rsidRPr="0013030C">
        <w:rPr>
          <w:rFonts w:cstheme="minorHAnsi"/>
        </w:rPr>
        <w:t xml:space="preserve"> defined as a ‘body of work in which there is an understanding of multiple literacies that are changeable, multimodal, and aligned with social practices across time, place and location’ (Chakrabarty 2020).</w:t>
      </w:r>
      <w:r w:rsidR="0018299C" w:rsidRPr="0013030C">
        <w:rPr>
          <w:rFonts w:cstheme="minorHAnsi"/>
        </w:rPr>
        <w:t xml:space="preserve"> </w:t>
      </w:r>
      <w:r w:rsidRPr="0013030C">
        <w:rPr>
          <w:rFonts w:cstheme="minorHAnsi"/>
        </w:rPr>
        <w:t>Literacy involves using the most powerful, effective cultural tools to communicate our understanding (Wilhelm 2001.) This link between literacy and culture</w:t>
      </w:r>
      <w:r w:rsidR="0018299C" w:rsidRPr="0013030C">
        <w:rPr>
          <w:rFonts w:cstheme="minorHAnsi"/>
        </w:rPr>
        <w:t xml:space="preserve"> </w:t>
      </w:r>
      <w:r w:rsidRPr="0013030C">
        <w:rPr>
          <w:rFonts w:cstheme="minorHAnsi"/>
        </w:rPr>
        <w:t>suggest</w:t>
      </w:r>
      <w:r w:rsidR="0018299C" w:rsidRPr="0013030C">
        <w:rPr>
          <w:rFonts w:cstheme="minorHAnsi"/>
        </w:rPr>
        <w:t>s</w:t>
      </w:r>
      <w:r w:rsidRPr="0013030C">
        <w:rPr>
          <w:rFonts w:cstheme="minorHAnsi"/>
        </w:rPr>
        <w:t xml:space="preserve"> that literacy must be transient in its nature, as is society and culture, and consist of more than reading and writing printed text (</w:t>
      </w:r>
      <w:proofErr w:type="spellStart"/>
      <w:r w:rsidRPr="0013030C">
        <w:rPr>
          <w:rFonts w:cstheme="minorHAnsi"/>
        </w:rPr>
        <w:t>Kajder</w:t>
      </w:r>
      <w:proofErr w:type="spellEnd"/>
      <w:r w:rsidRPr="0013030C">
        <w:rPr>
          <w:rFonts w:cstheme="minorHAnsi"/>
        </w:rPr>
        <w:t xml:space="preserve"> 2006).</w:t>
      </w:r>
      <w:r w:rsidR="0018299C" w:rsidRPr="0013030C">
        <w:rPr>
          <w:rFonts w:cstheme="minorHAnsi"/>
        </w:rPr>
        <w:t xml:space="preserve"> Literacy is essentially the combination of skills and community (Rheingold 20</w:t>
      </w:r>
      <w:r w:rsidR="00A60E2E" w:rsidRPr="0013030C">
        <w:rPr>
          <w:rFonts w:cstheme="minorHAnsi"/>
        </w:rPr>
        <w:t>10</w:t>
      </w:r>
      <w:r w:rsidR="0018299C" w:rsidRPr="0013030C">
        <w:rPr>
          <w:rFonts w:cstheme="minorHAnsi"/>
        </w:rPr>
        <w:t>). Literacy has emerged as a meaningful indicator for a teacher’s professional accountability and indeed the political legitimacy of the public school system (</w:t>
      </w:r>
      <w:proofErr w:type="spellStart"/>
      <w:r w:rsidR="0018299C" w:rsidRPr="0013030C">
        <w:rPr>
          <w:rFonts w:cstheme="minorHAnsi"/>
        </w:rPr>
        <w:t>Lankshear</w:t>
      </w:r>
      <w:proofErr w:type="spellEnd"/>
      <w:r w:rsidR="0018299C" w:rsidRPr="0013030C">
        <w:rPr>
          <w:rFonts w:cstheme="minorHAnsi"/>
        </w:rPr>
        <w:t xml:space="preserve"> 2011).</w:t>
      </w:r>
      <w:r w:rsidRPr="0013030C">
        <w:rPr>
          <w:rFonts w:cstheme="minorHAnsi"/>
        </w:rPr>
        <w:t xml:space="preserve"> </w:t>
      </w:r>
      <w:proofErr w:type="spellStart"/>
      <w:r w:rsidR="0018299C" w:rsidRPr="0013030C">
        <w:rPr>
          <w:rFonts w:cstheme="minorHAnsi"/>
        </w:rPr>
        <w:t>Lankshear</w:t>
      </w:r>
      <w:proofErr w:type="spellEnd"/>
      <w:r w:rsidR="0018299C" w:rsidRPr="0013030C">
        <w:rPr>
          <w:rFonts w:cstheme="minorHAnsi"/>
        </w:rPr>
        <w:t xml:space="preserve"> expands on this point and</w:t>
      </w:r>
      <w:r w:rsidRPr="0013030C">
        <w:rPr>
          <w:rFonts w:cstheme="minorHAnsi"/>
        </w:rPr>
        <w:t xml:space="preserve"> states that ‘we nowadays hear frequent reference to oral literacy, or emotional or </w:t>
      </w:r>
      <w:r w:rsidRPr="0013030C">
        <w:rPr>
          <w:rFonts w:cstheme="minorHAnsi"/>
        </w:rPr>
        <w:lastRenderedPageBreak/>
        <w:t xml:space="preserve">information literacy. These uses foreground the notion of being able to communicate or make meaning as producers or receivers of signs, signals, </w:t>
      </w:r>
      <w:r w:rsidR="0018299C" w:rsidRPr="0013030C">
        <w:rPr>
          <w:rFonts w:cstheme="minorHAnsi"/>
        </w:rPr>
        <w:t>codes,</w:t>
      </w:r>
      <w:r w:rsidRPr="0013030C">
        <w:rPr>
          <w:rFonts w:cstheme="minorHAnsi"/>
        </w:rPr>
        <w:t xml:space="preserve"> and graphic images’ (</w:t>
      </w:r>
      <w:proofErr w:type="spellStart"/>
      <w:r w:rsidRPr="0013030C">
        <w:rPr>
          <w:rFonts w:cstheme="minorHAnsi"/>
        </w:rPr>
        <w:t>Lankshear</w:t>
      </w:r>
      <w:proofErr w:type="spellEnd"/>
      <w:r w:rsidRPr="0013030C">
        <w:rPr>
          <w:rFonts w:cstheme="minorHAnsi"/>
        </w:rPr>
        <w:t xml:space="preserve"> 2011 p.21).</w:t>
      </w:r>
      <w:r w:rsidR="0018299C" w:rsidRPr="0013030C">
        <w:rPr>
          <w:rFonts w:cstheme="minorHAnsi"/>
        </w:rPr>
        <w:t xml:space="preserve"> </w:t>
      </w:r>
    </w:p>
    <w:p w14:paraId="30EC9798" w14:textId="77777777" w:rsidR="00C95F56" w:rsidRPr="0013030C" w:rsidRDefault="00C95F56">
      <w:pPr>
        <w:rPr>
          <w:rFonts w:cstheme="minorHAnsi"/>
        </w:rPr>
      </w:pPr>
    </w:p>
    <w:p w14:paraId="7B21EB4A" w14:textId="77777777" w:rsidR="00C95F56" w:rsidRPr="0013030C" w:rsidRDefault="0018299C">
      <w:pPr>
        <w:rPr>
          <w:rFonts w:cstheme="minorHAnsi"/>
        </w:rPr>
      </w:pPr>
      <w:r w:rsidRPr="0013030C">
        <w:rPr>
          <w:rFonts w:cstheme="minorHAnsi"/>
        </w:rPr>
        <w:t xml:space="preserve">The use of texts and resources that students can connect with on a personal level is central to this theory, and it is the school and faculty’s responsibility to facilitate this. This contention is supported by the work of Cope and </w:t>
      </w:r>
      <w:proofErr w:type="spellStart"/>
      <w:r w:rsidRPr="0013030C">
        <w:rPr>
          <w:rFonts w:cstheme="minorHAnsi"/>
        </w:rPr>
        <w:t>Kalantzis</w:t>
      </w:r>
      <w:proofErr w:type="spellEnd"/>
      <w:r w:rsidRPr="0013030C">
        <w:rPr>
          <w:rFonts w:cstheme="minorHAnsi"/>
        </w:rPr>
        <w:t xml:space="preserve"> who states that ‘the mission of education is to ensure that all students benefit from learning in ways that allow them to participate fully in public, community and economic life’ (Cope and </w:t>
      </w:r>
      <w:proofErr w:type="spellStart"/>
      <w:r w:rsidRPr="0013030C">
        <w:rPr>
          <w:rFonts w:cstheme="minorHAnsi"/>
        </w:rPr>
        <w:t>Kalantzis</w:t>
      </w:r>
      <w:proofErr w:type="spellEnd"/>
      <w:r w:rsidRPr="0013030C">
        <w:rPr>
          <w:rFonts w:cstheme="minorHAnsi"/>
        </w:rPr>
        <w:t xml:space="preserve"> 2000 p.9). Bill Cope’s position as Professor of Education Policy, Organization and Leadership at the College of Education in the University of Illinois lends considerable credibility to this theory as Cope has risen to the level where his ideas and methods are implemented on a national level. His role as principal investigator in a series of projects funded by the Institute of Educational Sciences, which is part of the United States Department of Education further validates his research, as government funding was allocated to his work and investigations, the findings of which were directly fed to the US government for implementation in national educational policy. Pedagogy should aim to nurture a learning environment in which full and equitable participation is encouraged, yet traditional literacy pedagogy has been characterised by monolingual and monocultural forms of language (Cope and </w:t>
      </w:r>
      <w:proofErr w:type="spellStart"/>
      <w:r w:rsidRPr="0013030C">
        <w:rPr>
          <w:rFonts w:cstheme="minorHAnsi"/>
        </w:rPr>
        <w:t>Kalantzis</w:t>
      </w:r>
      <w:proofErr w:type="spellEnd"/>
      <w:r w:rsidRPr="0013030C">
        <w:rPr>
          <w:rFonts w:cstheme="minorHAnsi"/>
        </w:rPr>
        <w:t xml:space="preserve"> 2000). Traditional literacy pedagogy cannot encourage equitable participation if it is monocultural. </w:t>
      </w:r>
    </w:p>
    <w:p w14:paraId="0F8F6774" w14:textId="77777777" w:rsidR="00C95F56" w:rsidRPr="0013030C" w:rsidRDefault="00C95F56">
      <w:pPr>
        <w:rPr>
          <w:rFonts w:cstheme="minorHAnsi"/>
        </w:rPr>
      </w:pPr>
    </w:p>
    <w:p w14:paraId="3A7A4B70" w14:textId="62D63CAD" w:rsidR="00031265" w:rsidRPr="0013030C" w:rsidRDefault="0018299C">
      <w:pPr>
        <w:rPr>
          <w:rFonts w:cstheme="minorHAnsi"/>
        </w:rPr>
      </w:pPr>
      <w:r w:rsidRPr="0013030C">
        <w:rPr>
          <w:rFonts w:cstheme="minorHAnsi"/>
        </w:rPr>
        <w:t>The use of popular culture in English lessons provides a unique opportunity to utilise a language that is uni</w:t>
      </w:r>
      <w:r w:rsidR="00144CF5" w:rsidRPr="0013030C">
        <w:rPr>
          <w:rFonts w:cstheme="minorHAnsi"/>
        </w:rPr>
        <w:t xml:space="preserve">versally accessible, while also providing a link between student worlds and canonical texts (Morrell 2002). </w:t>
      </w:r>
      <w:r w:rsidR="00C95F56" w:rsidRPr="0013030C">
        <w:rPr>
          <w:rFonts w:cstheme="minorHAnsi"/>
        </w:rPr>
        <w:t>Utilising popular culture as part of literacy pedagogy allows English teachers to craft culturally relevant curricula for diverse groups that develop both academic and cultural literacies (Morrell 2002). Morrell contends that a lack of traditional, or academic, literacy is not the result of students lacking intelligence, but rather the result of school curriculums being inaccessible to students (Morrell 2002). Morrell’s work is an extension of the idea that it is not illiteracy that prevents students from engaging in English lessons, it is the fact they possess literacies that have little connection with mainstream education’s dominant literacies (Street 1996). Ernest Morrell is a Professor of Literacy Education at the University of Notre Dame, a private research university and one of the most prestigious universities in the United States of America. His role in researching his field to inform better practice for educational practitioners nationwide firmly validates his viewpoint and indeed the importance of utilising popular culture when teaching English. In addition to his role within Notre Dame, Morrell is the Director of the National Council of Teachers of English (NCTE), a membership association that provides resources, conferences, research, and support to English teachers at all levels of education nationwide. Morrell’s work and research within this association demonstrate that his findings are applicable to a multitude of ages, regional backgrounds, and abilities, which lends solid validity to his contentions.</w:t>
      </w:r>
    </w:p>
    <w:p w14:paraId="45A31342" w14:textId="77777777" w:rsidR="00C95F56" w:rsidRPr="0013030C" w:rsidRDefault="00C95F56">
      <w:pPr>
        <w:rPr>
          <w:rFonts w:cstheme="minorHAnsi"/>
        </w:rPr>
      </w:pPr>
    </w:p>
    <w:p w14:paraId="1FE0EDC3" w14:textId="06926482" w:rsidR="00031265" w:rsidRPr="0013030C" w:rsidRDefault="00C95F56">
      <w:pPr>
        <w:rPr>
          <w:rFonts w:cstheme="minorHAnsi"/>
        </w:rPr>
      </w:pPr>
      <w:r w:rsidRPr="0013030C">
        <w:rPr>
          <w:rFonts w:cstheme="minorHAnsi"/>
        </w:rPr>
        <w:t xml:space="preserve">Incorporating popular culture into English lessons requires teachers to be willing to undertake a process of remediation, which involves challenging students to widen their definition of text, and therefore literacy, to include those that are multimodal (Luke and Elkins 2000). This redefining of the parameters surrounding what we consider literacy can be used by English teachers to scaffold and eventually guide students through successful </w:t>
      </w:r>
      <w:r w:rsidRPr="0013030C">
        <w:rPr>
          <w:rFonts w:cstheme="minorHAnsi"/>
        </w:rPr>
        <w:lastRenderedPageBreak/>
        <w:t>interactions with more traditional literacy (</w:t>
      </w:r>
      <w:proofErr w:type="spellStart"/>
      <w:r w:rsidRPr="0013030C">
        <w:rPr>
          <w:rFonts w:cstheme="minorHAnsi"/>
        </w:rPr>
        <w:t>Kajder</w:t>
      </w:r>
      <w:proofErr w:type="spellEnd"/>
      <w:r w:rsidRPr="0013030C">
        <w:rPr>
          <w:rFonts w:cstheme="minorHAnsi"/>
        </w:rPr>
        <w:t xml:space="preserve"> 2006).</w:t>
      </w:r>
      <w:r w:rsidR="00990CE4" w:rsidRPr="0013030C">
        <w:rPr>
          <w:rFonts w:cstheme="minorHAnsi"/>
        </w:rPr>
        <w:t xml:space="preserve"> </w:t>
      </w:r>
      <w:proofErr w:type="spellStart"/>
      <w:r w:rsidR="00990CE4" w:rsidRPr="0013030C">
        <w:rPr>
          <w:rFonts w:cstheme="minorHAnsi"/>
        </w:rPr>
        <w:t>Kajder</w:t>
      </w:r>
      <w:proofErr w:type="spellEnd"/>
      <w:r w:rsidR="00990CE4" w:rsidRPr="0013030C">
        <w:rPr>
          <w:rFonts w:cstheme="minorHAnsi"/>
        </w:rPr>
        <w:t xml:space="preserve"> goes on to identify a potential problem with implementing popular culture and other new literacies in teaching English; the fact that students can initially lack trust in the methods as they aren’t used to them (</w:t>
      </w:r>
      <w:proofErr w:type="spellStart"/>
      <w:r w:rsidR="00990CE4" w:rsidRPr="0013030C">
        <w:rPr>
          <w:rFonts w:cstheme="minorHAnsi"/>
        </w:rPr>
        <w:t>Kajder</w:t>
      </w:r>
      <w:proofErr w:type="spellEnd"/>
      <w:r w:rsidR="00990CE4" w:rsidRPr="0013030C">
        <w:rPr>
          <w:rFonts w:cstheme="minorHAnsi"/>
        </w:rPr>
        <w:t xml:space="preserve"> 2006). Th</w:t>
      </w:r>
      <w:r w:rsidR="007E3D7B" w:rsidRPr="0013030C">
        <w:rPr>
          <w:rFonts w:cstheme="minorHAnsi"/>
        </w:rPr>
        <w:t>is</w:t>
      </w:r>
      <w:r w:rsidR="00990CE4" w:rsidRPr="0013030C">
        <w:rPr>
          <w:rFonts w:cstheme="minorHAnsi"/>
        </w:rPr>
        <w:t xml:space="preserve"> issue can be addressed by a willingness to ‘evoke the </w:t>
      </w:r>
      <w:proofErr w:type="gramStart"/>
      <w:r w:rsidR="00990CE4" w:rsidRPr="0013030C">
        <w:rPr>
          <w:rFonts w:cstheme="minorHAnsi"/>
        </w:rPr>
        <w:t>students</w:t>
      </w:r>
      <w:proofErr w:type="gramEnd"/>
      <w:r w:rsidR="00990CE4" w:rsidRPr="0013030C">
        <w:rPr>
          <w:rFonts w:cstheme="minorHAnsi"/>
        </w:rPr>
        <w:t xml:space="preserve"> stories’ (</w:t>
      </w:r>
      <w:proofErr w:type="spellStart"/>
      <w:r w:rsidR="00990CE4" w:rsidRPr="0013030C">
        <w:rPr>
          <w:rFonts w:cstheme="minorHAnsi"/>
        </w:rPr>
        <w:t>Kajder</w:t>
      </w:r>
      <w:proofErr w:type="spellEnd"/>
      <w:r w:rsidR="00990CE4" w:rsidRPr="0013030C">
        <w:rPr>
          <w:rFonts w:cstheme="minorHAnsi"/>
        </w:rPr>
        <w:t xml:space="preserve"> 2006 p.16) and is based on the contention that students are more motivated when they are presented with </w:t>
      </w:r>
      <w:r w:rsidR="000D3CBB" w:rsidRPr="0013030C">
        <w:rPr>
          <w:rFonts w:cstheme="minorHAnsi"/>
        </w:rPr>
        <w:t>the choice and freedom to engage with texts that interest them (Ivey 2000).</w:t>
      </w:r>
      <w:r w:rsidR="00990CE4" w:rsidRPr="0013030C">
        <w:rPr>
          <w:rFonts w:cstheme="minorHAnsi"/>
        </w:rPr>
        <w:t xml:space="preserve"> </w:t>
      </w:r>
    </w:p>
    <w:p w14:paraId="1C5C0130" w14:textId="77777777" w:rsidR="00031265" w:rsidRPr="0013030C" w:rsidRDefault="00031265">
      <w:pPr>
        <w:rPr>
          <w:rFonts w:cstheme="minorHAnsi"/>
        </w:rPr>
      </w:pPr>
    </w:p>
    <w:p w14:paraId="54B185E3" w14:textId="77777777" w:rsidR="00031265" w:rsidRPr="0013030C" w:rsidRDefault="00031265">
      <w:pPr>
        <w:rPr>
          <w:rFonts w:cstheme="minorHAnsi"/>
        </w:rPr>
      </w:pPr>
    </w:p>
    <w:p w14:paraId="647E15CB" w14:textId="6CBFD3C8" w:rsidR="00C73246" w:rsidRPr="004C4024" w:rsidRDefault="004C4024">
      <w:pPr>
        <w:rPr>
          <w:rFonts w:cstheme="minorHAnsi"/>
          <w:u w:val="single"/>
        </w:rPr>
      </w:pPr>
      <w:r w:rsidRPr="004C4024">
        <w:rPr>
          <w:rFonts w:cstheme="minorHAnsi"/>
          <w:u w:val="single"/>
        </w:rPr>
        <w:t>Explanation of Case Study</w:t>
      </w:r>
    </w:p>
    <w:p w14:paraId="46544B3E" w14:textId="77777777" w:rsidR="004C4024" w:rsidRPr="0013030C" w:rsidRDefault="004C4024">
      <w:pPr>
        <w:rPr>
          <w:rFonts w:cstheme="minorHAnsi"/>
        </w:rPr>
      </w:pPr>
    </w:p>
    <w:p w14:paraId="6452866E" w14:textId="14AF5949" w:rsidR="000D3CBB" w:rsidRPr="0013030C" w:rsidRDefault="000D3CBB" w:rsidP="000D3CBB">
      <w:pPr>
        <w:rPr>
          <w:rFonts w:cstheme="minorHAnsi"/>
        </w:rPr>
      </w:pPr>
      <w:r w:rsidRPr="0013030C">
        <w:rPr>
          <w:rFonts w:cstheme="minorHAnsi"/>
        </w:rPr>
        <w:t>Case study research is a qualitative research method that involves an in-depth and detailed examination of a particular subject or case</w:t>
      </w:r>
      <w:r w:rsidRPr="0013030C">
        <w:rPr>
          <w:rFonts w:cstheme="minorHAnsi"/>
        </w:rPr>
        <w:t xml:space="preserve"> to illustrate a broader principle (Nisbet and Watt 1984)</w:t>
      </w:r>
      <w:r w:rsidRPr="0013030C">
        <w:rPr>
          <w:rFonts w:cstheme="minorHAnsi"/>
        </w:rPr>
        <w:t>. This method is commonly used in various fields such as psychology, sociology, anthropology, business, and education, among others.</w:t>
      </w:r>
    </w:p>
    <w:p w14:paraId="4CFC1542" w14:textId="23E1019C" w:rsidR="000D3CBB" w:rsidRPr="0013030C" w:rsidRDefault="000D3CBB" w:rsidP="000D3CBB">
      <w:pPr>
        <w:rPr>
          <w:rFonts w:cstheme="minorHAnsi"/>
        </w:rPr>
      </w:pPr>
      <w:r w:rsidRPr="0013030C">
        <w:rPr>
          <w:rFonts w:cstheme="minorHAnsi"/>
        </w:rPr>
        <w:t>In a case study, researchers typically focus on a single case or a small number of cases that represent a specific phenomenon or situation</w:t>
      </w:r>
      <w:r w:rsidR="00E856C8" w:rsidRPr="0013030C">
        <w:rPr>
          <w:rFonts w:cstheme="minorHAnsi"/>
        </w:rPr>
        <w:t xml:space="preserve"> </w:t>
      </w:r>
      <w:r w:rsidR="00ED6266" w:rsidRPr="0013030C">
        <w:rPr>
          <w:rFonts w:cstheme="minorHAnsi"/>
        </w:rPr>
        <w:t>to</w:t>
      </w:r>
      <w:r w:rsidR="00E856C8" w:rsidRPr="0013030C">
        <w:rPr>
          <w:rFonts w:cstheme="minorHAnsi"/>
        </w:rPr>
        <w:t xml:space="preserve"> study an instance in action (Adelman et al 1980)</w:t>
      </w:r>
      <w:r w:rsidRPr="0013030C">
        <w:rPr>
          <w:rFonts w:cstheme="minorHAnsi"/>
        </w:rPr>
        <w:t>. The case could be</w:t>
      </w:r>
      <w:r w:rsidR="00E856C8" w:rsidRPr="0013030C">
        <w:rPr>
          <w:rFonts w:cstheme="minorHAnsi"/>
        </w:rPr>
        <w:t xml:space="preserve"> focused on</w:t>
      </w:r>
      <w:r w:rsidRPr="0013030C">
        <w:rPr>
          <w:rFonts w:cstheme="minorHAnsi"/>
        </w:rPr>
        <w:t xml:space="preserve"> an individual, a group, an organization, a community, or even an event</w:t>
      </w:r>
      <w:r w:rsidR="00E856C8" w:rsidRPr="0013030C">
        <w:rPr>
          <w:rFonts w:cstheme="minorHAnsi"/>
        </w:rPr>
        <w:t xml:space="preserve"> to explain how theories and abstract principles are interlinked (Nisbet and Watt 1984)</w:t>
      </w:r>
      <w:r w:rsidRPr="0013030C">
        <w:rPr>
          <w:rFonts w:cstheme="minorHAnsi"/>
        </w:rPr>
        <w:t xml:space="preserve">. Researchers gather </w:t>
      </w:r>
      <w:r w:rsidR="005F709C" w:rsidRPr="0013030C">
        <w:rPr>
          <w:rFonts w:cstheme="minorHAnsi"/>
        </w:rPr>
        <w:t xml:space="preserve">and analyse </w:t>
      </w:r>
      <w:r w:rsidRPr="0013030C">
        <w:rPr>
          <w:rFonts w:cstheme="minorHAnsi"/>
        </w:rPr>
        <w:t xml:space="preserve">data through various sources such as interviews, observations, documents, and archival records </w:t>
      </w:r>
      <w:r w:rsidR="005F709C" w:rsidRPr="0013030C">
        <w:rPr>
          <w:rFonts w:cstheme="minorHAnsi"/>
        </w:rPr>
        <w:t>to develop a theory that can then be applied to other similar cases (Robson 2002)</w:t>
      </w:r>
      <w:r w:rsidRPr="0013030C">
        <w:rPr>
          <w:rFonts w:cstheme="minorHAnsi"/>
        </w:rPr>
        <w:t>.</w:t>
      </w:r>
    </w:p>
    <w:p w14:paraId="7DC86302" w14:textId="2F1F88EE" w:rsidR="000D3CBB" w:rsidRPr="0013030C" w:rsidRDefault="000D3CBB" w:rsidP="000D3CBB">
      <w:pPr>
        <w:rPr>
          <w:rFonts w:cstheme="minorHAnsi"/>
        </w:rPr>
      </w:pPr>
      <w:r w:rsidRPr="0013030C">
        <w:rPr>
          <w:rFonts w:cstheme="minorHAnsi"/>
        </w:rPr>
        <w:t>The primary objective of case study research is to gain a comprehensive understanding of the complexities and nuances of the case under investigation</w:t>
      </w:r>
      <w:r w:rsidR="005F709C" w:rsidRPr="0013030C">
        <w:rPr>
          <w:rFonts w:cstheme="minorHAnsi"/>
        </w:rPr>
        <w:t xml:space="preserve"> in contexts that are unique and dynamic and establishing cause and effect relationship within these authentic contexts (Cohen 2002)</w:t>
      </w:r>
      <w:r w:rsidRPr="0013030C">
        <w:rPr>
          <w:rFonts w:cstheme="minorHAnsi"/>
        </w:rPr>
        <w:t xml:space="preserve">. It allows researchers to explore the </w:t>
      </w:r>
      <w:r w:rsidR="005F709C" w:rsidRPr="0013030C">
        <w:rPr>
          <w:rFonts w:cstheme="minorHAnsi"/>
        </w:rPr>
        <w:t>settings</w:t>
      </w:r>
      <w:r w:rsidRPr="0013030C">
        <w:rPr>
          <w:rFonts w:cstheme="minorHAnsi"/>
        </w:rPr>
        <w:t>, dynamics, and unique characteristics of the case in depth. Case studies often involve detailed descriptions, rich narratives, and the analysis of patterns and themes emerging from the data.</w:t>
      </w:r>
    </w:p>
    <w:p w14:paraId="392C14EC" w14:textId="0B8B425C" w:rsidR="000D3CBB" w:rsidRPr="0013030C" w:rsidRDefault="000D3CBB" w:rsidP="000D3CBB">
      <w:pPr>
        <w:rPr>
          <w:rFonts w:cstheme="minorHAnsi"/>
        </w:rPr>
      </w:pPr>
      <w:r w:rsidRPr="0013030C">
        <w:rPr>
          <w:rFonts w:cstheme="minorHAnsi"/>
        </w:rPr>
        <w:t>Case study research can be exploratory, descriptive, or explanatory in nature, depending on the research questions and goals. It is particularly useful when the research aims to explore complex phenomena, understand causal relationships, or generate hypotheses for further investigation. Additionally, case studies are valuable for providing insights into real-life situations and informing theory-building and practical applications.</w:t>
      </w:r>
    </w:p>
    <w:p w14:paraId="19FAB0A9" w14:textId="77777777" w:rsidR="00C73246" w:rsidRPr="0013030C" w:rsidRDefault="00C73246">
      <w:pPr>
        <w:rPr>
          <w:rFonts w:cstheme="minorHAnsi"/>
        </w:rPr>
      </w:pPr>
    </w:p>
    <w:p w14:paraId="685959B6" w14:textId="77777777" w:rsidR="000D3CBB" w:rsidRPr="0013030C" w:rsidRDefault="000D3CBB">
      <w:pPr>
        <w:rPr>
          <w:rFonts w:cstheme="minorHAnsi"/>
        </w:rPr>
      </w:pPr>
    </w:p>
    <w:p w14:paraId="3DD257C8" w14:textId="678011EB" w:rsidR="000D3CBB" w:rsidRPr="004C4024" w:rsidRDefault="000F0ABA">
      <w:pPr>
        <w:rPr>
          <w:rFonts w:cstheme="minorHAnsi"/>
          <w:u w:val="single"/>
        </w:rPr>
      </w:pPr>
      <w:r w:rsidRPr="004C4024">
        <w:rPr>
          <w:rFonts w:cstheme="minorHAnsi"/>
          <w:u w:val="single"/>
        </w:rPr>
        <w:t>Strengths of Case Study Research</w:t>
      </w:r>
    </w:p>
    <w:p w14:paraId="010ADABD" w14:textId="77777777" w:rsidR="00C73246" w:rsidRPr="0013030C" w:rsidRDefault="00C73246">
      <w:pPr>
        <w:rPr>
          <w:rFonts w:cstheme="minorHAnsi"/>
        </w:rPr>
      </w:pPr>
    </w:p>
    <w:p w14:paraId="5EC2334B" w14:textId="6368EDFC" w:rsidR="000D3CBB" w:rsidRPr="0013030C" w:rsidRDefault="000D3CBB" w:rsidP="000D3CBB">
      <w:pPr>
        <w:rPr>
          <w:rFonts w:cstheme="minorHAnsi"/>
        </w:rPr>
      </w:pPr>
      <w:r w:rsidRPr="0013030C">
        <w:rPr>
          <w:rFonts w:cstheme="minorHAnsi"/>
        </w:rPr>
        <w:t>Case studies allow for an in-depth exploration of the subject matter. Researchers can investigate complex phenomena, contexts, and processes in detail, which may not be possible with other research methods. Case studies often generate rich and detailed data through multiple sources such as interviews, observations, and documents. This allows researchers to capture the complexity and nuances of the case under study.</w:t>
      </w:r>
      <w:r w:rsidR="0092640A" w:rsidRPr="0013030C">
        <w:rPr>
          <w:rFonts w:cstheme="minorHAnsi"/>
        </w:rPr>
        <w:t xml:space="preserve"> </w:t>
      </w:r>
      <w:r w:rsidRPr="0013030C">
        <w:rPr>
          <w:rFonts w:cstheme="minorHAnsi"/>
        </w:rPr>
        <w:t>Case studies provide a contextual understanding of the subject within its real-life setting. Researchers can examine how various factors interact and influence outcomes in specific situations</w:t>
      </w:r>
      <w:r w:rsidR="0092640A" w:rsidRPr="0013030C">
        <w:rPr>
          <w:rFonts w:cstheme="minorHAnsi"/>
        </w:rPr>
        <w:t xml:space="preserve">. </w:t>
      </w:r>
      <w:r w:rsidRPr="0013030C">
        <w:rPr>
          <w:rFonts w:cstheme="minorHAnsi"/>
        </w:rPr>
        <w:t>Case studies can contribute to theory development by providing empirical evidence and insights into new concepts or relationships. They help in generating hypotheses and refining theoretical frameworks.</w:t>
      </w:r>
      <w:r w:rsidR="0092640A" w:rsidRPr="0013030C">
        <w:rPr>
          <w:rFonts w:cstheme="minorHAnsi"/>
        </w:rPr>
        <w:t xml:space="preserve"> </w:t>
      </w:r>
      <w:r w:rsidRPr="0013030C">
        <w:rPr>
          <w:rFonts w:cstheme="minorHAnsi"/>
        </w:rPr>
        <w:t xml:space="preserve">Case studies offer a holistic perspective by considering multiple </w:t>
      </w:r>
      <w:r w:rsidRPr="0013030C">
        <w:rPr>
          <w:rFonts w:cstheme="minorHAnsi"/>
        </w:rPr>
        <w:lastRenderedPageBreak/>
        <w:t>aspects of the case, including social, cultural, economic, and organizational factors. This comprehensive view enhances the validity and relevance of the findings.</w:t>
      </w:r>
    </w:p>
    <w:p w14:paraId="7851C7E6" w14:textId="77777777" w:rsidR="000D3CBB" w:rsidRPr="0013030C" w:rsidRDefault="000D3CBB" w:rsidP="000D3CBB">
      <w:pPr>
        <w:rPr>
          <w:rFonts w:cstheme="minorHAnsi"/>
        </w:rPr>
      </w:pPr>
    </w:p>
    <w:p w14:paraId="12CDCE58" w14:textId="4B1698C5" w:rsidR="000D3CBB" w:rsidRPr="004C4024" w:rsidRDefault="000D3CBB" w:rsidP="000D3CBB">
      <w:pPr>
        <w:rPr>
          <w:rFonts w:cstheme="minorHAnsi"/>
          <w:u w:val="single"/>
        </w:rPr>
      </w:pPr>
      <w:r w:rsidRPr="004C4024">
        <w:rPr>
          <w:rFonts w:cstheme="minorHAnsi"/>
          <w:u w:val="single"/>
        </w:rPr>
        <w:t>Limitations</w:t>
      </w:r>
      <w:r w:rsidR="000F0ABA" w:rsidRPr="004C4024">
        <w:rPr>
          <w:rFonts w:cstheme="minorHAnsi"/>
          <w:u w:val="single"/>
        </w:rPr>
        <w:t xml:space="preserve"> of Case Study Research</w:t>
      </w:r>
    </w:p>
    <w:p w14:paraId="43D67A58" w14:textId="77777777" w:rsidR="0092640A" w:rsidRPr="0013030C" w:rsidRDefault="0092640A" w:rsidP="000D3CBB">
      <w:pPr>
        <w:rPr>
          <w:rFonts w:cstheme="minorHAnsi"/>
        </w:rPr>
      </w:pPr>
    </w:p>
    <w:p w14:paraId="7C674F07" w14:textId="363F35DA" w:rsidR="000D3CBB" w:rsidRPr="0013030C" w:rsidRDefault="000D3CBB" w:rsidP="000D3CBB">
      <w:pPr>
        <w:rPr>
          <w:rFonts w:cstheme="minorHAnsi"/>
        </w:rPr>
      </w:pPr>
      <w:r w:rsidRPr="0013030C">
        <w:rPr>
          <w:rFonts w:cstheme="minorHAnsi"/>
        </w:rPr>
        <w:t>One of the primary limitations of case studies is their limited generalizability. Since they focus on specific cases or contexts, it may be challenging to generalize the findings to broader populations or situations.</w:t>
      </w:r>
      <w:r w:rsidR="0092640A" w:rsidRPr="0013030C">
        <w:rPr>
          <w:rFonts w:cstheme="minorHAnsi"/>
        </w:rPr>
        <w:t xml:space="preserve"> </w:t>
      </w:r>
      <w:r w:rsidRPr="0013030C">
        <w:rPr>
          <w:rFonts w:cstheme="minorHAnsi"/>
        </w:rPr>
        <w:t>Case study research can be susceptible to researcher subjectivity and bias, especially in data collection, analysis, and interpretation. Researchers' preconceptions and perspectives may influence the findings, potentially compromising the validity of the study.</w:t>
      </w:r>
      <w:r w:rsidR="0092640A" w:rsidRPr="0013030C">
        <w:rPr>
          <w:rFonts w:cstheme="minorHAnsi"/>
        </w:rPr>
        <w:t xml:space="preserve"> </w:t>
      </w:r>
      <w:r w:rsidRPr="0013030C">
        <w:rPr>
          <w:rFonts w:cstheme="minorHAnsi"/>
        </w:rPr>
        <w:t xml:space="preserve">Conducting case studies can be time-consuming and </w:t>
      </w:r>
      <w:proofErr w:type="gramStart"/>
      <w:r w:rsidRPr="0013030C">
        <w:rPr>
          <w:rFonts w:cstheme="minorHAnsi"/>
        </w:rPr>
        <w:t>resource-intensive</w:t>
      </w:r>
      <w:proofErr w:type="gramEnd"/>
      <w:r w:rsidRPr="0013030C">
        <w:rPr>
          <w:rFonts w:cstheme="minorHAnsi"/>
        </w:rPr>
        <w:t>. Gathering and analy</w:t>
      </w:r>
      <w:r w:rsidR="00183BB0">
        <w:rPr>
          <w:rFonts w:cstheme="minorHAnsi"/>
        </w:rPr>
        <w:t>s</w:t>
      </w:r>
      <w:r w:rsidRPr="0013030C">
        <w:rPr>
          <w:rFonts w:cstheme="minorHAnsi"/>
        </w:rPr>
        <w:t>ing data from multiple sources require significant investment in terms of time, money, and expertise.</w:t>
      </w:r>
      <w:r w:rsidR="0092640A" w:rsidRPr="0013030C">
        <w:rPr>
          <w:rFonts w:cstheme="minorHAnsi"/>
        </w:rPr>
        <w:t xml:space="preserve"> </w:t>
      </w:r>
      <w:r w:rsidRPr="0013030C">
        <w:rPr>
          <w:rFonts w:cstheme="minorHAnsi"/>
        </w:rPr>
        <w:t>Case studies are often unique and context-dependent, making it difficult to replicate the findings in other settings. This limits the reliability and reproducibility of the research</w:t>
      </w:r>
      <w:r w:rsidR="0092640A" w:rsidRPr="0013030C">
        <w:rPr>
          <w:rFonts w:cstheme="minorHAnsi"/>
        </w:rPr>
        <w:t xml:space="preserve">. </w:t>
      </w:r>
      <w:r w:rsidRPr="0013030C">
        <w:rPr>
          <w:rFonts w:cstheme="minorHAnsi"/>
        </w:rPr>
        <w:t>Ethical considerations, such as ensuring confidentiality, obtaining informed consent, and protecting participants' rights, are crucial in case study research, particularly when dealing with sensitive topics or vulnerable populations.</w:t>
      </w:r>
    </w:p>
    <w:p w14:paraId="08911CB2" w14:textId="77777777" w:rsidR="00C73246" w:rsidRPr="0013030C" w:rsidRDefault="00C73246">
      <w:pPr>
        <w:rPr>
          <w:rFonts w:cstheme="minorHAnsi"/>
        </w:rPr>
      </w:pPr>
    </w:p>
    <w:p w14:paraId="4B86B60D" w14:textId="77777777" w:rsidR="00C73246" w:rsidRPr="0013030C" w:rsidRDefault="00C73246">
      <w:pPr>
        <w:rPr>
          <w:rFonts w:cstheme="minorHAnsi"/>
        </w:rPr>
      </w:pPr>
    </w:p>
    <w:p w14:paraId="2EBF1309" w14:textId="77777777" w:rsidR="00C73246" w:rsidRPr="0013030C" w:rsidRDefault="00C73246">
      <w:pPr>
        <w:rPr>
          <w:rFonts w:cstheme="minorHAnsi"/>
        </w:rPr>
      </w:pPr>
    </w:p>
    <w:p w14:paraId="3635993B" w14:textId="04DF6E2C" w:rsidR="00CA48E0" w:rsidRPr="004C4024" w:rsidRDefault="004C4024">
      <w:pPr>
        <w:rPr>
          <w:rFonts w:cstheme="minorHAnsi"/>
          <w:u w:val="single"/>
        </w:rPr>
      </w:pPr>
      <w:r w:rsidRPr="004C4024">
        <w:rPr>
          <w:rFonts w:cstheme="minorHAnsi"/>
          <w:u w:val="single"/>
        </w:rPr>
        <w:t>Research Methods – Questionnaire</w:t>
      </w:r>
    </w:p>
    <w:p w14:paraId="76F331A3" w14:textId="77777777" w:rsidR="004C4024" w:rsidRPr="0013030C" w:rsidRDefault="004C4024">
      <w:pPr>
        <w:rPr>
          <w:rFonts w:cstheme="minorHAnsi"/>
        </w:rPr>
      </w:pPr>
    </w:p>
    <w:p w14:paraId="719C705E" w14:textId="612D5BE5" w:rsidR="00CA48E0" w:rsidRPr="0013030C" w:rsidRDefault="00CA48E0">
      <w:pPr>
        <w:rPr>
          <w:rFonts w:cstheme="minorHAnsi"/>
        </w:rPr>
      </w:pPr>
      <w:r w:rsidRPr="0013030C">
        <w:rPr>
          <w:rFonts w:cstheme="minorHAnsi"/>
        </w:rPr>
        <w:t xml:space="preserve">Participants were given a questionnaire prior to the implementation of the pop culture references, and one after </w:t>
      </w:r>
      <w:r w:rsidR="00A60E2E" w:rsidRPr="0013030C">
        <w:rPr>
          <w:rFonts w:cstheme="minorHAnsi"/>
        </w:rPr>
        <w:t>four</w:t>
      </w:r>
      <w:r w:rsidRPr="0013030C">
        <w:rPr>
          <w:rFonts w:cstheme="minorHAnsi"/>
        </w:rPr>
        <w:t xml:space="preserve"> weeks of their use in their lessons.</w:t>
      </w:r>
      <w:r w:rsidR="00A60E2E" w:rsidRPr="0013030C">
        <w:rPr>
          <w:rFonts w:cstheme="minorHAnsi"/>
        </w:rPr>
        <w:t xml:space="preserve"> The questionnaire consisted of four closed answer questions, with students being asked to circle YES or NO in response to each of the questions. </w:t>
      </w:r>
    </w:p>
    <w:p w14:paraId="03B806A4" w14:textId="77777777" w:rsidR="00C73246" w:rsidRPr="0013030C" w:rsidRDefault="00C73246">
      <w:pPr>
        <w:rPr>
          <w:rFonts w:cstheme="minorHAnsi"/>
        </w:rPr>
      </w:pPr>
    </w:p>
    <w:p w14:paraId="601507BB" w14:textId="6D0DB62F" w:rsidR="00600DCD" w:rsidRPr="0013030C" w:rsidRDefault="00600DCD" w:rsidP="00600DCD">
      <w:pPr>
        <w:rPr>
          <w:rFonts w:cstheme="minorHAnsi"/>
        </w:rPr>
      </w:pPr>
      <w:r w:rsidRPr="0013030C">
        <w:rPr>
          <w:rFonts w:cstheme="minorHAnsi"/>
        </w:rPr>
        <w:t xml:space="preserve">Questionnaires are a widely used tool in research for collecting data from </w:t>
      </w:r>
      <w:r w:rsidR="007F26FB" w:rsidRPr="0013030C">
        <w:rPr>
          <w:rFonts w:cstheme="minorHAnsi"/>
        </w:rPr>
        <w:t>many</w:t>
      </w:r>
      <w:r w:rsidRPr="0013030C">
        <w:rPr>
          <w:rFonts w:cstheme="minorHAnsi"/>
        </w:rPr>
        <w:t xml:space="preserve"> participants in a structured and systematic manner</w:t>
      </w:r>
      <w:r w:rsidR="007F26FB" w:rsidRPr="0013030C">
        <w:rPr>
          <w:rFonts w:cstheme="minorHAnsi"/>
        </w:rPr>
        <w:t xml:space="preserve"> to ensure the validity of the data that is collected and that the questionnaire measures what it is intended to measure (Creswell and Creswell 2017)</w:t>
      </w:r>
      <w:r w:rsidR="0013030C">
        <w:rPr>
          <w:rFonts w:cstheme="minorHAnsi"/>
        </w:rPr>
        <w:t xml:space="preserve">. </w:t>
      </w:r>
      <w:r w:rsidRPr="0013030C">
        <w:rPr>
          <w:rFonts w:cstheme="minorHAnsi"/>
        </w:rPr>
        <w:t>Questionnaires are typically administered in written form, either in print or electronically.</w:t>
      </w:r>
      <w:r w:rsidR="007F26FB" w:rsidRPr="0013030C">
        <w:rPr>
          <w:rFonts w:cstheme="minorHAnsi"/>
        </w:rPr>
        <w:t xml:space="preserve"> </w:t>
      </w:r>
      <w:r w:rsidRPr="0013030C">
        <w:rPr>
          <w:rFonts w:cstheme="minorHAnsi"/>
        </w:rPr>
        <w:t>They consist of a series of questions designed to gather specific information from respondents.</w:t>
      </w:r>
      <w:r w:rsidR="007F26FB" w:rsidRPr="0013030C">
        <w:rPr>
          <w:rFonts w:cstheme="minorHAnsi"/>
        </w:rPr>
        <w:t xml:space="preserve"> </w:t>
      </w:r>
      <w:r w:rsidRPr="0013030C">
        <w:rPr>
          <w:rFonts w:cstheme="minorHAnsi"/>
        </w:rPr>
        <w:t>Questions can be open-ended</w:t>
      </w:r>
      <w:r w:rsidR="007F26FB" w:rsidRPr="0013030C">
        <w:rPr>
          <w:rFonts w:cstheme="minorHAnsi"/>
        </w:rPr>
        <w:t>,</w:t>
      </w:r>
      <w:r w:rsidRPr="0013030C">
        <w:rPr>
          <w:rFonts w:cstheme="minorHAnsi"/>
        </w:rPr>
        <w:t xml:space="preserve"> allowing respondents to provide free-form answers</w:t>
      </w:r>
      <w:r w:rsidR="007F26FB" w:rsidRPr="0013030C">
        <w:rPr>
          <w:rFonts w:cstheme="minorHAnsi"/>
        </w:rPr>
        <w:t>,</w:t>
      </w:r>
      <w:r w:rsidRPr="0013030C">
        <w:rPr>
          <w:rFonts w:cstheme="minorHAnsi"/>
        </w:rPr>
        <w:t xml:space="preserve"> or closed-ended</w:t>
      </w:r>
      <w:r w:rsidR="007F26FB" w:rsidRPr="0013030C">
        <w:rPr>
          <w:rFonts w:cstheme="minorHAnsi"/>
        </w:rPr>
        <w:t xml:space="preserve">, </w:t>
      </w:r>
      <w:r w:rsidRPr="0013030C">
        <w:rPr>
          <w:rFonts w:cstheme="minorHAnsi"/>
        </w:rPr>
        <w:t>providing predefined response options.</w:t>
      </w:r>
      <w:r w:rsidR="007F26FB" w:rsidRPr="0013030C">
        <w:rPr>
          <w:rFonts w:cstheme="minorHAnsi"/>
        </w:rPr>
        <w:t xml:space="preserve"> </w:t>
      </w:r>
    </w:p>
    <w:p w14:paraId="0CD5DDA1" w14:textId="77777777" w:rsidR="007F26FB" w:rsidRPr="0013030C" w:rsidRDefault="007F26FB" w:rsidP="00600DCD">
      <w:pPr>
        <w:rPr>
          <w:rFonts w:cstheme="minorHAnsi"/>
        </w:rPr>
      </w:pPr>
    </w:p>
    <w:p w14:paraId="7DE11B62" w14:textId="6D21FA2D" w:rsidR="00600DCD" w:rsidRPr="0013030C" w:rsidRDefault="00600DCD" w:rsidP="00600DCD">
      <w:pPr>
        <w:rPr>
          <w:rFonts w:cstheme="minorHAnsi"/>
        </w:rPr>
      </w:pPr>
      <w:r w:rsidRPr="0013030C">
        <w:rPr>
          <w:rFonts w:cstheme="minorHAnsi"/>
        </w:rPr>
        <w:t>Designing a questionnaire involves careful consideration of the research objectives, target population, and the type of data needed.</w:t>
      </w:r>
      <w:r w:rsidR="007F26FB" w:rsidRPr="0013030C">
        <w:rPr>
          <w:rFonts w:cstheme="minorHAnsi"/>
        </w:rPr>
        <w:t xml:space="preserve"> </w:t>
      </w:r>
      <w:r w:rsidRPr="0013030C">
        <w:rPr>
          <w:rFonts w:cstheme="minorHAnsi"/>
        </w:rPr>
        <w:t>Questions should be clear, concise, and relevant to the research topic.</w:t>
      </w:r>
      <w:r w:rsidR="007F26FB" w:rsidRPr="0013030C">
        <w:rPr>
          <w:rFonts w:cstheme="minorHAnsi"/>
        </w:rPr>
        <w:t xml:space="preserve"> </w:t>
      </w:r>
      <w:r w:rsidRPr="0013030C">
        <w:rPr>
          <w:rFonts w:cstheme="minorHAnsi"/>
        </w:rPr>
        <w:t>Response options should be well-defined and mutually exclusive to avoid confusion.</w:t>
      </w:r>
      <w:r w:rsidR="007F26FB" w:rsidRPr="0013030C">
        <w:rPr>
          <w:rFonts w:cstheme="minorHAnsi"/>
        </w:rPr>
        <w:t xml:space="preserve"> </w:t>
      </w:r>
      <w:r w:rsidRPr="0013030C">
        <w:rPr>
          <w:rFonts w:cstheme="minorHAnsi"/>
        </w:rPr>
        <w:t>The order of questions should flow logically, starting with general or introductory questions before moving to more specific or sensitive topics</w:t>
      </w:r>
      <w:r w:rsidR="007F26FB" w:rsidRPr="0013030C">
        <w:rPr>
          <w:rFonts w:cstheme="minorHAnsi"/>
        </w:rPr>
        <w:t xml:space="preserve"> (</w:t>
      </w:r>
      <w:proofErr w:type="spellStart"/>
      <w:r w:rsidR="007F26FB" w:rsidRPr="0013030C">
        <w:rPr>
          <w:rFonts w:cstheme="minorHAnsi"/>
        </w:rPr>
        <w:t>Dornyei</w:t>
      </w:r>
      <w:proofErr w:type="spellEnd"/>
      <w:r w:rsidR="007F26FB" w:rsidRPr="0013030C">
        <w:rPr>
          <w:rFonts w:cstheme="minorHAnsi"/>
        </w:rPr>
        <w:t xml:space="preserve"> 2007)</w:t>
      </w:r>
      <w:r w:rsidRPr="0013030C">
        <w:rPr>
          <w:rFonts w:cstheme="minorHAnsi"/>
        </w:rPr>
        <w:t>.</w:t>
      </w:r>
    </w:p>
    <w:p w14:paraId="2312EF13" w14:textId="1BB736A0" w:rsidR="00600DCD" w:rsidRPr="0013030C" w:rsidRDefault="00600DCD" w:rsidP="00600DCD">
      <w:pPr>
        <w:rPr>
          <w:rFonts w:cstheme="minorHAnsi"/>
        </w:rPr>
      </w:pPr>
      <w:r w:rsidRPr="0013030C">
        <w:rPr>
          <w:rFonts w:cstheme="minorHAnsi"/>
        </w:rPr>
        <w:t>Once respondents complete the questionnaire, researchers collect and compile the data for analysis.</w:t>
      </w:r>
      <w:r w:rsidR="007F26FB" w:rsidRPr="0013030C">
        <w:rPr>
          <w:rFonts w:cstheme="minorHAnsi"/>
        </w:rPr>
        <w:t xml:space="preserve"> </w:t>
      </w:r>
      <w:r w:rsidRPr="0013030C">
        <w:rPr>
          <w:rFonts w:cstheme="minorHAnsi"/>
        </w:rPr>
        <w:t>Data management practices, such as ensuring confidentiality and anonymity, should be followed to protect respondents' privacy</w:t>
      </w:r>
      <w:r w:rsidR="007F26FB" w:rsidRPr="0013030C">
        <w:rPr>
          <w:rFonts w:cstheme="minorHAnsi"/>
        </w:rPr>
        <w:t xml:space="preserve"> (Walford 200</w:t>
      </w:r>
      <w:r w:rsidR="00A60E2E" w:rsidRPr="0013030C">
        <w:rPr>
          <w:rFonts w:cstheme="minorHAnsi"/>
        </w:rPr>
        <w:t>5</w:t>
      </w:r>
      <w:r w:rsidR="007F26FB" w:rsidRPr="0013030C">
        <w:rPr>
          <w:rFonts w:cstheme="minorHAnsi"/>
        </w:rPr>
        <w:t>)</w:t>
      </w:r>
      <w:r w:rsidRPr="0013030C">
        <w:rPr>
          <w:rFonts w:cstheme="minorHAnsi"/>
        </w:rPr>
        <w:t>.</w:t>
      </w:r>
      <w:r w:rsidR="007F26FB" w:rsidRPr="0013030C">
        <w:rPr>
          <w:rFonts w:cstheme="minorHAnsi"/>
        </w:rPr>
        <w:t xml:space="preserve"> </w:t>
      </w:r>
      <w:r w:rsidRPr="0013030C">
        <w:rPr>
          <w:rFonts w:cstheme="minorHAnsi"/>
        </w:rPr>
        <w:t xml:space="preserve">Researchers may use statistical software or spreadsheet programs to organize and </w:t>
      </w:r>
      <w:r w:rsidR="00CA48E0" w:rsidRPr="0013030C">
        <w:rPr>
          <w:rFonts w:cstheme="minorHAnsi"/>
        </w:rPr>
        <w:t>analyse</w:t>
      </w:r>
      <w:r w:rsidRPr="0013030C">
        <w:rPr>
          <w:rFonts w:cstheme="minorHAnsi"/>
        </w:rPr>
        <w:t xml:space="preserve"> the collected data.</w:t>
      </w:r>
    </w:p>
    <w:p w14:paraId="14136CB7" w14:textId="6ADFA586" w:rsidR="00600DCD" w:rsidRPr="0013030C" w:rsidRDefault="00600DCD" w:rsidP="00600DCD">
      <w:pPr>
        <w:rPr>
          <w:rFonts w:cstheme="minorHAnsi"/>
        </w:rPr>
      </w:pPr>
      <w:r w:rsidRPr="0013030C">
        <w:rPr>
          <w:rFonts w:cstheme="minorHAnsi"/>
        </w:rPr>
        <w:t xml:space="preserve">Quantitative data collected through questionnaires can be </w:t>
      </w:r>
      <w:r w:rsidR="00CA48E0" w:rsidRPr="0013030C">
        <w:rPr>
          <w:rFonts w:cstheme="minorHAnsi"/>
        </w:rPr>
        <w:t>analysed</w:t>
      </w:r>
      <w:r w:rsidRPr="0013030C">
        <w:rPr>
          <w:rFonts w:cstheme="minorHAnsi"/>
        </w:rPr>
        <w:t xml:space="preserve"> using various statistical techniques such as descriptive statistics, inferential statistics, and multivariate analysis</w:t>
      </w:r>
      <w:r w:rsidR="007F26FB" w:rsidRPr="0013030C">
        <w:rPr>
          <w:rFonts w:cstheme="minorHAnsi"/>
        </w:rPr>
        <w:t xml:space="preserve"> (Gay et al. 20</w:t>
      </w:r>
      <w:r w:rsidR="00A60E2E" w:rsidRPr="0013030C">
        <w:rPr>
          <w:rFonts w:cstheme="minorHAnsi"/>
        </w:rPr>
        <w:t>15</w:t>
      </w:r>
      <w:r w:rsidR="007F26FB" w:rsidRPr="0013030C">
        <w:rPr>
          <w:rFonts w:cstheme="minorHAnsi"/>
        </w:rPr>
        <w:t>)</w:t>
      </w:r>
      <w:r w:rsidRPr="0013030C">
        <w:rPr>
          <w:rFonts w:cstheme="minorHAnsi"/>
        </w:rPr>
        <w:t>.</w:t>
      </w:r>
      <w:r w:rsidR="007F26FB" w:rsidRPr="0013030C">
        <w:rPr>
          <w:rFonts w:cstheme="minorHAnsi"/>
        </w:rPr>
        <w:t xml:space="preserve"> </w:t>
      </w:r>
      <w:r w:rsidRPr="0013030C">
        <w:rPr>
          <w:rFonts w:cstheme="minorHAnsi"/>
        </w:rPr>
        <w:t xml:space="preserve">Researchers can identify patterns, trends, and relationships within the data to </w:t>
      </w:r>
      <w:r w:rsidRPr="0013030C">
        <w:rPr>
          <w:rFonts w:cstheme="minorHAnsi"/>
        </w:rPr>
        <w:lastRenderedPageBreak/>
        <w:t>address research questions or hypotheses.</w:t>
      </w:r>
      <w:r w:rsidR="007F26FB" w:rsidRPr="0013030C">
        <w:rPr>
          <w:rFonts w:cstheme="minorHAnsi"/>
        </w:rPr>
        <w:t xml:space="preserve"> </w:t>
      </w:r>
      <w:r w:rsidRPr="0013030C">
        <w:rPr>
          <w:rFonts w:cstheme="minorHAnsi"/>
        </w:rPr>
        <w:t xml:space="preserve">Qualitative data from open-ended questions can be </w:t>
      </w:r>
      <w:r w:rsidR="00CA48E0" w:rsidRPr="0013030C">
        <w:rPr>
          <w:rFonts w:cstheme="minorHAnsi"/>
        </w:rPr>
        <w:t>analysed</w:t>
      </w:r>
      <w:r w:rsidRPr="0013030C">
        <w:rPr>
          <w:rFonts w:cstheme="minorHAnsi"/>
        </w:rPr>
        <w:t xml:space="preserve"> using thematic analysis or content analysis to identify common themes or patterns in respondents' responses</w:t>
      </w:r>
      <w:r w:rsidR="007F26FB" w:rsidRPr="0013030C">
        <w:rPr>
          <w:rFonts w:cstheme="minorHAnsi"/>
        </w:rPr>
        <w:t xml:space="preserve"> (Morse 1994)</w:t>
      </w:r>
      <w:r w:rsidRPr="0013030C">
        <w:rPr>
          <w:rFonts w:cstheme="minorHAnsi"/>
        </w:rPr>
        <w:t>.</w:t>
      </w:r>
      <w:r w:rsidR="00CA48E0" w:rsidRPr="0013030C">
        <w:rPr>
          <w:rFonts w:cstheme="minorHAnsi"/>
        </w:rPr>
        <w:t xml:space="preserve"> </w:t>
      </w:r>
      <w:r w:rsidRPr="0013030C">
        <w:rPr>
          <w:rFonts w:cstheme="minorHAnsi"/>
        </w:rPr>
        <w:t>Researchers summarize the findings of the questionnaire in research reports or publications</w:t>
      </w:r>
      <w:r w:rsidR="003836CA" w:rsidRPr="0013030C">
        <w:rPr>
          <w:rFonts w:cstheme="minorHAnsi"/>
        </w:rPr>
        <w:t>, and the r</w:t>
      </w:r>
      <w:r w:rsidRPr="0013030C">
        <w:rPr>
          <w:rFonts w:cstheme="minorHAnsi"/>
        </w:rPr>
        <w:t>esults are presented using tables, charts, graphs, or narrative descriptions to convey key findings to the audience</w:t>
      </w:r>
      <w:r w:rsidR="003836CA" w:rsidRPr="0013030C">
        <w:rPr>
          <w:rFonts w:cstheme="minorHAnsi"/>
        </w:rPr>
        <w:t xml:space="preserve"> (Boynton 2004)</w:t>
      </w:r>
      <w:r w:rsidRPr="0013030C">
        <w:rPr>
          <w:rFonts w:cstheme="minorHAnsi"/>
        </w:rPr>
        <w:t>.</w:t>
      </w:r>
      <w:r w:rsidR="00A60E2E" w:rsidRPr="0013030C">
        <w:rPr>
          <w:rFonts w:cstheme="minorHAnsi"/>
        </w:rPr>
        <w:t xml:space="preserve"> </w:t>
      </w:r>
      <w:r w:rsidRPr="0013030C">
        <w:rPr>
          <w:rFonts w:cstheme="minorHAnsi"/>
        </w:rPr>
        <w:t>Researchers may also discuss the implications of the findings, limitations of the study, and directions for future research</w:t>
      </w:r>
      <w:r w:rsidR="003836CA" w:rsidRPr="0013030C">
        <w:rPr>
          <w:rFonts w:cstheme="minorHAnsi"/>
        </w:rPr>
        <w:t>, using both textual and numerical presentations of the dat</w:t>
      </w:r>
      <w:r w:rsidR="00A60E2E" w:rsidRPr="0013030C">
        <w:rPr>
          <w:rFonts w:cstheme="minorHAnsi"/>
        </w:rPr>
        <w:t>a</w:t>
      </w:r>
      <w:r w:rsidR="003836CA" w:rsidRPr="0013030C">
        <w:rPr>
          <w:rFonts w:cstheme="minorHAnsi"/>
        </w:rPr>
        <w:t xml:space="preserve"> (</w:t>
      </w:r>
      <w:proofErr w:type="spellStart"/>
      <w:r w:rsidR="003836CA" w:rsidRPr="0013030C">
        <w:rPr>
          <w:rFonts w:cstheme="minorHAnsi"/>
        </w:rPr>
        <w:t>Volkwein</w:t>
      </w:r>
      <w:proofErr w:type="spellEnd"/>
      <w:r w:rsidR="003836CA" w:rsidRPr="0013030C">
        <w:rPr>
          <w:rFonts w:cstheme="minorHAnsi"/>
        </w:rPr>
        <w:t xml:space="preserve"> 2010).</w:t>
      </w:r>
    </w:p>
    <w:p w14:paraId="483E75F5" w14:textId="77777777" w:rsidR="00600DCD" w:rsidRPr="0013030C" w:rsidRDefault="00600DCD" w:rsidP="00600DCD">
      <w:pPr>
        <w:rPr>
          <w:rFonts w:cstheme="minorHAnsi"/>
        </w:rPr>
      </w:pPr>
      <w:r w:rsidRPr="0013030C">
        <w:rPr>
          <w:rFonts w:cstheme="minorHAnsi"/>
        </w:rPr>
        <w:t>Overall, questionnaires are a valuable tool for collecting data in research, offering a systematic and efficient way to gather information from a large and diverse sample of participants. However, careful attention to questionnaire design, administration, and analysis is essential to ensure the validity and reliability of the data collected.</w:t>
      </w:r>
    </w:p>
    <w:p w14:paraId="3E70C9BF" w14:textId="7A49327D" w:rsidR="00600DCD" w:rsidRPr="0013030C" w:rsidRDefault="00600DCD" w:rsidP="00600DCD">
      <w:pPr>
        <w:rPr>
          <w:rFonts w:cstheme="minorHAnsi"/>
        </w:rPr>
      </w:pPr>
    </w:p>
    <w:p w14:paraId="1F64F252" w14:textId="77777777" w:rsidR="00A60E2E" w:rsidRPr="0013030C" w:rsidRDefault="00A60E2E" w:rsidP="00600DCD">
      <w:pPr>
        <w:rPr>
          <w:rFonts w:cstheme="minorHAnsi"/>
        </w:rPr>
      </w:pPr>
    </w:p>
    <w:p w14:paraId="530A17FF" w14:textId="7272EB06" w:rsidR="00600DCD" w:rsidRPr="0013030C" w:rsidRDefault="00600DCD" w:rsidP="00600DCD">
      <w:pPr>
        <w:rPr>
          <w:rFonts w:cstheme="minorHAnsi"/>
        </w:rPr>
      </w:pPr>
      <w:r w:rsidRPr="0013030C">
        <w:rPr>
          <w:rFonts w:cstheme="minorHAnsi"/>
        </w:rPr>
        <w:t>Questionnaires are an efficient way to collect data from a large sample size. They can be distributed widely and completed by respondents at their convenience, reducing the need for extensive researcher involvement.</w:t>
      </w:r>
      <w:r w:rsidR="003836CA" w:rsidRPr="0013030C">
        <w:rPr>
          <w:rFonts w:cstheme="minorHAnsi"/>
        </w:rPr>
        <w:t xml:space="preserve"> </w:t>
      </w:r>
      <w:r w:rsidRPr="0013030C">
        <w:rPr>
          <w:rFonts w:cstheme="minorHAnsi"/>
        </w:rPr>
        <w:t>Questionnaires allow researchers to standardize the data collection process, ensuring consistency in the questions asked and the response options provided. This enhances the reliability of the data and facilitates comparisons across respondents.</w:t>
      </w:r>
      <w:r w:rsidR="003836CA" w:rsidRPr="0013030C">
        <w:rPr>
          <w:rFonts w:cstheme="minorHAnsi"/>
        </w:rPr>
        <w:t xml:space="preserve"> </w:t>
      </w:r>
      <w:r w:rsidRPr="0013030C">
        <w:rPr>
          <w:rFonts w:cstheme="minorHAnsi"/>
        </w:rPr>
        <w:t>Respondents may feel more comfortable providing honest and candid responses to sensitive or personal questions in a questionnaire format, particularly if anonymity is assured. This can reduce social desirability bias and improve the validity of the data.</w:t>
      </w:r>
      <w:r w:rsidR="003836CA" w:rsidRPr="0013030C">
        <w:rPr>
          <w:rFonts w:cstheme="minorHAnsi"/>
        </w:rPr>
        <w:t xml:space="preserve"> </w:t>
      </w:r>
      <w:r w:rsidRPr="0013030C">
        <w:rPr>
          <w:rFonts w:cstheme="minorHAnsi"/>
        </w:rPr>
        <w:t>Compared to other data collection methods such as interviews or focus groups, questionnaires are often more cost-effective. They require minimal resources for distribution, data collection, and analysis</w:t>
      </w:r>
      <w:r w:rsidR="003836CA" w:rsidRPr="0013030C">
        <w:rPr>
          <w:rFonts w:cstheme="minorHAnsi"/>
        </w:rPr>
        <w:t xml:space="preserve">. </w:t>
      </w:r>
      <w:r w:rsidRPr="0013030C">
        <w:rPr>
          <w:rFonts w:cstheme="minorHAnsi"/>
        </w:rPr>
        <w:t xml:space="preserve">Questionnaire data </w:t>
      </w:r>
      <w:r w:rsidR="003836CA" w:rsidRPr="0013030C">
        <w:rPr>
          <w:rFonts w:cstheme="minorHAnsi"/>
        </w:rPr>
        <w:t>is</w:t>
      </w:r>
      <w:r w:rsidRPr="0013030C">
        <w:rPr>
          <w:rFonts w:cstheme="minorHAnsi"/>
        </w:rPr>
        <w:t xml:space="preserve"> typically quantitative in nature, allowing for statistical analysis and the generation of numerical data. This enables researchers to identify patterns, trends, and relationships within the data set.</w:t>
      </w:r>
    </w:p>
    <w:p w14:paraId="06452687" w14:textId="77777777" w:rsidR="003836CA" w:rsidRPr="0013030C" w:rsidRDefault="003836CA" w:rsidP="00600DCD">
      <w:pPr>
        <w:rPr>
          <w:rFonts w:cstheme="minorHAnsi"/>
        </w:rPr>
      </w:pPr>
    </w:p>
    <w:p w14:paraId="212777F1" w14:textId="19DD12A6" w:rsidR="00A60E2E" w:rsidRPr="0013030C" w:rsidRDefault="00A60E2E" w:rsidP="00600DCD">
      <w:pPr>
        <w:rPr>
          <w:rFonts w:cstheme="minorHAnsi"/>
        </w:rPr>
      </w:pPr>
    </w:p>
    <w:p w14:paraId="00441B32" w14:textId="4F60C718" w:rsidR="00600DCD" w:rsidRPr="0013030C" w:rsidRDefault="00600DCD" w:rsidP="00600DCD">
      <w:pPr>
        <w:rPr>
          <w:rFonts w:cstheme="minorHAnsi"/>
        </w:rPr>
      </w:pPr>
      <w:r w:rsidRPr="0013030C">
        <w:rPr>
          <w:rFonts w:cstheme="minorHAnsi"/>
        </w:rPr>
        <w:t>Questionnaires are limited in their ability to capture detailed or nuanced responses, particularly for complex topics. They may not provide the depth of understanding that can be obtained through other methods such as interviews or observation.</w:t>
      </w:r>
      <w:r w:rsidR="003836CA" w:rsidRPr="0013030C">
        <w:rPr>
          <w:rFonts w:cstheme="minorHAnsi"/>
        </w:rPr>
        <w:t xml:space="preserve"> </w:t>
      </w:r>
      <w:r w:rsidRPr="0013030C">
        <w:rPr>
          <w:rFonts w:cstheme="minorHAnsi"/>
        </w:rPr>
        <w:t>Depending on the distribution method and the nature of the questions, questionnaires may suffer from low response rates, leading to potential sampling bias. This can undermine the representativeness of the data and limit the generalizability of the findings.</w:t>
      </w:r>
      <w:r w:rsidR="003836CA" w:rsidRPr="0013030C">
        <w:rPr>
          <w:rFonts w:cstheme="minorHAnsi"/>
        </w:rPr>
        <w:t xml:space="preserve"> </w:t>
      </w:r>
      <w:r w:rsidRPr="0013030C">
        <w:rPr>
          <w:rFonts w:cstheme="minorHAnsi"/>
        </w:rPr>
        <w:t>Respondents may provide inaccurate or biased responses due to factors such as social desirability bias, acquiescence bias, or response set bias. This can distort the findings and compromise the validity of the results.</w:t>
      </w:r>
      <w:r w:rsidR="003836CA" w:rsidRPr="0013030C">
        <w:rPr>
          <w:rFonts w:cstheme="minorHAnsi"/>
        </w:rPr>
        <w:t xml:space="preserve"> </w:t>
      </w:r>
      <w:r w:rsidRPr="0013030C">
        <w:rPr>
          <w:rFonts w:cstheme="minorHAnsi"/>
        </w:rPr>
        <w:t>Designing effective questionnaire items requires careful consideration of language, clarity, and response options. Poorly designed questions can lead to ambiguity, confusion, or misunderstanding among respondents, affecting the quality of the data collected.</w:t>
      </w:r>
      <w:r w:rsidR="003836CA" w:rsidRPr="0013030C">
        <w:rPr>
          <w:rFonts w:cstheme="minorHAnsi"/>
        </w:rPr>
        <w:t xml:space="preserve"> </w:t>
      </w:r>
      <w:r w:rsidRPr="0013030C">
        <w:rPr>
          <w:rFonts w:cstheme="minorHAnsi"/>
        </w:rPr>
        <w:t>Once a questionnaire is distributed, researchers have limited ability to clarify or probe responses in real-time. This lack of flexibility can make it challenging to address ambiguities or explore unexpected findings during data collection.</w:t>
      </w:r>
    </w:p>
    <w:p w14:paraId="4FD3F8ED" w14:textId="77777777" w:rsidR="00600DCD" w:rsidRPr="0013030C" w:rsidRDefault="00600DCD" w:rsidP="00600DCD">
      <w:pPr>
        <w:rPr>
          <w:rFonts w:cstheme="minorHAnsi"/>
        </w:rPr>
      </w:pPr>
      <w:r w:rsidRPr="0013030C">
        <w:rPr>
          <w:rFonts w:cstheme="minorHAnsi"/>
        </w:rPr>
        <w:t xml:space="preserve">Despite these limitations, questionnaires remain a valuable tool for collecting data in many research contexts, particularly when large sample sizes are required, and the research questions lend themselves to standardized measurement. Researchers should carefully </w:t>
      </w:r>
      <w:r w:rsidRPr="0013030C">
        <w:rPr>
          <w:rFonts w:cstheme="minorHAnsi"/>
        </w:rPr>
        <w:lastRenderedPageBreak/>
        <w:t>consider the advantages and disadvantages of using questionnaires and employ appropriate strategies to minimize bias and maximize the reliability and validity of the data collected.</w:t>
      </w:r>
    </w:p>
    <w:p w14:paraId="695B14B2" w14:textId="77777777" w:rsidR="00600DCD" w:rsidRPr="0013030C" w:rsidRDefault="00600DCD">
      <w:pPr>
        <w:rPr>
          <w:rFonts w:cstheme="minorHAnsi"/>
        </w:rPr>
      </w:pPr>
    </w:p>
    <w:p w14:paraId="3BD9E8E0" w14:textId="77777777" w:rsidR="00E30811" w:rsidRPr="0013030C" w:rsidRDefault="00E30811">
      <w:pPr>
        <w:rPr>
          <w:rFonts w:cstheme="minorHAnsi"/>
        </w:rPr>
      </w:pPr>
    </w:p>
    <w:p w14:paraId="5458A07B" w14:textId="7A84CF9D" w:rsidR="00E30811" w:rsidRPr="004C4024" w:rsidRDefault="00E30811">
      <w:pPr>
        <w:rPr>
          <w:rFonts w:cstheme="minorHAnsi"/>
          <w:u w:val="single"/>
        </w:rPr>
      </w:pPr>
      <w:r w:rsidRPr="004C4024">
        <w:rPr>
          <w:rFonts w:cstheme="minorHAnsi"/>
          <w:u w:val="single"/>
        </w:rPr>
        <w:t>Data Presentation and Analysis Method</w:t>
      </w:r>
    </w:p>
    <w:p w14:paraId="21AF1410" w14:textId="7C25A792" w:rsidR="00CA48E0" w:rsidRDefault="00CA48E0">
      <w:pPr>
        <w:rPr>
          <w:rFonts w:cstheme="minorHAnsi"/>
        </w:rPr>
      </w:pPr>
    </w:p>
    <w:p w14:paraId="03EEADAB" w14:textId="00F5416C" w:rsidR="00183BB0" w:rsidRPr="0013030C" w:rsidRDefault="00183BB0">
      <w:pPr>
        <w:rPr>
          <w:rFonts w:cstheme="minorHAnsi"/>
        </w:rPr>
      </w:pPr>
      <w:r>
        <w:rPr>
          <w:rFonts w:cstheme="minorHAnsi"/>
        </w:rPr>
        <w:t>The data gathered from this research will be presented in two tables, on based on answers to the questionnaire pre-intervention and one based on answers from the questionnaire post-intervention.</w:t>
      </w:r>
    </w:p>
    <w:p w14:paraId="648881A9" w14:textId="77777777" w:rsidR="00CA48E0" w:rsidRPr="0013030C" w:rsidRDefault="00CA48E0">
      <w:pPr>
        <w:rPr>
          <w:rFonts w:cstheme="minorHAnsi"/>
        </w:rPr>
      </w:pPr>
    </w:p>
    <w:p w14:paraId="5F278A4E" w14:textId="3187B041" w:rsidR="00CA48E0" w:rsidRPr="0013030C" w:rsidRDefault="00CA48E0" w:rsidP="00CA48E0">
      <w:pPr>
        <w:rPr>
          <w:rFonts w:cstheme="minorHAnsi"/>
        </w:rPr>
      </w:pPr>
      <w:r w:rsidRPr="0013030C">
        <w:rPr>
          <w:rFonts w:cstheme="minorHAnsi"/>
        </w:rPr>
        <w:t>Tables are a powerful tool for presenting data in various fields, offering several advantages that contribute to their widespread use in research, reporting, and communication.</w:t>
      </w:r>
      <w:r w:rsidR="00A60E2E" w:rsidRPr="0013030C">
        <w:rPr>
          <w:rFonts w:cstheme="minorHAnsi"/>
        </w:rPr>
        <w:t xml:space="preserve"> </w:t>
      </w:r>
      <w:r w:rsidRPr="0013030C">
        <w:rPr>
          <w:rFonts w:cstheme="minorHAnsi"/>
        </w:rPr>
        <w:t>Tables provide a structured format for organizing data, allowing researchers to present complex information in a systematic and easily understandable manner. By arranging data into rows and columns, tables help clarify relationships between variables and enhance the overall organization of the information</w:t>
      </w:r>
      <w:r w:rsidR="00A60E2E" w:rsidRPr="0013030C">
        <w:rPr>
          <w:rFonts w:cstheme="minorHAnsi"/>
        </w:rPr>
        <w:t xml:space="preserve">. </w:t>
      </w:r>
      <w:r w:rsidRPr="0013030C">
        <w:rPr>
          <w:rFonts w:cstheme="minorHAnsi"/>
        </w:rPr>
        <w:t>Tables condense large amounts of data into a compact form, improving the clarity and conciseness of the presentation. Rather than presenting information in lengthy paragraphs or prose, tables enable researchers to communicate key findings efficiently, making it easier for readers to grasp the main points.</w:t>
      </w:r>
      <w:r w:rsidR="00A60E2E" w:rsidRPr="0013030C">
        <w:rPr>
          <w:rFonts w:cstheme="minorHAnsi"/>
        </w:rPr>
        <w:t xml:space="preserve"> Using tables to present data</w:t>
      </w:r>
      <w:r w:rsidRPr="0013030C">
        <w:rPr>
          <w:rFonts w:cstheme="minorHAnsi"/>
        </w:rPr>
        <w:t xml:space="preserve"> facilitate</w:t>
      </w:r>
      <w:r w:rsidR="00A60E2E" w:rsidRPr="0013030C">
        <w:rPr>
          <w:rFonts w:cstheme="minorHAnsi"/>
        </w:rPr>
        <w:t>s</w:t>
      </w:r>
      <w:r w:rsidRPr="0013030C">
        <w:rPr>
          <w:rFonts w:cstheme="minorHAnsi"/>
        </w:rPr>
        <w:t xml:space="preserve"> comparison by presenting data side by side, enabling researchers to identify patterns, trends, and differences more effectively. Whether comparing different groups, time periods, or variables, tables provide a visual framework for </w:t>
      </w:r>
      <w:r w:rsidRPr="0013030C">
        <w:rPr>
          <w:rFonts w:cstheme="minorHAnsi"/>
        </w:rPr>
        <w:t>analysing</w:t>
      </w:r>
      <w:r w:rsidRPr="0013030C">
        <w:rPr>
          <w:rFonts w:cstheme="minorHAnsi"/>
        </w:rPr>
        <w:t xml:space="preserve"> relationships and making meaningful comparisons.</w:t>
      </w:r>
      <w:r w:rsidR="00A60E2E" w:rsidRPr="0013030C">
        <w:rPr>
          <w:rFonts w:cstheme="minorHAnsi"/>
        </w:rPr>
        <w:t xml:space="preserve"> </w:t>
      </w:r>
      <w:r w:rsidRPr="0013030C">
        <w:rPr>
          <w:rFonts w:cstheme="minorHAnsi"/>
        </w:rPr>
        <w:t>Tables allow for the comprehensive representation of various types of data, including numerical values, percentages, and qualitative responses. By integrating different types of data into a single framework, tables provide a holistic view of the research findings, enhancing the depth and richness of the presentation.</w:t>
      </w:r>
      <w:r w:rsidR="00A60E2E" w:rsidRPr="0013030C">
        <w:rPr>
          <w:rFonts w:cstheme="minorHAnsi"/>
        </w:rPr>
        <w:t xml:space="preserve"> </w:t>
      </w:r>
      <w:r w:rsidRPr="0013030C">
        <w:rPr>
          <w:rFonts w:cstheme="minorHAnsi"/>
        </w:rPr>
        <w:t>Tables serve as a reference point for readers, enabling them to locate specific information quickly and easily. Additionally, tables can be reproduced in reports, presentations, and publications, contributing to the reproducibility and transparency of research findings. This ease of reference and reproducibility enhances the credibility and reliability of the presented data</w:t>
      </w:r>
      <w:r w:rsidR="00A60E2E" w:rsidRPr="0013030C">
        <w:rPr>
          <w:rFonts w:cstheme="minorHAnsi"/>
        </w:rPr>
        <w:t>.</w:t>
      </w:r>
    </w:p>
    <w:p w14:paraId="20916045" w14:textId="6358D60B" w:rsidR="00CA48E0" w:rsidRPr="0013030C" w:rsidRDefault="00CA48E0" w:rsidP="00CA48E0">
      <w:pPr>
        <w:rPr>
          <w:rFonts w:cstheme="minorHAnsi"/>
        </w:rPr>
      </w:pPr>
      <w:r w:rsidRPr="0013030C">
        <w:rPr>
          <w:rFonts w:cstheme="minorHAnsi"/>
        </w:rPr>
        <w:t>Tables offer flexibility in terms of formatting and customization, allowing researchers to tailor the presentation to meet their specific needs. Whether adjusting column widths, adding footnotes, or incorporating visual elements, tables can be customized to enhance the clarity and visual appeal of the presentation.</w:t>
      </w:r>
      <w:r w:rsidR="00A60E2E" w:rsidRPr="0013030C">
        <w:rPr>
          <w:rFonts w:cstheme="minorHAnsi"/>
        </w:rPr>
        <w:t xml:space="preserve"> </w:t>
      </w:r>
      <w:r w:rsidRPr="0013030C">
        <w:rPr>
          <w:rFonts w:cstheme="minorHAnsi"/>
        </w:rPr>
        <w:t xml:space="preserve">Tables are accessible to a wide range of audiences, including researchers, policymakers, and the </w:t>
      </w:r>
      <w:r w:rsidR="00A60E2E" w:rsidRPr="0013030C">
        <w:rPr>
          <w:rFonts w:cstheme="minorHAnsi"/>
        </w:rPr>
        <w:t>public</w:t>
      </w:r>
      <w:r w:rsidRPr="0013030C">
        <w:rPr>
          <w:rFonts w:cstheme="minorHAnsi"/>
        </w:rPr>
        <w:t>. Their straightforward format and intuitive design make tables accessible to individuals with varying levels of expertise, ensuring that the presented data can be understood and interpreted by a diverse audience.</w:t>
      </w:r>
    </w:p>
    <w:p w14:paraId="0426FAE1" w14:textId="77777777" w:rsidR="00CA48E0" w:rsidRPr="0013030C" w:rsidRDefault="00CA48E0" w:rsidP="00CA48E0">
      <w:pPr>
        <w:rPr>
          <w:rFonts w:cstheme="minorHAnsi"/>
        </w:rPr>
      </w:pPr>
    </w:p>
    <w:p w14:paraId="1D7E92C0" w14:textId="66734BF9" w:rsidR="00CA48E0" w:rsidRPr="0013030C" w:rsidRDefault="00CA48E0" w:rsidP="00CA48E0">
      <w:pPr>
        <w:rPr>
          <w:rFonts w:cstheme="minorHAnsi"/>
        </w:rPr>
      </w:pPr>
      <w:r w:rsidRPr="0013030C">
        <w:rPr>
          <w:rFonts w:cstheme="minorHAnsi"/>
        </w:rPr>
        <w:t>In conclusion, tables offer numerous advantages for presenting data, including organization, clarity, comparison, comprehensive representation, ease of reference, flexibility, and accessibility. By leveraging these advantages, researchers can effectively communicate their findings and insights to a wide audience, enhancing the impact and significance of their work.</w:t>
      </w:r>
    </w:p>
    <w:p w14:paraId="55C8210F" w14:textId="77777777" w:rsidR="00E30811" w:rsidRPr="0013030C" w:rsidRDefault="00E30811">
      <w:pPr>
        <w:rPr>
          <w:rFonts w:cstheme="minorHAnsi"/>
        </w:rPr>
      </w:pPr>
    </w:p>
    <w:p w14:paraId="3401D023" w14:textId="11E0A278" w:rsidR="00CA48E0" w:rsidRPr="0013030C" w:rsidRDefault="00CA48E0">
      <w:pPr>
        <w:rPr>
          <w:rFonts w:cstheme="minorHAnsi"/>
        </w:rPr>
      </w:pPr>
      <w:r w:rsidRPr="0013030C">
        <w:rPr>
          <w:rFonts w:cstheme="minorHAnsi"/>
        </w:rPr>
        <w:t>Ethical considerations</w:t>
      </w:r>
    </w:p>
    <w:p w14:paraId="45CB9F4F" w14:textId="77777777" w:rsidR="00CA48E0" w:rsidRPr="0013030C" w:rsidRDefault="00CA48E0">
      <w:pPr>
        <w:rPr>
          <w:rFonts w:cstheme="minorHAnsi"/>
        </w:rPr>
      </w:pPr>
    </w:p>
    <w:p w14:paraId="6F5A665C" w14:textId="77777777" w:rsidR="00CA48E0" w:rsidRPr="0013030C" w:rsidRDefault="00CA48E0" w:rsidP="00CA48E0">
      <w:pPr>
        <w:rPr>
          <w:rFonts w:cstheme="minorHAnsi"/>
        </w:rPr>
      </w:pPr>
      <w:r w:rsidRPr="0013030C">
        <w:rPr>
          <w:rFonts w:cstheme="minorHAnsi"/>
        </w:rPr>
        <w:lastRenderedPageBreak/>
        <w:t>Conducting educational case studies in schools involves several ethical considerations that researchers must carefully address to ensure the well-being and rights of all involved parties.</w:t>
      </w:r>
    </w:p>
    <w:p w14:paraId="7A15D0CD" w14:textId="77777777" w:rsidR="00CA48E0" w:rsidRPr="0013030C" w:rsidRDefault="00CA48E0" w:rsidP="00CA48E0">
      <w:pPr>
        <w:rPr>
          <w:rFonts w:cstheme="minorHAnsi"/>
        </w:rPr>
      </w:pPr>
    </w:p>
    <w:p w14:paraId="31F85291" w14:textId="5F126B5C" w:rsidR="00CA48E0" w:rsidRPr="0013030C" w:rsidRDefault="00CA48E0" w:rsidP="00CA48E0">
      <w:pPr>
        <w:rPr>
          <w:rFonts w:cstheme="minorHAnsi"/>
        </w:rPr>
      </w:pPr>
      <w:r w:rsidRPr="0013030C">
        <w:rPr>
          <w:rFonts w:cstheme="minorHAnsi"/>
        </w:rPr>
        <w:t>Researchers must obtain informed consent from all participants, including students, parents, and school staff, before collecting data. This involves providing clear and understandable information about the study's purpose, procedures, risks, and benefits, and allowing participants to make voluntary and informed decisions about their participation.</w:t>
      </w:r>
      <w:r w:rsidRPr="0013030C">
        <w:rPr>
          <w:rFonts w:cstheme="minorHAnsi"/>
        </w:rPr>
        <w:t xml:space="preserve"> For the case study carried out in School X, parental consent was obtained through a parental consent form which was filled in by parents or carers prior to the commencing of the study.</w:t>
      </w:r>
    </w:p>
    <w:p w14:paraId="34830215" w14:textId="7B009146" w:rsidR="00CA48E0" w:rsidRPr="0013030C" w:rsidRDefault="00CA48E0" w:rsidP="00CA48E0">
      <w:pPr>
        <w:rPr>
          <w:rFonts w:cstheme="minorHAnsi"/>
        </w:rPr>
      </w:pPr>
      <w:r w:rsidRPr="0013030C">
        <w:rPr>
          <w:rFonts w:cstheme="minorHAnsi"/>
        </w:rPr>
        <w:t>Researchers must take steps to protect the privacy and confidentiality of participants' personal information. This includes using anonymized or pseudonymized data whenever possible, securely storing and transmitting data, and ensuring that only authorized individuals have access to participant information</w:t>
      </w:r>
      <w:r w:rsidR="00A60E2E" w:rsidRPr="0013030C">
        <w:rPr>
          <w:rFonts w:cstheme="minorHAnsi"/>
        </w:rPr>
        <w:t xml:space="preserve">. </w:t>
      </w:r>
      <w:r w:rsidRPr="0013030C">
        <w:rPr>
          <w:rFonts w:cstheme="minorHAnsi"/>
        </w:rPr>
        <w:t>Researchers must respect the autonomy and agency of participants, including students, teachers, and school administrators. This involves allowing participants to withdraw from the study at any time without repercussion and ensuring that their participation is voluntary and not coerced.</w:t>
      </w:r>
      <w:r w:rsidR="00A60E2E" w:rsidRPr="0013030C">
        <w:rPr>
          <w:rFonts w:cstheme="minorHAnsi"/>
        </w:rPr>
        <w:t xml:space="preserve"> When conducting research in any setting, it is of critical importance</w:t>
      </w:r>
      <w:r w:rsidRPr="0013030C">
        <w:rPr>
          <w:rFonts w:cstheme="minorHAnsi"/>
        </w:rPr>
        <w:t xml:space="preserve"> </w:t>
      </w:r>
      <w:r w:rsidR="00A60E2E" w:rsidRPr="0013030C">
        <w:rPr>
          <w:rFonts w:cstheme="minorHAnsi"/>
        </w:rPr>
        <w:t>to</w:t>
      </w:r>
      <w:r w:rsidRPr="0013030C">
        <w:rPr>
          <w:rFonts w:cstheme="minorHAnsi"/>
        </w:rPr>
        <w:t xml:space="preserve"> minimize the potential for harm to participants, both physical and psychological. This includes conducting risk assessments to identify potential risks associated with participation in the study and taking proactive measures to mitigate these risks</w:t>
      </w:r>
      <w:r w:rsidR="00A60E2E" w:rsidRPr="0013030C">
        <w:rPr>
          <w:rFonts w:cstheme="minorHAnsi"/>
        </w:rPr>
        <w:t>. It is important to</w:t>
      </w:r>
      <w:r w:rsidRPr="0013030C">
        <w:rPr>
          <w:rFonts w:cstheme="minorHAnsi"/>
        </w:rPr>
        <w:t xml:space="preserve"> ensure that all participants are treated fairly and equitably throughout the research process. This involves avoiding discrimination or bias and actively promoting diversity and inclusion in participant selection and data analysis.</w:t>
      </w:r>
      <w:r w:rsidR="00A60E2E" w:rsidRPr="0013030C">
        <w:rPr>
          <w:rFonts w:cstheme="minorHAnsi"/>
        </w:rPr>
        <w:t xml:space="preserve"> </w:t>
      </w:r>
      <w:r w:rsidRPr="0013030C">
        <w:rPr>
          <w:rFonts w:cstheme="minorHAnsi"/>
        </w:rPr>
        <w:t>Researchers must strive to maximize the benefits of the study while minimizing any potential harm to participants. This involves conducting research that is socially valuable and contributes to the advancement of knowledge, education, or practice, while also being mindful of the potential impact of the research on participants' well-being and rights.</w:t>
      </w:r>
    </w:p>
    <w:p w14:paraId="20F3A23E" w14:textId="77777777" w:rsidR="00CA48E0" w:rsidRPr="0013030C" w:rsidRDefault="00CA48E0" w:rsidP="00CA48E0">
      <w:pPr>
        <w:rPr>
          <w:rFonts w:cstheme="minorHAnsi"/>
        </w:rPr>
      </w:pPr>
    </w:p>
    <w:p w14:paraId="608A7AA5" w14:textId="3DA3EA5B" w:rsidR="00CA48E0" w:rsidRPr="0013030C" w:rsidRDefault="00CA48E0" w:rsidP="00CA48E0">
      <w:pPr>
        <w:rPr>
          <w:rFonts w:cstheme="minorHAnsi"/>
        </w:rPr>
      </w:pPr>
      <w:r w:rsidRPr="0013030C">
        <w:rPr>
          <w:rFonts w:cstheme="minorHAnsi"/>
        </w:rPr>
        <w:t>By addressing these ethical considerations, researchers can conduct educational case studies in schools in a manner that respects the rights, dignity, and well-being of all involved parties while also contributing to the advancement of knowledge in the field of education.</w:t>
      </w:r>
    </w:p>
    <w:p w14:paraId="78FF86C2" w14:textId="77777777" w:rsidR="00CA48E0" w:rsidRPr="0013030C" w:rsidRDefault="00CA48E0">
      <w:pPr>
        <w:rPr>
          <w:rFonts w:cstheme="minorHAnsi"/>
        </w:rPr>
      </w:pPr>
    </w:p>
    <w:p w14:paraId="1DC5084A" w14:textId="4C58D6B6" w:rsidR="00CA48E0" w:rsidRPr="004C4024" w:rsidRDefault="00CA48E0">
      <w:pPr>
        <w:rPr>
          <w:rFonts w:cstheme="minorHAnsi"/>
          <w:u w:val="single"/>
        </w:rPr>
      </w:pPr>
      <w:r w:rsidRPr="004C4024">
        <w:rPr>
          <w:rFonts w:cstheme="minorHAnsi"/>
          <w:u w:val="single"/>
        </w:rPr>
        <w:t>Results, Analysis of Results and Discussion.</w:t>
      </w:r>
    </w:p>
    <w:p w14:paraId="4AB4F551" w14:textId="77777777" w:rsidR="00CA48E0" w:rsidRPr="0013030C" w:rsidRDefault="00CA48E0">
      <w:pPr>
        <w:rPr>
          <w:rFonts w:cstheme="minorHAnsi"/>
        </w:rPr>
      </w:pPr>
    </w:p>
    <w:p w14:paraId="1291FCD2" w14:textId="3603439E" w:rsidR="00E76B6C" w:rsidRPr="0013030C" w:rsidRDefault="00CE6B38">
      <w:pPr>
        <w:rPr>
          <w:rFonts w:cstheme="minorHAnsi"/>
        </w:rPr>
      </w:pPr>
      <w:r>
        <w:rPr>
          <w:rFonts w:cstheme="minorHAnsi"/>
        </w:rPr>
        <w:t>The answers to the following questions will be laid out in a table below.</w:t>
      </w:r>
    </w:p>
    <w:p w14:paraId="4EBCD7BB" w14:textId="77777777" w:rsidR="00E76B6C" w:rsidRPr="0013030C" w:rsidRDefault="00E76B6C">
      <w:pPr>
        <w:rPr>
          <w:rFonts w:cstheme="minorHAnsi"/>
        </w:rPr>
      </w:pPr>
    </w:p>
    <w:p w14:paraId="6A27F5D8" w14:textId="3072CB8E" w:rsidR="00E76B6C" w:rsidRPr="0013030C" w:rsidRDefault="00E76B6C">
      <w:pPr>
        <w:rPr>
          <w:rFonts w:cstheme="minorHAnsi"/>
        </w:rPr>
      </w:pPr>
      <w:r w:rsidRPr="0013030C">
        <w:rPr>
          <w:rFonts w:cstheme="minorHAnsi"/>
        </w:rPr>
        <w:t xml:space="preserve">Q1. Do you enjoy English lessons? Yes or </w:t>
      </w:r>
      <w:proofErr w:type="gramStart"/>
      <w:r w:rsidRPr="0013030C">
        <w:rPr>
          <w:rFonts w:cstheme="minorHAnsi"/>
        </w:rPr>
        <w:t>No</w:t>
      </w:r>
      <w:proofErr w:type="gramEnd"/>
    </w:p>
    <w:p w14:paraId="3AEC8546" w14:textId="77777777" w:rsidR="00E76B6C" w:rsidRPr="0013030C" w:rsidRDefault="00E76B6C">
      <w:pPr>
        <w:rPr>
          <w:rFonts w:cstheme="minorHAnsi"/>
        </w:rPr>
      </w:pPr>
    </w:p>
    <w:p w14:paraId="0621F396" w14:textId="197E343F" w:rsidR="00E76B6C" w:rsidRPr="0013030C" w:rsidRDefault="00E76B6C">
      <w:pPr>
        <w:rPr>
          <w:rFonts w:cstheme="minorHAnsi"/>
        </w:rPr>
      </w:pPr>
      <w:r w:rsidRPr="0013030C">
        <w:rPr>
          <w:rFonts w:cstheme="minorHAnsi"/>
        </w:rPr>
        <w:t xml:space="preserve">Q2. Do you feel engaged in English lessons? Yes or </w:t>
      </w:r>
      <w:proofErr w:type="gramStart"/>
      <w:r w:rsidRPr="0013030C">
        <w:rPr>
          <w:rFonts w:cstheme="minorHAnsi"/>
        </w:rPr>
        <w:t>No</w:t>
      </w:r>
      <w:proofErr w:type="gramEnd"/>
    </w:p>
    <w:p w14:paraId="0E220E1A" w14:textId="77777777" w:rsidR="00E76B6C" w:rsidRPr="0013030C" w:rsidRDefault="00E76B6C">
      <w:pPr>
        <w:rPr>
          <w:rFonts w:cstheme="minorHAnsi"/>
        </w:rPr>
      </w:pPr>
    </w:p>
    <w:p w14:paraId="18B4848F" w14:textId="3C0C8A1C" w:rsidR="00E76B6C" w:rsidRPr="0013030C" w:rsidRDefault="00E76B6C">
      <w:pPr>
        <w:rPr>
          <w:rFonts w:cstheme="minorHAnsi"/>
        </w:rPr>
      </w:pPr>
      <w:r w:rsidRPr="0013030C">
        <w:rPr>
          <w:rFonts w:cstheme="minorHAnsi"/>
        </w:rPr>
        <w:t xml:space="preserve">Q3. Do you feel the texts we study in English are </w:t>
      </w:r>
      <w:r w:rsidR="00590084" w:rsidRPr="0013030C">
        <w:rPr>
          <w:rFonts w:cstheme="minorHAnsi"/>
        </w:rPr>
        <w:t>accessible</w:t>
      </w:r>
      <w:r w:rsidRPr="0013030C">
        <w:rPr>
          <w:rFonts w:cstheme="minorHAnsi"/>
        </w:rPr>
        <w:t xml:space="preserve"> to you? Yes or </w:t>
      </w:r>
      <w:proofErr w:type="gramStart"/>
      <w:r w:rsidRPr="0013030C">
        <w:rPr>
          <w:rFonts w:cstheme="minorHAnsi"/>
        </w:rPr>
        <w:t>No</w:t>
      </w:r>
      <w:proofErr w:type="gramEnd"/>
    </w:p>
    <w:p w14:paraId="6224A7B9" w14:textId="77777777" w:rsidR="00E76B6C" w:rsidRPr="0013030C" w:rsidRDefault="00E76B6C">
      <w:pPr>
        <w:rPr>
          <w:rFonts w:cstheme="minorHAnsi"/>
        </w:rPr>
      </w:pPr>
    </w:p>
    <w:p w14:paraId="36625C04" w14:textId="399968A7" w:rsidR="00E76B6C" w:rsidRPr="0013030C" w:rsidRDefault="00E76B6C">
      <w:pPr>
        <w:rPr>
          <w:rFonts w:cstheme="minorHAnsi"/>
        </w:rPr>
      </w:pPr>
      <w:r w:rsidRPr="0013030C">
        <w:rPr>
          <w:rFonts w:cstheme="minorHAnsi"/>
        </w:rPr>
        <w:t xml:space="preserve">Q4. Do you actively participate in discussions in English lessons? Yes or </w:t>
      </w:r>
      <w:proofErr w:type="gramStart"/>
      <w:r w:rsidRPr="0013030C">
        <w:rPr>
          <w:rFonts w:cstheme="minorHAnsi"/>
        </w:rPr>
        <w:t>No</w:t>
      </w:r>
      <w:proofErr w:type="gramEnd"/>
    </w:p>
    <w:p w14:paraId="5E4A4A3C" w14:textId="77777777" w:rsidR="00E76B6C" w:rsidRPr="0013030C" w:rsidRDefault="00E76B6C">
      <w:pPr>
        <w:rPr>
          <w:rFonts w:cstheme="minorHAnsi"/>
        </w:rPr>
      </w:pPr>
    </w:p>
    <w:p w14:paraId="486D02F2" w14:textId="6F5DD1CC" w:rsidR="00E76B6C" w:rsidRPr="0013030C" w:rsidRDefault="00E76B6C">
      <w:pPr>
        <w:rPr>
          <w:rFonts w:cstheme="minorHAnsi"/>
        </w:rPr>
      </w:pPr>
      <w:r w:rsidRPr="0013030C">
        <w:rPr>
          <w:rFonts w:cstheme="minorHAnsi"/>
        </w:rPr>
        <w:t>Pre-Intervention</w:t>
      </w:r>
    </w:p>
    <w:p w14:paraId="1AD08F5F" w14:textId="77777777" w:rsidR="00E76B6C" w:rsidRPr="0013030C" w:rsidRDefault="00E76B6C">
      <w:pPr>
        <w:rPr>
          <w:rFonts w:cstheme="minorHAnsi"/>
        </w:rPr>
      </w:pPr>
    </w:p>
    <w:tbl>
      <w:tblPr>
        <w:tblStyle w:val="TableGrid"/>
        <w:tblW w:w="0" w:type="auto"/>
        <w:tblLook w:val="04A0" w:firstRow="1" w:lastRow="0" w:firstColumn="1" w:lastColumn="0" w:noHBand="0" w:noVBand="1"/>
      </w:tblPr>
      <w:tblGrid>
        <w:gridCol w:w="2089"/>
        <w:gridCol w:w="1731"/>
        <w:gridCol w:w="1732"/>
        <w:gridCol w:w="1732"/>
        <w:gridCol w:w="1732"/>
      </w:tblGrid>
      <w:tr w:rsidR="00E76B6C" w:rsidRPr="0013030C" w14:paraId="50F1C244" w14:textId="16AD945A" w:rsidTr="00E76B6C">
        <w:tc>
          <w:tcPr>
            <w:tcW w:w="2089" w:type="dxa"/>
          </w:tcPr>
          <w:p w14:paraId="0933FFB9" w14:textId="1FACD620" w:rsidR="00E76B6C" w:rsidRPr="0013030C" w:rsidRDefault="00E76B6C">
            <w:pPr>
              <w:rPr>
                <w:rFonts w:cstheme="minorHAnsi"/>
                <w:b/>
                <w:bCs/>
              </w:rPr>
            </w:pPr>
            <w:r w:rsidRPr="0013030C">
              <w:rPr>
                <w:rFonts w:cstheme="minorHAnsi"/>
                <w:b/>
                <w:bCs/>
              </w:rPr>
              <w:t>Student</w:t>
            </w:r>
          </w:p>
        </w:tc>
        <w:tc>
          <w:tcPr>
            <w:tcW w:w="1731" w:type="dxa"/>
          </w:tcPr>
          <w:p w14:paraId="2AE61D65" w14:textId="64A65357" w:rsidR="00E76B6C" w:rsidRPr="0013030C" w:rsidRDefault="00E76B6C">
            <w:pPr>
              <w:rPr>
                <w:rFonts w:cstheme="minorHAnsi"/>
              </w:rPr>
            </w:pPr>
            <w:r w:rsidRPr="0013030C">
              <w:rPr>
                <w:rFonts w:cstheme="minorHAnsi"/>
              </w:rPr>
              <w:t xml:space="preserve">Q1. </w:t>
            </w:r>
          </w:p>
        </w:tc>
        <w:tc>
          <w:tcPr>
            <w:tcW w:w="1732" w:type="dxa"/>
          </w:tcPr>
          <w:p w14:paraId="59028694" w14:textId="3B9CCD39" w:rsidR="00E76B6C" w:rsidRPr="0013030C" w:rsidRDefault="00E76B6C">
            <w:pPr>
              <w:rPr>
                <w:rFonts w:cstheme="minorHAnsi"/>
              </w:rPr>
            </w:pPr>
            <w:r w:rsidRPr="0013030C">
              <w:rPr>
                <w:rFonts w:cstheme="minorHAnsi"/>
              </w:rPr>
              <w:t>Q2.</w:t>
            </w:r>
          </w:p>
        </w:tc>
        <w:tc>
          <w:tcPr>
            <w:tcW w:w="1732" w:type="dxa"/>
          </w:tcPr>
          <w:p w14:paraId="242DAA52" w14:textId="315DD4E1" w:rsidR="00E76B6C" w:rsidRPr="0013030C" w:rsidRDefault="00E76B6C">
            <w:pPr>
              <w:rPr>
                <w:rFonts w:cstheme="minorHAnsi"/>
              </w:rPr>
            </w:pPr>
            <w:r w:rsidRPr="0013030C">
              <w:rPr>
                <w:rFonts w:cstheme="minorHAnsi"/>
              </w:rPr>
              <w:t>Q3.</w:t>
            </w:r>
          </w:p>
        </w:tc>
        <w:tc>
          <w:tcPr>
            <w:tcW w:w="1732" w:type="dxa"/>
          </w:tcPr>
          <w:p w14:paraId="1C20F752" w14:textId="08C75A94" w:rsidR="00E76B6C" w:rsidRPr="0013030C" w:rsidRDefault="00E76B6C">
            <w:pPr>
              <w:rPr>
                <w:rFonts w:cstheme="minorHAnsi"/>
              </w:rPr>
            </w:pPr>
            <w:r w:rsidRPr="0013030C">
              <w:rPr>
                <w:rFonts w:cstheme="minorHAnsi"/>
              </w:rPr>
              <w:t>Q4.</w:t>
            </w:r>
          </w:p>
        </w:tc>
      </w:tr>
      <w:tr w:rsidR="00E76B6C" w:rsidRPr="0013030C" w14:paraId="5EC91C99" w14:textId="37BCC83A" w:rsidTr="00E76B6C">
        <w:tc>
          <w:tcPr>
            <w:tcW w:w="2089" w:type="dxa"/>
          </w:tcPr>
          <w:p w14:paraId="65B6971F" w14:textId="4D50AB81" w:rsidR="00E76B6C" w:rsidRPr="0013030C" w:rsidRDefault="00E76B6C">
            <w:pPr>
              <w:rPr>
                <w:rFonts w:cstheme="minorHAnsi"/>
              </w:rPr>
            </w:pPr>
            <w:r w:rsidRPr="0013030C">
              <w:rPr>
                <w:rFonts w:cstheme="minorHAnsi"/>
              </w:rPr>
              <w:t>A</w:t>
            </w:r>
          </w:p>
        </w:tc>
        <w:tc>
          <w:tcPr>
            <w:tcW w:w="1731" w:type="dxa"/>
          </w:tcPr>
          <w:p w14:paraId="28D07A19" w14:textId="29DFE817" w:rsidR="00E76B6C" w:rsidRPr="0013030C" w:rsidRDefault="00E76B6C">
            <w:pPr>
              <w:rPr>
                <w:rFonts w:cstheme="minorHAnsi"/>
              </w:rPr>
            </w:pPr>
            <w:r w:rsidRPr="0013030C">
              <w:rPr>
                <w:rFonts w:cstheme="minorHAnsi"/>
              </w:rPr>
              <w:t>No</w:t>
            </w:r>
          </w:p>
        </w:tc>
        <w:tc>
          <w:tcPr>
            <w:tcW w:w="1732" w:type="dxa"/>
          </w:tcPr>
          <w:p w14:paraId="60E8D1E5" w14:textId="12881AA0" w:rsidR="00E76B6C" w:rsidRPr="0013030C" w:rsidRDefault="00E76B6C">
            <w:pPr>
              <w:rPr>
                <w:rFonts w:cstheme="minorHAnsi"/>
              </w:rPr>
            </w:pPr>
            <w:r w:rsidRPr="0013030C">
              <w:rPr>
                <w:rFonts w:cstheme="minorHAnsi"/>
              </w:rPr>
              <w:t>No</w:t>
            </w:r>
          </w:p>
        </w:tc>
        <w:tc>
          <w:tcPr>
            <w:tcW w:w="1732" w:type="dxa"/>
          </w:tcPr>
          <w:p w14:paraId="1D20E4DC" w14:textId="58F0B492" w:rsidR="00E76B6C" w:rsidRPr="0013030C" w:rsidRDefault="00E76B6C">
            <w:pPr>
              <w:rPr>
                <w:rFonts w:cstheme="minorHAnsi"/>
              </w:rPr>
            </w:pPr>
            <w:r w:rsidRPr="0013030C">
              <w:rPr>
                <w:rFonts w:cstheme="minorHAnsi"/>
              </w:rPr>
              <w:t>No</w:t>
            </w:r>
          </w:p>
        </w:tc>
        <w:tc>
          <w:tcPr>
            <w:tcW w:w="1732" w:type="dxa"/>
          </w:tcPr>
          <w:p w14:paraId="605A1ED4" w14:textId="763AB909" w:rsidR="00E76B6C" w:rsidRPr="0013030C" w:rsidRDefault="00E76B6C">
            <w:pPr>
              <w:rPr>
                <w:rFonts w:cstheme="minorHAnsi"/>
              </w:rPr>
            </w:pPr>
            <w:r w:rsidRPr="0013030C">
              <w:rPr>
                <w:rFonts w:cstheme="minorHAnsi"/>
              </w:rPr>
              <w:t>No</w:t>
            </w:r>
          </w:p>
        </w:tc>
      </w:tr>
      <w:tr w:rsidR="00E76B6C" w:rsidRPr="0013030C" w14:paraId="447F76BD" w14:textId="7C5D88F9" w:rsidTr="00E76B6C">
        <w:tc>
          <w:tcPr>
            <w:tcW w:w="2089" w:type="dxa"/>
          </w:tcPr>
          <w:p w14:paraId="645B14B0" w14:textId="2AD05D5D" w:rsidR="00E76B6C" w:rsidRPr="0013030C" w:rsidRDefault="00E76B6C">
            <w:pPr>
              <w:rPr>
                <w:rFonts w:cstheme="minorHAnsi"/>
              </w:rPr>
            </w:pPr>
            <w:r w:rsidRPr="0013030C">
              <w:rPr>
                <w:rFonts w:cstheme="minorHAnsi"/>
              </w:rPr>
              <w:lastRenderedPageBreak/>
              <w:t>B</w:t>
            </w:r>
          </w:p>
        </w:tc>
        <w:tc>
          <w:tcPr>
            <w:tcW w:w="1731" w:type="dxa"/>
          </w:tcPr>
          <w:p w14:paraId="15358E7D" w14:textId="6DE2BAD5" w:rsidR="00E76B6C" w:rsidRPr="0013030C" w:rsidRDefault="00E76B6C">
            <w:pPr>
              <w:rPr>
                <w:rFonts w:cstheme="minorHAnsi"/>
              </w:rPr>
            </w:pPr>
            <w:r w:rsidRPr="0013030C">
              <w:rPr>
                <w:rFonts w:cstheme="minorHAnsi"/>
              </w:rPr>
              <w:t>Yes</w:t>
            </w:r>
          </w:p>
        </w:tc>
        <w:tc>
          <w:tcPr>
            <w:tcW w:w="1732" w:type="dxa"/>
          </w:tcPr>
          <w:p w14:paraId="42A81020" w14:textId="6F09F823" w:rsidR="00E76B6C" w:rsidRPr="0013030C" w:rsidRDefault="00E76B6C">
            <w:pPr>
              <w:rPr>
                <w:rFonts w:cstheme="minorHAnsi"/>
              </w:rPr>
            </w:pPr>
            <w:r w:rsidRPr="0013030C">
              <w:rPr>
                <w:rFonts w:cstheme="minorHAnsi"/>
              </w:rPr>
              <w:t>Yes</w:t>
            </w:r>
          </w:p>
        </w:tc>
        <w:tc>
          <w:tcPr>
            <w:tcW w:w="1732" w:type="dxa"/>
          </w:tcPr>
          <w:p w14:paraId="087258BE" w14:textId="01E382B0" w:rsidR="00E76B6C" w:rsidRPr="0013030C" w:rsidRDefault="00E76B6C">
            <w:pPr>
              <w:rPr>
                <w:rFonts w:cstheme="minorHAnsi"/>
              </w:rPr>
            </w:pPr>
            <w:r w:rsidRPr="0013030C">
              <w:rPr>
                <w:rFonts w:cstheme="minorHAnsi"/>
              </w:rPr>
              <w:t>Yes</w:t>
            </w:r>
          </w:p>
        </w:tc>
        <w:tc>
          <w:tcPr>
            <w:tcW w:w="1732" w:type="dxa"/>
          </w:tcPr>
          <w:p w14:paraId="2B5CB01E" w14:textId="67C68A97" w:rsidR="00E76B6C" w:rsidRPr="0013030C" w:rsidRDefault="00E76B6C">
            <w:pPr>
              <w:rPr>
                <w:rFonts w:cstheme="minorHAnsi"/>
              </w:rPr>
            </w:pPr>
            <w:r w:rsidRPr="0013030C">
              <w:rPr>
                <w:rFonts w:cstheme="minorHAnsi"/>
              </w:rPr>
              <w:t>Yes</w:t>
            </w:r>
          </w:p>
        </w:tc>
      </w:tr>
      <w:tr w:rsidR="00E76B6C" w:rsidRPr="0013030C" w14:paraId="57B46320" w14:textId="1DDD4BE3" w:rsidTr="00E76B6C">
        <w:tc>
          <w:tcPr>
            <w:tcW w:w="2089" w:type="dxa"/>
          </w:tcPr>
          <w:p w14:paraId="68FB05B4" w14:textId="169A8909" w:rsidR="00E76B6C" w:rsidRPr="0013030C" w:rsidRDefault="00E76B6C">
            <w:pPr>
              <w:rPr>
                <w:rFonts w:cstheme="minorHAnsi"/>
              </w:rPr>
            </w:pPr>
            <w:r w:rsidRPr="0013030C">
              <w:rPr>
                <w:rFonts w:cstheme="minorHAnsi"/>
              </w:rPr>
              <w:t>C</w:t>
            </w:r>
          </w:p>
        </w:tc>
        <w:tc>
          <w:tcPr>
            <w:tcW w:w="1731" w:type="dxa"/>
          </w:tcPr>
          <w:p w14:paraId="0116AA74" w14:textId="5ED251C3" w:rsidR="00E76B6C" w:rsidRPr="0013030C" w:rsidRDefault="00E76B6C">
            <w:pPr>
              <w:rPr>
                <w:rFonts w:cstheme="minorHAnsi"/>
              </w:rPr>
            </w:pPr>
            <w:r w:rsidRPr="0013030C">
              <w:rPr>
                <w:rFonts w:cstheme="minorHAnsi"/>
              </w:rPr>
              <w:t>No</w:t>
            </w:r>
          </w:p>
        </w:tc>
        <w:tc>
          <w:tcPr>
            <w:tcW w:w="1732" w:type="dxa"/>
          </w:tcPr>
          <w:p w14:paraId="5D95D25F" w14:textId="70429D92" w:rsidR="00E76B6C" w:rsidRPr="0013030C" w:rsidRDefault="00E76B6C">
            <w:pPr>
              <w:rPr>
                <w:rFonts w:cstheme="minorHAnsi"/>
              </w:rPr>
            </w:pPr>
            <w:r w:rsidRPr="0013030C">
              <w:rPr>
                <w:rFonts w:cstheme="minorHAnsi"/>
              </w:rPr>
              <w:t>No</w:t>
            </w:r>
          </w:p>
        </w:tc>
        <w:tc>
          <w:tcPr>
            <w:tcW w:w="1732" w:type="dxa"/>
          </w:tcPr>
          <w:p w14:paraId="4BE30295" w14:textId="1C76E3A2" w:rsidR="00E76B6C" w:rsidRPr="0013030C" w:rsidRDefault="00E76B6C">
            <w:pPr>
              <w:rPr>
                <w:rFonts w:cstheme="minorHAnsi"/>
              </w:rPr>
            </w:pPr>
            <w:r w:rsidRPr="0013030C">
              <w:rPr>
                <w:rFonts w:cstheme="minorHAnsi"/>
              </w:rPr>
              <w:t>No</w:t>
            </w:r>
          </w:p>
        </w:tc>
        <w:tc>
          <w:tcPr>
            <w:tcW w:w="1732" w:type="dxa"/>
          </w:tcPr>
          <w:p w14:paraId="4DB506E6" w14:textId="11A22AA6" w:rsidR="00E76B6C" w:rsidRPr="0013030C" w:rsidRDefault="00E76B6C">
            <w:pPr>
              <w:rPr>
                <w:rFonts w:cstheme="minorHAnsi"/>
              </w:rPr>
            </w:pPr>
            <w:r w:rsidRPr="0013030C">
              <w:rPr>
                <w:rFonts w:cstheme="minorHAnsi"/>
              </w:rPr>
              <w:t>No</w:t>
            </w:r>
          </w:p>
        </w:tc>
      </w:tr>
      <w:tr w:rsidR="00E76B6C" w:rsidRPr="0013030C" w14:paraId="63763DD9" w14:textId="34D691AD" w:rsidTr="00E76B6C">
        <w:tc>
          <w:tcPr>
            <w:tcW w:w="2089" w:type="dxa"/>
          </w:tcPr>
          <w:p w14:paraId="3E4B950C" w14:textId="4187E65A" w:rsidR="00E76B6C" w:rsidRPr="0013030C" w:rsidRDefault="00E76B6C">
            <w:pPr>
              <w:rPr>
                <w:rFonts w:cstheme="minorHAnsi"/>
              </w:rPr>
            </w:pPr>
            <w:r w:rsidRPr="0013030C">
              <w:rPr>
                <w:rFonts w:cstheme="minorHAnsi"/>
              </w:rPr>
              <w:t>D</w:t>
            </w:r>
          </w:p>
        </w:tc>
        <w:tc>
          <w:tcPr>
            <w:tcW w:w="1731" w:type="dxa"/>
          </w:tcPr>
          <w:p w14:paraId="74A1BFB4" w14:textId="2E4CF6FF" w:rsidR="00E76B6C" w:rsidRPr="0013030C" w:rsidRDefault="00E76B6C">
            <w:pPr>
              <w:rPr>
                <w:rFonts w:cstheme="minorHAnsi"/>
              </w:rPr>
            </w:pPr>
            <w:r w:rsidRPr="0013030C">
              <w:rPr>
                <w:rFonts w:cstheme="minorHAnsi"/>
              </w:rPr>
              <w:t>No</w:t>
            </w:r>
          </w:p>
        </w:tc>
        <w:tc>
          <w:tcPr>
            <w:tcW w:w="1732" w:type="dxa"/>
          </w:tcPr>
          <w:p w14:paraId="7C444E21" w14:textId="43655A8A" w:rsidR="00E76B6C" w:rsidRPr="0013030C" w:rsidRDefault="00E76B6C">
            <w:pPr>
              <w:rPr>
                <w:rFonts w:cstheme="minorHAnsi"/>
              </w:rPr>
            </w:pPr>
            <w:r w:rsidRPr="0013030C">
              <w:rPr>
                <w:rFonts w:cstheme="minorHAnsi"/>
              </w:rPr>
              <w:t>No</w:t>
            </w:r>
          </w:p>
        </w:tc>
        <w:tc>
          <w:tcPr>
            <w:tcW w:w="1732" w:type="dxa"/>
          </w:tcPr>
          <w:p w14:paraId="5D8B8DAD" w14:textId="5655A146" w:rsidR="00E76B6C" w:rsidRPr="0013030C" w:rsidRDefault="00E76B6C">
            <w:pPr>
              <w:rPr>
                <w:rFonts w:cstheme="minorHAnsi"/>
              </w:rPr>
            </w:pPr>
            <w:r w:rsidRPr="0013030C">
              <w:rPr>
                <w:rFonts w:cstheme="minorHAnsi"/>
              </w:rPr>
              <w:t>No</w:t>
            </w:r>
          </w:p>
        </w:tc>
        <w:tc>
          <w:tcPr>
            <w:tcW w:w="1732" w:type="dxa"/>
          </w:tcPr>
          <w:p w14:paraId="269F77CF" w14:textId="089FD7BC" w:rsidR="00E76B6C" w:rsidRPr="0013030C" w:rsidRDefault="00E76B6C">
            <w:pPr>
              <w:rPr>
                <w:rFonts w:cstheme="minorHAnsi"/>
              </w:rPr>
            </w:pPr>
            <w:r w:rsidRPr="0013030C">
              <w:rPr>
                <w:rFonts w:cstheme="minorHAnsi"/>
              </w:rPr>
              <w:t>No</w:t>
            </w:r>
          </w:p>
        </w:tc>
      </w:tr>
      <w:tr w:rsidR="00E76B6C" w:rsidRPr="0013030C" w14:paraId="12292CFC" w14:textId="4EC4117F" w:rsidTr="00E76B6C">
        <w:tc>
          <w:tcPr>
            <w:tcW w:w="2089" w:type="dxa"/>
          </w:tcPr>
          <w:p w14:paraId="4A2FA365" w14:textId="159CDA7F" w:rsidR="00E76B6C" w:rsidRPr="0013030C" w:rsidRDefault="00E76B6C">
            <w:pPr>
              <w:rPr>
                <w:rFonts w:cstheme="minorHAnsi"/>
              </w:rPr>
            </w:pPr>
            <w:r w:rsidRPr="0013030C">
              <w:rPr>
                <w:rFonts w:cstheme="minorHAnsi"/>
              </w:rPr>
              <w:t>E</w:t>
            </w:r>
          </w:p>
        </w:tc>
        <w:tc>
          <w:tcPr>
            <w:tcW w:w="1731" w:type="dxa"/>
          </w:tcPr>
          <w:p w14:paraId="209C334F" w14:textId="3B07A7B7" w:rsidR="00E76B6C" w:rsidRPr="0013030C" w:rsidRDefault="00E76B6C">
            <w:pPr>
              <w:rPr>
                <w:rFonts w:cstheme="minorHAnsi"/>
              </w:rPr>
            </w:pPr>
            <w:r w:rsidRPr="0013030C">
              <w:rPr>
                <w:rFonts w:cstheme="minorHAnsi"/>
              </w:rPr>
              <w:t>No</w:t>
            </w:r>
          </w:p>
        </w:tc>
        <w:tc>
          <w:tcPr>
            <w:tcW w:w="1732" w:type="dxa"/>
          </w:tcPr>
          <w:p w14:paraId="23691A78" w14:textId="082FCDB6" w:rsidR="00E76B6C" w:rsidRPr="0013030C" w:rsidRDefault="00E76B6C">
            <w:pPr>
              <w:rPr>
                <w:rFonts w:cstheme="minorHAnsi"/>
              </w:rPr>
            </w:pPr>
            <w:r w:rsidRPr="0013030C">
              <w:rPr>
                <w:rFonts w:cstheme="minorHAnsi"/>
              </w:rPr>
              <w:t>No</w:t>
            </w:r>
          </w:p>
        </w:tc>
        <w:tc>
          <w:tcPr>
            <w:tcW w:w="1732" w:type="dxa"/>
          </w:tcPr>
          <w:p w14:paraId="67264AC7" w14:textId="1212C7CF" w:rsidR="00E76B6C" w:rsidRPr="0013030C" w:rsidRDefault="00E76B6C">
            <w:pPr>
              <w:rPr>
                <w:rFonts w:cstheme="minorHAnsi"/>
              </w:rPr>
            </w:pPr>
            <w:r w:rsidRPr="0013030C">
              <w:rPr>
                <w:rFonts w:cstheme="minorHAnsi"/>
              </w:rPr>
              <w:t>No</w:t>
            </w:r>
          </w:p>
        </w:tc>
        <w:tc>
          <w:tcPr>
            <w:tcW w:w="1732" w:type="dxa"/>
          </w:tcPr>
          <w:p w14:paraId="52E0120C" w14:textId="7E6950DC" w:rsidR="00E76B6C" w:rsidRPr="0013030C" w:rsidRDefault="00E76B6C">
            <w:pPr>
              <w:rPr>
                <w:rFonts w:cstheme="minorHAnsi"/>
              </w:rPr>
            </w:pPr>
            <w:r w:rsidRPr="0013030C">
              <w:rPr>
                <w:rFonts w:cstheme="minorHAnsi"/>
              </w:rPr>
              <w:t>No</w:t>
            </w:r>
          </w:p>
        </w:tc>
      </w:tr>
      <w:tr w:rsidR="00E76B6C" w:rsidRPr="0013030C" w14:paraId="795C5023" w14:textId="79213930" w:rsidTr="00E76B6C">
        <w:tc>
          <w:tcPr>
            <w:tcW w:w="2089" w:type="dxa"/>
          </w:tcPr>
          <w:p w14:paraId="50AF8CA6" w14:textId="3D76FEC6" w:rsidR="00E76B6C" w:rsidRPr="0013030C" w:rsidRDefault="00E76B6C">
            <w:pPr>
              <w:rPr>
                <w:rFonts w:cstheme="minorHAnsi"/>
              </w:rPr>
            </w:pPr>
            <w:r w:rsidRPr="0013030C">
              <w:rPr>
                <w:rFonts w:cstheme="minorHAnsi"/>
              </w:rPr>
              <w:t>F</w:t>
            </w:r>
          </w:p>
        </w:tc>
        <w:tc>
          <w:tcPr>
            <w:tcW w:w="1731" w:type="dxa"/>
          </w:tcPr>
          <w:p w14:paraId="79B3929E" w14:textId="7F06BD5A" w:rsidR="00E76B6C" w:rsidRPr="0013030C" w:rsidRDefault="00E76B6C">
            <w:pPr>
              <w:rPr>
                <w:rFonts w:cstheme="minorHAnsi"/>
              </w:rPr>
            </w:pPr>
            <w:r w:rsidRPr="0013030C">
              <w:rPr>
                <w:rFonts w:cstheme="minorHAnsi"/>
              </w:rPr>
              <w:t>No</w:t>
            </w:r>
          </w:p>
        </w:tc>
        <w:tc>
          <w:tcPr>
            <w:tcW w:w="1732" w:type="dxa"/>
          </w:tcPr>
          <w:p w14:paraId="790CC130" w14:textId="18383AB1" w:rsidR="00E76B6C" w:rsidRPr="0013030C" w:rsidRDefault="00E76B6C">
            <w:pPr>
              <w:rPr>
                <w:rFonts w:cstheme="minorHAnsi"/>
              </w:rPr>
            </w:pPr>
            <w:r w:rsidRPr="0013030C">
              <w:rPr>
                <w:rFonts w:cstheme="minorHAnsi"/>
              </w:rPr>
              <w:t>No</w:t>
            </w:r>
          </w:p>
        </w:tc>
        <w:tc>
          <w:tcPr>
            <w:tcW w:w="1732" w:type="dxa"/>
          </w:tcPr>
          <w:p w14:paraId="4B898973" w14:textId="17900633" w:rsidR="00E76B6C" w:rsidRPr="0013030C" w:rsidRDefault="00E76B6C">
            <w:pPr>
              <w:rPr>
                <w:rFonts w:cstheme="minorHAnsi"/>
              </w:rPr>
            </w:pPr>
            <w:r w:rsidRPr="0013030C">
              <w:rPr>
                <w:rFonts w:cstheme="minorHAnsi"/>
              </w:rPr>
              <w:t>No</w:t>
            </w:r>
          </w:p>
        </w:tc>
        <w:tc>
          <w:tcPr>
            <w:tcW w:w="1732" w:type="dxa"/>
          </w:tcPr>
          <w:p w14:paraId="0A9BD6AF" w14:textId="48E3596B" w:rsidR="00E76B6C" w:rsidRPr="0013030C" w:rsidRDefault="00E76B6C">
            <w:pPr>
              <w:rPr>
                <w:rFonts w:cstheme="minorHAnsi"/>
              </w:rPr>
            </w:pPr>
            <w:r w:rsidRPr="0013030C">
              <w:rPr>
                <w:rFonts w:cstheme="minorHAnsi"/>
              </w:rPr>
              <w:t>No</w:t>
            </w:r>
          </w:p>
        </w:tc>
      </w:tr>
      <w:tr w:rsidR="00E76B6C" w:rsidRPr="0013030C" w14:paraId="54F80C10" w14:textId="1787AECD" w:rsidTr="00E76B6C">
        <w:tc>
          <w:tcPr>
            <w:tcW w:w="2089" w:type="dxa"/>
          </w:tcPr>
          <w:p w14:paraId="657B38BD" w14:textId="1918B418" w:rsidR="00E76B6C" w:rsidRPr="0013030C" w:rsidRDefault="00E76B6C">
            <w:pPr>
              <w:rPr>
                <w:rFonts w:cstheme="minorHAnsi"/>
              </w:rPr>
            </w:pPr>
            <w:r w:rsidRPr="0013030C">
              <w:rPr>
                <w:rFonts w:cstheme="minorHAnsi"/>
              </w:rPr>
              <w:t>G</w:t>
            </w:r>
          </w:p>
        </w:tc>
        <w:tc>
          <w:tcPr>
            <w:tcW w:w="1731" w:type="dxa"/>
          </w:tcPr>
          <w:p w14:paraId="433C8566" w14:textId="550F0C73" w:rsidR="00E76B6C" w:rsidRPr="0013030C" w:rsidRDefault="00E76B6C">
            <w:pPr>
              <w:rPr>
                <w:rFonts w:cstheme="minorHAnsi"/>
              </w:rPr>
            </w:pPr>
            <w:r w:rsidRPr="0013030C">
              <w:rPr>
                <w:rFonts w:cstheme="minorHAnsi"/>
              </w:rPr>
              <w:t>No</w:t>
            </w:r>
          </w:p>
        </w:tc>
        <w:tc>
          <w:tcPr>
            <w:tcW w:w="1732" w:type="dxa"/>
          </w:tcPr>
          <w:p w14:paraId="03D672A0" w14:textId="19A68C89" w:rsidR="00E76B6C" w:rsidRPr="0013030C" w:rsidRDefault="00E76B6C">
            <w:pPr>
              <w:rPr>
                <w:rFonts w:cstheme="minorHAnsi"/>
              </w:rPr>
            </w:pPr>
            <w:r w:rsidRPr="0013030C">
              <w:rPr>
                <w:rFonts w:cstheme="minorHAnsi"/>
              </w:rPr>
              <w:t>No</w:t>
            </w:r>
          </w:p>
        </w:tc>
        <w:tc>
          <w:tcPr>
            <w:tcW w:w="1732" w:type="dxa"/>
          </w:tcPr>
          <w:p w14:paraId="7A57C7D4" w14:textId="7BB4447C" w:rsidR="00E76B6C" w:rsidRPr="0013030C" w:rsidRDefault="00E76B6C">
            <w:pPr>
              <w:rPr>
                <w:rFonts w:cstheme="minorHAnsi"/>
              </w:rPr>
            </w:pPr>
            <w:r w:rsidRPr="0013030C">
              <w:rPr>
                <w:rFonts w:cstheme="minorHAnsi"/>
              </w:rPr>
              <w:t>No</w:t>
            </w:r>
          </w:p>
        </w:tc>
        <w:tc>
          <w:tcPr>
            <w:tcW w:w="1732" w:type="dxa"/>
          </w:tcPr>
          <w:p w14:paraId="4B499CEE" w14:textId="5C5AEED6" w:rsidR="00E76B6C" w:rsidRPr="0013030C" w:rsidRDefault="00E76B6C">
            <w:pPr>
              <w:rPr>
                <w:rFonts w:cstheme="minorHAnsi"/>
              </w:rPr>
            </w:pPr>
            <w:r w:rsidRPr="0013030C">
              <w:rPr>
                <w:rFonts w:cstheme="minorHAnsi"/>
              </w:rPr>
              <w:t>No</w:t>
            </w:r>
          </w:p>
        </w:tc>
      </w:tr>
      <w:tr w:rsidR="00E76B6C" w:rsidRPr="0013030C" w14:paraId="4B381F85" w14:textId="6216219D" w:rsidTr="00E76B6C">
        <w:tc>
          <w:tcPr>
            <w:tcW w:w="2089" w:type="dxa"/>
          </w:tcPr>
          <w:p w14:paraId="02B1AB10" w14:textId="63C1BF1A" w:rsidR="00E76B6C" w:rsidRPr="0013030C" w:rsidRDefault="00E76B6C">
            <w:pPr>
              <w:rPr>
                <w:rFonts w:cstheme="minorHAnsi"/>
              </w:rPr>
            </w:pPr>
            <w:r w:rsidRPr="0013030C">
              <w:rPr>
                <w:rFonts w:cstheme="minorHAnsi"/>
              </w:rPr>
              <w:t>H</w:t>
            </w:r>
          </w:p>
        </w:tc>
        <w:tc>
          <w:tcPr>
            <w:tcW w:w="1731" w:type="dxa"/>
          </w:tcPr>
          <w:p w14:paraId="74FC281A" w14:textId="02507B85" w:rsidR="00E76B6C" w:rsidRPr="0013030C" w:rsidRDefault="00E76B6C">
            <w:pPr>
              <w:rPr>
                <w:rFonts w:cstheme="minorHAnsi"/>
              </w:rPr>
            </w:pPr>
            <w:r w:rsidRPr="0013030C">
              <w:rPr>
                <w:rFonts w:cstheme="minorHAnsi"/>
              </w:rPr>
              <w:t>No</w:t>
            </w:r>
          </w:p>
        </w:tc>
        <w:tc>
          <w:tcPr>
            <w:tcW w:w="1732" w:type="dxa"/>
          </w:tcPr>
          <w:p w14:paraId="089B5C7F" w14:textId="4E52F446" w:rsidR="00E76B6C" w:rsidRPr="0013030C" w:rsidRDefault="00E76B6C">
            <w:pPr>
              <w:rPr>
                <w:rFonts w:cstheme="minorHAnsi"/>
              </w:rPr>
            </w:pPr>
            <w:r w:rsidRPr="0013030C">
              <w:rPr>
                <w:rFonts w:cstheme="minorHAnsi"/>
              </w:rPr>
              <w:t>No</w:t>
            </w:r>
          </w:p>
        </w:tc>
        <w:tc>
          <w:tcPr>
            <w:tcW w:w="1732" w:type="dxa"/>
          </w:tcPr>
          <w:p w14:paraId="74D1CD12" w14:textId="345F451E" w:rsidR="00E76B6C" w:rsidRPr="0013030C" w:rsidRDefault="00E76B6C">
            <w:pPr>
              <w:rPr>
                <w:rFonts w:cstheme="minorHAnsi"/>
              </w:rPr>
            </w:pPr>
            <w:r w:rsidRPr="0013030C">
              <w:rPr>
                <w:rFonts w:cstheme="minorHAnsi"/>
              </w:rPr>
              <w:t>No</w:t>
            </w:r>
          </w:p>
        </w:tc>
        <w:tc>
          <w:tcPr>
            <w:tcW w:w="1732" w:type="dxa"/>
          </w:tcPr>
          <w:p w14:paraId="061464FF" w14:textId="70812925" w:rsidR="00E76B6C" w:rsidRPr="0013030C" w:rsidRDefault="00E76B6C">
            <w:pPr>
              <w:rPr>
                <w:rFonts w:cstheme="minorHAnsi"/>
              </w:rPr>
            </w:pPr>
            <w:r w:rsidRPr="0013030C">
              <w:rPr>
                <w:rFonts w:cstheme="minorHAnsi"/>
              </w:rPr>
              <w:t>No</w:t>
            </w:r>
          </w:p>
        </w:tc>
      </w:tr>
      <w:tr w:rsidR="00E76B6C" w:rsidRPr="0013030C" w14:paraId="22A7ECAB" w14:textId="57733FC3" w:rsidTr="00E76B6C">
        <w:tc>
          <w:tcPr>
            <w:tcW w:w="2089" w:type="dxa"/>
          </w:tcPr>
          <w:p w14:paraId="4F61F505" w14:textId="1C27D33F" w:rsidR="00E76B6C" w:rsidRPr="0013030C" w:rsidRDefault="00E76B6C">
            <w:pPr>
              <w:rPr>
                <w:rFonts w:cstheme="minorHAnsi"/>
                <w:b/>
                <w:bCs/>
              </w:rPr>
            </w:pPr>
            <w:r w:rsidRPr="0013030C">
              <w:rPr>
                <w:rFonts w:cstheme="minorHAnsi"/>
                <w:b/>
                <w:bCs/>
              </w:rPr>
              <w:t>Total</w:t>
            </w:r>
          </w:p>
        </w:tc>
        <w:tc>
          <w:tcPr>
            <w:tcW w:w="1731" w:type="dxa"/>
          </w:tcPr>
          <w:p w14:paraId="7C01B374" w14:textId="02C58B76" w:rsidR="00E76B6C" w:rsidRPr="0013030C" w:rsidRDefault="00E76B6C">
            <w:pPr>
              <w:rPr>
                <w:rFonts w:cstheme="minorHAnsi"/>
              </w:rPr>
            </w:pPr>
            <w:r w:rsidRPr="0013030C">
              <w:rPr>
                <w:rFonts w:cstheme="minorHAnsi"/>
              </w:rPr>
              <w:t>Y – 1 N - 7</w:t>
            </w:r>
          </w:p>
        </w:tc>
        <w:tc>
          <w:tcPr>
            <w:tcW w:w="1732" w:type="dxa"/>
          </w:tcPr>
          <w:p w14:paraId="684E65E5" w14:textId="15A7ED41" w:rsidR="00E76B6C" w:rsidRPr="0013030C" w:rsidRDefault="00E76B6C">
            <w:pPr>
              <w:rPr>
                <w:rFonts w:cstheme="minorHAnsi"/>
              </w:rPr>
            </w:pPr>
            <w:r w:rsidRPr="0013030C">
              <w:rPr>
                <w:rFonts w:cstheme="minorHAnsi"/>
              </w:rPr>
              <w:t>Y – 1 N- 7</w:t>
            </w:r>
          </w:p>
        </w:tc>
        <w:tc>
          <w:tcPr>
            <w:tcW w:w="1732" w:type="dxa"/>
          </w:tcPr>
          <w:p w14:paraId="5430CBA2" w14:textId="421DC84F" w:rsidR="00E76B6C" w:rsidRPr="0013030C" w:rsidRDefault="00E76B6C">
            <w:pPr>
              <w:rPr>
                <w:rFonts w:cstheme="minorHAnsi"/>
              </w:rPr>
            </w:pPr>
            <w:r w:rsidRPr="0013030C">
              <w:rPr>
                <w:rFonts w:cstheme="minorHAnsi"/>
              </w:rPr>
              <w:t>Y – 1 N – 7</w:t>
            </w:r>
          </w:p>
        </w:tc>
        <w:tc>
          <w:tcPr>
            <w:tcW w:w="1732" w:type="dxa"/>
          </w:tcPr>
          <w:p w14:paraId="7B61ED5C" w14:textId="24AB7D50" w:rsidR="00E76B6C" w:rsidRPr="0013030C" w:rsidRDefault="00E76B6C">
            <w:pPr>
              <w:rPr>
                <w:rFonts w:cstheme="minorHAnsi"/>
              </w:rPr>
            </w:pPr>
            <w:r w:rsidRPr="0013030C">
              <w:rPr>
                <w:rFonts w:cstheme="minorHAnsi"/>
              </w:rPr>
              <w:t>Y – 1 N- 7</w:t>
            </w:r>
          </w:p>
        </w:tc>
      </w:tr>
    </w:tbl>
    <w:p w14:paraId="2ED0F2AA" w14:textId="2FC16030" w:rsidR="00E76B6C" w:rsidRPr="0013030C" w:rsidRDefault="00E76B6C">
      <w:pPr>
        <w:rPr>
          <w:rFonts w:cstheme="minorHAnsi"/>
        </w:rPr>
      </w:pPr>
    </w:p>
    <w:p w14:paraId="49D66A63" w14:textId="77777777" w:rsidR="00E76B6C" w:rsidRPr="0013030C" w:rsidRDefault="00E76B6C">
      <w:pPr>
        <w:rPr>
          <w:rFonts w:cstheme="minorHAnsi"/>
        </w:rPr>
      </w:pPr>
    </w:p>
    <w:p w14:paraId="6A654DCD" w14:textId="77777777" w:rsidR="00E76B6C" w:rsidRPr="0013030C" w:rsidRDefault="00E76B6C">
      <w:pPr>
        <w:rPr>
          <w:rFonts w:cstheme="minorHAnsi"/>
        </w:rPr>
      </w:pPr>
    </w:p>
    <w:p w14:paraId="3AFDAB13" w14:textId="49BA3DAC" w:rsidR="00E76B6C" w:rsidRPr="0013030C" w:rsidRDefault="00E76B6C">
      <w:pPr>
        <w:rPr>
          <w:rFonts w:cstheme="minorHAnsi"/>
        </w:rPr>
      </w:pPr>
      <w:r w:rsidRPr="0013030C">
        <w:rPr>
          <w:rFonts w:cstheme="minorHAnsi"/>
        </w:rPr>
        <w:t>Post-Intervention</w:t>
      </w:r>
    </w:p>
    <w:p w14:paraId="16BA42A2" w14:textId="77777777" w:rsidR="00E76B6C" w:rsidRPr="0013030C" w:rsidRDefault="00E76B6C">
      <w:pPr>
        <w:rPr>
          <w:rFonts w:cstheme="minorHAnsi"/>
        </w:rPr>
      </w:pPr>
    </w:p>
    <w:p w14:paraId="2A145777" w14:textId="77777777" w:rsidR="00E76B6C" w:rsidRPr="0013030C" w:rsidRDefault="00E76B6C">
      <w:pPr>
        <w:rPr>
          <w:rFonts w:cstheme="minorHAnsi"/>
        </w:rPr>
      </w:pPr>
    </w:p>
    <w:tbl>
      <w:tblPr>
        <w:tblStyle w:val="TableGrid"/>
        <w:tblW w:w="0" w:type="auto"/>
        <w:tblLook w:val="04A0" w:firstRow="1" w:lastRow="0" w:firstColumn="1" w:lastColumn="0" w:noHBand="0" w:noVBand="1"/>
      </w:tblPr>
      <w:tblGrid>
        <w:gridCol w:w="2089"/>
        <w:gridCol w:w="1731"/>
        <w:gridCol w:w="1732"/>
        <w:gridCol w:w="1732"/>
        <w:gridCol w:w="1732"/>
      </w:tblGrid>
      <w:tr w:rsidR="00E76B6C" w:rsidRPr="0013030C" w14:paraId="465B8912" w14:textId="77777777" w:rsidTr="00FB3EFA">
        <w:tc>
          <w:tcPr>
            <w:tcW w:w="2089" w:type="dxa"/>
          </w:tcPr>
          <w:p w14:paraId="1B713CB5" w14:textId="77777777" w:rsidR="00E76B6C" w:rsidRPr="0013030C" w:rsidRDefault="00E76B6C" w:rsidP="00FB3EFA">
            <w:pPr>
              <w:rPr>
                <w:rFonts w:cstheme="minorHAnsi"/>
                <w:b/>
                <w:bCs/>
              </w:rPr>
            </w:pPr>
            <w:r w:rsidRPr="0013030C">
              <w:rPr>
                <w:rFonts w:cstheme="minorHAnsi"/>
                <w:b/>
                <w:bCs/>
              </w:rPr>
              <w:t>Student</w:t>
            </w:r>
          </w:p>
        </w:tc>
        <w:tc>
          <w:tcPr>
            <w:tcW w:w="1731" w:type="dxa"/>
          </w:tcPr>
          <w:p w14:paraId="6232A24D" w14:textId="77777777" w:rsidR="00E76B6C" w:rsidRPr="0013030C" w:rsidRDefault="00E76B6C" w:rsidP="00FB3EFA">
            <w:pPr>
              <w:rPr>
                <w:rFonts w:cstheme="minorHAnsi"/>
              </w:rPr>
            </w:pPr>
            <w:r w:rsidRPr="0013030C">
              <w:rPr>
                <w:rFonts w:cstheme="minorHAnsi"/>
              </w:rPr>
              <w:t xml:space="preserve">Q1. </w:t>
            </w:r>
          </w:p>
        </w:tc>
        <w:tc>
          <w:tcPr>
            <w:tcW w:w="1732" w:type="dxa"/>
          </w:tcPr>
          <w:p w14:paraId="4B8946CD" w14:textId="77777777" w:rsidR="00E76B6C" w:rsidRPr="0013030C" w:rsidRDefault="00E76B6C" w:rsidP="00FB3EFA">
            <w:pPr>
              <w:rPr>
                <w:rFonts w:cstheme="minorHAnsi"/>
              </w:rPr>
            </w:pPr>
            <w:r w:rsidRPr="0013030C">
              <w:rPr>
                <w:rFonts w:cstheme="minorHAnsi"/>
              </w:rPr>
              <w:t>Q2.</w:t>
            </w:r>
          </w:p>
        </w:tc>
        <w:tc>
          <w:tcPr>
            <w:tcW w:w="1732" w:type="dxa"/>
          </w:tcPr>
          <w:p w14:paraId="6C6E16B6" w14:textId="77777777" w:rsidR="00E76B6C" w:rsidRPr="0013030C" w:rsidRDefault="00E76B6C" w:rsidP="00FB3EFA">
            <w:pPr>
              <w:rPr>
                <w:rFonts w:cstheme="minorHAnsi"/>
              </w:rPr>
            </w:pPr>
            <w:r w:rsidRPr="0013030C">
              <w:rPr>
                <w:rFonts w:cstheme="minorHAnsi"/>
              </w:rPr>
              <w:t>Q3.</w:t>
            </w:r>
          </w:p>
        </w:tc>
        <w:tc>
          <w:tcPr>
            <w:tcW w:w="1732" w:type="dxa"/>
          </w:tcPr>
          <w:p w14:paraId="566A4811" w14:textId="77777777" w:rsidR="00E76B6C" w:rsidRPr="0013030C" w:rsidRDefault="00E76B6C" w:rsidP="00FB3EFA">
            <w:pPr>
              <w:rPr>
                <w:rFonts w:cstheme="minorHAnsi"/>
              </w:rPr>
            </w:pPr>
            <w:r w:rsidRPr="0013030C">
              <w:rPr>
                <w:rFonts w:cstheme="minorHAnsi"/>
              </w:rPr>
              <w:t>Q4.</w:t>
            </w:r>
          </w:p>
        </w:tc>
      </w:tr>
      <w:tr w:rsidR="00E76B6C" w:rsidRPr="0013030C" w14:paraId="2AE19C72" w14:textId="77777777" w:rsidTr="00FB3EFA">
        <w:tc>
          <w:tcPr>
            <w:tcW w:w="2089" w:type="dxa"/>
          </w:tcPr>
          <w:p w14:paraId="40A649A9" w14:textId="77777777" w:rsidR="00E76B6C" w:rsidRPr="0013030C" w:rsidRDefault="00E76B6C" w:rsidP="00FB3EFA">
            <w:pPr>
              <w:rPr>
                <w:rFonts w:cstheme="minorHAnsi"/>
              </w:rPr>
            </w:pPr>
            <w:r w:rsidRPr="0013030C">
              <w:rPr>
                <w:rFonts w:cstheme="minorHAnsi"/>
              </w:rPr>
              <w:t>A</w:t>
            </w:r>
          </w:p>
        </w:tc>
        <w:tc>
          <w:tcPr>
            <w:tcW w:w="1731" w:type="dxa"/>
          </w:tcPr>
          <w:p w14:paraId="4664B53B" w14:textId="20D2F95B" w:rsidR="00E76B6C" w:rsidRPr="0013030C" w:rsidRDefault="00E76B6C" w:rsidP="00FB3EFA">
            <w:pPr>
              <w:rPr>
                <w:rFonts w:cstheme="minorHAnsi"/>
              </w:rPr>
            </w:pPr>
            <w:r w:rsidRPr="0013030C">
              <w:rPr>
                <w:rFonts w:cstheme="minorHAnsi"/>
              </w:rPr>
              <w:t>Yes</w:t>
            </w:r>
          </w:p>
        </w:tc>
        <w:tc>
          <w:tcPr>
            <w:tcW w:w="1732" w:type="dxa"/>
          </w:tcPr>
          <w:p w14:paraId="2089744C" w14:textId="4D9F897A" w:rsidR="00E76B6C" w:rsidRPr="0013030C" w:rsidRDefault="00E76B6C" w:rsidP="00FB3EFA">
            <w:pPr>
              <w:rPr>
                <w:rFonts w:cstheme="minorHAnsi"/>
              </w:rPr>
            </w:pPr>
            <w:r w:rsidRPr="0013030C">
              <w:rPr>
                <w:rFonts w:cstheme="minorHAnsi"/>
              </w:rPr>
              <w:t>Yes</w:t>
            </w:r>
          </w:p>
        </w:tc>
        <w:tc>
          <w:tcPr>
            <w:tcW w:w="1732" w:type="dxa"/>
          </w:tcPr>
          <w:p w14:paraId="543F559C" w14:textId="0C6D67E2" w:rsidR="00E76B6C" w:rsidRPr="0013030C" w:rsidRDefault="00E76B6C" w:rsidP="00FB3EFA">
            <w:pPr>
              <w:rPr>
                <w:rFonts w:cstheme="minorHAnsi"/>
              </w:rPr>
            </w:pPr>
            <w:r w:rsidRPr="0013030C">
              <w:rPr>
                <w:rFonts w:cstheme="minorHAnsi"/>
              </w:rPr>
              <w:t>Yes</w:t>
            </w:r>
          </w:p>
        </w:tc>
        <w:tc>
          <w:tcPr>
            <w:tcW w:w="1732" w:type="dxa"/>
          </w:tcPr>
          <w:p w14:paraId="1CC41EE3" w14:textId="1FEE9851" w:rsidR="00E76B6C" w:rsidRPr="0013030C" w:rsidRDefault="00E76B6C" w:rsidP="00FB3EFA">
            <w:pPr>
              <w:rPr>
                <w:rFonts w:cstheme="minorHAnsi"/>
              </w:rPr>
            </w:pPr>
            <w:r w:rsidRPr="0013030C">
              <w:rPr>
                <w:rFonts w:cstheme="minorHAnsi"/>
              </w:rPr>
              <w:t>Yes</w:t>
            </w:r>
          </w:p>
        </w:tc>
      </w:tr>
      <w:tr w:rsidR="00E76B6C" w:rsidRPr="0013030C" w14:paraId="2A7E7DD7" w14:textId="77777777" w:rsidTr="00FB3EFA">
        <w:tc>
          <w:tcPr>
            <w:tcW w:w="2089" w:type="dxa"/>
          </w:tcPr>
          <w:p w14:paraId="2C3B7AD0" w14:textId="77777777" w:rsidR="00E76B6C" w:rsidRPr="0013030C" w:rsidRDefault="00E76B6C" w:rsidP="00FB3EFA">
            <w:pPr>
              <w:rPr>
                <w:rFonts w:cstheme="minorHAnsi"/>
              </w:rPr>
            </w:pPr>
            <w:r w:rsidRPr="0013030C">
              <w:rPr>
                <w:rFonts w:cstheme="minorHAnsi"/>
              </w:rPr>
              <w:t>B</w:t>
            </w:r>
          </w:p>
        </w:tc>
        <w:tc>
          <w:tcPr>
            <w:tcW w:w="1731" w:type="dxa"/>
          </w:tcPr>
          <w:p w14:paraId="00E3364A" w14:textId="77777777" w:rsidR="00E76B6C" w:rsidRPr="0013030C" w:rsidRDefault="00E76B6C" w:rsidP="00FB3EFA">
            <w:pPr>
              <w:rPr>
                <w:rFonts w:cstheme="minorHAnsi"/>
              </w:rPr>
            </w:pPr>
            <w:r w:rsidRPr="0013030C">
              <w:rPr>
                <w:rFonts w:cstheme="minorHAnsi"/>
              </w:rPr>
              <w:t>Yes</w:t>
            </w:r>
          </w:p>
        </w:tc>
        <w:tc>
          <w:tcPr>
            <w:tcW w:w="1732" w:type="dxa"/>
          </w:tcPr>
          <w:p w14:paraId="27A65541" w14:textId="77777777" w:rsidR="00E76B6C" w:rsidRPr="0013030C" w:rsidRDefault="00E76B6C" w:rsidP="00FB3EFA">
            <w:pPr>
              <w:rPr>
                <w:rFonts w:cstheme="minorHAnsi"/>
              </w:rPr>
            </w:pPr>
            <w:r w:rsidRPr="0013030C">
              <w:rPr>
                <w:rFonts w:cstheme="minorHAnsi"/>
              </w:rPr>
              <w:t>Yes</w:t>
            </w:r>
          </w:p>
        </w:tc>
        <w:tc>
          <w:tcPr>
            <w:tcW w:w="1732" w:type="dxa"/>
          </w:tcPr>
          <w:p w14:paraId="33216413" w14:textId="77777777" w:rsidR="00E76B6C" w:rsidRPr="0013030C" w:rsidRDefault="00E76B6C" w:rsidP="00FB3EFA">
            <w:pPr>
              <w:rPr>
                <w:rFonts w:cstheme="minorHAnsi"/>
              </w:rPr>
            </w:pPr>
            <w:r w:rsidRPr="0013030C">
              <w:rPr>
                <w:rFonts w:cstheme="minorHAnsi"/>
              </w:rPr>
              <w:t>Yes</w:t>
            </w:r>
          </w:p>
        </w:tc>
        <w:tc>
          <w:tcPr>
            <w:tcW w:w="1732" w:type="dxa"/>
          </w:tcPr>
          <w:p w14:paraId="2308FA7E" w14:textId="77777777" w:rsidR="00E76B6C" w:rsidRPr="0013030C" w:rsidRDefault="00E76B6C" w:rsidP="00FB3EFA">
            <w:pPr>
              <w:rPr>
                <w:rFonts w:cstheme="minorHAnsi"/>
              </w:rPr>
            </w:pPr>
            <w:r w:rsidRPr="0013030C">
              <w:rPr>
                <w:rFonts w:cstheme="minorHAnsi"/>
              </w:rPr>
              <w:t>Yes</w:t>
            </w:r>
          </w:p>
        </w:tc>
      </w:tr>
      <w:tr w:rsidR="00E76B6C" w:rsidRPr="0013030C" w14:paraId="60E5942A" w14:textId="77777777" w:rsidTr="00FB3EFA">
        <w:tc>
          <w:tcPr>
            <w:tcW w:w="2089" w:type="dxa"/>
          </w:tcPr>
          <w:p w14:paraId="51AE7CEE" w14:textId="77777777" w:rsidR="00E76B6C" w:rsidRPr="0013030C" w:rsidRDefault="00E76B6C" w:rsidP="00FB3EFA">
            <w:pPr>
              <w:rPr>
                <w:rFonts w:cstheme="minorHAnsi"/>
              </w:rPr>
            </w:pPr>
            <w:r w:rsidRPr="0013030C">
              <w:rPr>
                <w:rFonts w:cstheme="minorHAnsi"/>
              </w:rPr>
              <w:t>C</w:t>
            </w:r>
          </w:p>
        </w:tc>
        <w:tc>
          <w:tcPr>
            <w:tcW w:w="1731" w:type="dxa"/>
          </w:tcPr>
          <w:p w14:paraId="2DFB9429" w14:textId="0F335BD1" w:rsidR="00E76B6C" w:rsidRPr="0013030C" w:rsidRDefault="00E76B6C" w:rsidP="00FB3EFA">
            <w:pPr>
              <w:rPr>
                <w:rFonts w:cstheme="minorHAnsi"/>
              </w:rPr>
            </w:pPr>
            <w:r w:rsidRPr="0013030C">
              <w:rPr>
                <w:rFonts w:cstheme="minorHAnsi"/>
              </w:rPr>
              <w:t>Yes</w:t>
            </w:r>
          </w:p>
        </w:tc>
        <w:tc>
          <w:tcPr>
            <w:tcW w:w="1732" w:type="dxa"/>
          </w:tcPr>
          <w:p w14:paraId="276FB506" w14:textId="1BCB93EB" w:rsidR="00E76B6C" w:rsidRPr="0013030C" w:rsidRDefault="00E76B6C" w:rsidP="00FB3EFA">
            <w:pPr>
              <w:rPr>
                <w:rFonts w:cstheme="minorHAnsi"/>
              </w:rPr>
            </w:pPr>
            <w:r w:rsidRPr="0013030C">
              <w:rPr>
                <w:rFonts w:cstheme="minorHAnsi"/>
              </w:rPr>
              <w:t>Yes</w:t>
            </w:r>
          </w:p>
        </w:tc>
        <w:tc>
          <w:tcPr>
            <w:tcW w:w="1732" w:type="dxa"/>
          </w:tcPr>
          <w:p w14:paraId="03806FA4" w14:textId="04413BF5" w:rsidR="00E76B6C" w:rsidRPr="0013030C" w:rsidRDefault="00E76B6C" w:rsidP="00FB3EFA">
            <w:pPr>
              <w:rPr>
                <w:rFonts w:cstheme="minorHAnsi"/>
              </w:rPr>
            </w:pPr>
            <w:r w:rsidRPr="0013030C">
              <w:rPr>
                <w:rFonts w:cstheme="minorHAnsi"/>
              </w:rPr>
              <w:t>Yes</w:t>
            </w:r>
          </w:p>
        </w:tc>
        <w:tc>
          <w:tcPr>
            <w:tcW w:w="1732" w:type="dxa"/>
          </w:tcPr>
          <w:p w14:paraId="71478C7D" w14:textId="7F918131" w:rsidR="00E76B6C" w:rsidRPr="0013030C" w:rsidRDefault="00E76B6C" w:rsidP="00FB3EFA">
            <w:pPr>
              <w:rPr>
                <w:rFonts w:cstheme="minorHAnsi"/>
              </w:rPr>
            </w:pPr>
            <w:r w:rsidRPr="0013030C">
              <w:rPr>
                <w:rFonts w:cstheme="minorHAnsi"/>
              </w:rPr>
              <w:t>Yes</w:t>
            </w:r>
          </w:p>
        </w:tc>
      </w:tr>
      <w:tr w:rsidR="00E76B6C" w:rsidRPr="0013030C" w14:paraId="38AB2261" w14:textId="77777777" w:rsidTr="00FB3EFA">
        <w:tc>
          <w:tcPr>
            <w:tcW w:w="2089" w:type="dxa"/>
          </w:tcPr>
          <w:p w14:paraId="6271F9BB" w14:textId="77777777" w:rsidR="00E76B6C" w:rsidRPr="0013030C" w:rsidRDefault="00E76B6C" w:rsidP="00FB3EFA">
            <w:pPr>
              <w:rPr>
                <w:rFonts w:cstheme="minorHAnsi"/>
              </w:rPr>
            </w:pPr>
            <w:r w:rsidRPr="0013030C">
              <w:rPr>
                <w:rFonts w:cstheme="minorHAnsi"/>
              </w:rPr>
              <w:t>D</w:t>
            </w:r>
          </w:p>
        </w:tc>
        <w:tc>
          <w:tcPr>
            <w:tcW w:w="1731" w:type="dxa"/>
          </w:tcPr>
          <w:p w14:paraId="4986590B" w14:textId="77777777" w:rsidR="00E76B6C" w:rsidRPr="0013030C" w:rsidRDefault="00E76B6C" w:rsidP="00FB3EFA">
            <w:pPr>
              <w:rPr>
                <w:rFonts w:cstheme="minorHAnsi"/>
              </w:rPr>
            </w:pPr>
            <w:r w:rsidRPr="0013030C">
              <w:rPr>
                <w:rFonts w:cstheme="minorHAnsi"/>
              </w:rPr>
              <w:t>No</w:t>
            </w:r>
          </w:p>
        </w:tc>
        <w:tc>
          <w:tcPr>
            <w:tcW w:w="1732" w:type="dxa"/>
          </w:tcPr>
          <w:p w14:paraId="4212DA3B" w14:textId="77777777" w:rsidR="00E76B6C" w:rsidRPr="0013030C" w:rsidRDefault="00E76B6C" w:rsidP="00FB3EFA">
            <w:pPr>
              <w:rPr>
                <w:rFonts w:cstheme="minorHAnsi"/>
              </w:rPr>
            </w:pPr>
            <w:r w:rsidRPr="0013030C">
              <w:rPr>
                <w:rFonts w:cstheme="minorHAnsi"/>
              </w:rPr>
              <w:t>No</w:t>
            </w:r>
          </w:p>
        </w:tc>
        <w:tc>
          <w:tcPr>
            <w:tcW w:w="1732" w:type="dxa"/>
          </w:tcPr>
          <w:p w14:paraId="684ADE1A" w14:textId="77777777" w:rsidR="00E76B6C" w:rsidRPr="0013030C" w:rsidRDefault="00E76B6C" w:rsidP="00FB3EFA">
            <w:pPr>
              <w:rPr>
                <w:rFonts w:cstheme="minorHAnsi"/>
              </w:rPr>
            </w:pPr>
            <w:r w:rsidRPr="0013030C">
              <w:rPr>
                <w:rFonts w:cstheme="minorHAnsi"/>
              </w:rPr>
              <w:t>No</w:t>
            </w:r>
          </w:p>
        </w:tc>
        <w:tc>
          <w:tcPr>
            <w:tcW w:w="1732" w:type="dxa"/>
          </w:tcPr>
          <w:p w14:paraId="1B376F07" w14:textId="77777777" w:rsidR="00E76B6C" w:rsidRPr="0013030C" w:rsidRDefault="00E76B6C" w:rsidP="00FB3EFA">
            <w:pPr>
              <w:rPr>
                <w:rFonts w:cstheme="minorHAnsi"/>
              </w:rPr>
            </w:pPr>
            <w:r w:rsidRPr="0013030C">
              <w:rPr>
                <w:rFonts w:cstheme="minorHAnsi"/>
              </w:rPr>
              <w:t>No</w:t>
            </w:r>
          </w:p>
        </w:tc>
      </w:tr>
      <w:tr w:rsidR="00E76B6C" w:rsidRPr="0013030C" w14:paraId="2132D366" w14:textId="77777777" w:rsidTr="00FB3EFA">
        <w:tc>
          <w:tcPr>
            <w:tcW w:w="2089" w:type="dxa"/>
          </w:tcPr>
          <w:p w14:paraId="1852BDFB" w14:textId="77777777" w:rsidR="00E76B6C" w:rsidRPr="0013030C" w:rsidRDefault="00E76B6C" w:rsidP="00FB3EFA">
            <w:pPr>
              <w:rPr>
                <w:rFonts w:cstheme="minorHAnsi"/>
              </w:rPr>
            </w:pPr>
            <w:r w:rsidRPr="0013030C">
              <w:rPr>
                <w:rFonts w:cstheme="minorHAnsi"/>
              </w:rPr>
              <w:t>E</w:t>
            </w:r>
          </w:p>
        </w:tc>
        <w:tc>
          <w:tcPr>
            <w:tcW w:w="1731" w:type="dxa"/>
          </w:tcPr>
          <w:p w14:paraId="394EF863" w14:textId="76A2185E" w:rsidR="00E76B6C" w:rsidRPr="0013030C" w:rsidRDefault="00E76B6C" w:rsidP="00E76B6C">
            <w:pPr>
              <w:tabs>
                <w:tab w:val="left" w:pos="807"/>
              </w:tabs>
              <w:rPr>
                <w:rFonts w:cstheme="minorHAnsi"/>
              </w:rPr>
            </w:pPr>
            <w:r w:rsidRPr="0013030C">
              <w:rPr>
                <w:rFonts w:cstheme="minorHAnsi"/>
              </w:rPr>
              <w:t>Yes</w:t>
            </w:r>
          </w:p>
        </w:tc>
        <w:tc>
          <w:tcPr>
            <w:tcW w:w="1732" w:type="dxa"/>
          </w:tcPr>
          <w:p w14:paraId="259BBC44" w14:textId="23177136" w:rsidR="00E76B6C" w:rsidRPr="0013030C" w:rsidRDefault="00E76B6C" w:rsidP="00FB3EFA">
            <w:pPr>
              <w:rPr>
                <w:rFonts w:cstheme="minorHAnsi"/>
              </w:rPr>
            </w:pPr>
            <w:r w:rsidRPr="0013030C">
              <w:rPr>
                <w:rFonts w:cstheme="minorHAnsi"/>
              </w:rPr>
              <w:t>Yes</w:t>
            </w:r>
          </w:p>
        </w:tc>
        <w:tc>
          <w:tcPr>
            <w:tcW w:w="1732" w:type="dxa"/>
          </w:tcPr>
          <w:p w14:paraId="62924F6C" w14:textId="7460A51F" w:rsidR="00E76B6C" w:rsidRPr="0013030C" w:rsidRDefault="00E76B6C" w:rsidP="00FB3EFA">
            <w:pPr>
              <w:rPr>
                <w:rFonts w:cstheme="minorHAnsi"/>
              </w:rPr>
            </w:pPr>
            <w:r w:rsidRPr="0013030C">
              <w:rPr>
                <w:rFonts w:cstheme="minorHAnsi"/>
              </w:rPr>
              <w:t>Yes</w:t>
            </w:r>
          </w:p>
        </w:tc>
        <w:tc>
          <w:tcPr>
            <w:tcW w:w="1732" w:type="dxa"/>
          </w:tcPr>
          <w:p w14:paraId="21FDD075" w14:textId="636225B4" w:rsidR="00E76B6C" w:rsidRPr="0013030C" w:rsidRDefault="00E76B6C" w:rsidP="00FB3EFA">
            <w:pPr>
              <w:rPr>
                <w:rFonts w:cstheme="minorHAnsi"/>
              </w:rPr>
            </w:pPr>
            <w:r w:rsidRPr="0013030C">
              <w:rPr>
                <w:rFonts w:cstheme="minorHAnsi"/>
              </w:rPr>
              <w:t>Yes</w:t>
            </w:r>
          </w:p>
        </w:tc>
      </w:tr>
      <w:tr w:rsidR="00E76B6C" w:rsidRPr="0013030C" w14:paraId="45F2330C" w14:textId="77777777" w:rsidTr="00FB3EFA">
        <w:tc>
          <w:tcPr>
            <w:tcW w:w="2089" w:type="dxa"/>
          </w:tcPr>
          <w:p w14:paraId="35E4C10E" w14:textId="77777777" w:rsidR="00E76B6C" w:rsidRPr="0013030C" w:rsidRDefault="00E76B6C" w:rsidP="00FB3EFA">
            <w:pPr>
              <w:rPr>
                <w:rFonts w:cstheme="minorHAnsi"/>
              </w:rPr>
            </w:pPr>
            <w:r w:rsidRPr="0013030C">
              <w:rPr>
                <w:rFonts w:cstheme="minorHAnsi"/>
              </w:rPr>
              <w:t>F</w:t>
            </w:r>
          </w:p>
        </w:tc>
        <w:tc>
          <w:tcPr>
            <w:tcW w:w="1731" w:type="dxa"/>
          </w:tcPr>
          <w:p w14:paraId="23CEF720" w14:textId="1A306B24" w:rsidR="00E76B6C" w:rsidRPr="0013030C" w:rsidRDefault="00E76B6C" w:rsidP="00FB3EFA">
            <w:pPr>
              <w:rPr>
                <w:rFonts w:cstheme="minorHAnsi"/>
              </w:rPr>
            </w:pPr>
            <w:r w:rsidRPr="0013030C">
              <w:rPr>
                <w:rFonts w:cstheme="minorHAnsi"/>
              </w:rPr>
              <w:t>Yes</w:t>
            </w:r>
          </w:p>
        </w:tc>
        <w:tc>
          <w:tcPr>
            <w:tcW w:w="1732" w:type="dxa"/>
          </w:tcPr>
          <w:p w14:paraId="55EB5393" w14:textId="2229C8B6" w:rsidR="00E76B6C" w:rsidRPr="0013030C" w:rsidRDefault="00E76B6C" w:rsidP="00FB3EFA">
            <w:pPr>
              <w:rPr>
                <w:rFonts w:cstheme="minorHAnsi"/>
              </w:rPr>
            </w:pPr>
            <w:r w:rsidRPr="0013030C">
              <w:rPr>
                <w:rFonts w:cstheme="minorHAnsi"/>
              </w:rPr>
              <w:t>Yes</w:t>
            </w:r>
          </w:p>
        </w:tc>
        <w:tc>
          <w:tcPr>
            <w:tcW w:w="1732" w:type="dxa"/>
          </w:tcPr>
          <w:p w14:paraId="3FF21D26" w14:textId="149C5924" w:rsidR="00E76B6C" w:rsidRPr="0013030C" w:rsidRDefault="00E76B6C" w:rsidP="00FB3EFA">
            <w:pPr>
              <w:rPr>
                <w:rFonts w:cstheme="minorHAnsi"/>
              </w:rPr>
            </w:pPr>
            <w:r w:rsidRPr="0013030C">
              <w:rPr>
                <w:rFonts w:cstheme="minorHAnsi"/>
              </w:rPr>
              <w:t>Yes</w:t>
            </w:r>
          </w:p>
        </w:tc>
        <w:tc>
          <w:tcPr>
            <w:tcW w:w="1732" w:type="dxa"/>
          </w:tcPr>
          <w:p w14:paraId="4655001D" w14:textId="0F1B646D" w:rsidR="00E76B6C" w:rsidRPr="0013030C" w:rsidRDefault="00E76B6C" w:rsidP="00FB3EFA">
            <w:pPr>
              <w:rPr>
                <w:rFonts w:cstheme="minorHAnsi"/>
              </w:rPr>
            </w:pPr>
            <w:r w:rsidRPr="0013030C">
              <w:rPr>
                <w:rFonts w:cstheme="minorHAnsi"/>
              </w:rPr>
              <w:t>Yes</w:t>
            </w:r>
          </w:p>
        </w:tc>
      </w:tr>
      <w:tr w:rsidR="00E76B6C" w:rsidRPr="0013030C" w14:paraId="4902B503" w14:textId="77777777" w:rsidTr="00FB3EFA">
        <w:tc>
          <w:tcPr>
            <w:tcW w:w="2089" w:type="dxa"/>
          </w:tcPr>
          <w:p w14:paraId="779D3D61" w14:textId="77777777" w:rsidR="00E76B6C" w:rsidRPr="0013030C" w:rsidRDefault="00E76B6C" w:rsidP="00FB3EFA">
            <w:pPr>
              <w:rPr>
                <w:rFonts w:cstheme="minorHAnsi"/>
              </w:rPr>
            </w:pPr>
            <w:r w:rsidRPr="0013030C">
              <w:rPr>
                <w:rFonts w:cstheme="minorHAnsi"/>
              </w:rPr>
              <w:t>G</w:t>
            </w:r>
          </w:p>
        </w:tc>
        <w:tc>
          <w:tcPr>
            <w:tcW w:w="1731" w:type="dxa"/>
          </w:tcPr>
          <w:p w14:paraId="6648B343" w14:textId="77777777" w:rsidR="00E76B6C" w:rsidRPr="0013030C" w:rsidRDefault="00E76B6C" w:rsidP="00FB3EFA">
            <w:pPr>
              <w:rPr>
                <w:rFonts w:cstheme="minorHAnsi"/>
              </w:rPr>
            </w:pPr>
            <w:r w:rsidRPr="0013030C">
              <w:rPr>
                <w:rFonts w:cstheme="minorHAnsi"/>
              </w:rPr>
              <w:t>No</w:t>
            </w:r>
          </w:p>
        </w:tc>
        <w:tc>
          <w:tcPr>
            <w:tcW w:w="1732" w:type="dxa"/>
          </w:tcPr>
          <w:p w14:paraId="0E12094E" w14:textId="77777777" w:rsidR="00E76B6C" w:rsidRPr="0013030C" w:rsidRDefault="00E76B6C" w:rsidP="00FB3EFA">
            <w:pPr>
              <w:rPr>
                <w:rFonts w:cstheme="minorHAnsi"/>
              </w:rPr>
            </w:pPr>
            <w:r w:rsidRPr="0013030C">
              <w:rPr>
                <w:rFonts w:cstheme="minorHAnsi"/>
              </w:rPr>
              <w:t>No</w:t>
            </w:r>
          </w:p>
        </w:tc>
        <w:tc>
          <w:tcPr>
            <w:tcW w:w="1732" w:type="dxa"/>
          </w:tcPr>
          <w:p w14:paraId="64FBA164" w14:textId="77777777" w:rsidR="00E76B6C" w:rsidRPr="0013030C" w:rsidRDefault="00E76B6C" w:rsidP="00FB3EFA">
            <w:pPr>
              <w:rPr>
                <w:rFonts w:cstheme="minorHAnsi"/>
              </w:rPr>
            </w:pPr>
            <w:r w:rsidRPr="0013030C">
              <w:rPr>
                <w:rFonts w:cstheme="minorHAnsi"/>
              </w:rPr>
              <w:t>No</w:t>
            </w:r>
          </w:p>
        </w:tc>
        <w:tc>
          <w:tcPr>
            <w:tcW w:w="1732" w:type="dxa"/>
          </w:tcPr>
          <w:p w14:paraId="246B720A" w14:textId="77777777" w:rsidR="00E76B6C" w:rsidRPr="0013030C" w:rsidRDefault="00E76B6C" w:rsidP="00FB3EFA">
            <w:pPr>
              <w:rPr>
                <w:rFonts w:cstheme="minorHAnsi"/>
              </w:rPr>
            </w:pPr>
            <w:r w:rsidRPr="0013030C">
              <w:rPr>
                <w:rFonts w:cstheme="minorHAnsi"/>
              </w:rPr>
              <w:t>No</w:t>
            </w:r>
          </w:p>
        </w:tc>
      </w:tr>
      <w:tr w:rsidR="00E76B6C" w:rsidRPr="0013030C" w14:paraId="3B229141" w14:textId="77777777" w:rsidTr="00FB3EFA">
        <w:tc>
          <w:tcPr>
            <w:tcW w:w="2089" w:type="dxa"/>
          </w:tcPr>
          <w:p w14:paraId="07E70398" w14:textId="77777777" w:rsidR="00E76B6C" w:rsidRPr="0013030C" w:rsidRDefault="00E76B6C" w:rsidP="00FB3EFA">
            <w:pPr>
              <w:rPr>
                <w:rFonts w:cstheme="minorHAnsi"/>
              </w:rPr>
            </w:pPr>
            <w:r w:rsidRPr="0013030C">
              <w:rPr>
                <w:rFonts w:cstheme="minorHAnsi"/>
              </w:rPr>
              <w:t>H</w:t>
            </w:r>
          </w:p>
        </w:tc>
        <w:tc>
          <w:tcPr>
            <w:tcW w:w="1731" w:type="dxa"/>
          </w:tcPr>
          <w:p w14:paraId="448186FB" w14:textId="77777777" w:rsidR="00E76B6C" w:rsidRPr="0013030C" w:rsidRDefault="00E76B6C" w:rsidP="00FB3EFA">
            <w:pPr>
              <w:rPr>
                <w:rFonts w:cstheme="minorHAnsi"/>
              </w:rPr>
            </w:pPr>
            <w:r w:rsidRPr="0013030C">
              <w:rPr>
                <w:rFonts w:cstheme="minorHAnsi"/>
              </w:rPr>
              <w:t>No</w:t>
            </w:r>
          </w:p>
        </w:tc>
        <w:tc>
          <w:tcPr>
            <w:tcW w:w="1732" w:type="dxa"/>
          </w:tcPr>
          <w:p w14:paraId="38241DD5" w14:textId="77777777" w:rsidR="00E76B6C" w:rsidRPr="0013030C" w:rsidRDefault="00E76B6C" w:rsidP="00FB3EFA">
            <w:pPr>
              <w:rPr>
                <w:rFonts w:cstheme="minorHAnsi"/>
              </w:rPr>
            </w:pPr>
            <w:r w:rsidRPr="0013030C">
              <w:rPr>
                <w:rFonts w:cstheme="minorHAnsi"/>
              </w:rPr>
              <w:t>No</w:t>
            </w:r>
          </w:p>
        </w:tc>
        <w:tc>
          <w:tcPr>
            <w:tcW w:w="1732" w:type="dxa"/>
          </w:tcPr>
          <w:p w14:paraId="5C993544" w14:textId="77777777" w:rsidR="00E76B6C" w:rsidRPr="0013030C" w:rsidRDefault="00E76B6C" w:rsidP="00FB3EFA">
            <w:pPr>
              <w:rPr>
                <w:rFonts w:cstheme="minorHAnsi"/>
              </w:rPr>
            </w:pPr>
            <w:r w:rsidRPr="0013030C">
              <w:rPr>
                <w:rFonts w:cstheme="minorHAnsi"/>
              </w:rPr>
              <w:t>No</w:t>
            </w:r>
          </w:p>
        </w:tc>
        <w:tc>
          <w:tcPr>
            <w:tcW w:w="1732" w:type="dxa"/>
          </w:tcPr>
          <w:p w14:paraId="7C9D5714" w14:textId="77777777" w:rsidR="00E76B6C" w:rsidRPr="0013030C" w:rsidRDefault="00E76B6C" w:rsidP="00FB3EFA">
            <w:pPr>
              <w:rPr>
                <w:rFonts w:cstheme="minorHAnsi"/>
              </w:rPr>
            </w:pPr>
            <w:r w:rsidRPr="0013030C">
              <w:rPr>
                <w:rFonts w:cstheme="minorHAnsi"/>
              </w:rPr>
              <w:t>No</w:t>
            </w:r>
          </w:p>
        </w:tc>
      </w:tr>
      <w:tr w:rsidR="00E76B6C" w:rsidRPr="0013030C" w14:paraId="3B5BB4DB" w14:textId="77777777" w:rsidTr="00FB3EFA">
        <w:tc>
          <w:tcPr>
            <w:tcW w:w="2089" w:type="dxa"/>
          </w:tcPr>
          <w:p w14:paraId="382B2F2C" w14:textId="77777777" w:rsidR="00E76B6C" w:rsidRPr="0013030C" w:rsidRDefault="00E76B6C" w:rsidP="00FB3EFA">
            <w:pPr>
              <w:rPr>
                <w:rFonts w:cstheme="minorHAnsi"/>
                <w:b/>
                <w:bCs/>
              </w:rPr>
            </w:pPr>
            <w:r w:rsidRPr="0013030C">
              <w:rPr>
                <w:rFonts w:cstheme="minorHAnsi"/>
                <w:b/>
                <w:bCs/>
              </w:rPr>
              <w:t>Total</w:t>
            </w:r>
          </w:p>
        </w:tc>
        <w:tc>
          <w:tcPr>
            <w:tcW w:w="1731" w:type="dxa"/>
          </w:tcPr>
          <w:p w14:paraId="6BBD8C8A" w14:textId="2AC98DF4" w:rsidR="00E76B6C" w:rsidRPr="0013030C" w:rsidRDefault="00E76B6C" w:rsidP="00FB3EFA">
            <w:pPr>
              <w:rPr>
                <w:rFonts w:cstheme="minorHAnsi"/>
              </w:rPr>
            </w:pPr>
            <w:r w:rsidRPr="0013030C">
              <w:rPr>
                <w:rFonts w:cstheme="minorHAnsi"/>
              </w:rPr>
              <w:t>Y-5 N-3</w:t>
            </w:r>
          </w:p>
        </w:tc>
        <w:tc>
          <w:tcPr>
            <w:tcW w:w="1732" w:type="dxa"/>
          </w:tcPr>
          <w:p w14:paraId="61C57700" w14:textId="654DAF39" w:rsidR="00E76B6C" w:rsidRPr="0013030C" w:rsidRDefault="00E76B6C" w:rsidP="00FB3EFA">
            <w:pPr>
              <w:rPr>
                <w:rFonts w:cstheme="minorHAnsi"/>
              </w:rPr>
            </w:pPr>
            <w:r w:rsidRPr="0013030C">
              <w:rPr>
                <w:rFonts w:cstheme="minorHAnsi"/>
              </w:rPr>
              <w:t>Y-5 N-3</w:t>
            </w:r>
          </w:p>
        </w:tc>
        <w:tc>
          <w:tcPr>
            <w:tcW w:w="1732" w:type="dxa"/>
          </w:tcPr>
          <w:p w14:paraId="6F73385A" w14:textId="704806AE" w:rsidR="00E76B6C" w:rsidRPr="0013030C" w:rsidRDefault="00E76B6C" w:rsidP="00FB3EFA">
            <w:pPr>
              <w:rPr>
                <w:rFonts w:cstheme="minorHAnsi"/>
              </w:rPr>
            </w:pPr>
            <w:r w:rsidRPr="0013030C">
              <w:rPr>
                <w:rFonts w:cstheme="minorHAnsi"/>
              </w:rPr>
              <w:t>Y-5 N-3</w:t>
            </w:r>
          </w:p>
        </w:tc>
        <w:tc>
          <w:tcPr>
            <w:tcW w:w="1732" w:type="dxa"/>
          </w:tcPr>
          <w:p w14:paraId="3245D07A" w14:textId="16352D69" w:rsidR="00E76B6C" w:rsidRPr="0013030C" w:rsidRDefault="00E76B6C" w:rsidP="00FB3EFA">
            <w:pPr>
              <w:rPr>
                <w:rFonts w:cstheme="minorHAnsi"/>
              </w:rPr>
            </w:pPr>
            <w:r w:rsidRPr="0013030C">
              <w:rPr>
                <w:rFonts w:cstheme="minorHAnsi"/>
              </w:rPr>
              <w:t>Y-5 N-3</w:t>
            </w:r>
          </w:p>
        </w:tc>
      </w:tr>
    </w:tbl>
    <w:p w14:paraId="7A2EA889" w14:textId="04E03717" w:rsidR="00E76B6C" w:rsidRPr="0013030C" w:rsidRDefault="00E76B6C">
      <w:pPr>
        <w:rPr>
          <w:rFonts w:cstheme="minorHAnsi"/>
        </w:rPr>
      </w:pPr>
    </w:p>
    <w:p w14:paraId="5929A520" w14:textId="77777777" w:rsidR="00590084" w:rsidRPr="0013030C" w:rsidRDefault="00590084">
      <w:pPr>
        <w:rPr>
          <w:rFonts w:cstheme="minorHAnsi"/>
        </w:rPr>
      </w:pPr>
    </w:p>
    <w:p w14:paraId="735B9252" w14:textId="795F31FA" w:rsidR="00590084" w:rsidRPr="004C4024" w:rsidRDefault="00A60E2E">
      <w:pPr>
        <w:rPr>
          <w:rFonts w:cstheme="minorHAnsi"/>
          <w:u w:val="single"/>
        </w:rPr>
      </w:pPr>
      <w:r w:rsidRPr="004C4024">
        <w:rPr>
          <w:rFonts w:cstheme="minorHAnsi"/>
          <w:u w:val="single"/>
        </w:rPr>
        <w:t>Discussion of Findings</w:t>
      </w:r>
    </w:p>
    <w:p w14:paraId="00B83D84" w14:textId="1E8C1BEB" w:rsidR="008B46AA" w:rsidRPr="0013030C" w:rsidRDefault="00590084">
      <w:pPr>
        <w:rPr>
          <w:rFonts w:cstheme="minorHAnsi"/>
          <w:u w:val="single"/>
        </w:rPr>
      </w:pPr>
      <w:r w:rsidRPr="0013030C">
        <w:rPr>
          <w:rFonts w:cstheme="minorHAnsi"/>
          <w:u w:val="single"/>
        </w:rPr>
        <w:t xml:space="preserve">Using popular culture increases student </w:t>
      </w:r>
      <w:r w:rsidR="008B46AA" w:rsidRPr="0013030C">
        <w:rPr>
          <w:rFonts w:cstheme="minorHAnsi"/>
          <w:u w:val="single"/>
        </w:rPr>
        <w:t>enjoyment of English lessons.</w:t>
      </w:r>
    </w:p>
    <w:p w14:paraId="6B918C28" w14:textId="05576200" w:rsidR="00CA48E0" w:rsidRPr="0013030C" w:rsidRDefault="008B46AA">
      <w:pPr>
        <w:rPr>
          <w:rFonts w:cstheme="minorHAnsi"/>
        </w:rPr>
      </w:pPr>
      <w:r w:rsidRPr="0013030C">
        <w:rPr>
          <w:rFonts w:cstheme="minorHAnsi"/>
        </w:rPr>
        <w:t>Comparing the pre-intervention data with the post-intervention data clearly demonstrates that student enjoyment increases with the use of popular culture references in English lessons. Of the eight students who took part in the study only one reported a positive answer prior to the intervention, which here represents the introduction and continued use of popular culture references, whereas post-intervention five of the students reported positive answers to the question ‘Do you enjoy English lessons?’</w:t>
      </w:r>
    </w:p>
    <w:p w14:paraId="24389383" w14:textId="77777777" w:rsidR="008B46AA" w:rsidRPr="0013030C" w:rsidRDefault="008B46AA">
      <w:pPr>
        <w:rPr>
          <w:rFonts w:cstheme="minorHAnsi"/>
        </w:rPr>
      </w:pPr>
    </w:p>
    <w:p w14:paraId="26C5CE2C" w14:textId="4B9EC770" w:rsidR="008B46AA" w:rsidRPr="0013030C" w:rsidRDefault="008B46AA">
      <w:pPr>
        <w:rPr>
          <w:rFonts w:cstheme="minorHAnsi"/>
          <w:u w:val="single"/>
        </w:rPr>
      </w:pPr>
      <w:r w:rsidRPr="0013030C">
        <w:rPr>
          <w:rFonts w:cstheme="minorHAnsi"/>
          <w:u w:val="single"/>
        </w:rPr>
        <w:t>Using popular culture increases student engagement in English lessons.</w:t>
      </w:r>
    </w:p>
    <w:p w14:paraId="1272EAA4" w14:textId="1225EF8D" w:rsidR="008B46AA" w:rsidRPr="0013030C" w:rsidRDefault="008B46AA">
      <w:pPr>
        <w:rPr>
          <w:rFonts w:cstheme="minorHAnsi"/>
        </w:rPr>
      </w:pPr>
      <w:r w:rsidRPr="0013030C">
        <w:rPr>
          <w:rFonts w:cstheme="minorHAnsi"/>
        </w:rPr>
        <w:t>As is the case for question one, students also reported an increase in engagement post intervention, again with five students recording positive answers, compared to a singular positive response pre-intervention.</w:t>
      </w:r>
    </w:p>
    <w:p w14:paraId="22CBCD70" w14:textId="77777777" w:rsidR="00CA48E0" w:rsidRPr="0013030C" w:rsidRDefault="00CA48E0">
      <w:pPr>
        <w:rPr>
          <w:rFonts w:cstheme="minorHAnsi"/>
        </w:rPr>
      </w:pPr>
    </w:p>
    <w:p w14:paraId="0F58E1DD" w14:textId="42CDF0D6" w:rsidR="008B46AA" w:rsidRPr="0013030C" w:rsidRDefault="008B46AA">
      <w:pPr>
        <w:rPr>
          <w:rFonts w:cstheme="minorHAnsi"/>
          <w:u w:val="single"/>
        </w:rPr>
      </w:pPr>
      <w:r w:rsidRPr="0013030C">
        <w:rPr>
          <w:rFonts w:cstheme="minorHAnsi"/>
          <w:u w:val="single"/>
        </w:rPr>
        <w:t>Using popular culture increases students’ ability to access canonical texts.</w:t>
      </w:r>
    </w:p>
    <w:p w14:paraId="213FEA99" w14:textId="34863B95" w:rsidR="008B46AA" w:rsidRPr="0013030C" w:rsidRDefault="008B46AA">
      <w:pPr>
        <w:rPr>
          <w:rFonts w:cstheme="minorHAnsi"/>
        </w:rPr>
      </w:pPr>
      <w:r w:rsidRPr="0013030C">
        <w:rPr>
          <w:rFonts w:cstheme="minorHAnsi"/>
        </w:rPr>
        <w:t>The data collected post intervention clearly demonstrates that the reframing of the existing narratives of canonical texts with the aid of popular culture references allows more students to grasp the themes and characters within the existing texts.</w:t>
      </w:r>
    </w:p>
    <w:p w14:paraId="44676687" w14:textId="77777777" w:rsidR="008B46AA" w:rsidRPr="0013030C" w:rsidRDefault="008B46AA">
      <w:pPr>
        <w:rPr>
          <w:rFonts w:cstheme="minorHAnsi"/>
        </w:rPr>
      </w:pPr>
    </w:p>
    <w:p w14:paraId="0C4B58D0" w14:textId="4372DE3B" w:rsidR="008B46AA" w:rsidRPr="0013030C" w:rsidRDefault="008B46AA">
      <w:pPr>
        <w:rPr>
          <w:rFonts w:cstheme="minorHAnsi"/>
          <w:u w:val="single"/>
        </w:rPr>
      </w:pPr>
      <w:r w:rsidRPr="0013030C">
        <w:rPr>
          <w:rFonts w:cstheme="minorHAnsi"/>
          <w:u w:val="single"/>
        </w:rPr>
        <w:lastRenderedPageBreak/>
        <w:t>Using popular culture references encourages more students to contribute to class discussions.</w:t>
      </w:r>
    </w:p>
    <w:p w14:paraId="10409F80" w14:textId="5C5A6952" w:rsidR="008B46AA" w:rsidRPr="0013030C" w:rsidRDefault="008B46AA">
      <w:pPr>
        <w:rPr>
          <w:rFonts w:cstheme="minorHAnsi"/>
        </w:rPr>
      </w:pPr>
      <w:r w:rsidRPr="0013030C">
        <w:rPr>
          <w:rFonts w:cstheme="minorHAnsi"/>
        </w:rPr>
        <w:t>The data collected suggests that once students have considered a more modern, popular culture interpretation of the texts they have studied they feel more confident and well-equipped to engage in discussions on texts and themes in a classroom setting.</w:t>
      </w:r>
    </w:p>
    <w:p w14:paraId="472B2379" w14:textId="77777777" w:rsidR="008B46AA" w:rsidRPr="0013030C" w:rsidRDefault="008B46AA">
      <w:pPr>
        <w:rPr>
          <w:rFonts w:cstheme="minorHAnsi"/>
        </w:rPr>
      </w:pPr>
    </w:p>
    <w:p w14:paraId="63CBE025" w14:textId="033A4FA1" w:rsidR="008B46AA" w:rsidRPr="0013030C" w:rsidRDefault="008B46AA">
      <w:pPr>
        <w:rPr>
          <w:rFonts w:cstheme="minorHAnsi"/>
        </w:rPr>
      </w:pPr>
      <w:r w:rsidRPr="0013030C">
        <w:rPr>
          <w:rFonts w:cstheme="minorHAnsi"/>
        </w:rPr>
        <w:t>The data gathered would suggest that there is a direct correlation between all four of the phenomena referenced in the questions, as all the students who changed their answers post intervention did so in all four questions. Furthermore, as the only change to the pedagogy was the introduction of popular culture references, this would suggest that popular culture references were the catalyst that caused the change in student engagement, enjoyment, ability to access the texts and their likelihood to engage in discussions. This contention is further supported by the fact that the canonical text studied remained constant, which provides a valuable control, a benchmark against which the efficacy of the new pedagogy can be measured. Essentially, more students enjoy lessons with the use of popular culture, which leads to increased engagement, which allows them to access the text more confidently, which in turn allows them to contribute more confidently to discussion.</w:t>
      </w:r>
    </w:p>
    <w:p w14:paraId="39867F34" w14:textId="77777777" w:rsidR="008B46AA" w:rsidRPr="0013030C" w:rsidRDefault="008B46AA">
      <w:pPr>
        <w:rPr>
          <w:rFonts w:cstheme="minorHAnsi"/>
        </w:rPr>
      </w:pPr>
    </w:p>
    <w:p w14:paraId="3A6596B5" w14:textId="426A4391" w:rsidR="008B46AA" w:rsidRPr="0013030C" w:rsidRDefault="008B46AA">
      <w:pPr>
        <w:rPr>
          <w:rFonts w:cstheme="minorHAnsi"/>
        </w:rPr>
      </w:pPr>
      <w:r w:rsidRPr="0013030C">
        <w:rPr>
          <w:rFonts w:cstheme="minorHAnsi"/>
        </w:rPr>
        <w:t>While the number of students who changed their answers post intervention suggests that popular culture references certainly have a positive impact on engagement, it is important to consider that three students reported no change in any of their answers. This could suggest that the potentially subjective nature of what we define as popular culture could still permit some students to be disengaged in English lessons.</w:t>
      </w:r>
    </w:p>
    <w:p w14:paraId="2E433BFD" w14:textId="77777777" w:rsidR="008B46AA" w:rsidRPr="0013030C" w:rsidRDefault="008B46AA">
      <w:pPr>
        <w:rPr>
          <w:rFonts w:cstheme="minorHAnsi"/>
        </w:rPr>
      </w:pPr>
    </w:p>
    <w:p w14:paraId="7EA2E6E8" w14:textId="3CA59A2C" w:rsidR="008B46AA" w:rsidRPr="0013030C" w:rsidRDefault="008B46AA">
      <w:pPr>
        <w:rPr>
          <w:rFonts w:cstheme="minorHAnsi"/>
        </w:rPr>
      </w:pPr>
      <w:r w:rsidRPr="0013030C">
        <w:rPr>
          <w:rFonts w:cstheme="minorHAnsi"/>
        </w:rPr>
        <w:t>To summarise, the findings of this study are consistent with the contentions of Morrell, who claimed that popular culture references can serve as a valuable bridge between student worlds and canonical texts (Morrell 2002). In addition to this, the data gathered suggests that by using varied, interchangeable forms of literacy English teachers can lead students to see themselves as successful readers and writers (</w:t>
      </w:r>
      <w:proofErr w:type="spellStart"/>
      <w:r w:rsidRPr="0013030C">
        <w:rPr>
          <w:rFonts w:cstheme="minorHAnsi"/>
        </w:rPr>
        <w:t>Kajder</w:t>
      </w:r>
      <w:proofErr w:type="spellEnd"/>
      <w:r w:rsidRPr="0013030C">
        <w:rPr>
          <w:rFonts w:cstheme="minorHAnsi"/>
        </w:rPr>
        <w:t xml:space="preserve"> 2006).</w:t>
      </w:r>
    </w:p>
    <w:p w14:paraId="31A8723E" w14:textId="77777777" w:rsidR="008B46AA" w:rsidRPr="0013030C" w:rsidRDefault="008B46AA">
      <w:pPr>
        <w:rPr>
          <w:rFonts w:cstheme="minorHAnsi"/>
        </w:rPr>
      </w:pPr>
    </w:p>
    <w:p w14:paraId="10829E73" w14:textId="0F83BB95" w:rsidR="00CA48E0" w:rsidRPr="0013030C" w:rsidRDefault="008B46AA">
      <w:pPr>
        <w:rPr>
          <w:rFonts w:cstheme="minorHAnsi"/>
        </w:rPr>
      </w:pPr>
      <w:r w:rsidRPr="0013030C">
        <w:rPr>
          <w:rFonts w:cstheme="minorHAnsi"/>
        </w:rPr>
        <w:t>When considering future practice, I intend to continue to make use of popular culture references alongside other forms of New Literacy to allow all my students to increase their ability to access texts, contribute to discussion and enjoy English as a subject.</w:t>
      </w:r>
    </w:p>
    <w:p w14:paraId="300B949C" w14:textId="77777777" w:rsidR="00CA48E0" w:rsidRPr="0013030C" w:rsidRDefault="00CA48E0">
      <w:pPr>
        <w:rPr>
          <w:rFonts w:cstheme="minorHAnsi"/>
        </w:rPr>
      </w:pPr>
    </w:p>
    <w:p w14:paraId="0940B944" w14:textId="77777777" w:rsidR="00CA48E0" w:rsidRPr="0013030C" w:rsidRDefault="00CA48E0">
      <w:pPr>
        <w:rPr>
          <w:rFonts w:cstheme="minorHAnsi"/>
        </w:rPr>
      </w:pPr>
    </w:p>
    <w:p w14:paraId="53D850BF" w14:textId="6D31BC46" w:rsidR="00590084" w:rsidRPr="004C4024" w:rsidRDefault="008B46AA">
      <w:pPr>
        <w:rPr>
          <w:rFonts w:cstheme="minorHAnsi"/>
          <w:u w:val="single"/>
        </w:rPr>
      </w:pPr>
      <w:r w:rsidRPr="004C4024">
        <w:rPr>
          <w:rFonts w:cstheme="minorHAnsi"/>
          <w:u w:val="single"/>
        </w:rPr>
        <w:t>Conclusions and Recommendations</w:t>
      </w:r>
    </w:p>
    <w:p w14:paraId="3E6593BD" w14:textId="7F39BD53" w:rsidR="008B46AA" w:rsidRPr="0013030C" w:rsidRDefault="008B46AA">
      <w:pPr>
        <w:rPr>
          <w:rFonts w:cstheme="minorHAnsi"/>
        </w:rPr>
      </w:pPr>
    </w:p>
    <w:p w14:paraId="41A5ABEE" w14:textId="02533842" w:rsidR="008B46AA" w:rsidRPr="0013030C" w:rsidRDefault="008B46AA">
      <w:pPr>
        <w:rPr>
          <w:rFonts w:cstheme="minorHAnsi"/>
        </w:rPr>
      </w:pPr>
      <w:r w:rsidRPr="0013030C">
        <w:rPr>
          <w:rFonts w:cstheme="minorHAnsi"/>
        </w:rPr>
        <w:t xml:space="preserve">The data collected has presented a clear, easy to interpret, demonstrable increase in engagement by the use popular culture in English lessons. The data was collected with anonymity, using a concise, simple questionnaire, which has negated the possibility for results to be unclear or misinterpreted. One element that could perhaps be altered to increase the validity and generalisability of the study would be to implement it across multiple age groups and ability levels, as the fact this research was conducted on a Year 11 top set class could represent a slightly limited sample. However, the complex nature of the canonical texts at this level justifies the use of popular culture references to scaffold their interaction with the texts as they are of an increased complexity to the texts studied by other age groups. Based on the findings of this research, the identification of and pairing of </w:t>
      </w:r>
      <w:r w:rsidRPr="0013030C">
        <w:rPr>
          <w:rFonts w:cstheme="minorHAnsi"/>
        </w:rPr>
        <w:lastRenderedPageBreak/>
        <w:t>alternative forms of media that have similar narratives, themes or characters with existing canonical texts could aid teachers in increasing engagement with some particularly challenging texts.</w:t>
      </w:r>
    </w:p>
    <w:p w14:paraId="1C2569DC" w14:textId="77777777" w:rsidR="00A60E2E" w:rsidRPr="0013030C" w:rsidRDefault="00A60E2E">
      <w:pPr>
        <w:rPr>
          <w:rFonts w:cstheme="minorHAnsi"/>
        </w:rPr>
      </w:pPr>
    </w:p>
    <w:p w14:paraId="5391ACDA" w14:textId="77777777" w:rsidR="00A60E2E" w:rsidRPr="0013030C" w:rsidRDefault="00A60E2E">
      <w:pPr>
        <w:rPr>
          <w:rFonts w:cstheme="minorHAnsi"/>
        </w:rPr>
      </w:pPr>
    </w:p>
    <w:p w14:paraId="3AB15C6F" w14:textId="77777777" w:rsidR="00A60E2E" w:rsidRPr="0013030C" w:rsidRDefault="00A60E2E">
      <w:pPr>
        <w:rPr>
          <w:rFonts w:cstheme="minorHAnsi"/>
        </w:rPr>
      </w:pPr>
    </w:p>
    <w:p w14:paraId="7C142AD2" w14:textId="77777777" w:rsidR="00A60E2E" w:rsidRPr="0013030C" w:rsidRDefault="00A60E2E">
      <w:pPr>
        <w:rPr>
          <w:rFonts w:cstheme="minorHAnsi"/>
        </w:rPr>
      </w:pPr>
    </w:p>
    <w:p w14:paraId="35D7C903" w14:textId="77777777" w:rsidR="00A60E2E" w:rsidRPr="0013030C" w:rsidRDefault="00A60E2E">
      <w:pPr>
        <w:rPr>
          <w:rFonts w:cstheme="minorHAnsi"/>
        </w:rPr>
      </w:pPr>
    </w:p>
    <w:p w14:paraId="318AD5A3"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4E71C943"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6620F097"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4FAE583F"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2E4CBFF0"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3A57B8CA"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3BE8822C"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7FECF8F7"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52878D81"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51583D5C"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70FBB8D7"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05E411C8"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7BE73F7B"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22B9665F"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1F166E76"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01653AF0"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4FB8934B"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0ED0FD99"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727B1F76"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6AC95BB7"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5AF55F0C"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12BACE54"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035397F6"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52663DC2"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61182834"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6BA811CB"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3364962B"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5245C4B5"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3D64DA0A"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5E4522CB"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703323C1"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23F25EDF"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1FA42E76" w14:textId="77777777" w:rsidR="004C4024" w:rsidRDefault="004C4024" w:rsidP="00CE6B38">
      <w:pPr>
        <w:jc w:val="center"/>
        <w:rPr>
          <w:rFonts w:ascii="Times New Roman" w:eastAsia="Times New Roman" w:hAnsi="Times New Roman" w:cs="Times New Roman"/>
          <w:kern w:val="0"/>
          <w:sz w:val="27"/>
          <w:szCs w:val="27"/>
          <w:lang w:eastAsia="en-GB"/>
          <w14:ligatures w14:val="none"/>
        </w:rPr>
      </w:pPr>
    </w:p>
    <w:p w14:paraId="14CCA9C1" w14:textId="242E4F47" w:rsidR="00CE6B38" w:rsidRPr="006E7E6D" w:rsidRDefault="00CE6B38" w:rsidP="004C4024">
      <w:pPr>
        <w:rPr>
          <w:rFonts w:eastAsia="Times New Roman" w:cstheme="minorHAnsi"/>
          <w:kern w:val="0"/>
          <w:u w:val="single"/>
          <w:lang w:eastAsia="en-GB"/>
          <w14:ligatures w14:val="none"/>
        </w:rPr>
      </w:pPr>
      <w:r w:rsidRPr="006E7E6D">
        <w:rPr>
          <w:rFonts w:eastAsia="Times New Roman" w:cstheme="minorHAnsi"/>
          <w:kern w:val="0"/>
          <w:u w:val="single"/>
          <w:lang w:eastAsia="en-GB"/>
          <w14:ligatures w14:val="none"/>
        </w:rPr>
        <w:t>Reference List</w:t>
      </w:r>
    </w:p>
    <w:p w14:paraId="77B151DA" w14:textId="689E1B65" w:rsidR="004C4024" w:rsidRPr="006E7E6D" w:rsidRDefault="00CE6B38" w:rsidP="004C4024">
      <w:pPr>
        <w:spacing w:before="100" w:beforeAutospacing="1" w:after="100" w:afterAutospacing="1"/>
        <w:rPr>
          <w:rFonts w:eastAsia="Times New Roman" w:cstheme="minorHAnsi"/>
          <w:color w:val="000000"/>
          <w:kern w:val="0"/>
          <w:lang w:eastAsia="en-GB"/>
          <w14:ligatures w14:val="none"/>
        </w:rPr>
      </w:pPr>
      <w:r w:rsidRPr="006E7E6D">
        <w:rPr>
          <w:rFonts w:eastAsia="Times New Roman" w:cstheme="minorHAnsi"/>
          <w:color w:val="000000"/>
          <w:kern w:val="0"/>
          <w:lang w:eastAsia="en-GB"/>
          <w14:ligatures w14:val="none"/>
        </w:rPr>
        <w:t xml:space="preserve">Adelman, C., Jenkins, D. and </w:t>
      </w:r>
      <w:proofErr w:type="spellStart"/>
      <w:r w:rsidRPr="006E7E6D">
        <w:rPr>
          <w:rFonts w:eastAsia="Times New Roman" w:cstheme="minorHAnsi"/>
          <w:color w:val="000000"/>
          <w:kern w:val="0"/>
          <w:lang w:eastAsia="en-GB"/>
          <w14:ligatures w14:val="none"/>
        </w:rPr>
        <w:t>Kemmis</w:t>
      </w:r>
      <w:proofErr w:type="spellEnd"/>
      <w:r w:rsidRPr="006E7E6D">
        <w:rPr>
          <w:rFonts w:eastAsia="Times New Roman" w:cstheme="minorHAnsi"/>
          <w:color w:val="000000"/>
          <w:kern w:val="0"/>
          <w:lang w:eastAsia="en-GB"/>
          <w14:ligatures w14:val="none"/>
        </w:rPr>
        <w:t>, S. (1980) “Rethinking case study: notes from the second Cambridge conference.” Edited by H. Simons, pp. 45–61.</w:t>
      </w:r>
    </w:p>
    <w:p w14:paraId="65B79336"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r w:rsidRPr="006E7E6D">
        <w:rPr>
          <w:rFonts w:eastAsia="Times New Roman" w:cstheme="minorHAnsi"/>
          <w:color w:val="000000"/>
          <w:kern w:val="0"/>
          <w:lang w:eastAsia="en-GB"/>
          <w14:ligatures w14:val="none"/>
        </w:rPr>
        <w:lastRenderedPageBreak/>
        <w:t>Boynton, P. M. and Greenhalgh, T. (2004) “Selecting, designing, and developing your questionnaire,” </w:t>
      </w:r>
      <w:r w:rsidRPr="006E7E6D">
        <w:rPr>
          <w:rFonts w:eastAsia="Times New Roman" w:cstheme="minorHAnsi"/>
          <w:i/>
          <w:iCs/>
          <w:color w:val="000000"/>
          <w:kern w:val="0"/>
          <w:lang w:eastAsia="en-GB"/>
          <w14:ligatures w14:val="none"/>
        </w:rPr>
        <w:t>BMJ (Clinical research ed.)</w:t>
      </w:r>
      <w:r w:rsidRPr="006E7E6D">
        <w:rPr>
          <w:rFonts w:eastAsia="Times New Roman" w:cstheme="minorHAnsi"/>
          <w:color w:val="000000"/>
          <w:kern w:val="0"/>
          <w:lang w:eastAsia="en-GB"/>
          <w14:ligatures w14:val="none"/>
        </w:rPr>
        <w:t xml:space="preserve">, 328(7451), pp. 1312–1315. </w:t>
      </w:r>
      <w:proofErr w:type="spellStart"/>
      <w:r w:rsidRPr="006E7E6D">
        <w:rPr>
          <w:rFonts w:eastAsia="Times New Roman" w:cstheme="minorHAnsi"/>
          <w:color w:val="000000"/>
          <w:kern w:val="0"/>
          <w:lang w:eastAsia="en-GB"/>
          <w14:ligatures w14:val="none"/>
        </w:rPr>
        <w:t>doi</w:t>
      </w:r>
      <w:proofErr w:type="spellEnd"/>
      <w:r w:rsidRPr="006E7E6D">
        <w:rPr>
          <w:rFonts w:eastAsia="Times New Roman" w:cstheme="minorHAnsi"/>
          <w:color w:val="000000"/>
          <w:kern w:val="0"/>
          <w:lang w:eastAsia="en-GB"/>
          <w14:ligatures w14:val="none"/>
        </w:rPr>
        <w:t>: 10.1136/bmj.328.7451.1312.</w:t>
      </w:r>
    </w:p>
    <w:p w14:paraId="4E9766FE" w14:textId="77777777" w:rsidR="00CE6B38" w:rsidRPr="006E7E6D" w:rsidRDefault="00CE6B38" w:rsidP="00CE6B38">
      <w:pPr>
        <w:rPr>
          <w:rFonts w:eastAsia="Times New Roman" w:cstheme="minorHAnsi"/>
          <w:color w:val="000000"/>
          <w:kern w:val="0"/>
          <w:lang w:eastAsia="en-GB"/>
          <w14:ligatures w14:val="none"/>
        </w:rPr>
      </w:pPr>
    </w:p>
    <w:p w14:paraId="2156F917" w14:textId="1697B25D" w:rsidR="00CE6B38" w:rsidRPr="006E7E6D" w:rsidRDefault="00CE6B38" w:rsidP="00CE6B38">
      <w:pPr>
        <w:spacing w:before="100" w:beforeAutospacing="1" w:after="100" w:afterAutospacing="1"/>
        <w:rPr>
          <w:rFonts w:eastAsia="Times New Roman" w:cstheme="minorHAnsi"/>
          <w:i/>
          <w:iCs/>
          <w:color w:val="000000"/>
          <w:kern w:val="0"/>
          <w:lang w:eastAsia="en-GB"/>
          <w14:ligatures w14:val="none"/>
        </w:rPr>
      </w:pPr>
      <w:r w:rsidRPr="006E7E6D">
        <w:rPr>
          <w:rFonts w:eastAsia="Times New Roman" w:cstheme="minorHAnsi"/>
          <w:color w:val="000000"/>
          <w:kern w:val="0"/>
          <w:lang w:eastAsia="en-GB"/>
          <w14:ligatures w14:val="none"/>
        </w:rPr>
        <w:t>Chakrabarty, D. (2020) “Theories of the new literacy studies (NLS),” </w:t>
      </w:r>
      <w:r w:rsidRPr="006E7E6D">
        <w:rPr>
          <w:rFonts w:eastAsia="Times New Roman" w:cstheme="minorHAnsi"/>
          <w:i/>
          <w:iCs/>
          <w:color w:val="000000"/>
          <w:kern w:val="0"/>
          <w:lang w:eastAsia="en-GB"/>
          <w14:ligatures w14:val="none"/>
        </w:rPr>
        <w:t>Research Journal of English Language and Literature (RJELAL)</w:t>
      </w:r>
      <w:r w:rsidRPr="006E7E6D">
        <w:rPr>
          <w:rFonts w:eastAsia="Times New Roman" w:cstheme="minorHAnsi"/>
          <w:color w:val="000000"/>
          <w:kern w:val="0"/>
          <w:lang w:eastAsia="en-GB"/>
          <w14:ligatures w14:val="none"/>
        </w:rPr>
        <w:t>, 8(1), pp. 1–8.</w:t>
      </w:r>
    </w:p>
    <w:p w14:paraId="209EA087" w14:textId="77777777" w:rsidR="00CE6B38" w:rsidRPr="006E7E6D" w:rsidRDefault="00CE6B38" w:rsidP="00CE6B38">
      <w:pPr>
        <w:rPr>
          <w:rFonts w:eastAsia="Times New Roman" w:cstheme="minorHAnsi"/>
          <w:color w:val="000000"/>
          <w:kern w:val="0"/>
          <w:lang w:eastAsia="en-GB"/>
          <w14:ligatures w14:val="none"/>
        </w:rPr>
      </w:pPr>
    </w:p>
    <w:p w14:paraId="0081253A"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r w:rsidRPr="006E7E6D">
        <w:rPr>
          <w:rFonts w:eastAsia="Times New Roman" w:cstheme="minorHAnsi"/>
          <w:color w:val="000000"/>
          <w:kern w:val="0"/>
          <w:lang w:eastAsia="en-GB"/>
          <w14:ligatures w14:val="none"/>
        </w:rPr>
        <w:t>Cohen, L. and Manion, L. (2002) </w:t>
      </w:r>
      <w:r w:rsidRPr="006E7E6D">
        <w:rPr>
          <w:rFonts w:eastAsia="Times New Roman" w:cstheme="minorHAnsi"/>
          <w:i/>
          <w:iCs/>
          <w:color w:val="000000"/>
          <w:kern w:val="0"/>
          <w:lang w:eastAsia="en-GB"/>
          <w14:ligatures w14:val="none"/>
        </w:rPr>
        <w:t>Research methods in education</w:t>
      </w:r>
      <w:r w:rsidRPr="006E7E6D">
        <w:rPr>
          <w:rFonts w:eastAsia="Times New Roman" w:cstheme="minorHAnsi"/>
          <w:color w:val="000000"/>
          <w:kern w:val="0"/>
          <w:lang w:eastAsia="en-GB"/>
          <w14:ligatures w14:val="none"/>
        </w:rPr>
        <w:t>. 5th ed. Edited by K. Morrison. Routledge.</w:t>
      </w:r>
    </w:p>
    <w:p w14:paraId="757DCECD" w14:textId="77777777" w:rsidR="00CE6B38" w:rsidRPr="006E7E6D" w:rsidRDefault="00CE6B38" w:rsidP="00CE6B38">
      <w:pPr>
        <w:rPr>
          <w:rFonts w:eastAsia="Times New Roman" w:cstheme="minorHAnsi"/>
          <w:color w:val="000000"/>
          <w:kern w:val="0"/>
          <w:lang w:eastAsia="en-GB"/>
          <w14:ligatures w14:val="none"/>
        </w:rPr>
      </w:pPr>
    </w:p>
    <w:p w14:paraId="7673792B" w14:textId="0841A8E3"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r w:rsidRPr="006E7E6D">
        <w:rPr>
          <w:rFonts w:eastAsia="Times New Roman" w:cstheme="minorHAnsi"/>
          <w:color w:val="000000"/>
          <w:kern w:val="0"/>
          <w:lang w:eastAsia="en-GB"/>
          <w14:ligatures w14:val="none"/>
        </w:rPr>
        <w:t>Cope/Kalan (2000) </w:t>
      </w:r>
      <w:r w:rsidRPr="006E7E6D">
        <w:rPr>
          <w:rFonts w:eastAsia="Times New Roman" w:cstheme="minorHAnsi"/>
          <w:i/>
          <w:iCs/>
          <w:color w:val="000000"/>
          <w:kern w:val="0"/>
          <w:lang w:eastAsia="en-GB"/>
          <w14:ligatures w14:val="none"/>
        </w:rPr>
        <w:t>Multiliteracies:</w:t>
      </w:r>
      <w:r w:rsidR="004C4024" w:rsidRPr="004C4024">
        <w:rPr>
          <w:rFonts w:eastAsia="Times New Roman" w:cstheme="minorHAnsi"/>
          <w:i/>
          <w:iCs/>
          <w:color w:val="000000"/>
          <w:kern w:val="0"/>
          <w:lang w:eastAsia="en-GB"/>
          <w14:ligatures w14:val="none"/>
        </w:rPr>
        <w:t xml:space="preserve"> </w:t>
      </w:r>
      <w:r w:rsidRPr="006E7E6D">
        <w:rPr>
          <w:rFonts w:eastAsia="Times New Roman" w:cstheme="minorHAnsi"/>
          <w:i/>
          <w:iCs/>
          <w:color w:val="000000"/>
          <w:kern w:val="0"/>
          <w:lang w:eastAsia="en-GB"/>
          <w14:ligatures w14:val="none"/>
        </w:rPr>
        <w:t>Literacy learning: Literacy learning and the design of social futures</w:t>
      </w:r>
      <w:r w:rsidRPr="006E7E6D">
        <w:rPr>
          <w:rFonts w:eastAsia="Times New Roman" w:cstheme="minorHAnsi"/>
          <w:color w:val="000000"/>
          <w:kern w:val="0"/>
          <w:lang w:eastAsia="en-GB"/>
          <w14:ligatures w14:val="none"/>
        </w:rPr>
        <w:t xml:space="preserve">. Edited by B. Cope and M. </w:t>
      </w:r>
      <w:proofErr w:type="spellStart"/>
      <w:r w:rsidRPr="006E7E6D">
        <w:rPr>
          <w:rFonts w:eastAsia="Times New Roman" w:cstheme="minorHAnsi"/>
          <w:color w:val="000000"/>
          <w:kern w:val="0"/>
          <w:lang w:eastAsia="en-GB"/>
          <w14:ligatures w14:val="none"/>
        </w:rPr>
        <w:t>Kalantzis</w:t>
      </w:r>
      <w:proofErr w:type="spellEnd"/>
      <w:r w:rsidRPr="006E7E6D">
        <w:rPr>
          <w:rFonts w:eastAsia="Times New Roman" w:cstheme="minorHAnsi"/>
          <w:color w:val="000000"/>
          <w:kern w:val="0"/>
          <w:lang w:eastAsia="en-GB"/>
          <w14:ligatures w14:val="none"/>
        </w:rPr>
        <w:t xml:space="preserve">. South </w:t>
      </w:r>
      <w:proofErr w:type="spellStart"/>
      <w:r w:rsidRPr="006E7E6D">
        <w:rPr>
          <w:rFonts w:eastAsia="Times New Roman" w:cstheme="minorHAnsi"/>
          <w:color w:val="000000"/>
          <w:kern w:val="0"/>
          <w:lang w:eastAsia="en-GB"/>
          <w14:ligatures w14:val="none"/>
        </w:rPr>
        <w:t>Yarra</w:t>
      </w:r>
      <w:proofErr w:type="spellEnd"/>
      <w:r w:rsidRPr="006E7E6D">
        <w:rPr>
          <w:rFonts w:eastAsia="Times New Roman" w:cstheme="minorHAnsi"/>
          <w:color w:val="000000"/>
          <w:kern w:val="0"/>
          <w:lang w:eastAsia="en-GB"/>
          <w14:ligatures w14:val="none"/>
        </w:rPr>
        <w:t>, Australia: Macmillan Education.</w:t>
      </w:r>
    </w:p>
    <w:p w14:paraId="46FC652D" w14:textId="77777777" w:rsidR="00CE6B38" w:rsidRPr="006E7E6D" w:rsidRDefault="00CE6B38" w:rsidP="00CE6B38">
      <w:pPr>
        <w:rPr>
          <w:rFonts w:eastAsia="Times New Roman" w:cstheme="minorHAnsi"/>
          <w:color w:val="000000"/>
          <w:kern w:val="0"/>
          <w:lang w:eastAsia="en-GB"/>
          <w14:ligatures w14:val="none"/>
        </w:rPr>
      </w:pPr>
    </w:p>
    <w:p w14:paraId="5BC2413E"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r w:rsidRPr="006E7E6D">
        <w:rPr>
          <w:rFonts w:eastAsia="Times New Roman" w:cstheme="minorHAnsi"/>
          <w:color w:val="000000"/>
          <w:kern w:val="0"/>
          <w:lang w:eastAsia="en-GB"/>
          <w14:ligatures w14:val="none"/>
        </w:rPr>
        <w:t>Creswell, J. W. and Creswell, J. D. (2017) </w:t>
      </w:r>
      <w:r w:rsidRPr="006E7E6D">
        <w:rPr>
          <w:rFonts w:eastAsia="Times New Roman" w:cstheme="minorHAnsi"/>
          <w:i/>
          <w:iCs/>
          <w:color w:val="000000"/>
          <w:kern w:val="0"/>
          <w:lang w:eastAsia="en-GB"/>
          <w14:ligatures w14:val="none"/>
        </w:rPr>
        <w:t>Research Design: Qualitative, Quantitative, and Mixed Methods Approaches</w:t>
      </w:r>
      <w:r w:rsidRPr="006E7E6D">
        <w:rPr>
          <w:rFonts w:eastAsia="Times New Roman" w:cstheme="minorHAnsi"/>
          <w:color w:val="000000"/>
          <w:kern w:val="0"/>
          <w:lang w:eastAsia="en-GB"/>
          <w14:ligatures w14:val="none"/>
        </w:rPr>
        <w:t>. Sage, Newbury Park.</w:t>
      </w:r>
    </w:p>
    <w:p w14:paraId="464DD5D1" w14:textId="77777777" w:rsidR="00CE6B38" w:rsidRPr="006E7E6D" w:rsidRDefault="00CE6B38" w:rsidP="00CE6B38">
      <w:pPr>
        <w:rPr>
          <w:rFonts w:eastAsia="Times New Roman" w:cstheme="minorHAnsi"/>
          <w:color w:val="000000"/>
          <w:kern w:val="0"/>
          <w:lang w:eastAsia="en-GB"/>
          <w14:ligatures w14:val="none"/>
        </w:rPr>
      </w:pPr>
    </w:p>
    <w:p w14:paraId="33109B27"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proofErr w:type="spellStart"/>
      <w:r w:rsidRPr="006E7E6D">
        <w:rPr>
          <w:rFonts w:eastAsia="Times New Roman" w:cstheme="minorHAnsi"/>
          <w:color w:val="000000"/>
          <w:kern w:val="0"/>
          <w:lang w:eastAsia="en-GB"/>
          <w14:ligatures w14:val="none"/>
        </w:rPr>
        <w:t>Dornyei</w:t>
      </w:r>
      <w:proofErr w:type="spellEnd"/>
      <w:r w:rsidRPr="006E7E6D">
        <w:rPr>
          <w:rFonts w:eastAsia="Times New Roman" w:cstheme="minorHAnsi"/>
          <w:color w:val="000000"/>
          <w:kern w:val="0"/>
          <w:lang w:eastAsia="en-GB"/>
          <w14:ligatures w14:val="none"/>
        </w:rPr>
        <w:t>, Z. (2007) </w:t>
      </w:r>
      <w:r w:rsidRPr="006E7E6D">
        <w:rPr>
          <w:rFonts w:eastAsia="Times New Roman" w:cstheme="minorHAnsi"/>
          <w:i/>
          <w:iCs/>
          <w:color w:val="000000"/>
          <w:kern w:val="0"/>
          <w:lang w:eastAsia="en-GB"/>
          <w14:ligatures w14:val="none"/>
        </w:rPr>
        <w:t>Research methods in applied linguistics: Quantitative, qualitative, and mixed methodologies</w:t>
      </w:r>
      <w:r w:rsidRPr="006E7E6D">
        <w:rPr>
          <w:rFonts w:eastAsia="Times New Roman" w:cstheme="minorHAnsi"/>
          <w:color w:val="000000"/>
          <w:kern w:val="0"/>
          <w:lang w:eastAsia="en-GB"/>
          <w14:ligatures w14:val="none"/>
        </w:rPr>
        <w:t>. London, England: Oxford University Press.</w:t>
      </w:r>
    </w:p>
    <w:p w14:paraId="1F1CF40C" w14:textId="77777777" w:rsidR="00CE6B38" w:rsidRPr="006E7E6D" w:rsidRDefault="00CE6B38" w:rsidP="00CE6B38">
      <w:pPr>
        <w:rPr>
          <w:rFonts w:eastAsia="Times New Roman" w:cstheme="minorHAnsi"/>
          <w:color w:val="000000"/>
          <w:kern w:val="0"/>
          <w:lang w:eastAsia="en-GB"/>
          <w14:ligatures w14:val="none"/>
        </w:rPr>
      </w:pPr>
    </w:p>
    <w:p w14:paraId="34CB31C6"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r w:rsidRPr="006E7E6D">
        <w:rPr>
          <w:rFonts w:eastAsia="Times New Roman" w:cstheme="minorHAnsi"/>
          <w:color w:val="000000"/>
          <w:kern w:val="0"/>
          <w:lang w:eastAsia="en-GB"/>
          <w14:ligatures w14:val="none"/>
        </w:rPr>
        <w:t>Elkins, J. and Luke, A. (2000) </w:t>
      </w:r>
      <w:r w:rsidRPr="006E7E6D">
        <w:rPr>
          <w:rFonts w:eastAsia="Times New Roman" w:cstheme="minorHAnsi"/>
          <w:i/>
          <w:iCs/>
          <w:color w:val="000000"/>
          <w:kern w:val="0"/>
          <w:lang w:eastAsia="en-GB"/>
          <w14:ligatures w14:val="none"/>
        </w:rPr>
        <w:t>Re/Mediating Adolescent Literacies</w:t>
      </w:r>
      <w:r w:rsidRPr="006E7E6D">
        <w:rPr>
          <w:rFonts w:eastAsia="Times New Roman" w:cstheme="minorHAnsi"/>
          <w:color w:val="000000"/>
          <w:kern w:val="0"/>
          <w:lang w:eastAsia="en-GB"/>
          <w14:ligatures w14:val="none"/>
        </w:rPr>
        <w:t xml:space="preserve">. </w:t>
      </w:r>
      <w:proofErr w:type="spellStart"/>
      <w:r w:rsidRPr="006E7E6D">
        <w:rPr>
          <w:rFonts w:eastAsia="Times New Roman" w:cstheme="minorHAnsi"/>
          <w:color w:val="000000"/>
          <w:kern w:val="0"/>
          <w:lang w:eastAsia="en-GB"/>
          <w14:ligatures w14:val="none"/>
        </w:rPr>
        <w:t>Neward</w:t>
      </w:r>
      <w:proofErr w:type="spellEnd"/>
      <w:r w:rsidRPr="006E7E6D">
        <w:rPr>
          <w:rFonts w:eastAsia="Times New Roman" w:cstheme="minorHAnsi"/>
          <w:color w:val="000000"/>
          <w:kern w:val="0"/>
          <w:lang w:eastAsia="en-GB"/>
          <w14:ligatures w14:val="none"/>
        </w:rPr>
        <w:t>, DE: The International Literacy Association.</w:t>
      </w:r>
    </w:p>
    <w:p w14:paraId="7241425B" w14:textId="77777777" w:rsidR="00CE6B38" w:rsidRPr="006E7E6D" w:rsidRDefault="00CE6B38" w:rsidP="00CE6B38">
      <w:pPr>
        <w:rPr>
          <w:rFonts w:eastAsia="Times New Roman" w:cstheme="minorHAnsi"/>
          <w:color w:val="000000"/>
          <w:kern w:val="0"/>
          <w:lang w:eastAsia="en-GB"/>
          <w14:ligatures w14:val="none"/>
        </w:rPr>
      </w:pPr>
    </w:p>
    <w:p w14:paraId="4C9B9D8F"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r w:rsidRPr="006E7E6D">
        <w:rPr>
          <w:rFonts w:eastAsia="Times New Roman" w:cstheme="minorHAnsi"/>
          <w:i/>
          <w:iCs/>
          <w:color w:val="000000"/>
          <w:kern w:val="0"/>
          <w:lang w:eastAsia="en-GB"/>
          <w14:ligatures w14:val="none"/>
        </w:rPr>
        <w:t>Ethical guidelines for educational research 2011</w:t>
      </w:r>
      <w:r w:rsidRPr="006E7E6D">
        <w:rPr>
          <w:rFonts w:eastAsia="Times New Roman" w:cstheme="minorHAnsi"/>
          <w:color w:val="000000"/>
          <w:kern w:val="0"/>
          <w:lang w:eastAsia="en-GB"/>
          <w14:ligatures w14:val="none"/>
        </w:rPr>
        <w:t> (2011). London, England: British Educational Research Association.</w:t>
      </w:r>
    </w:p>
    <w:p w14:paraId="08F86493" w14:textId="77777777" w:rsidR="00CE6B38" w:rsidRPr="006E7E6D" w:rsidRDefault="00CE6B38" w:rsidP="00CE6B38">
      <w:pPr>
        <w:rPr>
          <w:rFonts w:eastAsia="Times New Roman" w:cstheme="minorHAnsi"/>
          <w:color w:val="000000"/>
          <w:kern w:val="0"/>
          <w:lang w:eastAsia="en-GB"/>
          <w14:ligatures w14:val="none"/>
        </w:rPr>
      </w:pPr>
    </w:p>
    <w:p w14:paraId="3C3704EA"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r w:rsidRPr="006E7E6D">
        <w:rPr>
          <w:rFonts w:eastAsia="Times New Roman" w:cstheme="minorHAnsi"/>
          <w:color w:val="000000"/>
          <w:kern w:val="0"/>
          <w:lang w:eastAsia="en-GB"/>
          <w14:ligatures w14:val="none"/>
        </w:rPr>
        <w:t>Ivey, G. (2000) “Redesigning Reading Instruction,” </w:t>
      </w:r>
      <w:r w:rsidRPr="006E7E6D">
        <w:rPr>
          <w:rFonts w:eastAsia="Times New Roman" w:cstheme="minorHAnsi"/>
          <w:i/>
          <w:iCs/>
          <w:color w:val="000000"/>
          <w:kern w:val="0"/>
          <w:lang w:eastAsia="en-GB"/>
          <w14:ligatures w14:val="none"/>
        </w:rPr>
        <w:t xml:space="preserve">Educational </w:t>
      </w:r>
      <w:proofErr w:type="gramStart"/>
      <w:r w:rsidRPr="006E7E6D">
        <w:rPr>
          <w:rFonts w:eastAsia="Times New Roman" w:cstheme="minorHAnsi"/>
          <w:i/>
          <w:iCs/>
          <w:color w:val="000000"/>
          <w:kern w:val="0"/>
          <w:lang w:eastAsia="en-GB"/>
          <w14:ligatures w14:val="none"/>
        </w:rPr>
        <w:t>Leadership </w:t>
      </w:r>
      <w:r w:rsidRPr="006E7E6D">
        <w:rPr>
          <w:rFonts w:eastAsia="Times New Roman" w:cstheme="minorHAnsi"/>
          <w:color w:val="000000"/>
          <w:kern w:val="0"/>
          <w:lang w:eastAsia="en-GB"/>
          <w14:ligatures w14:val="none"/>
        </w:rPr>
        <w:t>,</w:t>
      </w:r>
      <w:proofErr w:type="gramEnd"/>
      <w:r w:rsidRPr="006E7E6D">
        <w:rPr>
          <w:rFonts w:eastAsia="Times New Roman" w:cstheme="minorHAnsi"/>
          <w:color w:val="000000"/>
          <w:kern w:val="0"/>
          <w:lang w:eastAsia="en-GB"/>
          <w14:ligatures w14:val="none"/>
        </w:rPr>
        <w:t xml:space="preserve"> 58(1), pp. 42–45.</w:t>
      </w:r>
    </w:p>
    <w:p w14:paraId="25C4509D" w14:textId="77777777" w:rsidR="00CE6B38" w:rsidRPr="006E7E6D" w:rsidRDefault="00CE6B38" w:rsidP="00CE6B38">
      <w:pPr>
        <w:rPr>
          <w:rFonts w:eastAsia="Times New Roman" w:cstheme="minorHAnsi"/>
          <w:color w:val="000000"/>
          <w:kern w:val="0"/>
          <w:lang w:eastAsia="en-GB"/>
          <w14:ligatures w14:val="none"/>
        </w:rPr>
      </w:pPr>
    </w:p>
    <w:p w14:paraId="77555513"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proofErr w:type="spellStart"/>
      <w:r w:rsidRPr="006E7E6D">
        <w:rPr>
          <w:rFonts w:eastAsia="Times New Roman" w:cstheme="minorHAnsi"/>
          <w:color w:val="000000"/>
          <w:kern w:val="0"/>
          <w:lang w:eastAsia="en-GB"/>
          <w14:ligatures w14:val="none"/>
        </w:rPr>
        <w:t>Kajder</w:t>
      </w:r>
      <w:proofErr w:type="spellEnd"/>
      <w:r w:rsidRPr="006E7E6D">
        <w:rPr>
          <w:rFonts w:eastAsia="Times New Roman" w:cstheme="minorHAnsi"/>
          <w:color w:val="000000"/>
          <w:kern w:val="0"/>
          <w:lang w:eastAsia="en-GB"/>
          <w14:ligatures w14:val="none"/>
        </w:rPr>
        <w:t>, S. B. (2006) </w:t>
      </w:r>
      <w:r w:rsidRPr="006E7E6D">
        <w:rPr>
          <w:rFonts w:eastAsia="Times New Roman" w:cstheme="minorHAnsi"/>
          <w:i/>
          <w:iCs/>
          <w:color w:val="000000"/>
          <w:kern w:val="0"/>
          <w:lang w:eastAsia="en-GB"/>
          <w14:ligatures w14:val="none"/>
        </w:rPr>
        <w:t>Bringing the outside in</w:t>
      </w:r>
      <w:r w:rsidRPr="006E7E6D">
        <w:rPr>
          <w:rFonts w:eastAsia="Times New Roman" w:cstheme="minorHAnsi"/>
          <w:color w:val="000000"/>
          <w:kern w:val="0"/>
          <w:lang w:eastAsia="en-GB"/>
          <w14:ligatures w14:val="none"/>
        </w:rPr>
        <w:t>. York, PA: Stenhouse.</w:t>
      </w:r>
    </w:p>
    <w:p w14:paraId="1FADA307" w14:textId="77777777" w:rsidR="00CE6B38" w:rsidRPr="006E7E6D" w:rsidRDefault="00CE6B38" w:rsidP="00CE6B38">
      <w:pPr>
        <w:rPr>
          <w:rFonts w:eastAsia="Times New Roman" w:cstheme="minorHAnsi"/>
          <w:color w:val="000000"/>
          <w:kern w:val="0"/>
          <w:lang w:eastAsia="en-GB"/>
          <w14:ligatures w14:val="none"/>
        </w:rPr>
      </w:pPr>
    </w:p>
    <w:p w14:paraId="63541763"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proofErr w:type="spellStart"/>
      <w:r w:rsidRPr="006E7E6D">
        <w:rPr>
          <w:rFonts w:eastAsia="Times New Roman" w:cstheme="minorHAnsi"/>
          <w:color w:val="000000"/>
          <w:kern w:val="0"/>
          <w:lang w:eastAsia="en-GB"/>
          <w14:ligatures w14:val="none"/>
        </w:rPr>
        <w:t>Lankshear</w:t>
      </w:r>
      <w:proofErr w:type="spellEnd"/>
      <w:r w:rsidRPr="006E7E6D">
        <w:rPr>
          <w:rFonts w:eastAsia="Times New Roman" w:cstheme="minorHAnsi"/>
          <w:color w:val="000000"/>
          <w:kern w:val="0"/>
          <w:lang w:eastAsia="en-GB"/>
          <w14:ligatures w14:val="none"/>
        </w:rPr>
        <w:t xml:space="preserve">, C. and </w:t>
      </w:r>
      <w:proofErr w:type="spellStart"/>
      <w:r w:rsidRPr="006E7E6D">
        <w:rPr>
          <w:rFonts w:eastAsia="Times New Roman" w:cstheme="minorHAnsi"/>
          <w:color w:val="000000"/>
          <w:kern w:val="0"/>
          <w:lang w:eastAsia="en-GB"/>
          <w14:ligatures w14:val="none"/>
        </w:rPr>
        <w:t>Knobel</w:t>
      </w:r>
      <w:proofErr w:type="spellEnd"/>
      <w:r w:rsidRPr="006E7E6D">
        <w:rPr>
          <w:rFonts w:eastAsia="Times New Roman" w:cstheme="minorHAnsi"/>
          <w:color w:val="000000"/>
          <w:kern w:val="0"/>
          <w:lang w:eastAsia="en-GB"/>
          <w14:ligatures w14:val="none"/>
        </w:rPr>
        <w:t>, M. (2011) </w:t>
      </w:r>
      <w:r w:rsidRPr="006E7E6D">
        <w:rPr>
          <w:rFonts w:eastAsia="Times New Roman" w:cstheme="minorHAnsi"/>
          <w:i/>
          <w:iCs/>
          <w:color w:val="000000"/>
          <w:kern w:val="0"/>
          <w:lang w:eastAsia="en-GB"/>
          <w14:ligatures w14:val="none"/>
        </w:rPr>
        <w:t>New literacies: Everyday practices and social learning</w:t>
      </w:r>
      <w:r w:rsidRPr="006E7E6D">
        <w:rPr>
          <w:rFonts w:eastAsia="Times New Roman" w:cstheme="minorHAnsi"/>
          <w:color w:val="000000"/>
          <w:kern w:val="0"/>
          <w:lang w:eastAsia="en-GB"/>
          <w14:ligatures w14:val="none"/>
        </w:rPr>
        <w:t>. 3rd ed. Buckingham, England: Open University Press.</w:t>
      </w:r>
    </w:p>
    <w:p w14:paraId="2C12149F" w14:textId="77777777" w:rsidR="00CE6B38" w:rsidRPr="006E7E6D" w:rsidRDefault="00CE6B38" w:rsidP="00CE6B38">
      <w:pPr>
        <w:rPr>
          <w:rFonts w:eastAsia="Times New Roman" w:cstheme="minorHAnsi"/>
          <w:color w:val="000000"/>
          <w:kern w:val="0"/>
          <w:lang w:eastAsia="en-GB"/>
          <w14:ligatures w14:val="none"/>
        </w:rPr>
      </w:pPr>
    </w:p>
    <w:p w14:paraId="4CADE191"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r w:rsidRPr="006E7E6D">
        <w:rPr>
          <w:rFonts w:eastAsia="Times New Roman" w:cstheme="minorHAnsi"/>
          <w:color w:val="000000"/>
          <w:kern w:val="0"/>
          <w:lang w:eastAsia="en-GB"/>
          <w14:ligatures w14:val="none"/>
        </w:rPr>
        <w:t>Mills, G. E. and Gay, L. R. (2015) </w:t>
      </w:r>
      <w:r w:rsidRPr="006E7E6D">
        <w:rPr>
          <w:rFonts w:eastAsia="Times New Roman" w:cstheme="minorHAnsi"/>
          <w:i/>
          <w:iCs/>
          <w:color w:val="000000"/>
          <w:kern w:val="0"/>
          <w:lang w:eastAsia="en-GB"/>
          <w14:ligatures w14:val="none"/>
        </w:rPr>
        <w:t>Educational research: Competencies for analysis and applications, global edition</w:t>
      </w:r>
      <w:r w:rsidRPr="006E7E6D">
        <w:rPr>
          <w:rFonts w:eastAsia="Times New Roman" w:cstheme="minorHAnsi"/>
          <w:color w:val="000000"/>
          <w:kern w:val="0"/>
          <w:lang w:eastAsia="en-GB"/>
          <w14:ligatures w14:val="none"/>
        </w:rPr>
        <w:t>. 11th ed. London, England: Pearson Education.</w:t>
      </w:r>
    </w:p>
    <w:p w14:paraId="45B34E4B" w14:textId="77777777" w:rsidR="00CE6B38" w:rsidRPr="006E7E6D" w:rsidRDefault="00CE6B38" w:rsidP="00CE6B38">
      <w:pPr>
        <w:rPr>
          <w:rFonts w:eastAsia="Times New Roman" w:cstheme="minorHAnsi"/>
          <w:color w:val="000000"/>
          <w:kern w:val="0"/>
          <w:lang w:eastAsia="en-GB"/>
          <w14:ligatures w14:val="none"/>
        </w:rPr>
      </w:pPr>
    </w:p>
    <w:p w14:paraId="0ACF6C31"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r w:rsidRPr="006E7E6D">
        <w:rPr>
          <w:rFonts w:eastAsia="Times New Roman" w:cstheme="minorHAnsi"/>
          <w:color w:val="000000"/>
          <w:kern w:val="0"/>
          <w:lang w:eastAsia="en-GB"/>
          <w14:ligatures w14:val="none"/>
        </w:rPr>
        <w:t>Morrell, E. (2002) “Teaching popular culture to diverse students in secondary English classrooms: Implications for literacy development,” </w:t>
      </w:r>
      <w:r w:rsidRPr="006E7E6D">
        <w:rPr>
          <w:rFonts w:eastAsia="Times New Roman" w:cstheme="minorHAnsi"/>
          <w:i/>
          <w:iCs/>
          <w:color w:val="000000"/>
          <w:kern w:val="0"/>
          <w:lang w:eastAsia="en-GB"/>
          <w14:ligatures w14:val="none"/>
        </w:rPr>
        <w:t>Language arts journal of Michigan</w:t>
      </w:r>
      <w:r w:rsidRPr="006E7E6D">
        <w:rPr>
          <w:rFonts w:eastAsia="Times New Roman" w:cstheme="minorHAnsi"/>
          <w:color w:val="000000"/>
          <w:kern w:val="0"/>
          <w:lang w:eastAsia="en-GB"/>
          <w14:ligatures w14:val="none"/>
        </w:rPr>
        <w:t xml:space="preserve">, 18(1). </w:t>
      </w:r>
      <w:r w:rsidRPr="004C4024">
        <w:rPr>
          <w:rFonts w:eastAsia="Times New Roman" w:cstheme="minorHAnsi"/>
          <w:color w:val="000000"/>
          <w:kern w:val="0"/>
          <w:lang w:eastAsia="en-GB"/>
          <w14:ligatures w14:val="none"/>
        </w:rPr>
        <w:t>DOI</w:t>
      </w:r>
      <w:r w:rsidRPr="006E7E6D">
        <w:rPr>
          <w:rFonts w:eastAsia="Times New Roman" w:cstheme="minorHAnsi"/>
          <w:color w:val="000000"/>
          <w:kern w:val="0"/>
          <w:lang w:eastAsia="en-GB"/>
          <w14:ligatures w14:val="none"/>
        </w:rPr>
        <w:t>: 10.9707/2168-149x.1299.</w:t>
      </w:r>
    </w:p>
    <w:p w14:paraId="52763837" w14:textId="77777777" w:rsidR="00CE6B38" w:rsidRPr="006E7E6D" w:rsidRDefault="00CE6B38" w:rsidP="00CE6B38">
      <w:pPr>
        <w:rPr>
          <w:rFonts w:eastAsia="Times New Roman" w:cstheme="minorHAnsi"/>
          <w:color w:val="000000"/>
          <w:kern w:val="0"/>
          <w:lang w:eastAsia="en-GB"/>
          <w14:ligatures w14:val="none"/>
        </w:rPr>
      </w:pPr>
    </w:p>
    <w:p w14:paraId="1C577A76"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r w:rsidRPr="006E7E6D">
        <w:rPr>
          <w:rFonts w:eastAsia="Times New Roman" w:cstheme="minorHAnsi"/>
          <w:color w:val="000000"/>
          <w:kern w:val="0"/>
          <w:lang w:eastAsia="en-GB"/>
          <w14:ligatures w14:val="none"/>
        </w:rPr>
        <w:t>Morse, J. M. (1994) </w:t>
      </w:r>
      <w:r w:rsidRPr="006E7E6D">
        <w:rPr>
          <w:rFonts w:eastAsia="Times New Roman" w:cstheme="minorHAnsi"/>
          <w:i/>
          <w:iCs/>
          <w:color w:val="000000"/>
          <w:kern w:val="0"/>
          <w:lang w:eastAsia="en-GB"/>
          <w14:ligatures w14:val="none"/>
        </w:rPr>
        <w:t>Critical Issues in Qualitative Research Methods</w:t>
      </w:r>
      <w:r w:rsidRPr="006E7E6D">
        <w:rPr>
          <w:rFonts w:eastAsia="Times New Roman" w:cstheme="minorHAnsi"/>
          <w:color w:val="000000"/>
          <w:kern w:val="0"/>
          <w:lang w:eastAsia="en-GB"/>
          <w14:ligatures w14:val="none"/>
        </w:rPr>
        <w:t>. Thousand Oaks, CA: SAGE Publications.</w:t>
      </w:r>
    </w:p>
    <w:p w14:paraId="6301CA98" w14:textId="77777777" w:rsidR="00CE6B38" w:rsidRPr="006E7E6D" w:rsidRDefault="00CE6B38" w:rsidP="00CE6B38">
      <w:pPr>
        <w:rPr>
          <w:rFonts w:eastAsia="Times New Roman" w:cstheme="minorHAnsi"/>
          <w:color w:val="000000"/>
          <w:kern w:val="0"/>
          <w:lang w:eastAsia="en-GB"/>
          <w14:ligatures w14:val="none"/>
        </w:rPr>
      </w:pPr>
    </w:p>
    <w:p w14:paraId="56C61F3B"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r w:rsidRPr="006E7E6D">
        <w:rPr>
          <w:rFonts w:eastAsia="Times New Roman" w:cstheme="minorHAnsi"/>
          <w:color w:val="000000"/>
          <w:kern w:val="0"/>
          <w:lang w:eastAsia="en-GB"/>
          <w14:ligatures w14:val="none"/>
        </w:rPr>
        <w:t>Nisbet, J. and Watt, J. (1984) “Case study,” in Bell, J. et al. (eds.) </w:t>
      </w:r>
      <w:r w:rsidRPr="006E7E6D">
        <w:rPr>
          <w:rFonts w:eastAsia="Times New Roman" w:cstheme="minorHAnsi"/>
          <w:i/>
          <w:iCs/>
          <w:color w:val="000000"/>
          <w:kern w:val="0"/>
          <w:lang w:eastAsia="en-GB"/>
          <w14:ligatures w14:val="none"/>
        </w:rPr>
        <w:t>Conducting Small-Scale Investigations in Educational Management</w:t>
      </w:r>
      <w:r w:rsidRPr="006E7E6D">
        <w:rPr>
          <w:rFonts w:eastAsia="Times New Roman" w:cstheme="minorHAnsi"/>
          <w:color w:val="000000"/>
          <w:kern w:val="0"/>
          <w:lang w:eastAsia="en-GB"/>
          <w14:ligatures w14:val="none"/>
        </w:rPr>
        <w:t>. London: Harper &amp; Row, pp. 79–92.</w:t>
      </w:r>
    </w:p>
    <w:p w14:paraId="09A8F780" w14:textId="77777777" w:rsidR="00CE6B38" w:rsidRPr="006E7E6D" w:rsidRDefault="00CE6B38" w:rsidP="00CE6B38">
      <w:pPr>
        <w:rPr>
          <w:rFonts w:eastAsia="Times New Roman" w:cstheme="minorHAnsi"/>
          <w:color w:val="000000"/>
          <w:kern w:val="0"/>
          <w:lang w:eastAsia="en-GB"/>
          <w14:ligatures w14:val="none"/>
        </w:rPr>
      </w:pPr>
    </w:p>
    <w:p w14:paraId="322B8D8B"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r w:rsidRPr="006E7E6D">
        <w:rPr>
          <w:rFonts w:eastAsia="Times New Roman" w:cstheme="minorHAnsi"/>
          <w:color w:val="000000"/>
          <w:kern w:val="0"/>
          <w:lang w:eastAsia="en-GB"/>
          <w14:ligatures w14:val="none"/>
        </w:rPr>
        <w:t>Rheingold, H. (2010) “Attention, and Other 21st Century Social Media Literacies,” </w:t>
      </w:r>
      <w:r w:rsidRPr="006E7E6D">
        <w:rPr>
          <w:rFonts w:eastAsia="Times New Roman" w:cstheme="minorHAnsi"/>
          <w:i/>
          <w:iCs/>
          <w:color w:val="000000"/>
          <w:kern w:val="0"/>
          <w:lang w:eastAsia="en-GB"/>
          <w14:ligatures w14:val="none"/>
        </w:rPr>
        <w:t>EDUCAUSE re</w:t>
      </w:r>
      <w:r w:rsidRPr="006E7E6D">
        <w:rPr>
          <w:rFonts w:eastAsia="Times New Roman" w:cstheme="minorHAnsi"/>
          <w:color w:val="000000"/>
          <w:kern w:val="0"/>
          <w:lang w:eastAsia="en-GB"/>
          <w14:ligatures w14:val="none"/>
        </w:rPr>
        <w:t>, 45(5), pp. 14–24.</w:t>
      </w:r>
    </w:p>
    <w:p w14:paraId="4BE1CF22" w14:textId="77777777" w:rsidR="00CE6B38" w:rsidRPr="006E7E6D" w:rsidRDefault="00CE6B38" w:rsidP="00CE6B38">
      <w:pPr>
        <w:rPr>
          <w:rFonts w:eastAsia="Times New Roman" w:cstheme="minorHAnsi"/>
          <w:color w:val="000000"/>
          <w:kern w:val="0"/>
          <w:lang w:eastAsia="en-GB"/>
          <w14:ligatures w14:val="none"/>
        </w:rPr>
      </w:pPr>
    </w:p>
    <w:p w14:paraId="30D429B0"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r w:rsidRPr="006E7E6D">
        <w:rPr>
          <w:rFonts w:eastAsia="Times New Roman" w:cstheme="minorHAnsi"/>
          <w:color w:val="000000"/>
          <w:kern w:val="0"/>
          <w:lang w:eastAsia="en-GB"/>
          <w14:ligatures w14:val="none"/>
        </w:rPr>
        <w:t>Robson, C. (2002) </w:t>
      </w:r>
      <w:r w:rsidRPr="006E7E6D">
        <w:rPr>
          <w:rFonts w:eastAsia="Times New Roman" w:cstheme="minorHAnsi"/>
          <w:i/>
          <w:iCs/>
          <w:color w:val="000000"/>
          <w:kern w:val="0"/>
          <w:lang w:eastAsia="en-GB"/>
          <w14:ligatures w14:val="none"/>
        </w:rPr>
        <w:t>Real World Research: A Resource for Social Scientists and Practitioner-Researchers</w:t>
      </w:r>
      <w:r w:rsidRPr="006E7E6D">
        <w:rPr>
          <w:rFonts w:eastAsia="Times New Roman" w:cstheme="minorHAnsi"/>
          <w:color w:val="000000"/>
          <w:kern w:val="0"/>
          <w:lang w:eastAsia="en-GB"/>
          <w14:ligatures w14:val="none"/>
        </w:rPr>
        <w:t>. Oxford: Blackwell Publishers Ltd.</w:t>
      </w:r>
    </w:p>
    <w:p w14:paraId="565012B6" w14:textId="77777777" w:rsidR="00CE6B38" w:rsidRPr="006E7E6D" w:rsidRDefault="00CE6B38" w:rsidP="00CE6B38">
      <w:pPr>
        <w:rPr>
          <w:rFonts w:eastAsia="Times New Roman" w:cstheme="minorHAnsi"/>
          <w:color w:val="000000"/>
          <w:kern w:val="0"/>
          <w:lang w:eastAsia="en-GB"/>
          <w14:ligatures w14:val="none"/>
        </w:rPr>
      </w:pPr>
    </w:p>
    <w:p w14:paraId="58EABEC9"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proofErr w:type="spellStart"/>
      <w:r w:rsidRPr="006E7E6D">
        <w:rPr>
          <w:rFonts w:eastAsia="Times New Roman" w:cstheme="minorHAnsi"/>
          <w:color w:val="000000"/>
          <w:kern w:val="0"/>
          <w:lang w:eastAsia="en-GB"/>
          <w14:ligatures w14:val="none"/>
        </w:rPr>
        <w:t>Volkwein</w:t>
      </w:r>
      <w:proofErr w:type="spellEnd"/>
      <w:r w:rsidRPr="006E7E6D">
        <w:rPr>
          <w:rFonts w:eastAsia="Times New Roman" w:cstheme="minorHAnsi"/>
          <w:color w:val="000000"/>
          <w:kern w:val="0"/>
          <w:lang w:eastAsia="en-GB"/>
          <w14:ligatures w14:val="none"/>
        </w:rPr>
        <w:t>, J. F. (2010) “A model for assessing institutional effectiveness,” </w:t>
      </w:r>
      <w:r w:rsidRPr="006E7E6D">
        <w:rPr>
          <w:rFonts w:eastAsia="Times New Roman" w:cstheme="minorHAnsi"/>
          <w:i/>
          <w:iCs/>
          <w:color w:val="000000"/>
          <w:kern w:val="0"/>
          <w:lang w:eastAsia="en-GB"/>
          <w14:ligatures w14:val="none"/>
        </w:rPr>
        <w:t>New directions for institutional research</w:t>
      </w:r>
      <w:r w:rsidRPr="006E7E6D">
        <w:rPr>
          <w:rFonts w:eastAsia="Times New Roman" w:cstheme="minorHAnsi"/>
          <w:color w:val="000000"/>
          <w:kern w:val="0"/>
          <w:lang w:eastAsia="en-GB"/>
          <w14:ligatures w14:val="none"/>
        </w:rPr>
        <w:t xml:space="preserve">, 2010(S1), pp. 13–28. </w:t>
      </w:r>
      <w:proofErr w:type="spellStart"/>
      <w:r w:rsidRPr="006E7E6D">
        <w:rPr>
          <w:rFonts w:eastAsia="Times New Roman" w:cstheme="minorHAnsi"/>
          <w:color w:val="000000"/>
          <w:kern w:val="0"/>
          <w:lang w:eastAsia="en-GB"/>
          <w14:ligatures w14:val="none"/>
        </w:rPr>
        <w:t>doi</w:t>
      </w:r>
      <w:proofErr w:type="spellEnd"/>
      <w:r w:rsidRPr="006E7E6D">
        <w:rPr>
          <w:rFonts w:eastAsia="Times New Roman" w:cstheme="minorHAnsi"/>
          <w:color w:val="000000"/>
          <w:kern w:val="0"/>
          <w:lang w:eastAsia="en-GB"/>
          <w14:ligatures w14:val="none"/>
        </w:rPr>
        <w:t>: 10.1002/ir.328.</w:t>
      </w:r>
    </w:p>
    <w:p w14:paraId="40A609B9" w14:textId="77777777" w:rsidR="00CE6B38" w:rsidRPr="006E7E6D" w:rsidRDefault="00CE6B38" w:rsidP="00CE6B38">
      <w:pPr>
        <w:rPr>
          <w:rFonts w:eastAsia="Times New Roman" w:cstheme="minorHAnsi"/>
          <w:color w:val="000000"/>
          <w:kern w:val="0"/>
          <w:lang w:eastAsia="en-GB"/>
          <w14:ligatures w14:val="none"/>
        </w:rPr>
      </w:pPr>
    </w:p>
    <w:p w14:paraId="3CCFDCD8"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r w:rsidRPr="006E7E6D">
        <w:rPr>
          <w:rFonts w:eastAsia="Times New Roman" w:cstheme="minorHAnsi"/>
          <w:color w:val="000000"/>
          <w:kern w:val="0"/>
          <w:lang w:eastAsia="en-GB"/>
          <w14:ligatures w14:val="none"/>
        </w:rPr>
        <w:t>Walford (2005) “Research ethical guidelines and anonymity,” </w:t>
      </w:r>
      <w:r w:rsidRPr="006E7E6D">
        <w:rPr>
          <w:rFonts w:eastAsia="Times New Roman" w:cstheme="minorHAnsi"/>
          <w:i/>
          <w:iCs/>
          <w:color w:val="000000"/>
          <w:kern w:val="0"/>
          <w:lang w:eastAsia="en-GB"/>
          <w14:ligatures w14:val="none"/>
        </w:rPr>
        <w:t>International Journal of Research &amp; Method in Education</w:t>
      </w:r>
      <w:r w:rsidRPr="006E7E6D">
        <w:rPr>
          <w:rFonts w:eastAsia="Times New Roman" w:cstheme="minorHAnsi"/>
          <w:color w:val="000000"/>
          <w:kern w:val="0"/>
          <w:lang w:eastAsia="en-GB"/>
          <w14:ligatures w14:val="none"/>
        </w:rPr>
        <w:t>, 28(1), pp. 83–93.</w:t>
      </w:r>
    </w:p>
    <w:p w14:paraId="0D580DC2" w14:textId="77777777" w:rsidR="00CE6B38" w:rsidRPr="006E7E6D" w:rsidRDefault="00CE6B38" w:rsidP="00CE6B38">
      <w:pPr>
        <w:rPr>
          <w:rFonts w:eastAsia="Times New Roman" w:cstheme="minorHAnsi"/>
          <w:color w:val="000000"/>
          <w:kern w:val="0"/>
          <w:lang w:eastAsia="en-GB"/>
          <w14:ligatures w14:val="none"/>
        </w:rPr>
      </w:pPr>
    </w:p>
    <w:p w14:paraId="0614834D" w14:textId="77777777" w:rsidR="00CE6B38" w:rsidRPr="006E7E6D" w:rsidRDefault="00CE6B38" w:rsidP="00CE6B38">
      <w:pPr>
        <w:spacing w:before="100" w:beforeAutospacing="1" w:after="100" w:afterAutospacing="1"/>
        <w:rPr>
          <w:rFonts w:eastAsia="Times New Roman" w:cstheme="minorHAnsi"/>
          <w:color w:val="000000"/>
          <w:kern w:val="0"/>
          <w:lang w:eastAsia="en-GB"/>
          <w14:ligatures w14:val="none"/>
        </w:rPr>
      </w:pPr>
      <w:r w:rsidRPr="006E7E6D">
        <w:rPr>
          <w:rFonts w:eastAsia="Times New Roman" w:cstheme="minorHAnsi"/>
          <w:color w:val="000000"/>
          <w:kern w:val="0"/>
          <w:lang w:eastAsia="en-GB"/>
          <w14:ligatures w14:val="none"/>
        </w:rPr>
        <w:lastRenderedPageBreak/>
        <w:t>Wilhelm, J. D. (2001) </w:t>
      </w:r>
      <w:r w:rsidRPr="006E7E6D">
        <w:rPr>
          <w:rFonts w:eastAsia="Times New Roman" w:cstheme="minorHAnsi"/>
          <w:i/>
          <w:iCs/>
          <w:color w:val="000000"/>
          <w:kern w:val="0"/>
          <w:lang w:eastAsia="en-GB"/>
          <w14:ligatures w14:val="none"/>
        </w:rPr>
        <w:t>Improving comprehension with think-aloud strategies</w:t>
      </w:r>
      <w:r w:rsidRPr="006E7E6D">
        <w:rPr>
          <w:rFonts w:eastAsia="Times New Roman" w:cstheme="minorHAnsi"/>
          <w:color w:val="000000"/>
          <w:kern w:val="0"/>
          <w:lang w:eastAsia="en-GB"/>
          <w14:ligatures w14:val="none"/>
        </w:rPr>
        <w:t>. Markham, ON, Canada: Scholastic.</w:t>
      </w:r>
    </w:p>
    <w:p w14:paraId="5BFDE0CF" w14:textId="77777777" w:rsidR="00CE6B38" w:rsidRPr="006E7E6D" w:rsidRDefault="00CE6B38" w:rsidP="00CE6B38">
      <w:pPr>
        <w:rPr>
          <w:rFonts w:ascii="Times New Roman" w:eastAsia="Times New Roman" w:hAnsi="Times New Roman" w:cs="Times New Roman"/>
          <w:kern w:val="0"/>
          <w:lang w:eastAsia="en-GB"/>
          <w14:ligatures w14:val="none"/>
        </w:rPr>
      </w:pPr>
    </w:p>
    <w:p w14:paraId="35A65C1D" w14:textId="77777777" w:rsidR="00CE6B38" w:rsidRDefault="00CE6B38" w:rsidP="00CE6B38"/>
    <w:p w14:paraId="4A288220" w14:textId="77777777" w:rsidR="00CE6B38" w:rsidRDefault="00CE6B38" w:rsidP="00CE6B38"/>
    <w:p w14:paraId="0F14EB4E" w14:textId="77777777" w:rsidR="00CE6B38" w:rsidRDefault="00CE6B38" w:rsidP="00CE6B38"/>
    <w:p w14:paraId="3093D578" w14:textId="77777777" w:rsidR="00CE6B38" w:rsidRDefault="00CE6B38" w:rsidP="00CE6B38"/>
    <w:p w14:paraId="32713709" w14:textId="77777777" w:rsidR="00CE6B38" w:rsidRDefault="00CE6B38" w:rsidP="00CE6B38"/>
    <w:p w14:paraId="726A284C" w14:textId="5058A046" w:rsidR="00A60E2E" w:rsidRPr="0013030C" w:rsidRDefault="00A60E2E">
      <w:pPr>
        <w:rPr>
          <w:rFonts w:cstheme="minorHAnsi"/>
        </w:rPr>
      </w:pPr>
    </w:p>
    <w:p w14:paraId="1DE64462" w14:textId="77777777" w:rsidR="00A60E2E" w:rsidRPr="0013030C" w:rsidRDefault="00A60E2E">
      <w:pPr>
        <w:rPr>
          <w:rFonts w:cstheme="minorHAnsi"/>
        </w:rPr>
      </w:pPr>
    </w:p>
    <w:p w14:paraId="3F0F79C2" w14:textId="77777777" w:rsidR="00A60E2E" w:rsidRPr="0013030C" w:rsidRDefault="00A60E2E">
      <w:pPr>
        <w:rPr>
          <w:rFonts w:cstheme="minorHAnsi"/>
        </w:rPr>
      </w:pPr>
    </w:p>
    <w:p w14:paraId="6A9CDDA9" w14:textId="77777777" w:rsidR="00A60E2E" w:rsidRPr="0013030C" w:rsidRDefault="00A60E2E">
      <w:pPr>
        <w:rPr>
          <w:rFonts w:cstheme="minorHAnsi"/>
        </w:rPr>
      </w:pPr>
    </w:p>
    <w:p w14:paraId="0FCB6A39" w14:textId="77777777" w:rsidR="00A60E2E" w:rsidRPr="0013030C" w:rsidRDefault="00A60E2E">
      <w:pPr>
        <w:rPr>
          <w:rFonts w:cstheme="minorHAnsi"/>
        </w:rPr>
      </w:pPr>
    </w:p>
    <w:p w14:paraId="1020173A" w14:textId="77777777" w:rsidR="00F44382" w:rsidRPr="0013030C" w:rsidRDefault="00F44382">
      <w:pPr>
        <w:rPr>
          <w:rFonts w:cstheme="minorHAnsi"/>
        </w:rPr>
      </w:pPr>
    </w:p>
    <w:p w14:paraId="21B2B21F" w14:textId="77777777" w:rsidR="00F44382" w:rsidRPr="0013030C" w:rsidRDefault="00F44382">
      <w:pPr>
        <w:rPr>
          <w:rFonts w:cstheme="minorHAnsi"/>
        </w:rPr>
      </w:pPr>
    </w:p>
    <w:p w14:paraId="35071548" w14:textId="77777777" w:rsidR="00F44382" w:rsidRPr="0013030C" w:rsidRDefault="00F44382">
      <w:pPr>
        <w:rPr>
          <w:rFonts w:cstheme="minorHAnsi"/>
        </w:rPr>
      </w:pPr>
    </w:p>
    <w:p w14:paraId="79FDDF7B" w14:textId="77777777" w:rsidR="00F44382" w:rsidRPr="0013030C" w:rsidRDefault="00F44382">
      <w:pPr>
        <w:rPr>
          <w:rFonts w:cstheme="minorHAnsi"/>
        </w:rPr>
      </w:pPr>
    </w:p>
    <w:p w14:paraId="38159581" w14:textId="77777777" w:rsidR="00F44382" w:rsidRPr="0013030C" w:rsidRDefault="00F44382">
      <w:pPr>
        <w:rPr>
          <w:rFonts w:cstheme="minorHAnsi"/>
        </w:rPr>
      </w:pPr>
    </w:p>
    <w:p w14:paraId="5E606C6B" w14:textId="77777777" w:rsidR="00F44382" w:rsidRPr="0013030C" w:rsidRDefault="00F44382">
      <w:pPr>
        <w:rPr>
          <w:rFonts w:cstheme="minorHAnsi"/>
        </w:rPr>
      </w:pPr>
    </w:p>
    <w:p w14:paraId="50758971" w14:textId="77777777" w:rsidR="00F44382" w:rsidRPr="00F44382" w:rsidRDefault="00F44382" w:rsidP="00F44382">
      <w:pPr>
        <w:rPr>
          <w:rFonts w:eastAsia="Times New Roman" w:cstheme="minorHAnsi"/>
          <w:kern w:val="0"/>
          <w:lang w:eastAsia="en-GB"/>
          <w14:ligatures w14:val="none"/>
        </w:rPr>
      </w:pPr>
    </w:p>
    <w:p w14:paraId="6B843E8A" w14:textId="77777777" w:rsidR="00F44382" w:rsidRPr="0013030C" w:rsidRDefault="00F44382">
      <w:pPr>
        <w:rPr>
          <w:rFonts w:cstheme="minorHAnsi"/>
        </w:rPr>
      </w:pPr>
    </w:p>
    <w:p w14:paraId="43B55436" w14:textId="77777777" w:rsidR="00A60E2E" w:rsidRPr="0013030C" w:rsidRDefault="00A60E2E">
      <w:pPr>
        <w:rPr>
          <w:rFonts w:cstheme="minorHAnsi"/>
        </w:rPr>
      </w:pPr>
    </w:p>
    <w:p w14:paraId="414D61E7" w14:textId="77777777" w:rsidR="00A60E2E" w:rsidRPr="0013030C" w:rsidRDefault="00A60E2E">
      <w:pPr>
        <w:rPr>
          <w:rFonts w:cstheme="minorHAnsi"/>
        </w:rPr>
      </w:pPr>
    </w:p>
    <w:p w14:paraId="49FDA457" w14:textId="77777777" w:rsidR="00A60E2E" w:rsidRPr="0013030C" w:rsidRDefault="00A60E2E">
      <w:pPr>
        <w:rPr>
          <w:rFonts w:cstheme="minorHAnsi"/>
        </w:rPr>
      </w:pPr>
    </w:p>
    <w:p w14:paraId="03C70731" w14:textId="77777777" w:rsidR="00A60E2E" w:rsidRPr="0013030C" w:rsidRDefault="00A60E2E">
      <w:pPr>
        <w:rPr>
          <w:rFonts w:cstheme="minorHAnsi"/>
        </w:rPr>
      </w:pPr>
    </w:p>
    <w:p w14:paraId="0965CB01" w14:textId="77777777" w:rsidR="00A60E2E" w:rsidRDefault="00A60E2E"/>
    <w:p w14:paraId="56F29E15" w14:textId="77777777" w:rsidR="00A60E2E" w:rsidRDefault="00A60E2E"/>
    <w:p w14:paraId="16E0A7C4" w14:textId="77777777" w:rsidR="00A60E2E" w:rsidRDefault="00A60E2E"/>
    <w:p w14:paraId="50298FB9" w14:textId="77777777" w:rsidR="00A60E2E" w:rsidRDefault="00A60E2E"/>
    <w:sectPr w:rsidR="00A60E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848E2"/>
    <w:multiLevelType w:val="multilevel"/>
    <w:tmpl w:val="A78C4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82CBD"/>
    <w:multiLevelType w:val="hybridMultilevel"/>
    <w:tmpl w:val="C882A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250830"/>
    <w:multiLevelType w:val="multilevel"/>
    <w:tmpl w:val="A68C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E2325D"/>
    <w:multiLevelType w:val="multilevel"/>
    <w:tmpl w:val="C0064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6E3EC4"/>
    <w:multiLevelType w:val="multilevel"/>
    <w:tmpl w:val="272AB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F1177F"/>
    <w:multiLevelType w:val="multilevel"/>
    <w:tmpl w:val="564AE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551953"/>
    <w:multiLevelType w:val="multilevel"/>
    <w:tmpl w:val="7C344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949077D"/>
    <w:multiLevelType w:val="multilevel"/>
    <w:tmpl w:val="FE58F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595FD9"/>
    <w:multiLevelType w:val="multilevel"/>
    <w:tmpl w:val="C2AE3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560069"/>
    <w:multiLevelType w:val="multilevel"/>
    <w:tmpl w:val="C8AAA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986E0B"/>
    <w:multiLevelType w:val="multilevel"/>
    <w:tmpl w:val="E5441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8716346">
    <w:abstractNumId w:val="3"/>
  </w:num>
  <w:num w:numId="2" w16cid:durableId="1088042827">
    <w:abstractNumId w:val="5"/>
  </w:num>
  <w:num w:numId="3" w16cid:durableId="1002469299">
    <w:abstractNumId w:val="7"/>
  </w:num>
  <w:num w:numId="4" w16cid:durableId="235632745">
    <w:abstractNumId w:val="6"/>
  </w:num>
  <w:num w:numId="5" w16cid:durableId="1724786413">
    <w:abstractNumId w:val="0"/>
  </w:num>
  <w:num w:numId="6" w16cid:durableId="1802380031">
    <w:abstractNumId w:val="10"/>
  </w:num>
  <w:num w:numId="7" w16cid:durableId="1937058441">
    <w:abstractNumId w:val="8"/>
  </w:num>
  <w:num w:numId="8" w16cid:durableId="1373186793">
    <w:abstractNumId w:val="2"/>
  </w:num>
  <w:num w:numId="9" w16cid:durableId="372467799">
    <w:abstractNumId w:val="9"/>
  </w:num>
  <w:num w:numId="10" w16cid:durableId="498934208">
    <w:abstractNumId w:val="4"/>
  </w:num>
  <w:num w:numId="11" w16cid:durableId="1062602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246"/>
    <w:rsid w:val="00014AFC"/>
    <w:rsid w:val="00031265"/>
    <w:rsid w:val="000D3CBB"/>
    <w:rsid w:val="000F0ABA"/>
    <w:rsid w:val="0013030C"/>
    <w:rsid w:val="00144CF5"/>
    <w:rsid w:val="0018299C"/>
    <w:rsid w:val="00183BB0"/>
    <w:rsid w:val="001E113C"/>
    <w:rsid w:val="00255C95"/>
    <w:rsid w:val="003836CA"/>
    <w:rsid w:val="00490EBF"/>
    <w:rsid w:val="004C4024"/>
    <w:rsid w:val="00521CE1"/>
    <w:rsid w:val="00590084"/>
    <w:rsid w:val="005E0821"/>
    <w:rsid w:val="005F709C"/>
    <w:rsid w:val="00600DCD"/>
    <w:rsid w:val="006056E5"/>
    <w:rsid w:val="0076335A"/>
    <w:rsid w:val="007E3D7B"/>
    <w:rsid w:val="007F26FB"/>
    <w:rsid w:val="00830AC7"/>
    <w:rsid w:val="008B46AA"/>
    <w:rsid w:val="008C3C9D"/>
    <w:rsid w:val="008D218F"/>
    <w:rsid w:val="0092640A"/>
    <w:rsid w:val="00990CE4"/>
    <w:rsid w:val="009F7AD5"/>
    <w:rsid w:val="00A60E2E"/>
    <w:rsid w:val="00BB6347"/>
    <w:rsid w:val="00BD09DC"/>
    <w:rsid w:val="00C73246"/>
    <w:rsid w:val="00C74F34"/>
    <w:rsid w:val="00C95F56"/>
    <w:rsid w:val="00CA48E0"/>
    <w:rsid w:val="00CE6B38"/>
    <w:rsid w:val="00D85CF3"/>
    <w:rsid w:val="00E30811"/>
    <w:rsid w:val="00E40129"/>
    <w:rsid w:val="00E76B6C"/>
    <w:rsid w:val="00E856C8"/>
    <w:rsid w:val="00ED6266"/>
    <w:rsid w:val="00F44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5E0CB0"/>
  <w15:chartTrackingRefBased/>
  <w15:docId w15:val="{19125C0F-F31B-AB48-894A-088970EA2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324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73246"/>
    <w:rPr>
      <w:b/>
      <w:bCs/>
    </w:rPr>
  </w:style>
  <w:style w:type="table" w:styleId="TableGrid">
    <w:name w:val="Table Grid"/>
    <w:basedOn w:val="TableNormal"/>
    <w:uiPriority w:val="39"/>
    <w:rsid w:val="00E76B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26FB"/>
    <w:pPr>
      <w:ind w:left="720"/>
      <w:contextualSpacing/>
    </w:pPr>
  </w:style>
  <w:style w:type="character" w:customStyle="1" w:styleId="apple-converted-space">
    <w:name w:val="apple-converted-space"/>
    <w:basedOn w:val="DefaultParagraphFont"/>
    <w:rsid w:val="00F44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062119">
      <w:bodyDiv w:val="1"/>
      <w:marLeft w:val="0"/>
      <w:marRight w:val="0"/>
      <w:marTop w:val="0"/>
      <w:marBottom w:val="0"/>
      <w:divBdr>
        <w:top w:val="none" w:sz="0" w:space="0" w:color="auto"/>
        <w:left w:val="none" w:sz="0" w:space="0" w:color="auto"/>
        <w:bottom w:val="none" w:sz="0" w:space="0" w:color="auto"/>
        <w:right w:val="none" w:sz="0" w:space="0" w:color="auto"/>
      </w:divBdr>
    </w:div>
    <w:div w:id="388768851">
      <w:bodyDiv w:val="1"/>
      <w:marLeft w:val="0"/>
      <w:marRight w:val="0"/>
      <w:marTop w:val="0"/>
      <w:marBottom w:val="0"/>
      <w:divBdr>
        <w:top w:val="none" w:sz="0" w:space="0" w:color="auto"/>
        <w:left w:val="none" w:sz="0" w:space="0" w:color="auto"/>
        <w:bottom w:val="none" w:sz="0" w:space="0" w:color="auto"/>
        <w:right w:val="none" w:sz="0" w:space="0" w:color="auto"/>
      </w:divBdr>
    </w:div>
    <w:div w:id="584145832">
      <w:bodyDiv w:val="1"/>
      <w:marLeft w:val="0"/>
      <w:marRight w:val="0"/>
      <w:marTop w:val="0"/>
      <w:marBottom w:val="0"/>
      <w:divBdr>
        <w:top w:val="none" w:sz="0" w:space="0" w:color="auto"/>
        <w:left w:val="none" w:sz="0" w:space="0" w:color="auto"/>
        <w:bottom w:val="none" w:sz="0" w:space="0" w:color="auto"/>
        <w:right w:val="none" w:sz="0" w:space="0" w:color="auto"/>
      </w:divBdr>
      <w:divsChild>
        <w:div w:id="2003585874">
          <w:marLeft w:val="0"/>
          <w:marRight w:val="0"/>
          <w:marTop w:val="0"/>
          <w:marBottom w:val="0"/>
          <w:divBdr>
            <w:top w:val="none" w:sz="0" w:space="0" w:color="auto"/>
            <w:left w:val="none" w:sz="0" w:space="0" w:color="auto"/>
            <w:bottom w:val="none" w:sz="0" w:space="0" w:color="auto"/>
            <w:right w:val="none" w:sz="0" w:space="0" w:color="auto"/>
          </w:divBdr>
          <w:divsChild>
            <w:div w:id="342513811">
              <w:marLeft w:val="0"/>
              <w:marRight w:val="0"/>
              <w:marTop w:val="0"/>
              <w:marBottom w:val="0"/>
              <w:divBdr>
                <w:top w:val="none" w:sz="0" w:space="0" w:color="auto"/>
                <w:left w:val="none" w:sz="0" w:space="0" w:color="auto"/>
                <w:bottom w:val="none" w:sz="0" w:space="0" w:color="auto"/>
                <w:right w:val="none" w:sz="0" w:space="0" w:color="auto"/>
              </w:divBdr>
            </w:div>
            <w:div w:id="786892564">
              <w:marLeft w:val="0"/>
              <w:marRight w:val="0"/>
              <w:marTop w:val="0"/>
              <w:marBottom w:val="0"/>
              <w:divBdr>
                <w:top w:val="none" w:sz="0" w:space="0" w:color="auto"/>
                <w:left w:val="none" w:sz="0" w:space="0" w:color="auto"/>
                <w:bottom w:val="none" w:sz="0" w:space="0" w:color="auto"/>
                <w:right w:val="none" w:sz="0" w:space="0" w:color="auto"/>
              </w:divBdr>
            </w:div>
            <w:div w:id="26105793">
              <w:marLeft w:val="0"/>
              <w:marRight w:val="0"/>
              <w:marTop w:val="0"/>
              <w:marBottom w:val="0"/>
              <w:divBdr>
                <w:top w:val="none" w:sz="0" w:space="0" w:color="auto"/>
                <w:left w:val="none" w:sz="0" w:space="0" w:color="auto"/>
                <w:bottom w:val="none" w:sz="0" w:space="0" w:color="auto"/>
                <w:right w:val="none" w:sz="0" w:space="0" w:color="auto"/>
              </w:divBdr>
            </w:div>
            <w:div w:id="502355220">
              <w:marLeft w:val="0"/>
              <w:marRight w:val="0"/>
              <w:marTop w:val="0"/>
              <w:marBottom w:val="0"/>
              <w:divBdr>
                <w:top w:val="none" w:sz="0" w:space="0" w:color="auto"/>
                <w:left w:val="none" w:sz="0" w:space="0" w:color="auto"/>
                <w:bottom w:val="none" w:sz="0" w:space="0" w:color="auto"/>
                <w:right w:val="none" w:sz="0" w:space="0" w:color="auto"/>
              </w:divBdr>
            </w:div>
            <w:div w:id="54856629">
              <w:marLeft w:val="0"/>
              <w:marRight w:val="0"/>
              <w:marTop w:val="0"/>
              <w:marBottom w:val="0"/>
              <w:divBdr>
                <w:top w:val="none" w:sz="0" w:space="0" w:color="auto"/>
                <w:left w:val="none" w:sz="0" w:space="0" w:color="auto"/>
                <w:bottom w:val="none" w:sz="0" w:space="0" w:color="auto"/>
                <w:right w:val="none" w:sz="0" w:space="0" w:color="auto"/>
              </w:divBdr>
            </w:div>
            <w:div w:id="403383808">
              <w:marLeft w:val="0"/>
              <w:marRight w:val="0"/>
              <w:marTop w:val="0"/>
              <w:marBottom w:val="0"/>
              <w:divBdr>
                <w:top w:val="none" w:sz="0" w:space="0" w:color="auto"/>
                <w:left w:val="none" w:sz="0" w:space="0" w:color="auto"/>
                <w:bottom w:val="none" w:sz="0" w:space="0" w:color="auto"/>
                <w:right w:val="none" w:sz="0" w:space="0" w:color="auto"/>
              </w:divBdr>
            </w:div>
            <w:div w:id="1735200353">
              <w:marLeft w:val="0"/>
              <w:marRight w:val="0"/>
              <w:marTop w:val="0"/>
              <w:marBottom w:val="0"/>
              <w:divBdr>
                <w:top w:val="none" w:sz="0" w:space="0" w:color="auto"/>
                <w:left w:val="none" w:sz="0" w:space="0" w:color="auto"/>
                <w:bottom w:val="none" w:sz="0" w:space="0" w:color="auto"/>
                <w:right w:val="none" w:sz="0" w:space="0" w:color="auto"/>
              </w:divBdr>
            </w:div>
            <w:div w:id="757209961">
              <w:marLeft w:val="0"/>
              <w:marRight w:val="0"/>
              <w:marTop w:val="0"/>
              <w:marBottom w:val="0"/>
              <w:divBdr>
                <w:top w:val="none" w:sz="0" w:space="0" w:color="auto"/>
                <w:left w:val="none" w:sz="0" w:space="0" w:color="auto"/>
                <w:bottom w:val="none" w:sz="0" w:space="0" w:color="auto"/>
                <w:right w:val="none" w:sz="0" w:space="0" w:color="auto"/>
              </w:divBdr>
            </w:div>
            <w:div w:id="698626728">
              <w:marLeft w:val="0"/>
              <w:marRight w:val="0"/>
              <w:marTop w:val="0"/>
              <w:marBottom w:val="0"/>
              <w:divBdr>
                <w:top w:val="none" w:sz="0" w:space="0" w:color="auto"/>
                <w:left w:val="none" w:sz="0" w:space="0" w:color="auto"/>
                <w:bottom w:val="none" w:sz="0" w:space="0" w:color="auto"/>
                <w:right w:val="none" w:sz="0" w:space="0" w:color="auto"/>
              </w:divBdr>
            </w:div>
            <w:div w:id="1681658972">
              <w:marLeft w:val="0"/>
              <w:marRight w:val="0"/>
              <w:marTop w:val="0"/>
              <w:marBottom w:val="0"/>
              <w:divBdr>
                <w:top w:val="none" w:sz="0" w:space="0" w:color="auto"/>
                <w:left w:val="none" w:sz="0" w:space="0" w:color="auto"/>
                <w:bottom w:val="none" w:sz="0" w:space="0" w:color="auto"/>
                <w:right w:val="none" w:sz="0" w:space="0" w:color="auto"/>
              </w:divBdr>
            </w:div>
            <w:div w:id="671680615">
              <w:marLeft w:val="0"/>
              <w:marRight w:val="0"/>
              <w:marTop w:val="0"/>
              <w:marBottom w:val="0"/>
              <w:divBdr>
                <w:top w:val="none" w:sz="0" w:space="0" w:color="auto"/>
                <w:left w:val="none" w:sz="0" w:space="0" w:color="auto"/>
                <w:bottom w:val="none" w:sz="0" w:space="0" w:color="auto"/>
                <w:right w:val="none" w:sz="0" w:space="0" w:color="auto"/>
              </w:divBdr>
            </w:div>
            <w:div w:id="1682782011">
              <w:marLeft w:val="0"/>
              <w:marRight w:val="0"/>
              <w:marTop w:val="0"/>
              <w:marBottom w:val="0"/>
              <w:divBdr>
                <w:top w:val="none" w:sz="0" w:space="0" w:color="auto"/>
                <w:left w:val="none" w:sz="0" w:space="0" w:color="auto"/>
                <w:bottom w:val="none" w:sz="0" w:space="0" w:color="auto"/>
                <w:right w:val="none" w:sz="0" w:space="0" w:color="auto"/>
              </w:divBdr>
            </w:div>
            <w:div w:id="1836191011">
              <w:marLeft w:val="0"/>
              <w:marRight w:val="0"/>
              <w:marTop w:val="0"/>
              <w:marBottom w:val="0"/>
              <w:divBdr>
                <w:top w:val="none" w:sz="0" w:space="0" w:color="auto"/>
                <w:left w:val="none" w:sz="0" w:space="0" w:color="auto"/>
                <w:bottom w:val="none" w:sz="0" w:space="0" w:color="auto"/>
                <w:right w:val="none" w:sz="0" w:space="0" w:color="auto"/>
              </w:divBdr>
            </w:div>
            <w:div w:id="43410821">
              <w:marLeft w:val="0"/>
              <w:marRight w:val="0"/>
              <w:marTop w:val="0"/>
              <w:marBottom w:val="0"/>
              <w:divBdr>
                <w:top w:val="none" w:sz="0" w:space="0" w:color="auto"/>
                <w:left w:val="none" w:sz="0" w:space="0" w:color="auto"/>
                <w:bottom w:val="none" w:sz="0" w:space="0" w:color="auto"/>
                <w:right w:val="none" w:sz="0" w:space="0" w:color="auto"/>
              </w:divBdr>
            </w:div>
            <w:div w:id="1105807127">
              <w:marLeft w:val="0"/>
              <w:marRight w:val="0"/>
              <w:marTop w:val="0"/>
              <w:marBottom w:val="0"/>
              <w:divBdr>
                <w:top w:val="none" w:sz="0" w:space="0" w:color="auto"/>
                <w:left w:val="none" w:sz="0" w:space="0" w:color="auto"/>
                <w:bottom w:val="none" w:sz="0" w:space="0" w:color="auto"/>
                <w:right w:val="none" w:sz="0" w:space="0" w:color="auto"/>
              </w:divBdr>
            </w:div>
            <w:div w:id="1752387690">
              <w:marLeft w:val="0"/>
              <w:marRight w:val="0"/>
              <w:marTop w:val="0"/>
              <w:marBottom w:val="0"/>
              <w:divBdr>
                <w:top w:val="none" w:sz="0" w:space="0" w:color="auto"/>
                <w:left w:val="none" w:sz="0" w:space="0" w:color="auto"/>
                <w:bottom w:val="none" w:sz="0" w:space="0" w:color="auto"/>
                <w:right w:val="none" w:sz="0" w:space="0" w:color="auto"/>
              </w:divBdr>
            </w:div>
            <w:div w:id="127207296">
              <w:marLeft w:val="0"/>
              <w:marRight w:val="0"/>
              <w:marTop w:val="0"/>
              <w:marBottom w:val="0"/>
              <w:divBdr>
                <w:top w:val="none" w:sz="0" w:space="0" w:color="auto"/>
                <w:left w:val="none" w:sz="0" w:space="0" w:color="auto"/>
                <w:bottom w:val="none" w:sz="0" w:space="0" w:color="auto"/>
                <w:right w:val="none" w:sz="0" w:space="0" w:color="auto"/>
              </w:divBdr>
            </w:div>
            <w:div w:id="1200557974">
              <w:marLeft w:val="0"/>
              <w:marRight w:val="0"/>
              <w:marTop w:val="0"/>
              <w:marBottom w:val="0"/>
              <w:divBdr>
                <w:top w:val="none" w:sz="0" w:space="0" w:color="auto"/>
                <w:left w:val="none" w:sz="0" w:space="0" w:color="auto"/>
                <w:bottom w:val="none" w:sz="0" w:space="0" w:color="auto"/>
                <w:right w:val="none" w:sz="0" w:space="0" w:color="auto"/>
              </w:divBdr>
            </w:div>
            <w:div w:id="178719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648908">
      <w:bodyDiv w:val="1"/>
      <w:marLeft w:val="0"/>
      <w:marRight w:val="0"/>
      <w:marTop w:val="0"/>
      <w:marBottom w:val="0"/>
      <w:divBdr>
        <w:top w:val="none" w:sz="0" w:space="0" w:color="auto"/>
        <w:left w:val="none" w:sz="0" w:space="0" w:color="auto"/>
        <w:bottom w:val="none" w:sz="0" w:space="0" w:color="auto"/>
        <w:right w:val="none" w:sz="0" w:space="0" w:color="auto"/>
      </w:divBdr>
    </w:div>
    <w:div w:id="1298878700">
      <w:bodyDiv w:val="1"/>
      <w:marLeft w:val="0"/>
      <w:marRight w:val="0"/>
      <w:marTop w:val="0"/>
      <w:marBottom w:val="0"/>
      <w:divBdr>
        <w:top w:val="none" w:sz="0" w:space="0" w:color="auto"/>
        <w:left w:val="none" w:sz="0" w:space="0" w:color="auto"/>
        <w:bottom w:val="none" w:sz="0" w:space="0" w:color="auto"/>
        <w:right w:val="none" w:sz="0" w:space="0" w:color="auto"/>
      </w:divBdr>
    </w:div>
    <w:div w:id="1534221790">
      <w:bodyDiv w:val="1"/>
      <w:marLeft w:val="0"/>
      <w:marRight w:val="0"/>
      <w:marTop w:val="0"/>
      <w:marBottom w:val="0"/>
      <w:divBdr>
        <w:top w:val="none" w:sz="0" w:space="0" w:color="auto"/>
        <w:left w:val="none" w:sz="0" w:space="0" w:color="auto"/>
        <w:bottom w:val="none" w:sz="0" w:space="0" w:color="auto"/>
        <w:right w:val="none" w:sz="0" w:space="0" w:color="auto"/>
      </w:divBdr>
      <w:divsChild>
        <w:div w:id="2031566114">
          <w:marLeft w:val="0"/>
          <w:marRight w:val="0"/>
          <w:marTop w:val="0"/>
          <w:marBottom w:val="0"/>
          <w:divBdr>
            <w:top w:val="none" w:sz="0" w:space="0" w:color="auto"/>
            <w:left w:val="none" w:sz="0" w:space="0" w:color="auto"/>
            <w:bottom w:val="none" w:sz="0" w:space="0" w:color="auto"/>
            <w:right w:val="none" w:sz="0" w:space="0" w:color="auto"/>
          </w:divBdr>
          <w:divsChild>
            <w:div w:id="1403261139">
              <w:marLeft w:val="0"/>
              <w:marRight w:val="0"/>
              <w:marTop w:val="0"/>
              <w:marBottom w:val="0"/>
              <w:divBdr>
                <w:top w:val="none" w:sz="0" w:space="0" w:color="auto"/>
                <w:left w:val="none" w:sz="0" w:space="0" w:color="auto"/>
                <w:bottom w:val="none" w:sz="0" w:space="0" w:color="auto"/>
                <w:right w:val="none" w:sz="0" w:space="0" w:color="auto"/>
              </w:divBdr>
            </w:div>
            <w:div w:id="2136293825">
              <w:marLeft w:val="0"/>
              <w:marRight w:val="0"/>
              <w:marTop w:val="0"/>
              <w:marBottom w:val="0"/>
              <w:divBdr>
                <w:top w:val="none" w:sz="0" w:space="0" w:color="auto"/>
                <w:left w:val="none" w:sz="0" w:space="0" w:color="auto"/>
                <w:bottom w:val="none" w:sz="0" w:space="0" w:color="auto"/>
                <w:right w:val="none" w:sz="0" w:space="0" w:color="auto"/>
              </w:divBdr>
            </w:div>
            <w:div w:id="651102717">
              <w:marLeft w:val="0"/>
              <w:marRight w:val="0"/>
              <w:marTop w:val="0"/>
              <w:marBottom w:val="0"/>
              <w:divBdr>
                <w:top w:val="none" w:sz="0" w:space="0" w:color="auto"/>
                <w:left w:val="none" w:sz="0" w:space="0" w:color="auto"/>
                <w:bottom w:val="none" w:sz="0" w:space="0" w:color="auto"/>
                <w:right w:val="none" w:sz="0" w:space="0" w:color="auto"/>
              </w:divBdr>
            </w:div>
            <w:div w:id="993727890">
              <w:marLeft w:val="0"/>
              <w:marRight w:val="0"/>
              <w:marTop w:val="0"/>
              <w:marBottom w:val="0"/>
              <w:divBdr>
                <w:top w:val="none" w:sz="0" w:space="0" w:color="auto"/>
                <w:left w:val="none" w:sz="0" w:space="0" w:color="auto"/>
                <w:bottom w:val="none" w:sz="0" w:space="0" w:color="auto"/>
                <w:right w:val="none" w:sz="0" w:space="0" w:color="auto"/>
              </w:divBdr>
            </w:div>
            <w:div w:id="164899862">
              <w:marLeft w:val="0"/>
              <w:marRight w:val="0"/>
              <w:marTop w:val="0"/>
              <w:marBottom w:val="0"/>
              <w:divBdr>
                <w:top w:val="none" w:sz="0" w:space="0" w:color="auto"/>
                <w:left w:val="none" w:sz="0" w:space="0" w:color="auto"/>
                <w:bottom w:val="none" w:sz="0" w:space="0" w:color="auto"/>
                <w:right w:val="none" w:sz="0" w:space="0" w:color="auto"/>
              </w:divBdr>
            </w:div>
            <w:div w:id="1294824272">
              <w:marLeft w:val="0"/>
              <w:marRight w:val="0"/>
              <w:marTop w:val="0"/>
              <w:marBottom w:val="0"/>
              <w:divBdr>
                <w:top w:val="none" w:sz="0" w:space="0" w:color="auto"/>
                <w:left w:val="none" w:sz="0" w:space="0" w:color="auto"/>
                <w:bottom w:val="none" w:sz="0" w:space="0" w:color="auto"/>
                <w:right w:val="none" w:sz="0" w:space="0" w:color="auto"/>
              </w:divBdr>
            </w:div>
            <w:div w:id="1759018366">
              <w:marLeft w:val="0"/>
              <w:marRight w:val="0"/>
              <w:marTop w:val="0"/>
              <w:marBottom w:val="0"/>
              <w:divBdr>
                <w:top w:val="none" w:sz="0" w:space="0" w:color="auto"/>
                <w:left w:val="none" w:sz="0" w:space="0" w:color="auto"/>
                <w:bottom w:val="none" w:sz="0" w:space="0" w:color="auto"/>
                <w:right w:val="none" w:sz="0" w:space="0" w:color="auto"/>
              </w:divBdr>
            </w:div>
            <w:div w:id="1843813688">
              <w:marLeft w:val="0"/>
              <w:marRight w:val="0"/>
              <w:marTop w:val="0"/>
              <w:marBottom w:val="0"/>
              <w:divBdr>
                <w:top w:val="none" w:sz="0" w:space="0" w:color="auto"/>
                <w:left w:val="none" w:sz="0" w:space="0" w:color="auto"/>
                <w:bottom w:val="none" w:sz="0" w:space="0" w:color="auto"/>
                <w:right w:val="none" w:sz="0" w:space="0" w:color="auto"/>
              </w:divBdr>
            </w:div>
            <w:div w:id="1615676703">
              <w:marLeft w:val="0"/>
              <w:marRight w:val="0"/>
              <w:marTop w:val="0"/>
              <w:marBottom w:val="0"/>
              <w:divBdr>
                <w:top w:val="none" w:sz="0" w:space="0" w:color="auto"/>
                <w:left w:val="none" w:sz="0" w:space="0" w:color="auto"/>
                <w:bottom w:val="none" w:sz="0" w:space="0" w:color="auto"/>
                <w:right w:val="none" w:sz="0" w:space="0" w:color="auto"/>
              </w:divBdr>
            </w:div>
            <w:div w:id="1452751088">
              <w:marLeft w:val="0"/>
              <w:marRight w:val="0"/>
              <w:marTop w:val="0"/>
              <w:marBottom w:val="0"/>
              <w:divBdr>
                <w:top w:val="none" w:sz="0" w:space="0" w:color="auto"/>
                <w:left w:val="none" w:sz="0" w:space="0" w:color="auto"/>
                <w:bottom w:val="none" w:sz="0" w:space="0" w:color="auto"/>
                <w:right w:val="none" w:sz="0" w:space="0" w:color="auto"/>
              </w:divBdr>
            </w:div>
            <w:div w:id="1915776733">
              <w:marLeft w:val="0"/>
              <w:marRight w:val="0"/>
              <w:marTop w:val="0"/>
              <w:marBottom w:val="0"/>
              <w:divBdr>
                <w:top w:val="none" w:sz="0" w:space="0" w:color="auto"/>
                <w:left w:val="none" w:sz="0" w:space="0" w:color="auto"/>
                <w:bottom w:val="none" w:sz="0" w:space="0" w:color="auto"/>
                <w:right w:val="none" w:sz="0" w:space="0" w:color="auto"/>
              </w:divBdr>
            </w:div>
            <w:div w:id="1229153330">
              <w:marLeft w:val="0"/>
              <w:marRight w:val="0"/>
              <w:marTop w:val="0"/>
              <w:marBottom w:val="0"/>
              <w:divBdr>
                <w:top w:val="none" w:sz="0" w:space="0" w:color="auto"/>
                <w:left w:val="none" w:sz="0" w:space="0" w:color="auto"/>
                <w:bottom w:val="none" w:sz="0" w:space="0" w:color="auto"/>
                <w:right w:val="none" w:sz="0" w:space="0" w:color="auto"/>
              </w:divBdr>
            </w:div>
            <w:div w:id="2045665621">
              <w:marLeft w:val="0"/>
              <w:marRight w:val="0"/>
              <w:marTop w:val="0"/>
              <w:marBottom w:val="0"/>
              <w:divBdr>
                <w:top w:val="none" w:sz="0" w:space="0" w:color="auto"/>
                <w:left w:val="none" w:sz="0" w:space="0" w:color="auto"/>
                <w:bottom w:val="none" w:sz="0" w:space="0" w:color="auto"/>
                <w:right w:val="none" w:sz="0" w:space="0" w:color="auto"/>
              </w:divBdr>
            </w:div>
            <w:div w:id="754322194">
              <w:marLeft w:val="0"/>
              <w:marRight w:val="0"/>
              <w:marTop w:val="0"/>
              <w:marBottom w:val="0"/>
              <w:divBdr>
                <w:top w:val="none" w:sz="0" w:space="0" w:color="auto"/>
                <w:left w:val="none" w:sz="0" w:space="0" w:color="auto"/>
                <w:bottom w:val="none" w:sz="0" w:space="0" w:color="auto"/>
                <w:right w:val="none" w:sz="0" w:space="0" w:color="auto"/>
              </w:divBdr>
            </w:div>
            <w:div w:id="1137261253">
              <w:marLeft w:val="0"/>
              <w:marRight w:val="0"/>
              <w:marTop w:val="0"/>
              <w:marBottom w:val="0"/>
              <w:divBdr>
                <w:top w:val="none" w:sz="0" w:space="0" w:color="auto"/>
                <w:left w:val="none" w:sz="0" w:space="0" w:color="auto"/>
                <w:bottom w:val="none" w:sz="0" w:space="0" w:color="auto"/>
                <w:right w:val="none" w:sz="0" w:space="0" w:color="auto"/>
              </w:divBdr>
            </w:div>
            <w:div w:id="1093893244">
              <w:marLeft w:val="0"/>
              <w:marRight w:val="0"/>
              <w:marTop w:val="0"/>
              <w:marBottom w:val="0"/>
              <w:divBdr>
                <w:top w:val="none" w:sz="0" w:space="0" w:color="auto"/>
                <w:left w:val="none" w:sz="0" w:space="0" w:color="auto"/>
                <w:bottom w:val="none" w:sz="0" w:space="0" w:color="auto"/>
                <w:right w:val="none" w:sz="0" w:space="0" w:color="auto"/>
              </w:divBdr>
            </w:div>
            <w:div w:id="1031958277">
              <w:marLeft w:val="0"/>
              <w:marRight w:val="0"/>
              <w:marTop w:val="0"/>
              <w:marBottom w:val="0"/>
              <w:divBdr>
                <w:top w:val="none" w:sz="0" w:space="0" w:color="auto"/>
                <w:left w:val="none" w:sz="0" w:space="0" w:color="auto"/>
                <w:bottom w:val="none" w:sz="0" w:space="0" w:color="auto"/>
                <w:right w:val="none" w:sz="0" w:space="0" w:color="auto"/>
              </w:divBdr>
            </w:div>
            <w:div w:id="85376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983701">
      <w:bodyDiv w:val="1"/>
      <w:marLeft w:val="0"/>
      <w:marRight w:val="0"/>
      <w:marTop w:val="0"/>
      <w:marBottom w:val="0"/>
      <w:divBdr>
        <w:top w:val="none" w:sz="0" w:space="0" w:color="auto"/>
        <w:left w:val="none" w:sz="0" w:space="0" w:color="auto"/>
        <w:bottom w:val="none" w:sz="0" w:space="0" w:color="auto"/>
        <w:right w:val="none" w:sz="0" w:space="0" w:color="auto"/>
      </w:divBdr>
    </w:div>
    <w:div w:id="1829636102">
      <w:bodyDiv w:val="1"/>
      <w:marLeft w:val="0"/>
      <w:marRight w:val="0"/>
      <w:marTop w:val="0"/>
      <w:marBottom w:val="0"/>
      <w:divBdr>
        <w:top w:val="none" w:sz="0" w:space="0" w:color="auto"/>
        <w:left w:val="none" w:sz="0" w:space="0" w:color="auto"/>
        <w:bottom w:val="none" w:sz="0" w:space="0" w:color="auto"/>
        <w:right w:val="none" w:sz="0" w:space="0" w:color="auto"/>
      </w:divBdr>
    </w:div>
    <w:div w:id="1921253701">
      <w:bodyDiv w:val="1"/>
      <w:marLeft w:val="0"/>
      <w:marRight w:val="0"/>
      <w:marTop w:val="0"/>
      <w:marBottom w:val="0"/>
      <w:divBdr>
        <w:top w:val="none" w:sz="0" w:space="0" w:color="auto"/>
        <w:left w:val="none" w:sz="0" w:space="0" w:color="auto"/>
        <w:bottom w:val="none" w:sz="0" w:space="0" w:color="auto"/>
        <w:right w:val="none" w:sz="0" w:space="0" w:color="auto"/>
      </w:divBdr>
      <w:divsChild>
        <w:div w:id="1543517427">
          <w:marLeft w:val="0"/>
          <w:marRight w:val="0"/>
          <w:marTop w:val="0"/>
          <w:marBottom w:val="0"/>
          <w:divBdr>
            <w:top w:val="single" w:sz="2" w:space="0" w:color="E3E3E3"/>
            <w:left w:val="single" w:sz="2" w:space="0" w:color="E3E3E3"/>
            <w:bottom w:val="single" w:sz="2" w:space="0" w:color="E3E3E3"/>
            <w:right w:val="single" w:sz="2" w:space="0" w:color="E3E3E3"/>
          </w:divBdr>
          <w:divsChild>
            <w:div w:id="2088528305">
              <w:marLeft w:val="0"/>
              <w:marRight w:val="0"/>
              <w:marTop w:val="0"/>
              <w:marBottom w:val="0"/>
              <w:divBdr>
                <w:top w:val="single" w:sz="2" w:space="0" w:color="E3E3E3"/>
                <w:left w:val="single" w:sz="2" w:space="0" w:color="E3E3E3"/>
                <w:bottom w:val="single" w:sz="2" w:space="0" w:color="E3E3E3"/>
                <w:right w:val="single" w:sz="2" w:space="0" w:color="E3E3E3"/>
              </w:divBdr>
              <w:divsChild>
                <w:div w:id="1052000200">
                  <w:marLeft w:val="0"/>
                  <w:marRight w:val="0"/>
                  <w:marTop w:val="0"/>
                  <w:marBottom w:val="0"/>
                  <w:divBdr>
                    <w:top w:val="single" w:sz="2" w:space="0" w:color="E3E3E3"/>
                    <w:left w:val="single" w:sz="2" w:space="0" w:color="E3E3E3"/>
                    <w:bottom w:val="single" w:sz="2" w:space="0" w:color="E3E3E3"/>
                    <w:right w:val="single" w:sz="2" w:space="0" w:color="E3E3E3"/>
                  </w:divBdr>
                  <w:divsChild>
                    <w:div w:id="1624652015">
                      <w:marLeft w:val="0"/>
                      <w:marRight w:val="0"/>
                      <w:marTop w:val="0"/>
                      <w:marBottom w:val="0"/>
                      <w:divBdr>
                        <w:top w:val="single" w:sz="2" w:space="0" w:color="E3E3E3"/>
                        <w:left w:val="single" w:sz="2" w:space="0" w:color="E3E3E3"/>
                        <w:bottom w:val="single" w:sz="2" w:space="0" w:color="E3E3E3"/>
                        <w:right w:val="single" w:sz="2" w:space="0" w:color="E3E3E3"/>
                      </w:divBdr>
                      <w:divsChild>
                        <w:div w:id="19948721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8365087">
          <w:marLeft w:val="0"/>
          <w:marRight w:val="0"/>
          <w:marTop w:val="0"/>
          <w:marBottom w:val="0"/>
          <w:divBdr>
            <w:top w:val="single" w:sz="2" w:space="0" w:color="E3E3E3"/>
            <w:left w:val="single" w:sz="2" w:space="0" w:color="E3E3E3"/>
            <w:bottom w:val="single" w:sz="2" w:space="0" w:color="E3E3E3"/>
            <w:right w:val="single" w:sz="2" w:space="0" w:color="E3E3E3"/>
          </w:divBdr>
          <w:divsChild>
            <w:div w:id="179395429">
              <w:marLeft w:val="0"/>
              <w:marRight w:val="0"/>
              <w:marTop w:val="0"/>
              <w:marBottom w:val="0"/>
              <w:divBdr>
                <w:top w:val="single" w:sz="2" w:space="0" w:color="E3E3E3"/>
                <w:left w:val="single" w:sz="2" w:space="0" w:color="E3E3E3"/>
                <w:bottom w:val="single" w:sz="2" w:space="0" w:color="E3E3E3"/>
                <w:right w:val="single" w:sz="2" w:space="0" w:color="E3E3E3"/>
              </w:divBdr>
              <w:divsChild>
                <w:div w:id="128205555">
                  <w:marLeft w:val="0"/>
                  <w:marRight w:val="0"/>
                  <w:marTop w:val="0"/>
                  <w:marBottom w:val="0"/>
                  <w:divBdr>
                    <w:top w:val="single" w:sz="2" w:space="0" w:color="E3E3E3"/>
                    <w:left w:val="single" w:sz="2" w:space="0" w:color="E3E3E3"/>
                    <w:bottom w:val="single" w:sz="2" w:space="0" w:color="E3E3E3"/>
                    <w:right w:val="single" w:sz="2" w:space="0" w:color="E3E3E3"/>
                  </w:divBdr>
                  <w:divsChild>
                    <w:div w:id="827599498">
                      <w:marLeft w:val="0"/>
                      <w:marRight w:val="0"/>
                      <w:marTop w:val="0"/>
                      <w:marBottom w:val="0"/>
                      <w:divBdr>
                        <w:top w:val="single" w:sz="2" w:space="0" w:color="E3E3E3"/>
                        <w:left w:val="single" w:sz="2" w:space="0" w:color="E3E3E3"/>
                        <w:bottom w:val="single" w:sz="2" w:space="0" w:color="E3E3E3"/>
                        <w:right w:val="single" w:sz="2" w:space="0" w:color="E3E3E3"/>
                      </w:divBdr>
                      <w:divsChild>
                        <w:div w:id="5256077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4757</Words>
  <Characters>27115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Jones (2223362)</dc:creator>
  <cp:keywords/>
  <dc:description/>
  <cp:lastModifiedBy>Ellis Jones (2223362)</cp:lastModifiedBy>
  <cp:revision>2</cp:revision>
  <dcterms:created xsi:type="dcterms:W3CDTF">2024-05-13T12:07:00Z</dcterms:created>
  <dcterms:modified xsi:type="dcterms:W3CDTF">2024-05-13T12:07:00Z</dcterms:modified>
</cp:coreProperties>
</file>