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D0E04C" w14:textId="77777777" w:rsidR="00EA17E3" w:rsidRDefault="00EA17E3" w:rsidP="00EA17E3">
      <w:pPr>
        <w:jc w:val="center"/>
        <w:rPr>
          <w:rFonts w:ascii="Times New Roman" w:eastAsia="Times New Roman" w:hAnsi="Times New Roman" w:cs="Times New Roman"/>
          <w:sz w:val="32"/>
          <w:szCs w:val="32"/>
          <w:highlight w:val="white"/>
          <w:lang w:val="en-GB"/>
        </w:rPr>
      </w:pPr>
      <w:r>
        <w:rPr>
          <w:szCs w:val="24"/>
        </w:rPr>
        <w:t xml:space="preserve">     </w:t>
      </w:r>
      <w:r>
        <w:rPr>
          <w:rFonts w:ascii="Times New Roman" w:eastAsia="Times New Roman" w:hAnsi="Times New Roman" w:cs="Times New Roman"/>
          <w:sz w:val="32"/>
          <w:szCs w:val="32"/>
          <w:highlight w:val="white"/>
        </w:rPr>
        <w:t>MANAGING PEOPLE</w:t>
      </w:r>
    </w:p>
    <w:p w14:paraId="2E39C1B7" w14:textId="725A068B" w:rsidR="00EA17E3" w:rsidRDefault="00EA17E3" w:rsidP="00EA17E3">
      <w:pPr>
        <w:jc w:val="center"/>
        <w:rPr>
          <w:rFonts w:ascii="Times New Roman" w:eastAsia="Times New Roman" w:hAnsi="Times New Roman" w:cs="Times New Roman"/>
          <w:b/>
          <w:sz w:val="32"/>
          <w:szCs w:val="32"/>
          <w:highlight w:val="white"/>
        </w:rPr>
      </w:pPr>
      <w:r>
        <w:rPr>
          <w:rFonts w:ascii="Times New Roman" w:eastAsia="Times New Roman" w:hAnsi="Times New Roman" w:cs="Times New Roman"/>
          <w:sz w:val="32"/>
          <w:szCs w:val="32"/>
          <w:highlight w:val="white"/>
        </w:rPr>
        <w:t xml:space="preserve">ASSESSMENT </w:t>
      </w:r>
      <w:r>
        <w:rPr>
          <w:rFonts w:ascii="Times New Roman" w:eastAsia="Times New Roman" w:hAnsi="Times New Roman" w:cs="Times New Roman"/>
          <w:sz w:val="32"/>
          <w:szCs w:val="32"/>
          <w:highlight w:val="white"/>
        </w:rPr>
        <w:t>2</w:t>
      </w:r>
    </w:p>
    <w:p w14:paraId="78C957ED" w14:textId="77777777" w:rsidR="00EA17E3" w:rsidRDefault="00EA17E3" w:rsidP="00EA17E3">
      <w:pPr>
        <w:jc w:val="center"/>
        <w:rPr>
          <w:rFonts w:ascii="Times New Roman" w:eastAsia="Times New Roman" w:hAnsi="Times New Roman" w:cs="Times New Roman"/>
          <w:b/>
          <w:sz w:val="28"/>
          <w:szCs w:val="28"/>
          <w:highlight w:val="white"/>
        </w:rPr>
      </w:pPr>
      <w:r>
        <w:rPr>
          <w:rFonts w:ascii="Times New Roman" w:eastAsia="Times New Roman" w:hAnsi="Times New Roman" w:cs="Times New Roman"/>
          <w:sz w:val="28"/>
          <w:szCs w:val="28"/>
          <w:highlight w:val="white"/>
        </w:rPr>
        <w:t>STUDENT NAME:</w:t>
      </w:r>
      <w:r>
        <w:rPr>
          <w:rFonts w:ascii="Helvetica" w:hAnsi="Helvetica"/>
          <w:color w:val="000000"/>
          <w:sz w:val="39"/>
          <w:szCs w:val="39"/>
          <w:shd w:val="clear" w:color="auto" w:fill="EEF2F4"/>
        </w:rPr>
        <w:t xml:space="preserve"> </w:t>
      </w:r>
      <w:r>
        <w:rPr>
          <w:rFonts w:ascii="Times New Roman" w:eastAsia="Times New Roman" w:hAnsi="Times New Roman" w:cs="Times New Roman"/>
          <w:sz w:val="28"/>
          <w:szCs w:val="28"/>
          <w:highlight w:val="white"/>
        </w:rPr>
        <w:t>ADRIANA CORNELIA BRIAN</w:t>
      </w:r>
    </w:p>
    <w:p w14:paraId="5F3F261E" w14:textId="77777777" w:rsidR="00EA17E3" w:rsidRDefault="00EA17E3" w:rsidP="00EA17E3">
      <w:pPr>
        <w:rPr>
          <w:rFonts w:eastAsiaTheme="minorHAnsi"/>
          <w:b/>
          <w:sz w:val="24"/>
          <w:szCs w:val="24"/>
        </w:rPr>
      </w:pPr>
      <w:r>
        <w:rPr>
          <w:rFonts w:ascii="Times New Roman" w:eastAsia="Times New Roman" w:hAnsi="Times New Roman" w:cs="Times New Roman"/>
          <w:sz w:val="28"/>
          <w:szCs w:val="28"/>
          <w:highlight w:val="white"/>
        </w:rPr>
        <w:t xml:space="preserve">STUDENT ID: </w:t>
      </w:r>
      <w:r>
        <w:rPr>
          <w:rFonts w:ascii="Times New Roman" w:hAnsi="Times New Roman" w:cs="Times New Roman"/>
          <w:sz w:val="32"/>
          <w:szCs w:val="32"/>
        </w:rPr>
        <w:t>: 2019150</w:t>
      </w:r>
    </w:p>
    <w:p w14:paraId="245E9CDE" w14:textId="77777777" w:rsidR="008A4705" w:rsidRDefault="008A4705">
      <w:pPr>
        <w:spacing w:line="360" w:lineRule="auto"/>
        <w:jc w:val="center"/>
        <w:rPr>
          <w:b/>
          <w:sz w:val="32"/>
          <w:szCs w:val="32"/>
        </w:rPr>
      </w:pPr>
    </w:p>
    <w:p w14:paraId="5CB4A89E" w14:textId="77777777" w:rsidR="008A4705" w:rsidRDefault="008A4705">
      <w:pPr>
        <w:spacing w:line="360" w:lineRule="auto"/>
        <w:jc w:val="center"/>
        <w:rPr>
          <w:b/>
          <w:sz w:val="32"/>
          <w:szCs w:val="32"/>
        </w:rPr>
      </w:pPr>
    </w:p>
    <w:p w14:paraId="19B5A98A" w14:textId="77777777" w:rsidR="008A4705" w:rsidRDefault="008A4705">
      <w:pPr>
        <w:spacing w:line="360" w:lineRule="auto"/>
        <w:jc w:val="center"/>
        <w:rPr>
          <w:b/>
          <w:sz w:val="32"/>
          <w:szCs w:val="32"/>
        </w:rPr>
      </w:pPr>
    </w:p>
    <w:p w14:paraId="6935DB70" w14:textId="77777777" w:rsidR="008A4705" w:rsidRDefault="002F74FE">
      <w:pPr>
        <w:spacing w:line="360" w:lineRule="auto"/>
        <w:jc w:val="center"/>
        <w:rPr>
          <w:b/>
          <w:sz w:val="32"/>
          <w:szCs w:val="32"/>
        </w:rPr>
      </w:pPr>
      <w:r>
        <w:rPr>
          <w:b/>
          <w:sz w:val="32"/>
          <w:szCs w:val="32"/>
        </w:rPr>
        <w:t>Assessment 2</w:t>
      </w:r>
      <w:r>
        <w:br w:type="page"/>
      </w:r>
    </w:p>
    <w:p w14:paraId="52303C64" w14:textId="77777777" w:rsidR="008A4705" w:rsidRDefault="002F74FE">
      <w:pPr>
        <w:spacing w:line="360" w:lineRule="auto"/>
        <w:jc w:val="center"/>
        <w:rPr>
          <w:b/>
        </w:rPr>
      </w:pPr>
      <w:r>
        <w:rPr>
          <w:b/>
        </w:rPr>
        <w:lastRenderedPageBreak/>
        <w:t>Table of contents:</w:t>
      </w:r>
    </w:p>
    <w:p w14:paraId="1F89A6F7" w14:textId="77777777" w:rsidR="008A4705" w:rsidRDefault="008A4705">
      <w:pPr>
        <w:spacing w:line="360" w:lineRule="auto"/>
        <w:jc w:val="both"/>
        <w:rPr>
          <w:b/>
        </w:rPr>
      </w:pPr>
    </w:p>
    <w:sdt>
      <w:sdtPr>
        <w:id w:val="1"/>
        <w:docPartObj>
          <w:docPartGallery w:val="Table of Contents"/>
          <w:docPartUnique/>
        </w:docPartObj>
      </w:sdtPr>
      <w:sdtEndPr/>
      <w:sdtContent>
        <w:p w14:paraId="7ED71503" w14:textId="77777777" w:rsidR="008A4705" w:rsidRDefault="002F74FE">
          <w:pPr>
            <w:tabs>
              <w:tab w:val="right" w:pos="9360"/>
            </w:tabs>
            <w:spacing w:before="80" w:line="360" w:lineRule="auto"/>
            <w:jc w:val="both"/>
          </w:pPr>
          <w:r>
            <w:fldChar w:fldCharType="begin"/>
          </w:r>
          <w:r>
            <w:instrText xml:space="preserve"> TOC \h \u \z </w:instrText>
          </w:r>
          <w:r>
            <w:fldChar w:fldCharType="separate"/>
          </w:r>
          <w:hyperlink w:anchor="_heading=h.gjdgxs">
            <w:r>
              <w:rPr>
                <w:b/>
              </w:rPr>
              <w:t>Introduction</w:t>
            </w:r>
          </w:hyperlink>
          <w:r>
            <w:rPr>
              <w:b/>
            </w:rPr>
            <w:tab/>
          </w:r>
          <w:r>
            <w:fldChar w:fldCharType="begin"/>
          </w:r>
          <w:r>
            <w:instrText xml:space="preserve"> PAGEREF _heading=h.gjdgxs \h </w:instrText>
          </w:r>
          <w:r>
            <w:fldChar w:fldCharType="separate"/>
          </w:r>
          <w:r>
            <w:rPr>
              <w:b/>
            </w:rPr>
            <w:t>2</w:t>
          </w:r>
          <w:r>
            <w:fldChar w:fldCharType="end"/>
          </w:r>
        </w:p>
        <w:p w14:paraId="1C4E18A4" w14:textId="77777777" w:rsidR="008A4705" w:rsidRDefault="002F74FE">
          <w:pPr>
            <w:tabs>
              <w:tab w:val="right" w:pos="9360"/>
            </w:tabs>
            <w:spacing w:before="200" w:line="360" w:lineRule="auto"/>
            <w:jc w:val="both"/>
          </w:pPr>
          <w:hyperlink w:anchor="_heading=h.30j0zll">
            <w:r>
              <w:rPr>
                <w:b/>
              </w:rPr>
              <w:t>The concept and drivers of employee engagement</w:t>
            </w:r>
          </w:hyperlink>
          <w:r>
            <w:rPr>
              <w:b/>
            </w:rPr>
            <w:tab/>
          </w:r>
          <w:r>
            <w:fldChar w:fldCharType="begin"/>
          </w:r>
          <w:r>
            <w:instrText xml:space="preserve"> PAGEREF _heading=h.30j0zll \h </w:instrText>
          </w:r>
          <w:r>
            <w:fldChar w:fldCharType="separate"/>
          </w:r>
          <w:r>
            <w:rPr>
              <w:b/>
            </w:rPr>
            <w:t>2</w:t>
          </w:r>
          <w:r>
            <w:fldChar w:fldCharType="end"/>
          </w:r>
        </w:p>
        <w:p w14:paraId="7B140B7D" w14:textId="77777777" w:rsidR="008A4705" w:rsidRDefault="002F74FE">
          <w:pPr>
            <w:tabs>
              <w:tab w:val="right" w:pos="9360"/>
            </w:tabs>
            <w:spacing w:before="200" w:line="360" w:lineRule="auto"/>
            <w:jc w:val="both"/>
          </w:pPr>
          <w:hyperlink w:anchor="_heading=h.1fob9te">
            <w:r>
              <w:rPr>
                <w:b/>
              </w:rPr>
              <w:t>Theories of employee engagement</w:t>
            </w:r>
          </w:hyperlink>
          <w:r>
            <w:rPr>
              <w:b/>
            </w:rPr>
            <w:tab/>
          </w:r>
          <w:r>
            <w:fldChar w:fldCharType="begin"/>
          </w:r>
          <w:r>
            <w:instrText xml:space="preserve"> PAGEREF _heading=h.1fob9te \h </w:instrText>
          </w:r>
          <w:r>
            <w:fldChar w:fldCharType="separate"/>
          </w:r>
          <w:r>
            <w:rPr>
              <w:b/>
            </w:rPr>
            <w:t>3</w:t>
          </w:r>
          <w:r>
            <w:fldChar w:fldCharType="end"/>
          </w:r>
        </w:p>
        <w:p w14:paraId="4B09B84A" w14:textId="77777777" w:rsidR="008A4705" w:rsidRDefault="002F74FE">
          <w:pPr>
            <w:tabs>
              <w:tab w:val="right" w:pos="9360"/>
            </w:tabs>
            <w:spacing w:before="200" w:line="360" w:lineRule="auto"/>
            <w:jc w:val="both"/>
          </w:pPr>
          <w:hyperlink w:anchor="_heading=h.3znysh7">
            <w:r>
              <w:rPr>
                <w:b/>
              </w:rPr>
              <w:t>Diagnostic tools to measure engage</w:t>
            </w:r>
            <w:r>
              <w:rPr>
                <w:b/>
              </w:rPr>
              <w:t>ment</w:t>
            </w:r>
          </w:hyperlink>
          <w:r>
            <w:rPr>
              <w:b/>
            </w:rPr>
            <w:tab/>
          </w:r>
          <w:r>
            <w:fldChar w:fldCharType="begin"/>
          </w:r>
          <w:r>
            <w:instrText xml:space="preserve"> PAGEREF _heading=h.3znysh7 \h </w:instrText>
          </w:r>
          <w:r>
            <w:fldChar w:fldCharType="separate"/>
          </w:r>
          <w:r>
            <w:rPr>
              <w:b/>
            </w:rPr>
            <w:t>3</w:t>
          </w:r>
          <w:r>
            <w:fldChar w:fldCharType="end"/>
          </w:r>
        </w:p>
        <w:p w14:paraId="4EEFCEB7" w14:textId="77777777" w:rsidR="008A4705" w:rsidRDefault="002F74FE">
          <w:pPr>
            <w:tabs>
              <w:tab w:val="right" w:pos="9360"/>
            </w:tabs>
            <w:spacing w:before="200" w:line="360" w:lineRule="auto"/>
            <w:jc w:val="both"/>
          </w:pPr>
          <w:hyperlink w:anchor="_heading=h.2et92p0">
            <w:r>
              <w:rPr>
                <w:b/>
              </w:rPr>
              <w:t>Employee value proposition from ideas</w:t>
            </w:r>
          </w:hyperlink>
          <w:r>
            <w:rPr>
              <w:b/>
            </w:rPr>
            <w:tab/>
          </w:r>
          <w:r>
            <w:fldChar w:fldCharType="begin"/>
          </w:r>
          <w:r>
            <w:instrText xml:space="preserve"> PAGEREF _heading=h.2et92p0 \h </w:instrText>
          </w:r>
          <w:r>
            <w:fldChar w:fldCharType="separate"/>
          </w:r>
          <w:r>
            <w:rPr>
              <w:b/>
            </w:rPr>
            <w:t>4</w:t>
          </w:r>
          <w:r>
            <w:fldChar w:fldCharType="end"/>
          </w:r>
        </w:p>
        <w:p w14:paraId="60DA2888" w14:textId="77777777" w:rsidR="008A4705" w:rsidRDefault="002F74FE">
          <w:pPr>
            <w:tabs>
              <w:tab w:val="right" w:pos="9360"/>
            </w:tabs>
            <w:spacing w:before="200" w:line="360" w:lineRule="auto"/>
            <w:jc w:val="both"/>
          </w:pPr>
          <w:hyperlink w:anchor="_heading=h.tyjcwt">
            <w:r>
              <w:rPr>
                <w:b/>
              </w:rPr>
              <w:t>Strategies to raise levels of employee engagement</w:t>
            </w:r>
          </w:hyperlink>
          <w:r>
            <w:rPr>
              <w:b/>
            </w:rPr>
            <w:tab/>
          </w:r>
          <w:r>
            <w:fldChar w:fldCharType="begin"/>
          </w:r>
          <w:r>
            <w:instrText xml:space="preserve"> PAGEREF _heading=h.tyjcwt \h </w:instrText>
          </w:r>
          <w:r>
            <w:fldChar w:fldCharType="separate"/>
          </w:r>
          <w:r>
            <w:rPr>
              <w:b/>
            </w:rPr>
            <w:t>5</w:t>
          </w:r>
          <w:r>
            <w:fldChar w:fldCharType="end"/>
          </w:r>
        </w:p>
        <w:p w14:paraId="2C51D262" w14:textId="77777777" w:rsidR="008A4705" w:rsidRDefault="002F74FE">
          <w:pPr>
            <w:tabs>
              <w:tab w:val="right" w:pos="9360"/>
            </w:tabs>
            <w:spacing w:before="200" w:line="360" w:lineRule="auto"/>
            <w:jc w:val="both"/>
          </w:pPr>
          <w:hyperlink w:anchor="_heading=h.3dy6vkm">
            <w:r>
              <w:rPr>
                <w:b/>
              </w:rPr>
              <w:t>Conclusion</w:t>
            </w:r>
          </w:hyperlink>
          <w:r>
            <w:rPr>
              <w:b/>
            </w:rPr>
            <w:tab/>
          </w:r>
          <w:r>
            <w:fldChar w:fldCharType="begin"/>
          </w:r>
          <w:r>
            <w:instrText xml:space="preserve"> PAGEREF _heading=h.3dy6vkm \h </w:instrText>
          </w:r>
          <w:r>
            <w:fldChar w:fldCharType="separate"/>
          </w:r>
          <w:r>
            <w:rPr>
              <w:b/>
            </w:rPr>
            <w:t>6</w:t>
          </w:r>
          <w:r>
            <w:fldChar w:fldCharType="end"/>
          </w:r>
        </w:p>
        <w:p w14:paraId="5A00BF6F" w14:textId="77777777" w:rsidR="008A4705" w:rsidRDefault="002F74FE">
          <w:pPr>
            <w:tabs>
              <w:tab w:val="right" w:pos="9360"/>
            </w:tabs>
            <w:spacing w:before="200" w:after="80" w:line="360" w:lineRule="auto"/>
            <w:jc w:val="both"/>
          </w:pPr>
          <w:hyperlink w:anchor="_heading=h.1t3h5sf">
            <w:r>
              <w:rPr>
                <w:b/>
              </w:rPr>
              <w:t>References:</w:t>
            </w:r>
          </w:hyperlink>
          <w:r>
            <w:rPr>
              <w:b/>
            </w:rPr>
            <w:tab/>
          </w:r>
          <w:r>
            <w:fldChar w:fldCharType="begin"/>
          </w:r>
          <w:r>
            <w:instrText xml:space="preserve"> PAGEREF _heading=h.1t3h5sf \h </w:instrText>
          </w:r>
          <w:r>
            <w:fldChar w:fldCharType="separate"/>
          </w:r>
          <w:r>
            <w:rPr>
              <w:b/>
            </w:rPr>
            <w:t>7</w:t>
          </w:r>
          <w:r>
            <w:fldChar w:fldCharType="end"/>
          </w:r>
          <w:r>
            <w:fldChar w:fldCharType="end"/>
          </w:r>
        </w:p>
      </w:sdtContent>
    </w:sdt>
    <w:p w14:paraId="69BCEA40" w14:textId="77777777" w:rsidR="008A4705" w:rsidRDefault="008A4705">
      <w:pPr>
        <w:spacing w:line="360" w:lineRule="auto"/>
        <w:jc w:val="both"/>
        <w:rPr>
          <w:b/>
        </w:rPr>
      </w:pPr>
    </w:p>
    <w:p w14:paraId="0F738CCB" w14:textId="77777777" w:rsidR="008A4705" w:rsidRDefault="002F74FE">
      <w:pPr>
        <w:spacing w:line="360" w:lineRule="auto"/>
        <w:jc w:val="center"/>
        <w:rPr>
          <w:b/>
        </w:rPr>
      </w:pPr>
      <w:r>
        <w:br w:type="page"/>
      </w:r>
    </w:p>
    <w:p w14:paraId="5EECFEAB" w14:textId="77777777" w:rsidR="008A4705" w:rsidRDefault="002F74FE">
      <w:pPr>
        <w:pStyle w:val="Heading1"/>
      </w:pPr>
      <w:bookmarkStart w:id="0" w:name="_heading=h.gjdgxs" w:colFirst="0" w:colLast="0"/>
      <w:bookmarkEnd w:id="0"/>
      <w:r>
        <w:lastRenderedPageBreak/>
        <w:t>Introduction</w:t>
      </w:r>
    </w:p>
    <w:p w14:paraId="44F2C56E" w14:textId="77777777" w:rsidR="008A4705" w:rsidRDefault="002F74FE">
      <w:pPr>
        <w:spacing w:line="360" w:lineRule="auto"/>
        <w:jc w:val="both"/>
      </w:pPr>
      <w:r>
        <w:t>The pur</w:t>
      </w:r>
      <w:r>
        <w:t>pose of the study is to evaluate the importance of employee engagement. It is the concept of human resources and it describes the dedication a worker feels and also the level of enthusiasm towards their job. It is the fundamental concept that efforts to de</w:t>
      </w:r>
      <w:r>
        <w:t>scribe and understand in both types like quantitatively and qualitatively. It is the most essential thing for all organizations because having effective strategies helps to build better customer and work relationships, reduce staff turnover, create a bette</w:t>
      </w:r>
      <w:r>
        <w:t xml:space="preserve">r work culture, increase productivity and also it impacts on a company's profit margin. Some of the components in employee engagement are professional growth, recognition and rewards, leadership and many more. This study sheds light on some of the drivers </w:t>
      </w:r>
      <w:r>
        <w:t xml:space="preserve">and concepts of employee engagement, diagnostic tools to the measurement of employees engagement, employees value proposition from idas and also the strategies that raise the engagement level.       </w:t>
      </w:r>
    </w:p>
    <w:p w14:paraId="308CE899" w14:textId="77777777" w:rsidR="008A4705" w:rsidRDefault="002F74FE">
      <w:pPr>
        <w:pStyle w:val="Heading1"/>
      </w:pPr>
      <w:bookmarkStart w:id="1" w:name="_heading=h.30j0zll" w:colFirst="0" w:colLast="0"/>
      <w:bookmarkEnd w:id="1"/>
      <w:r>
        <w:t>The concept and drivers of employee engagement</w:t>
      </w:r>
    </w:p>
    <w:p w14:paraId="28C4150B" w14:textId="77777777" w:rsidR="008A4705" w:rsidRDefault="002F74FE">
      <w:pPr>
        <w:spacing w:line="360" w:lineRule="auto"/>
        <w:jc w:val="both"/>
      </w:pPr>
      <w:r>
        <w:t>The drive</w:t>
      </w:r>
      <w:r>
        <w:t>rs refers to how the comfortable workers feel while they come into getting the work done. In this situation employees must feel capable of emotional energy, intellectual and also putting physical energy in their work. Some of the employee motivation driver</w:t>
      </w:r>
      <w:r>
        <w:t>s are security, independence, safety, esteem, authority, achievement, summary and many more (</w:t>
      </w:r>
      <w:r>
        <w:rPr>
          <w:color w:val="222222"/>
          <w:highlight w:val="white"/>
        </w:rPr>
        <w:t>Sun and Bunchapattanasakda, 2019</w:t>
      </w:r>
      <w:r>
        <w:t>). Employees who are with these types of drivers want to achieve their satisfaction while they complete their work or project succe</w:t>
      </w:r>
      <w:r>
        <w:t>ssfully. It will motivate them to better themselves in the next work. During the pandemic situation employees are condemned with their work through the online conferences, meetings and many more things. The connection is the paramount is to lasting and eff</w:t>
      </w:r>
      <w:r>
        <w:t>ective employee engagement. Some of the drivers of employee engagement are sufficient resources, employee development opportunities, organizational comprehension, appealing the company vision, organizational justice, employee involvement, goal settings are</w:t>
      </w:r>
      <w:r>
        <w:t xml:space="preserve"> the most common influences. Also, there are several employee motivation drivers to defend and define, to be comprehend and challenged, to belong and bond, achieve and acquire and many more. The drivers are the survey items or questions to have a wider imp</w:t>
      </w:r>
      <w:r>
        <w:t>act on the engagement of outcomes than the other of the survey items. The drivers may tap into the topics like individual needs, feeling valued, manager effectiveness, change management, trust in leadership, communication and many more (</w:t>
      </w:r>
      <w:r>
        <w:rPr>
          <w:color w:val="222222"/>
          <w:highlight w:val="white"/>
        </w:rPr>
        <w:t>Motyka, 2018</w:t>
      </w:r>
      <w:r>
        <w:t>). Some</w:t>
      </w:r>
      <w:r>
        <w:t xml:space="preserve"> of the drivers are-</w:t>
      </w:r>
    </w:p>
    <w:p w14:paraId="05680A36" w14:textId="77777777" w:rsidR="008A4705" w:rsidRDefault="002F74FE">
      <w:pPr>
        <w:spacing w:line="360" w:lineRule="auto"/>
        <w:jc w:val="both"/>
      </w:pPr>
      <w:r>
        <w:rPr>
          <w:b/>
          <w:i/>
        </w:rPr>
        <w:t xml:space="preserve">Autonomy- </w:t>
      </w:r>
      <w:r>
        <w:t>It is the employee drivers that plays an essential role in their engagement. In this driver employees are most trusted while they make decisions to do their jobs.</w:t>
      </w:r>
    </w:p>
    <w:p w14:paraId="035C6A79" w14:textId="77777777" w:rsidR="008A4705" w:rsidRDefault="002F74FE">
      <w:pPr>
        <w:spacing w:line="360" w:lineRule="auto"/>
        <w:jc w:val="both"/>
      </w:pPr>
      <w:r>
        <w:rPr>
          <w:b/>
          <w:i/>
        </w:rPr>
        <w:t xml:space="preserve">Capacity- </w:t>
      </w:r>
      <w:r>
        <w:t>The driver refers to how comfortable workers feel wh</w:t>
      </w:r>
      <w:r>
        <w:t xml:space="preserve">ile they complete their work and they are most capable of emotional, intellectual and putting their physical energy in their work. </w:t>
      </w:r>
    </w:p>
    <w:p w14:paraId="0B6D67EC" w14:textId="77777777" w:rsidR="008A4705" w:rsidRDefault="002F74FE">
      <w:pPr>
        <w:spacing w:line="360" w:lineRule="auto"/>
        <w:jc w:val="both"/>
      </w:pPr>
      <w:r>
        <w:rPr>
          <w:b/>
          <w:i/>
        </w:rPr>
        <w:lastRenderedPageBreak/>
        <w:t xml:space="preserve">Goal support- </w:t>
      </w:r>
      <w:r>
        <w:t>In this driver employees have the resources that they need to achieve their goals (</w:t>
      </w:r>
      <w:r>
        <w:rPr>
          <w:color w:val="222222"/>
          <w:highlight w:val="white"/>
        </w:rPr>
        <w:t>Chanana, 2021</w:t>
      </w:r>
      <w:r>
        <w:t xml:space="preserve">). They </w:t>
      </w:r>
      <w:r>
        <w:t>focus on their work to properly connect with the people and achieve their goals.</w:t>
      </w:r>
    </w:p>
    <w:p w14:paraId="7F38728A" w14:textId="77777777" w:rsidR="008A4705" w:rsidRDefault="002F74FE">
      <w:pPr>
        <w:spacing w:line="360" w:lineRule="auto"/>
        <w:jc w:val="both"/>
      </w:pPr>
      <w:r>
        <w:rPr>
          <w:b/>
          <w:i/>
        </w:rPr>
        <w:t xml:space="preserve">Professional development- </w:t>
      </w:r>
      <w:r>
        <w:t>It is the drive that refers to the presence of the growth opportunity that is provided by the leaders and managers to support their employees in thei</w:t>
      </w:r>
      <w:r>
        <w:t xml:space="preserve">r professional development in work. It is one of the right sources to encourage their teams while taking the opportunities and advantages.  </w:t>
      </w:r>
      <w:r>
        <w:rPr>
          <w:i/>
        </w:rPr>
        <w:t xml:space="preserve">  </w:t>
      </w:r>
      <w:r>
        <w:t xml:space="preserve">      </w:t>
      </w:r>
    </w:p>
    <w:p w14:paraId="338F25F9" w14:textId="77777777" w:rsidR="008A4705" w:rsidRDefault="002F74FE">
      <w:pPr>
        <w:pStyle w:val="Heading1"/>
      </w:pPr>
      <w:bookmarkStart w:id="2" w:name="_heading=h.1fob9te" w:colFirst="0" w:colLast="0"/>
      <w:bookmarkEnd w:id="2"/>
      <w:r>
        <w:t xml:space="preserve">Theories of employee engagement </w:t>
      </w:r>
    </w:p>
    <w:p w14:paraId="15B09574" w14:textId="77777777" w:rsidR="008A4705" w:rsidRDefault="002F74FE">
      <w:pPr>
        <w:spacing w:line="360" w:lineRule="auto"/>
        <w:jc w:val="both"/>
      </w:pPr>
      <w:r>
        <w:t>The employee engagement theory is the type of formal idea that by maximizi</w:t>
      </w:r>
      <w:r>
        <w:t>ng the staff output, organizations increase their satisfaction, inspiring employees, supporting, challenging and many more (</w:t>
      </w:r>
      <w:r>
        <w:rPr>
          <w:color w:val="222222"/>
          <w:highlight w:val="white"/>
        </w:rPr>
        <w:t>Albrecht, Breidahl, and Marty, 2018</w:t>
      </w:r>
      <w:r>
        <w:t>). According to employee engagement theory, the companies who have the higher level of workers lo</w:t>
      </w:r>
      <w:r>
        <w:t xml:space="preserve">yalty and motivation of employees engagement in their benefits like less absenteeism, lower turnover, increased creativity, bigger bottom lines, innovation and higher customer satisfaction. </w:t>
      </w:r>
    </w:p>
    <w:p w14:paraId="32624E5F" w14:textId="77777777" w:rsidR="008A4705" w:rsidRDefault="002F74FE">
      <w:pPr>
        <w:spacing w:line="360" w:lineRule="auto"/>
        <w:jc w:val="both"/>
      </w:pPr>
      <w:r>
        <w:rPr>
          <w:b/>
          <w:i/>
        </w:rPr>
        <w:t xml:space="preserve">William Kahn’s theory- </w:t>
      </w:r>
      <w:r>
        <w:t>Kahn’s works focus on the engagement of th</w:t>
      </w:r>
      <w:r>
        <w:t xml:space="preserve">eir employees and they connect with employees meaningfully connect with their daily tasks, company culture, organizational mission and also the task role are availability, safety and meaningfulness.   </w:t>
      </w:r>
    </w:p>
    <w:p w14:paraId="00655414" w14:textId="77777777" w:rsidR="008A4705" w:rsidRDefault="002F74FE">
      <w:pPr>
        <w:spacing w:line="360" w:lineRule="auto"/>
        <w:jc w:val="both"/>
      </w:pPr>
      <w:r>
        <w:rPr>
          <w:b/>
          <w:i/>
        </w:rPr>
        <w:t xml:space="preserve">Meaningfulness- </w:t>
      </w:r>
      <w:r>
        <w:t xml:space="preserve">It refers to the behind of the works. </w:t>
      </w:r>
      <w:r>
        <w:t>Employees who understand the company’s service or the benefits of their products to focus on their goals with significant effort (</w:t>
      </w:r>
      <w:r>
        <w:rPr>
          <w:highlight w:val="white"/>
        </w:rPr>
        <w:t>Shrm</w:t>
      </w:r>
      <w:r>
        <w:t xml:space="preserve">, 2022).  </w:t>
      </w:r>
    </w:p>
    <w:p w14:paraId="4A573445" w14:textId="77777777" w:rsidR="008A4705" w:rsidRDefault="002F74FE">
      <w:pPr>
        <w:spacing w:line="360" w:lineRule="auto"/>
        <w:jc w:val="both"/>
      </w:pPr>
      <w:r>
        <w:rPr>
          <w:b/>
          <w:i/>
        </w:rPr>
        <w:t xml:space="preserve">Goal setting theory and employee engagement- </w:t>
      </w:r>
      <w:r>
        <w:t>It is one of the major components of employee engagement. A goal s</w:t>
      </w:r>
      <w:r>
        <w:t xml:space="preserve">hould be an easy, specific and also clear understanding of their goals. Leaders should provide the direction and also the feedback throughout the process that always maintains the encouraged improvement.      </w:t>
      </w:r>
    </w:p>
    <w:p w14:paraId="0E7D0CF8" w14:textId="77777777" w:rsidR="008A4705" w:rsidRDefault="002F74FE">
      <w:pPr>
        <w:pStyle w:val="Heading1"/>
      </w:pPr>
      <w:bookmarkStart w:id="3" w:name="_heading=h.3znysh7" w:colFirst="0" w:colLast="0"/>
      <w:bookmarkEnd w:id="3"/>
      <w:r>
        <w:t>Diagnostic tools to measure engagement</w:t>
      </w:r>
    </w:p>
    <w:p w14:paraId="6E67360C" w14:textId="77777777" w:rsidR="008A4705" w:rsidRDefault="002F74FE">
      <w:pPr>
        <w:spacing w:line="360" w:lineRule="auto"/>
        <w:jc w:val="both"/>
      </w:pPr>
      <w:r>
        <w:t>The mos</w:t>
      </w:r>
      <w:r>
        <w:t>t commonly used of the tools that measure employee engagement like the surveys are the most essential tools. It measures employee engagement through surveys of engagement. In order to get feedback on employees ' attitude and feelings (</w:t>
      </w:r>
      <w:r>
        <w:rPr>
          <w:highlight w:val="white"/>
        </w:rPr>
        <w:t>Shrm</w:t>
      </w:r>
      <w:r>
        <w:t>, 2022). Also, th</w:t>
      </w:r>
      <w:r>
        <w:t>e most effective surveys submitted or filled out  as well as increases the participation rates and also it allows the honest responses of employees. Organizations give their employees flexible working hours, work from home. Engagement and culture are to de</w:t>
      </w:r>
      <w:r>
        <w:t>velop the self awareness of prevailing the culture. Employee engagement surveys are designed to assess and measure how engaged and motivated their employees perform their best in their work. The survey touches on some essential components in employee engag</w:t>
      </w:r>
      <w:r>
        <w:t xml:space="preserve">ement such as future goals, alignment, and employee satisfaction. Some of the diagnostic tools of employee engagement are measured and nurtured </w:t>
      </w:r>
      <w:r>
        <w:lastRenderedPageBreak/>
        <w:t>such as small focus groups, retention rate, measures productivity metrics, stay interviews, conduct exit, have f</w:t>
      </w:r>
      <w:r>
        <w:t>requent one on ones, frequent employee surveys, recognition programs, an employee reward and many more (</w:t>
      </w:r>
      <w:r>
        <w:rPr>
          <w:color w:val="222222"/>
          <w:highlight w:val="white"/>
        </w:rPr>
        <w:t>Ijream</w:t>
      </w:r>
      <w:r>
        <w:t>, 2022). Also, there are several tools that are used to evaluate the engagement of employees exit interviews, take advantages in employees life cy</w:t>
      </w:r>
      <w:r>
        <w:t xml:space="preserve">cle, HR rtools, employee surveys and many more. Measures and monitors the level of employee engagement are-          </w:t>
      </w:r>
    </w:p>
    <w:p w14:paraId="08914DCB" w14:textId="77777777" w:rsidR="008A4705" w:rsidRDefault="002F74FE">
      <w:pPr>
        <w:spacing w:line="360" w:lineRule="auto"/>
        <w:jc w:val="both"/>
      </w:pPr>
      <w:r>
        <w:rPr>
          <w:b/>
          <w:i/>
        </w:rPr>
        <w:t xml:space="preserve">Employee surveys- </w:t>
      </w:r>
      <w:r>
        <w:t>In this employee management employee surveys are the most essential tool for measuring their employees attitudes and fee</w:t>
      </w:r>
      <w:r>
        <w:t>lings. It increases the participation of allows and rates for the honest responses of employees. During the pandemic situation employees have the flexible time in their work and also they have their work from home. Also, the good survey helps the employees</w:t>
      </w:r>
      <w:r>
        <w:t xml:space="preserve"> to be more passionable, quality of relationships (</w:t>
      </w:r>
      <w:r>
        <w:rPr>
          <w:color w:val="222222"/>
          <w:highlight w:val="white"/>
        </w:rPr>
        <w:t xml:space="preserve">Simblett, </w:t>
      </w:r>
      <w:r>
        <w:rPr>
          <w:i/>
          <w:color w:val="222222"/>
          <w:highlight w:val="white"/>
        </w:rPr>
        <w:t>et al.</w:t>
      </w:r>
      <w:r>
        <w:rPr>
          <w:color w:val="222222"/>
          <w:highlight w:val="white"/>
        </w:rPr>
        <w:t xml:space="preserve"> 2018</w:t>
      </w:r>
      <w:r>
        <w:t xml:space="preserve">). They are often more motivated by their professional growth in the workplace.    </w:t>
      </w:r>
    </w:p>
    <w:p w14:paraId="496219B8" w14:textId="77777777" w:rsidR="008A4705" w:rsidRDefault="002F74FE">
      <w:pPr>
        <w:spacing w:line="360" w:lineRule="auto"/>
        <w:jc w:val="both"/>
      </w:pPr>
      <w:r>
        <w:rPr>
          <w:b/>
          <w:i/>
        </w:rPr>
        <w:t xml:space="preserve">HR tools- </w:t>
      </w:r>
      <w:r>
        <w:t>Modern HR platforms are provided the tools to measure and collect the feedback of the satisfaction of employees and also they allow them to manage their employees and also their data in the survey results. The management software performance can be more fr</w:t>
      </w:r>
      <w:r>
        <w:t xml:space="preserve">equent for conversations and also the feedback between the employees and managers.   </w:t>
      </w:r>
    </w:p>
    <w:p w14:paraId="538191CB" w14:textId="77777777" w:rsidR="008A4705" w:rsidRDefault="002F74FE">
      <w:pPr>
        <w:spacing w:line="360" w:lineRule="auto"/>
        <w:jc w:val="both"/>
      </w:pPr>
      <w:r>
        <w:rPr>
          <w:b/>
          <w:i/>
        </w:rPr>
        <w:t xml:space="preserve">Social media- </w:t>
      </w:r>
      <w:r>
        <w:t>The rise of social media means the employers have other kinds of powerful tools and also companies can masures their employees with their internal social me</w:t>
      </w:r>
      <w:r>
        <w:t>dia network (</w:t>
      </w:r>
      <w:r>
        <w:rPr>
          <w:color w:val="222222"/>
          <w:highlight w:val="white"/>
        </w:rPr>
        <w:t xml:space="preserve">Perugia, </w:t>
      </w:r>
      <w:r>
        <w:rPr>
          <w:i/>
          <w:color w:val="222222"/>
          <w:highlight w:val="white"/>
        </w:rPr>
        <w:t>et al.</w:t>
      </w:r>
      <w:r>
        <w:rPr>
          <w:color w:val="222222"/>
          <w:highlight w:val="white"/>
        </w:rPr>
        <w:t xml:space="preserve"> 2018</w:t>
      </w:r>
      <w:r>
        <w:t xml:space="preserve">). It gives the managers a better understanding of their employees and also their teams in the overall culture. </w:t>
      </w:r>
    </w:p>
    <w:p w14:paraId="2CC2EC71" w14:textId="77777777" w:rsidR="008A4705" w:rsidRDefault="002F74FE">
      <w:pPr>
        <w:pStyle w:val="Heading1"/>
      </w:pPr>
      <w:bookmarkStart w:id="4" w:name="_heading=h.2et92p0" w:colFirst="0" w:colLast="0"/>
      <w:bookmarkEnd w:id="4"/>
      <w:r>
        <w:t>Employee value proposition from ideas</w:t>
      </w:r>
    </w:p>
    <w:p w14:paraId="4CF580C5" w14:textId="77777777" w:rsidR="008A4705" w:rsidRDefault="002F74FE">
      <w:pPr>
        <w:spacing w:line="360" w:lineRule="auto"/>
        <w:jc w:val="both"/>
      </w:pPr>
      <w:r>
        <w:t>The value proposition of employees is the type of value that the company</w:t>
      </w:r>
      <w:r>
        <w:t xml:space="preserve"> offers their employees in return for the values and also it has the rewards and benefits that offers employees in returning to their commitment with their capabilities and skills. The value proposition is the type of simple statement and it summarizes the</w:t>
      </w:r>
      <w:r>
        <w:t xml:space="preserve"> services and the products of their customers. Also, it communicates the clear benefit of their customer to receive by giving some benefits in business. An employee value proposition is the statement that is intended to introduce the unique set of the bene</w:t>
      </w:r>
      <w:r>
        <w:t>fits of employees to receive the return of their experiences, capabilities, skills for their organization (</w:t>
      </w:r>
      <w:r>
        <w:rPr>
          <w:color w:val="222222"/>
          <w:highlight w:val="white"/>
        </w:rPr>
        <w:t>Mone and London,2018</w:t>
      </w:r>
      <w:r>
        <w:t>). There are several steps to create a great value proposition for employees such as assessing the current offer, interviewing pa</w:t>
      </w:r>
      <w:r>
        <w:t>st and existing employees, defining the key components of the employee value  proposition, promoting them through the channels that are right for them, reviewing the result and many more. Employees value proposition represents the perceived value of the ov</w:t>
      </w:r>
      <w:r>
        <w:t xml:space="preserve">erall deal between the employees and employers. Also , it makes the offers to the employees. It is the most essential part in the </w:t>
      </w:r>
      <w:r>
        <w:lastRenderedPageBreak/>
        <w:t>recruitment process for the great tool of retaining the companies and the talent with the strong value proposition in the high</w:t>
      </w:r>
      <w:r>
        <w:t>er retention rate among the quality of their employees (</w:t>
      </w:r>
      <w:r>
        <w:rPr>
          <w:color w:val="222222"/>
          <w:highlight w:val="white"/>
        </w:rPr>
        <w:t>Mone and London,2018</w:t>
      </w:r>
      <w:r>
        <w:t>). Some of the ways to improve the value proposition of employees are to encourage their employees to increase their skills, offer in person, broadcast their employees achievements</w:t>
      </w:r>
      <w:r>
        <w:t>, including employees recognition program and many more. Companies use the information to offer some true flexibility to their employees, have the mission to go beyond in their work, foster the genuine connections of employees, offer some programs to suppo</w:t>
      </w:r>
      <w:r>
        <w:t xml:space="preserve">rt the integration of their work life and many more.          </w:t>
      </w:r>
    </w:p>
    <w:p w14:paraId="0159D79E" w14:textId="77777777" w:rsidR="008A4705" w:rsidRDefault="002F74FE">
      <w:pPr>
        <w:pStyle w:val="Heading1"/>
      </w:pPr>
      <w:bookmarkStart w:id="5" w:name="_heading=h.tyjcwt" w:colFirst="0" w:colLast="0"/>
      <w:bookmarkEnd w:id="5"/>
      <w:r>
        <w:t>Strategies to raise levels of employee engagement</w:t>
      </w:r>
    </w:p>
    <w:p w14:paraId="6EB177E7" w14:textId="77777777" w:rsidR="008A4705" w:rsidRDefault="002F74FE">
      <w:pPr>
        <w:spacing w:line="360" w:lineRule="auto"/>
        <w:jc w:val="both"/>
      </w:pPr>
      <w:r>
        <w:t>During the pandemic situation employees are not able to get ready to go to the workplace. In this situation organizations take several steps th</w:t>
      </w:r>
      <w:r>
        <w:t>at help their employees in their work. They give flexible working hours , work from home, restactional roles and many more things. It helps the employees focus more on their work (</w:t>
      </w:r>
      <w:r>
        <w:rPr>
          <w:color w:val="222222"/>
          <w:highlight w:val="white"/>
        </w:rPr>
        <w:t>Mone and London,2018</w:t>
      </w:r>
      <w:r>
        <w:t>). But sometimes the flexible working hours harms the or</w:t>
      </w:r>
      <w:r>
        <w:t>ganization like some of the employees are not taking their responsibility seriously so that, they face several problems also the organization face. There are several strategies to develop the engagement of employees: recognize good work, empower their peop</w:t>
      </w:r>
      <w:r>
        <w:t xml:space="preserve">le, define the organization's purpose, invite feedback, invest in wellbeing, communicate regularly and deliberately. </w:t>
      </w:r>
    </w:p>
    <w:p w14:paraId="2951B8E7" w14:textId="77777777" w:rsidR="008A4705" w:rsidRDefault="002F74FE">
      <w:pPr>
        <w:spacing w:line="360" w:lineRule="auto"/>
        <w:jc w:val="both"/>
      </w:pPr>
      <w:r>
        <w:t xml:space="preserve">The engagement of employees is the resulting approach of the right conditions for all the members in organizations and committed to their </w:t>
      </w:r>
      <w:r>
        <w:t>best values and goals, enhance the sense of well being, and also motivate them to contribute to the success of organizations (</w:t>
      </w:r>
      <w:r>
        <w:rPr>
          <w:color w:val="222222"/>
          <w:highlight w:val="white"/>
        </w:rPr>
        <w:t xml:space="preserve">Simblett, </w:t>
      </w:r>
      <w:r>
        <w:rPr>
          <w:i/>
          <w:color w:val="222222"/>
          <w:highlight w:val="white"/>
        </w:rPr>
        <w:t>et al.</w:t>
      </w:r>
      <w:r>
        <w:rPr>
          <w:color w:val="222222"/>
          <w:highlight w:val="white"/>
        </w:rPr>
        <w:t xml:space="preserve"> 2018</w:t>
      </w:r>
      <w:r>
        <w:t>). The organizations takes several ways to motivate their employees such as offer flexible scheduling, be tra</w:t>
      </w:r>
      <w:r>
        <w:t>nsparent, share some positive feedback, give them to grow, offer their employees some rewards, supportive manager, be honest and respectful, make their business with the pleasant place and many more. Some of the employees engagement strategy theta takes or</w:t>
      </w:r>
      <w:r>
        <w:t>ganizations for their development of employee engagement are-</w:t>
      </w:r>
    </w:p>
    <w:p w14:paraId="3F2F4F28" w14:textId="77777777" w:rsidR="008A4705" w:rsidRDefault="002F74FE">
      <w:pPr>
        <w:spacing w:line="360" w:lineRule="auto"/>
        <w:jc w:val="both"/>
      </w:pPr>
      <w:r>
        <w:rPr>
          <w:b/>
          <w:i/>
        </w:rPr>
        <w:t xml:space="preserve">Communicate regularly and deliberately- </w:t>
      </w:r>
      <w:r>
        <w:t>It is the most essential part of an organization's growth. While the employees communicate with each other efficiently and effectively they know about man</w:t>
      </w:r>
      <w:r>
        <w:t xml:space="preserve">y new things from each other. Also, they can easily solve any kinds of problems in their business. It helps to achieve their goals and mitigate their problems that they face in their work. They can acquire several new things from each other. </w:t>
      </w:r>
    </w:p>
    <w:p w14:paraId="14FC9830" w14:textId="77777777" w:rsidR="008A4705" w:rsidRDefault="002F74FE">
      <w:pPr>
        <w:spacing w:line="360" w:lineRule="auto"/>
        <w:jc w:val="both"/>
      </w:pPr>
      <w:r>
        <w:rPr>
          <w:b/>
          <w:i/>
        </w:rPr>
        <w:t>Invest in wel</w:t>
      </w:r>
      <w:r>
        <w:rPr>
          <w:b/>
          <w:i/>
        </w:rPr>
        <w:t xml:space="preserve">l being- </w:t>
      </w:r>
      <w:r>
        <w:t>In the UK, the employee engagement has argued with the wellbeing and engagement both are linked closely. During this situation, employees are safe in their work from home situation and also with flexible working hours (</w:t>
      </w:r>
      <w:r>
        <w:rPr>
          <w:color w:val="222222"/>
          <w:highlight w:val="white"/>
        </w:rPr>
        <w:t xml:space="preserve">Simblett, </w:t>
      </w:r>
      <w:r>
        <w:rPr>
          <w:i/>
          <w:color w:val="222222"/>
          <w:highlight w:val="white"/>
        </w:rPr>
        <w:t>et al.</w:t>
      </w:r>
      <w:r>
        <w:rPr>
          <w:color w:val="222222"/>
          <w:highlight w:val="white"/>
        </w:rPr>
        <w:t xml:space="preserve"> 2018</w:t>
      </w:r>
      <w:r>
        <w:t>). Orga</w:t>
      </w:r>
      <w:r>
        <w:t xml:space="preserve">nizations need to </w:t>
      </w:r>
      <w:r>
        <w:lastRenderedPageBreak/>
        <w:t xml:space="preserve">create a healthy workplace culture for their employees as well as they helps to improve the staff wellbeing. </w:t>
      </w:r>
    </w:p>
    <w:p w14:paraId="39671712" w14:textId="77777777" w:rsidR="008A4705" w:rsidRDefault="002F74FE">
      <w:pPr>
        <w:spacing w:line="360" w:lineRule="auto"/>
        <w:jc w:val="both"/>
      </w:pPr>
      <w:r>
        <w:rPr>
          <w:b/>
          <w:i/>
        </w:rPr>
        <w:t xml:space="preserve">Invite feedback- </w:t>
      </w:r>
      <w:r>
        <w:t>It is the essential thing of employee engagement. While employees are engaged in their work they provide some f</w:t>
      </w:r>
      <w:r>
        <w:t>eedback to their employees that they feel good with their flexible working hours and work from home or not. Also, they can share their opinion with others. Also, they focus on their customers edds and choices (</w:t>
      </w:r>
      <w:r>
        <w:rPr>
          <w:color w:val="222222"/>
          <w:highlight w:val="white"/>
        </w:rPr>
        <w:t>Mone and London,2018</w:t>
      </w:r>
      <w:r>
        <w:t>). It helps them to achiev</w:t>
      </w:r>
      <w:r>
        <w:t xml:space="preserve">e their goals in business.         </w:t>
      </w:r>
    </w:p>
    <w:p w14:paraId="42ECD8C4" w14:textId="77777777" w:rsidR="008A4705" w:rsidRDefault="002F74FE">
      <w:pPr>
        <w:pStyle w:val="Heading1"/>
      </w:pPr>
      <w:bookmarkStart w:id="6" w:name="_heading=h.3dy6vkm" w:colFirst="0" w:colLast="0"/>
      <w:bookmarkEnd w:id="6"/>
      <w:r>
        <w:t>Conclusion</w:t>
      </w:r>
    </w:p>
    <w:p w14:paraId="1344BF22" w14:textId="77777777" w:rsidR="008A4705" w:rsidRDefault="002F74FE">
      <w:pPr>
        <w:spacing w:line="360" w:lineRule="auto"/>
        <w:jc w:val="both"/>
      </w:pPr>
      <w:r>
        <w:t>The above study shows that employee engagement is the essential part of organizations success. In employee engagement the human resource concept describes the level of dedication of employees towards their job</w:t>
      </w:r>
      <w:r>
        <w:t>. It is the nature of the relationship between the employees and also in the organization. They care about their performance in the company. Also, some of the essential components or the core elements of employee engagement are trust in leadership, opportu</w:t>
      </w:r>
      <w:r>
        <w:t xml:space="preserve">nity for growth, a positive work environment, hands on management, meaning work and many more. </w:t>
      </w:r>
      <w:r>
        <w:br w:type="page"/>
      </w:r>
    </w:p>
    <w:p w14:paraId="4F652C5B" w14:textId="77777777" w:rsidR="008A4705" w:rsidRDefault="002F74FE">
      <w:pPr>
        <w:pStyle w:val="Heading1"/>
        <w:rPr>
          <w:color w:val="222222"/>
          <w:sz w:val="20"/>
          <w:szCs w:val="20"/>
          <w:highlight w:val="white"/>
        </w:rPr>
      </w:pPr>
      <w:bookmarkStart w:id="7" w:name="_heading=h.1t3h5sf" w:colFirst="0" w:colLast="0"/>
      <w:bookmarkEnd w:id="7"/>
      <w:r>
        <w:lastRenderedPageBreak/>
        <w:t>References:</w:t>
      </w:r>
    </w:p>
    <w:p w14:paraId="776370F4" w14:textId="77777777" w:rsidR="008A4705" w:rsidRDefault="002F74FE">
      <w:pPr>
        <w:spacing w:line="360" w:lineRule="auto"/>
        <w:jc w:val="both"/>
        <w:rPr>
          <w:color w:val="222222"/>
          <w:highlight w:val="white"/>
        </w:rPr>
      </w:pPr>
      <w:r>
        <w:rPr>
          <w:color w:val="222222"/>
          <w:highlight w:val="white"/>
        </w:rPr>
        <w:t xml:space="preserve">Albrecht, S., Breidahl, E. and Marty, A., 2018. Organizational resources, organizational engagement climate, and employee engagement. </w:t>
      </w:r>
      <w:r>
        <w:rPr>
          <w:i/>
          <w:color w:val="222222"/>
          <w:highlight w:val="white"/>
        </w:rPr>
        <w:t>Career Develo</w:t>
      </w:r>
      <w:r>
        <w:rPr>
          <w:i/>
          <w:color w:val="222222"/>
          <w:highlight w:val="white"/>
        </w:rPr>
        <w:t>pment International</w:t>
      </w:r>
      <w:r>
        <w:rPr>
          <w:color w:val="222222"/>
          <w:highlight w:val="white"/>
        </w:rPr>
        <w:t>.</w:t>
      </w:r>
    </w:p>
    <w:p w14:paraId="3CF12EF0" w14:textId="77777777" w:rsidR="008A4705" w:rsidRDefault="002F74FE">
      <w:pPr>
        <w:spacing w:line="360" w:lineRule="auto"/>
        <w:jc w:val="both"/>
        <w:rPr>
          <w:color w:val="222222"/>
          <w:highlight w:val="white"/>
        </w:rPr>
      </w:pPr>
      <w:r>
        <w:rPr>
          <w:color w:val="222222"/>
          <w:highlight w:val="white"/>
        </w:rPr>
        <w:t xml:space="preserve">Chanana, N., 2021. Employee engagement practices during COVID‐19 lockdown. </w:t>
      </w:r>
      <w:r>
        <w:rPr>
          <w:i/>
          <w:color w:val="222222"/>
          <w:highlight w:val="white"/>
        </w:rPr>
        <w:t>Journal of public affairs</w:t>
      </w:r>
      <w:r>
        <w:rPr>
          <w:color w:val="222222"/>
          <w:highlight w:val="white"/>
        </w:rPr>
        <w:t xml:space="preserve">, </w:t>
      </w:r>
      <w:r>
        <w:rPr>
          <w:i/>
          <w:color w:val="222222"/>
          <w:highlight w:val="white"/>
        </w:rPr>
        <w:t>21</w:t>
      </w:r>
      <w:r>
        <w:rPr>
          <w:color w:val="222222"/>
          <w:highlight w:val="white"/>
        </w:rPr>
        <w:t>(4), p.e2508.</w:t>
      </w:r>
    </w:p>
    <w:p w14:paraId="0BA26F0E" w14:textId="77777777" w:rsidR="008A4705" w:rsidRDefault="002F74FE">
      <w:pPr>
        <w:spacing w:line="360" w:lineRule="auto"/>
        <w:jc w:val="both"/>
        <w:rPr>
          <w:color w:val="222222"/>
          <w:highlight w:val="white"/>
        </w:rPr>
      </w:pPr>
      <w:r>
        <w:rPr>
          <w:color w:val="222222"/>
          <w:highlight w:val="white"/>
        </w:rPr>
        <w:t>Ijream</w:t>
      </w:r>
      <w:r>
        <w:t xml:space="preserve">, (2022). </w:t>
      </w:r>
      <w:r>
        <w:rPr>
          <w:color w:val="222222"/>
          <w:highlight w:val="white"/>
        </w:rPr>
        <w:t>Employee Engagement- A Theoretical Perspective</w:t>
      </w:r>
      <w:r>
        <w:t xml:space="preserve">. Available at- </w:t>
      </w:r>
      <w:hyperlink r:id="rId7">
        <w:r>
          <w:rPr>
            <w:color w:val="1155CC"/>
            <w:highlight w:val="white"/>
            <w:u w:val="single"/>
          </w:rPr>
          <w:t>http://ijream.org/papers/IJREAMV06I1272033.pdf</w:t>
        </w:r>
      </w:hyperlink>
      <w:r>
        <w:rPr>
          <w:color w:val="222222"/>
          <w:highlight w:val="white"/>
        </w:rPr>
        <w:t xml:space="preserve"> (accessed on 15th april 2022)</w:t>
      </w:r>
    </w:p>
    <w:p w14:paraId="718B1299" w14:textId="77777777" w:rsidR="008A4705" w:rsidRDefault="002F74FE">
      <w:pPr>
        <w:spacing w:line="360" w:lineRule="auto"/>
        <w:jc w:val="both"/>
        <w:rPr>
          <w:color w:val="222222"/>
          <w:highlight w:val="white"/>
        </w:rPr>
      </w:pPr>
      <w:r>
        <w:rPr>
          <w:color w:val="222222"/>
          <w:highlight w:val="white"/>
        </w:rPr>
        <w:t xml:space="preserve">Mone, E.M. and London, M., 2018. </w:t>
      </w:r>
      <w:r>
        <w:rPr>
          <w:i/>
          <w:color w:val="222222"/>
          <w:highlight w:val="white"/>
        </w:rPr>
        <w:t>Employee engagement through effective performance management: A practical guide for managers</w:t>
      </w:r>
      <w:r>
        <w:rPr>
          <w:color w:val="222222"/>
          <w:highlight w:val="white"/>
        </w:rPr>
        <w:t>. Routledge.</w:t>
      </w:r>
    </w:p>
    <w:p w14:paraId="7F555F5B" w14:textId="77777777" w:rsidR="008A4705" w:rsidRDefault="002F74FE">
      <w:pPr>
        <w:spacing w:line="360" w:lineRule="auto"/>
        <w:jc w:val="both"/>
        <w:rPr>
          <w:color w:val="222222"/>
          <w:highlight w:val="white"/>
        </w:rPr>
      </w:pPr>
      <w:r>
        <w:rPr>
          <w:color w:val="222222"/>
          <w:highlight w:val="white"/>
        </w:rPr>
        <w:t xml:space="preserve">Motyka, B., 2018. Employee engagement and performance: a systematic literature review. </w:t>
      </w:r>
      <w:r>
        <w:rPr>
          <w:i/>
          <w:color w:val="222222"/>
          <w:highlight w:val="white"/>
        </w:rPr>
        <w:t>International Journal of Management and Economics</w:t>
      </w:r>
      <w:r>
        <w:rPr>
          <w:color w:val="222222"/>
          <w:highlight w:val="white"/>
        </w:rPr>
        <w:t xml:space="preserve">, </w:t>
      </w:r>
      <w:r>
        <w:rPr>
          <w:i/>
          <w:color w:val="222222"/>
          <w:highlight w:val="white"/>
        </w:rPr>
        <w:t>54</w:t>
      </w:r>
      <w:r>
        <w:rPr>
          <w:color w:val="222222"/>
          <w:highlight w:val="white"/>
        </w:rPr>
        <w:t>(3), pp.227-244.</w:t>
      </w:r>
    </w:p>
    <w:p w14:paraId="093815EE" w14:textId="77777777" w:rsidR="008A4705" w:rsidRDefault="002F74FE">
      <w:pPr>
        <w:spacing w:line="360" w:lineRule="auto"/>
        <w:jc w:val="both"/>
        <w:rPr>
          <w:color w:val="222222"/>
          <w:highlight w:val="white"/>
        </w:rPr>
      </w:pPr>
      <w:r>
        <w:rPr>
          <w:color w:val="222222"/>
          <w:highlight w:val="white"/>
        </w:rPr>
        <w:t xml:space="preserve">Perugia, G., Rodríguez-Martín, D., Boladeras, M.D., Mallofré, A.C., Barakova, E. and Rauterberg, M., 2018. Quantity of movement as a measure of engagement for dementia: the influence of motivational disorders. </w:t>
      </w:r>
      <w:r>
        <w:rPr>
          <w:i/>
          <w:color w:val="222222"/>
          <w:highlight w:val="white"/>
        </w:rPr>
        <w:t>American Journal of Alzheimer's Disease &amp; Othe</w:t>
      </w:r>
      <w:r>
        <w:rPr>
          <w:i/>
          <w:color w:val="222222"/>
          <w:highlight w:val="white"/>
        </w:rPr>
        <w:t>r Dementias®</w:t>
      </w:r>
      <w:r>
        <w:rPr>
          <w:color w:val="222222"/>
          <w:highlight w:val="white"/>
        </w:rPr>
        <w:t xml:space="preserve">, </w:t>
      </w:r>
      <w:r>
        <w:rPr>
          <w:i/>
          <w:color w:val="222222"/>
          <w:highlight w:val="white"/>
        </w:rPr>
        <w:t>33</w:t>
      </w:r>
      <w:r>
        <w:rPr>
          <w:color w:val="222222"/>
          <w:highlight w:val="white"/>
        </w:rPr>
        <w:t>(2), pp.112-121.</w:t>
      </w:r>
    </w:p>
    <w:p w14:paraId="47AE0648" w14:textId="77777777" w:rsidR="008A4705" w:rsidRDefault="002F74FE">
      <w:pPr>
        <w:spacing w:line="360" w:lineRule="auto"/>
        <w:jc w:val="both"/>
        <w:rPr>
          <w:color w:val="222222"/>
          <w:highlight w:val="white"/>
        </w:rPr>
      </w:pPr>
      <w:r>
        <w:rPr>
          <w:highlight w:val="white"/>
        </w:rPr>
        <w:t>Shrm</w:t>
      </w:r>
      <w:r>
        <w:t xml:space="preserve">, (2022). Developing and Sustaining Employee Engagement. Available at- </w:t>
      </w:r>
      <w:hyperlink r:id="rId8">
        <w:r>
          <w:rPr>
            <w:color w:val="1155CC"/>
            <w:highlight w:val="white"/>
            <w:u w:val="single"/>
          </w:rPr>
          <w:t>https://www.shrm.org/resou</w:t>
        </w:r>
        <w:r>
          <w:rPr>
            <w:color w:val="1155CC"/>
            <w:highlight w:val="white"/>
            <w:u w:val="single"/>
          </w:rPr>
          <w:t>rcesandtools/tools-and-samples/toolkits/pages/sustainingemployeeengagement.aspx</w:t>
        </w:r>
      </w:hyperlink>
      <w:r>
        <w:rPr>
          <w:color w:val="222222"/>
          <w:highlight w:val="white"/>
        </w:rPr>
        <w:t xml:space="preserve"> (accessed on 19th april 2022)</w:t>
      </w:r>
    </w:p>
    <w:p w14:paraId="7A33C22F" w14:textId="77777777" w:rsidR="008A4705" w:rsidRDefault="002F74FE">
      <w:pPr>
        <w:spacing w:line="360" w:lineRule="auto"/>
        <w:jc w:val="both"/>
        <w:rPr>
          <w:color w:val="222222"/>
          <w:highlight w:val="white"/>
        </w:rPr>
      </w:pPr>
      <w:r>
        <w:rPr>
          <w:highlight w:val="white"/>
        </w:rPr>
        <w:t>Shrm</w:t>
      </w:r>
      <w:r>
        <w:t xml:space="preserve">, (2022). </w:t>
      </w:r>
      <w:r>
        <w:rPr>
          <w:color w:val="222222"/>
          <w:highlight w:val="white"/>
        </w:rPr>
        <w:t>Employee Engagement and Commitment</w:t>
      </w:r>
      <w:r>
        <w:t xml:space="preserve">. Available at- </w:t>
      </w:r>
      <w:hyperlink r:id="rId9">
        <w:r>
          <w:rPr>
            <w:color w:val="1155CC"/>
            <w:highlight w:val="white"/>
            <w:u w:val="single"/>
          </w:rPr>
          <w:t>https://www.shrm.org/hr-today/trends-and-forecasting/special-reports-and-expert-views/documents/employee-engagement-commitment.pdf</w:t>
        </w:r>
      </w:hyperlink>
      <w:r>
        <w:rPr>
          <w:color w:val="222222"/>
          <w:highlight w:val="white"/>
        </w:rPr>
        <w:t xml:space="preserve"> (accessed on 17th april 2022)</w:t>
      </w:r>
    </w:p>
    <w:p w14:paraId="2EAD7099" w14:textId="77777777" w:rsidR="008A4705" w:rsidRDefault="002F74FE">
      <w:pPr>
        <w:spacing w:line="360" w:lineRule="auto"/>
        <w:jc w:val="both"/>
        <w:rPr>
          <w:color w:val="222222"/>
          <w:highlight w:val="white"/>
        </w:rPr>
      </w:pPr>
      <w:r>
        <w:rPr>
          <w:color w:val="222222"/>
          <w:highlight w:val="white"/>
        </w:rPr>
        <w:t>Simblett, S., Greer, B.,</w:t>
      </w:r>
      <w:r>
        <w:rPr>
          <w:color w:val="222222"/>
          <w:highlight w:val="white"/>
        </w:rPr>
        <w:t xml:space="preserve"> Matcham, F., Curtis, H., Polhemus, A., Ferrão, J., Gamble, P. and Wykes, T., 2018. Barriers to and facilitators of engagement with remote measurement technology for managing health: systematic review and content analysis of findings. </w:t>
      </w:r>
      <w:r>
        <w:rPr>
          <w:i/>
          <w:color w:val="222222"/>
          <w:highlight w:val="white"/>
        </w:rPr>
        <w:t>Journal of medical In</w:t>
      </w:r>
      <w:r>
        <w:rPr>
          <w:i/>
          <w:color w:val="222222"/>
          <w:highlight w:val="white"/>
        </w:rPr>
        <w:t>ternet research</w:t>
      </w:r>
      <w:r>
        <w:rPr>
          <w:color w:val="222222"/>
          <w:highlight w:val="white"/>
        </w:rPr>
        <w:t xml:space="preserve">, </w:t>
      </w:r>
      <w:r>
        <w:rPr>
          <w:i/>
          <w:color w:val="222222"/>
          <w:highlight w:val="white"/>
        </w:rPr>
        <w:t>20</w:t>
      </w:r>
      <w:r>
        <w:rPr>
          <w:color w:val="222222"/>
          <w:highlight w:val="white"/>
        </w:rPr>
        <w:t>(7), p.e10480.</w:t>
      </w:r>
    </w:p>
    <w:p w14:paraId="4EC56A3C" w14:textId="77777777" w:rsidR="008A4705" w:rsidRDefault="002F74FE">
      <w:pPr>
        <w:spacing w:line="360" w:lineRule="auto"/>
        <w:jc w:val="both"/>
        <w:rPr>
          <w:color w:val="222222"/>
          <w:highlight w:val="white"/>
        </w:rPr>
      </w:pPr>
      <w:r>
        <w:rPr>
          <w:color w:val="222222"/>
          <w:highlight w:val="white"/>
        </w:rPr>
        <w:t xml:space="preserve">Sun, L. and Bunchapattanasakda, C., 2019. Employee engagement: A literature review. </w:t>
      </w:r>
      <w:r>
        <w:rPr>
          <w:i/>
          <w:color w:val="222222"/>
          <w:highlight w:val="white"/>
        </w:rPr>
        <w:t>International Journal of Human Resource Studies</w:t>
      </w:r>
      <w:r>
        <w:rPr>
          <w:color w:val="222222"/>
          <w:highlight w:val="white"/>
        </w:rPr>
        <w:t xml:space="preserve">, </w:t>
      </w:r>
      <w:r>
        <w:rPr>
          <w:i/>
          <w:color w:val="222222"/>
          <w:highlight w:val="white"/>
        </w:rPr>
        <w:t>9</w:t>
      </w:r>
      <w:r>
        <w:rPr>
          <w:color w:val="222222"/>
          <w:highlight w:val="white"/>
        </w:rPr>
        <w:t>(1), pp.63-80.</w:t>
      </w:r>
    </w:p>
    <w:sectPr w:rsidR="008A4705">
      <w:footerReference w:type="default" r:id="rId1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D35349" w14:textId="77777777" w:rsidR="002F74FE" w:rsidRDefault="002F74FE">
      <w:pPr>
        <w:spacing w:line="240" w:lineRule="auto"/>
      </w:pPr>
      <w:r>
        <w:separator/>
      </w:r>
    </w:p>
  </w:endnote>
  <w:endnote w:type="continuationSeparator" w:id="0">
    <w:p w14:paraId="4D15B851" w14:textId="77777777" w:rsidR="002F74FE" w:rsidRDefault="002F74F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F930BC" w14:textId="77777777" w:rsidR="008A4705" w:rsidRDefault="002F74FE">
    <w:pPr>
      <w:jc w:val="right"/>
    </w:pPr>
    <w:r>
      <w:fldChar w:fldCharType="begin"/>
    </w:r>
    <w:r>
      <w:instrText>PAGE</w:instrText>
    </w:r>
    <w:r>
      <w:fldChar w:fldCharType="separate"/>
    </w:r>
    <w:r w:rsidR="00EA17E3">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98EB65" w14:textId="77777777" w:rsidR="002F74FE" w:rsidRDefault="002F74FE">
      <w:r>
        <w:separator/>
      </w:r>
    </w:p>
  </w:footnote>
  <w:footnote w:type="continuationSeparator" w:id="0">
    <w:p w14:paraId="472A93D0" w14:textId="77777777" w:rsidR="002F74FE" w:rsidRDefault="002F74F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4705"/>
    <w:rsid w:val="002F74FE"/>
    <w:rsid w:val="008A4705"/>
    <w:rsid w:val="00EA17E3"/>
    <w:rsid w:val="41392D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27EB38"/>
  <w15:docId w15:val="{96339564-7C81-4C63-B1DD-9E8E126D7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lang w:val="en-GB" w:eastAsia="en-GB" w:bidi="ar-SA"/>
      </w:rPr>
    </w:rPrDefault>
    <w:pPrDefault/>
  </w:docDefaults>
  <w:latentStyles w:defLockedState="0" w:defUIPriority="0" w:defSemiHidden="0" w:defUnhideWhenUsed="0" w:defQFormat="0" w:count="376">
    <w:lsdException w:name="heading 7" w:semiHidden="1" w:unhideWhenUsed="1" w:qFormat="1"/>
    <w:lsdException w:name="heading 8" w:semiHidden="1" w:unhideWhenUsed="1" w:qFormat="1"/>
    <w:lsdException w:name="heading 9" w:semiHidden="1" w:unhideWhenUsed="1" w:qFormat="1"/>
    <w:lsdException w:name="index 2" w:qFormat="1"/>
    <w:lsdException w:name="index 8" w:qFormat="1"/>
    <w:lsdException w:name="toc 8" w:qFormat="1"/>
    <w:lsdException w:name="footnote text" w:qFormat="1"/>
    <w:lsdException w:name="annotation text" w:qFormat="1"/>
    <w:lsdException w:name="header" w:qFormat="1"/>
    <w:lsdException w:name="footer" w:qFormat="1"/>
    <w:lsdException w:name="caption" w:semiHidden="1" w:unhideWhenUsed="1" w:qFormat="1"/>
    <w:lsdException w:name="envelope address" w:qFormat="1"/>
    <w:lsdException w:name="envelope return" w:qFormat="1"/>
    <w:lsdException w:name="footnote reference" w:qFormat="1"/>
    <w:lsdException w:name="annotation reference" w:qFormat="1"/>
    <w:lsdException w:name="page number" w:qFormat="1"/>
    <w:lsdException w:name="endnote reference" w:qFormat="1"/>
    <w:lsdException w:name="endnote text" w:qFormat="1"/>
    <w:lsdException w:name="table of authorities" w:qFormat="1"/>
    <w:lsdException w:name="List 4" w:qFormat="1"/>
    <w:lsdException w:name="List Number 2" w:qFormat="1"/>
    <w:lsdException w:name="List Number 5" w:qFormat="1"/>
    <w:lsdException w:name="Closing" w:qFormat="1"/>
    <w:lsdException w:name="Default Paragraph Font" w:semiHidden="1" w:qFormat="1"/>
    <w:lsdException w:name="Body Text" w:qFormat="1"/>
    <w:lsdException w:name="Body Text Indent" w:qFormat="1"/>
    <w:lsdException w:name="List Continue 3" w:qFormat="1"/>
    <w:lsdException w:name="List Continue 5" w:qFormat="1"/>
    <w:lsdException w:name="Date" w:qFormat="1"/>
    <w:lsdException w:name="Body Text First Indent" w:qFormat="1"/>
    <w:lsdException w:name="Body Text First Indent 2" w:qFormat="1"/>
    <w:lsdException w:name="Body Text 2" w:qFormat="1"/>
    <w:lsdException w:name="Body Text Indent 2" w:qFormat="1"/>
    <w:lsdException w:name="Body Text Indent 3" w:qFormat="1"/>
    <w:lsdException w:name="Block Text" w:qFormat="1"/>
    <w:lsdException w:name="Hyperlink" w:qFormat="1"/>
    <w:lsdException w:name="FollowedHyperlink" w:qFormat="1"/>
    <w:lsdException w:name="Strong" w:qFormat="1"/>
    <w:lsdException w:name="Emphasis" w:qFormat="1"/>
    <w:lsdException w:name="Document Map" w:qFormat="1"/>
    <w:lsdException w:name="E-mail Signature" w:qFormat="1"/>
    <w:lsdException w:name="HTML Top of Form" w:semiHidden="1" w:uiPriority="99" w:unhideWhenUsed="1"/>
    <w:lsdException w:name="HTML Bottom of Form" w:semiHidden="1" w:uiPriority="99" w:unhideWhenUsed="1"/>
    <w:lsdException w:name="Normal (Web)" w:qFormat="1"/>
    <w:lsdException w:name="HTML Acronym" w:qFormat="1"/>
    <w:lsdException w:name="HTML Cite" w:qFormat="1"/>
    <w:lsdException w:name="HTML Code" w:qFormat="1"/>
    <w:lsdException w:name="HTML Definition" w:qFormat="1"/>
    <w:lsdException w:name="HTML Keyboard" w:qFormat="1"/>
    <w:lsdException w:name="Normal Table" w:semiHidden="1"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qFormat="1"/>
    <w:lsdException w:name="Table List 2" w:semiHidden="1" w:unhideWhenUsed="1"/>
    <w:lsdException w:name="Table List 3" w:semiHidden="1" w:unhideWhenUsed="1" w:qFormat="1"/>
    <w:lsdException w:name="Table List 4" w:semiHidden="1" w:unhideWhenUsed="1" w:qFormat="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qFormat="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qFormat="1"/>
    <w:lsdException w:name="Table Web 3" w:semiHidden="1" w:unhideWhenUsed="1" w:qFormat="1"/>
    <w:lsdException w:name="Balloon Text" w:qFormat="1"/>
    <w:lsdException w:name="Table Theme" w:semiHidden="1" w:unhideWhenUsed="1"/>
    <w:lsdException w:name="Placeholder Text" w:semiHidden="1" w:uiPriority="99"/>
    <w:lsdException w:name="No Spacing" w:uiPriority="99"/>
    <w:lsdException w:name="Light Shading" w:uiPriority="60"/>
    <w:lsdException w:name="Light List" w:uiPriority="61" w:qFormat="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qFormat="1"/>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qFormat="1"/>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pPr>
      <w:spacing w:line="276" w:lineRule="auto"/>
    </w:pPr>
    <w:rPr>
      <w:sz w:val="22"/>
      <w:szCs w:val="22"/>
      <w:lang w:val="en"/>
    </w:rPr>
  </w:style>
  <w:style w:type="paragraph" w:styleId="Heading1">
    <w:name w:val="heading 1"/>
    <w:basedOn w:val="Normal"/>
    <w:next w:val="Normal"/>
    <w:pPr>
      <w:keepNext/>
      <w:keepLines/>
      <w:spacing w:line="360" w:lineRule="auto"/>
      <w:jc w:val="both"/>
      <w:outlineLvl w:val="0"/>
    </w:pPr>
    <w:rPr>
      <w:b/>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pPr>
      <w:keepNext/>
      <w:keepLines/>
      <w:spacing w:after="320"/>
    </w:pPr>
    <w:rPr>
      <w:color w:val="666666"/>
      <w:sz w:val="30"/>
      <w:szCs w:val="30"/>
    </w:rPr>
  </w:style>
  <w:style w:type="paragraph" w:styleId="Title">
    <w:name w:val="Title"/>
    <w:basedOn w:val="Normal"/>
    <w:next w:val="Normal"/>
    <w:pPr>
      <w:keepNext/>
      <w:keepLines/>
      <w:spacing w:after="60"/>
    </w:pPr>
    <w:rPr>
      <w:sz w:val="52"/>
      <w:szCs w:val="52"/>
    </w:rPr>
  </w:style>
  <w:style w:type="table" w:customStyle="1" w:styleId="TableNormal1">
    <w:name w:val="Table Normal1"/>
    <w:tblPr>
      <w:tblCellMar>
        <w:top w:w="0" w:type="dxa"/>
        <w:left w:w="0" w:type="dxa"/>
        <w:bottom w:w="0" w:type="dxa"/>
        <w:right w:w="0" w:type="dxa"/>
      </w:tblCellMar>
    </w:tblPr>
  </w:style>
  <w:style w:type="table" w:customStyle="1" w:styleId="TableNormal2">
    <w:name w:val="Table Normal2"/>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9126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hrm.org/resourcesandtools/tools-and-samples/toolkits/pages/sustainingemployeeengagement.aspx" TargetMode="External"/><Relationship Id="rId3" Type="http://schemas.openxmlformats.org/officeDocument/2006/relationships/settings" Target="settings.xml"/><Relationship Id="rId7" Type="http://schemas.openxmlformats.org/officeDocument/2006/relationships/hyperlink" Target="http://ijream.org/papers/IJREAMV06I1272033.pd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shrm.org/hr-today/trends-and-forecasting/special-reports-and-expert-views/documents/employee-engagement-commitmen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dgqRN5Yu5/hETDtQtJfpwInTSIw==">AMUW2mUpWhFXqLpymhJO7Iqz1u1pwAjv3UFRmGAFY7EWdP7rzeFP2PNiI7f8sPrq7anfhR2M3kUdfyvo5LynEhhShh8gAisyb3y0v9QZteTD44Q/nGjstt+0OLFmWpzT8y1/qZt09KaIlE/u/1FfN/jk3r2sBtdGJj6JdE9pPxRnuoHlFwDjOU6tzLz5NtaA6cLFVQm1t+9tZFAwED3r/Rcom4Jw+L4ZAg/w9LvyNFr8F/dzWSHReh0=</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2404</Words>
  <Characters>13708</Characters>
  <Application>Microsoft Office Word</Application>
  <DocSecurity>0</DocSecurity>
  <Lines>114</Lines>
  <Paragraphs>32</Paragraphs>
  <ScaleCrop>false</ScaleCrop>
  <Company/>
  <LinksUpToDate>false</LinksUpToDate>
  <CharactersWithSpaces>16080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Pankaj Debnath</dc:creator>
  <cp:lastModifiedBy>Adriana Cornelia Brian (2019150)</cp:lastModifiedBy>
  <cp:revision>3</cp:revision>
  <dcterms:created xsi:type="dcterms:W3CDTF">2022-04-25T18:35:00Z</dcterms:created>
  <dcterms:modified xsi:type="dcterms:W3CDTF">2022-05-08T21:49:00Z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1033-11.2.0.11074</vt:lpwstr>
  </property>
  <property fmtid="{D5CDD505-2E9C-101B-9397-08002B2CF9AE}" pid="3" name="ICV">
    <vt:lpwstr>04940894260940529D7BC0510EF069AB</vt:lpwstr>
  </property>
</Properties>
</file>