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669B5" w14:textId="77777777" w:rsidR="002C36DD" w:rsidRDefault="002C36DD" w:rsidP="002C36DD">
      <w:pPr>
        <w:spacing w:line="278" w:lineRule="auto"/>
        <w:jc w:val="center"/>
        <w:rPr>
          <w:b/>
          <w:bCs/>
          <w:sz w:val="48"/>
          <w:szCs w:val="48"/>
        </w:rPr>
      </w:pPr>
    </w:p>
    <w:p w14:paraId="597C1937" w14:textId="77777777" w:rsidR="002C36DD" w:rsidRDefault="002C36DD" w:rsidP="002C36DD">
      <w:pPr>
        <w:spacing w:line="278" w:lineRule="auto"/>
        <w:jc w:val="center"/>
        <w:rPr>
          <w:b/>
          <w:bCs/>
          <w:sz w:val="48"/>
          <w:szCs w:val="48"/>
        </w:rPr>
      </w:pPr>
    </w:p>
    <w:p w14:paraId="1DA54920" w14:textId="77777777" w:rsidR="002C36DD" w:rsidRDefault="002C36DD" w:rsidP="002C36DD">
      <w:pPr>
        <w:spacing w:line="278" w:lineRule="auto"/>
        <w:jc w:val="center"/>
        <w:rPr>
          <w:b/>
          <w:bCs/>
          <w:sz w:val="48"/>
          <w:szCs w:val="48"/>
        </w:rPr>
      </w:pPr>
    </w:p>
    <w:p w14:paraId="4E2208EB" w14:textId="77777777" w:rsidR="002C36DD" w:rsidRDefault="002C36DD" w:rsidP="002C36DD">
      <w:pPr>
        <w:spacing w:line="278" w:lineRule="auto"/>
        <w:jc w:val="center"/>
        <w:rPr>
          <w:b/>
          <w:bCs/>
          <w:sz w:val="48"/>
          <w:szCs w:val="48"/>
        </w:rPr>
      </w:pPr>
    </w:p>
    <w:p w14:paraId="7CBC9DAE" w14:textId="68F3055F" w:rsidR="002C36DD" w:rsidRDefault="002C36DD" w:rsidP="002C36DD">
      <w:pPr>
        <w:spacing w:line="278" w:lineRule="auto"/>
        <w:jc w:val="center"/>
        <w:rPr>
          <w:b/>
          <w:bCs/>
          <w:sz w:val="48"/>
          <w:szCs w:val="48"/>
        </w:rPr>
      </w:pPr>
      <w:r w:rsidRPr="002C36DD">
        <w:rPr>
          <w:b/>
          <w:bCs/>
          <w:sz w:val="48"/>
          <w:szCs w:val="48"/>
        </w:rPr>
        <w:t>LCBB4016</w:t>
      </w:r>
    </w:p>
    <w:p w14:paraId="0F9FF38F" w14:textId="77777777" w:rsidR="002C36DD" w:rsidRPr="002C36DD" w:rsidRDefault="002C36DD" w:rsidP="002C36DD">
      <w:pPr>
        <w:spacing w:line="278" w:lineRule="auto"/>
        <w:jc w:val="center"/>
        <w:rPr>
          <w:b/>
          <w:bCs/>
          <w:sz w:val="48"/>
          <w:szCs w:val="48"/>
        </w:rPr>
      </w:pPr>
    </w:p>
    <w:p w14:paraId="2FD04A7C" w14:textId="77777777" w:rsidR="002C36DD" w:rsidRDefault="002C36DD" w:rsidP="002C36DD">
      <w:pPr>
        <w:spacing w:line="278" w:lineRule="auto"/>
        <w:jc w:val="center"/>
        <w:rPr>
          <w:b/>
          <w:bCs/>
          <w:sz w:val="56"/>
          <w:szCs w:val="56"/>
        </w:rPr>
      </w:pPr>
      <w:r w:rsidRPr="002C36DD">
        <w:rPr>
          <w:b/>
          <w:bCs/>
          <w:sz w:val="56"/>
          <w:szCs w:val="56"/>
        </w:rPr>
        <w:t>Global Business Environment</w:t>
      </w:r>
    </w:p>
    <w:p w14:paraId="272E053C" w14:textId="77777777" w:rsidR="002C36DD" w:rsidRDefault="002C36DD" w:rsidP="002C36DD">
      <w:pPr>
        <w:spacing w:line="278" w:lineRule="auto"/>
        <w:jc w:val="center"/>
        <w:rPr>
          <w:b/>
          <w:bCs/>
          <w:sz w:val="56"/>
          <w:szCs w:val="56"/>
        </w:rPr>
      </w:pPr>
    </w:p>
    <w:p w14:paraId="236D5975" w14:textId="77777777" w:rsidR="002C36DD" w:rsidRDefault="002C36DD" w:rsidP="002C36DD">
      <w:pPr>
        <w:spacing w:line="278" w:lineRule="auto"/>
        <w:jc w:val="center"/>
        <w:rPr>
          <w:b/>
          <w:bCs/>
          <w:sz w:val="56"/>
          <w:szCs w:val="56"/>
        </w:rPr>
      </w:pPr>
    </w:p>
    <w:p w14:paraId="7D4A4D18" w14:textId="073A256A" w:rsidR="002C36DD" w:rsidRPr="002C36DD" w:rsidRDefault="002C36DD" w:rsidP="002C36DD">
      <w:pPr>
        <w:spacing w:line="278" w:lineRule="auto"/>
        <w:jc w:val="center"/>
        <w:rPr>
          <w:b/>
          <w:bCs/>
          <w:sz w:val="36"/>
          <w:szCs w:val="36"/>
        </w:rPr>
      </w:pPr>
      <w:r w:rsidRPr="002C36DD">
        <w:rPr>
          <w:b/>
          <w:bCs/>
          <w:sz w:val="36"/>
          <w:szCs w:val="36"/>
        </w:rPr>
        <w:t>Component 2: Essay</w:t>
      </w:r>
    </w:p>
    <w:p w14:paraId="14A354B9" w14:textId="77777777" w:rsidR="002C36DD" w:rsidRDefault="002C36DD" w:rsidP="002C36DD">
      <w:pPr>
        <w:spacing w:line="278" w:lineRule="auto"/>
        <w:jc w:val="center"/>
        <w:rPr>
          <w:b/>
          <w:bCs/>
          <w:sz w:val="56"/>
          <w:szCs w:val="56"/>
        </w:rPr>
      </w:pPr>
    </w:p>
    <w:p w14:paraId="529213EB" w14:textId="51A4A906" w:rsidR="002C36DD" w:rsidRPr="002C36DD" w:rsidRDefault="002C36DD" w:rsidP="002C36DD">
      <w:pPr>
        <w:spacing w:line="278" w:lineRule="auto"/>
        <w:jc w:val="center"/>
        <w:rPr>
          <w:b/>
          <w:bCs/>
        </w:rPr>
      </w:pPr>
      <w:r w:rsidRPr="002C36DD">
        <w:rPr>
          <w:b/>
          <w:bCs/>
        </w:rPr>
        <w:t>Student Name</w:t>
      </w:r>
      <w:r w:rsidR="00BA2BF2">
        <w:rPr>
          <w:b/>
          <w:bCs/>
        </w:rPr>
        <w:t>: Nicoleta Samson</w:t>
      </w:r>
    </w:p>
    <w:p w14:paraId="675D26B5" w14:textId="1E12EA41" w:rsidR="002C36DD" w:rsidRDefault="002C36DD" w:rsidP="002C36DD">
      <w:pPr>
        <w:spacing w:line="278" w:lineRule="auto"/>
        <w:jc w:val="center"/>
        <w:rPr>
          <w:b/>
          <w:bCs/>
        </w:rPr>
      </w:pPr>
      <w:r w:rsidRPr="002C36DD">
        <w:rPr>
          <w:b/>
          <w:bCs/>
        </w:rPr>
        <w:t>Student ID</w:t>
      </w:r>
      <w:r w:rsidR="00BA2BF2">
        <w:rPr>
          <w:b/>
          <w:bCs/>
        </w:rPr>
        <w:t xml:space="preserve">: </w:t>
      </w:r>
      <w:r w:rsidR="00BA2BF2" w:rsidRPr="00BA2BF2">
        <w:rPr>
          <w:b/>
          <w:bCs/>
        </w:rPr>
        <w:t>2437295</w:t>
      </w:r>
    </w:p>
    <w:p w14:paraId="33EBC90C" w14:textId="77777777" w:rsidR="002C36DD" w:rsidRDefault="002C36DD">
      <w:pPr>
        <w:spacing w:line="278" w:lineRule="auto"/>
        <w:jc w:val="left"/>
        <w:rPr>
          <w:b/>
          <w:bCs/>
        </w:rPr>
      </w:pPr>
      <w:r>
        <w:rPr>
          <w:b/>
          <w:bCs/>
        </w:rPr>
        <w:br w:type="page"/>
      </w:r>
    </w:p>
    <w:sdt>
      <w:sdtPr>
        <w:rPr>
          <w:lang w:val="en-GB"/>
        </w:rPr>
        <w:id w:val="2001070749"/>
        <w:docPartObj>
          <w:docPartGallery w:val="Table of Contents"/>
          <w:docPartUnique/>
        </w:docPartObj>
      </w:sdtPr>
      <w:sdtEndPr>
        <w:rPr>
          <w:b/>
          <w:bCs/>
        </w:rPr>
      </w:sdtEndPr>
      <w:sdtContent>
        <w:p w14:paraId="3A605C1D" w14:textId="1765E8DC" w:rsidR="002C36DD" w:rsidRPr="002C36DD" w:rsidRDefault="002C36DD" w:rsidP="002C36DD">
          <w:pPr>
            <w:rPr>
              <w:b/>
              <w:bCs/>
              <w:sz w:val="36"/>
              <w:szCs w:val="36"/>
            </w:rPr>
          </w:pPr>
          <w:r w:rsidRPr="002C36DD">
            <w:rPr>
              <w:b/>
              <w:bCs/>
              <w:sz w:val="36"/>
              <w:szCs w:val="36"/>
              <w:lang w:val="en-GB"/>
            </w:rPr>
            <w:t>Table of Contents</w:t>
          </w:r>
        </w:p>
        <w:p w14:paraId="1DD4E713" w14:textId="218B3E01" w:rsidR="002C36DD" w:rsidRDefault="002C36DD">
          <w:pPr>
            <w:pStyle w:val="TOC1"/>
            <w:tabs>
              <w:tab w:val="right" w:leader="dot" w:pos="9016"/>
            </w:tabs>
            <w:rPr>
              <w:noProof/>
            </w:rPr>
          </w:pPr>
          <w:r>
            <w:fldChar w:fldCharType="begin"/>
          </w:r>
          <w:r>
            <w:instrText xml:space="preserve"> TOC \o "1-3" \h \z \u </w:instrText>
          </w:r>
          <w:r>
            <w:fldChar w:fldCharType="separate"/>
          </w:r>
          <w:hyperlink w:anchor="_Toc223021800" w:history="1">
            <w:r w:rsidRPr="00451D4B">
              <w:rPr>
                <w:rStyle w:val="Hyperlink"/>
                <w:noProof/>
              </w:rPr>
              <w:t>Introduction</w:t>
            </w:r>
            <w:r>
              <w:rPr>
                <w:noProof/>
                <w:webHidden/>
              </w:rPr>
              <w:tab/>
            </w:r>
            <w:r>
              <w:rPr>
                <w:noProof/>
                <w:webHidden/>
              </w:rPr>
              <w:fldChar w:fldCharType="begin"/>
            </w:r>
            <w:r>
              <w:rPr>
                <w:noProof/>
                <w:webHidden/>
              </w:rPr>
              <w:instrText xml:space="preserve"> PAGEREF _Toc223021800 \h </w:instrText>
            </w:r>
            <w:r>
              <w:rPr>
                <w:noProof/>
                <w:webHidden/>
              </w:rPr>
            </w:r>
            <w:r>
              <w:rPr>
                <w:noProof/>
                <w:webHidden/>
              </w:rPr>
              <w:fldChar w:fldCharType="separate"/>
            </w:r>
            <w:r>
              <w:rPr>
                <w:noProof/>
                <w:webHidden/>
              </w:rPr>
              <w:t>3</w:t>
            </w:r>
            <w:r>
              <w:rPr>
                <w:noProof/>
                <w:webHidden/>
              </w:rPr>
              <w:fldChar w:fldCharType="end"/>
            </w:r>
          </w:hyperlink>
        </w:p>
        <w:p w14:paraId="0BB18671" w14:textId="3C278CC7" w:rsidR="002C36DD" w:rsidRDefault="002C36DD">
          <w:pPr>
            <w:pStyle w:val="TOC1"/>
            <w:tabs>
              <w:tab w:val="right" w:leader="dot" w:pos="9016"/>
            </w:tabs>
            <w:rPr>
              <w:noProof/>
            </w:rPr>
          </w:pPr>
          <w:hyperlink w:anchor="_Toc223021801" w:history="1">
            <w:r w:rsidRPr="00451D4B">
              <w:rPr>
                <w:rStyle w:val="Hyperlink"/>
                <w:noProof/>
              </w:rPr>
              <w:t>Main body</w:t>
            </w:r>
            <w:r>
              <w:rPr>
                <w:noProof/>
                <w:webHidden/>
              </w:rPr>
              <w:tab/>
            </w:r>
            <w:r>
              <w:rPr>
                <w:noProof/>
                <w:webHidden/>
              </w:rPr>
              <w:fldChar w:fldCharType="begin"/>
            </w:r>
            <w:r>
              <w:rPr>
                <w:noProof/>
                <w:webHidden/>
              </w:rPr>
              <w:instrText xml:space="preserve"> PAGEREF _Toc223021801 \h </w:instrText>
            </w:r>
            <w:r>
              <w:rPr>
                <w:noProof/>
                <w:webHidden/>
              </w:rPr>
            </w:r>
            <w:r>
              <w:rPr>
                <w:noProof/>
                <w:webHidden/>
              </w:rPr>
              <w:fldChar w:fldCharType="separate"/>
            </w:r>
            <w:r>
              <w:rPr>
                <w:noProof/>
                <w:webHidden/>
              </w:rPr>
              <w:t>4</w:t>
            </w:r>
            <w:r>
              <w:rPr>
                <w:noProof/>
                <w:webHidden/>
              </w:rPr>
              <w:fldChar w:fldCharType="end"/>
            </w:r>
          </w:hyperlink>
        </w:p>
        <w:p w14:paraId="347F5BEB" w14:textId="3077D28B" w:rsidR="002C36DD" w:rsidRDefault="002C36DD">
          <w:pPr>
            <w:pStyle w:val="TOC1"/>
            <w:tabs>
              <w:tab w:val="right" w:leader="dot" w:pos="9016"/>
            </w:tabs>
            <w:rPr>
              <w:noProof/>
            </w:rPr>
          </w:pPr>
          <w:hyperlink w:anchor="_Toc223021802" w:history="1">
            <w:r w:rsidRPr="00451D4B">
              <w:rPr>
                <w:rStyle w:val="Hyperlink"/>
                <w:noProof/>
              </w:rPr>
              <w:t>Conclusion</w:t>
            </w:r>
            <w:r>
              <w:rPr>
                <w:noProof/>
                <w:webHidden/>
              </w:rPr>
              <w:tab/>
            </w:r>
            <w:r>
              <w:rPr>
                <w:noProof/>
                <w:webHidden/>
              </w:rPr>
              <w:fldChar w:fldCharType="begin"/>
            </w:r>
            <w:r>
              <w:rPr>
                <w:noProof/>
                <w:webHidden/>
              </w:rPr>
              <w:instrText xml:space="preserve"> PAGEREF _Toc223021802 \h </w:instrText>
            </w:r>
            <w:r>
              <w:rPr>
                <w:noProof/>
                <w:webHidden/>
              </w:rPr>
            </w:r>
            <w:r>
              <w:rPr>
                <w:noProof/>
                <w:webHidden/>
              </w:rPr>
              <w:fldChar w:fldCharType="separate"/>
            </w:r>
            <w:r>
              <w:rPr>
                <w:noProof/>
                <w:webHidden/>
              </w:rPr>
              <w:t>8</w:t>
            </w:r>
            <w:r>
              <w:rPr>
                <w:noProof/>
                <w:webHidden/>
              </w:rPr>
              <w:fldChar w:fldCharType="end"/>
            </w:r>
          </w:hyperlink>
        </w:p>
        <w:p w14:paraId="14F6090F" w14:textId="24EF3375" w:rsidR="002C36DD" w:rsidRDefault="002C36DD">
          <w:pPr>
            <w:pStyle w:val="TOC1"/>
            <w:tabs>
              <w:tab w:val="right" w:leader="dot" w:pos="9016"/>
            </w:tabs>
            <w:rPr>
              <w:noProof/>
            </w:rPr>
          </w:pPr>
          <w:hyperlink w:anchor="_Toc223021803" w:history="1">
            <w:r w:rsidRPr="00451D4B">
              <w:rPr>
                <w:rStyle w:val="Hyperlink"/>
                <w:noProof/>
              </w:rPr>
              <w:t>References</w:t>
            </w:r>
            <w:r>
              <w:rPr>
                <w:noProof/>
                <w:webHidden/>
              </w:rPr>
              <w:tab/>
            </w:r>
            <w:r>
              <w:rPr>
                <w:noProof/>
                <w:webHidden/>
              </w:rPr>
              <w:fldChar w:fldCharType="begin"/>
            </w:r>
            <w:r>
              <w:rPr>
                <w:noProof/>
                <w:webHidden/>
              </w:rPr>
              <w:instrText xml:space="preserve"> PAGEREF _Toc223021803 \h </w:instrText>
            </w:r>
            <w:r>
              <w:rPr>
                <w:noProof/>
                <w:webHidden/>
              </w:rPr>
            </w:r>
            <w:r>
              <w:rPr>
                <w:noProof/>
                <w:webHidden/>
              </w:rPr>
              <w:fldChar w:fldCharType="separate"/>
            </w:r>
            <w:r>
              <w:rPr>
                <w:noProof/>
                <w:webHidden/>
              </w:rPr>
              <w:t>9</w:t>
            </w:r>
            <w:r>
              <w:rPr>
                <w:noProof/>
                <w:webHidden/>
              </w:rPr>
              <w:fldChar w:fldCharType="end"/>
            </w:r>
          </w:hyperlink>
        </w:p>
        <w:p w14:paraId="1DBA8833" w14:textId="0795C2FC" w:rsidR="002C36DD" w:rsidRDefault="002C36DD">
          <w:r>
            <w:rPr>
              <w:b/>
              <w:bCs/>
              <w:lang w:val="en-GB"/>
            </w:rPr>
            <w:fldChar w:fldCharType="end"/>
          </w:r>
        </w:p>
      </w:sdtContent>
    </w:sdt>
    <w:p w14:paraId="6C45FB03" w14:textId="7BA2E9AF" w:rsidR="00963670" w:rsidRPr="002C36DD" w:rsidRDefault="00963670" w:rsidP="002C36DD">
      <w:r w:rsidRPr="002C36DD">
        <w:br w:type="page"/>
      </w:r>
    </w:p>
    <w:p w14:paraId="00DDE614" w14:textId="6D05206B" w:rsidR="00827F08" w:rsidRDefault="00963670" w:rsidP="00963670">
      <w:pPr>
        <w:pStyle w:val="Heading1"/>
      </w:pPr>
      <w:bookmarkStart w:id="0" w:name="_Toc223021800"/>
      <w:r w:rsidRPr="00963670">
        <w:lastRenderedPageBreak/>
        <w:t>Introduction</w:t>
      </w:r>
      <w:bookmarkEnd w:id="0"/>
      <w:r w:rsidRPr="00963670">
        <w:t xml:space="preserve"> </w:t>
      </w:r>
    </w:p>
    <w:p w14:paraId="21F6EB5A" w14:textId="7D3FB001" w:rsidR="00963670" w:rsidRDefault="007730DE" w:rsidP="007730DE">
      <w:r w:rsidRPr="00BB0D4C">
        <w:t>Globalisation can be defined as the process of increasing interdependence of national economies by means of cross-border trade, investment, technology sharing and supply chain networks. Globalisation has not only increased the market opportunities but also increased the complexity of operations and competition in the retail sector in the contemporary world. Being the largest supermarket in the UK, Tesco PLC is in the midst of the highly unstable global context characterised by political insecurity, economic variability and digitisation. This essay is a critical examination of the issue of whether globalisation has empowered or limited the position of Tesco in terms of competition or not. Based on PESTLE analysis and Five Forces provided by Porter, it is posited that, even though globalisation fosters scale efficiencies and technological capacity, it also puts Tesco in structural vulnerabilities to which it must continually adapt its strategies.</w:t>
      </w:r>
      <w:r w:rsidR="00963670">
        <w:br w:type="page"/>
      </w:r>
    </w:p>
    <w:p w14:paraId="053DB687" w14:textId="77777777" w:rsidR="00963670" w:rsidRDefault="00963670" w:rsidP="00963670">
      <w:pPr>
        <w:pStyle w:val="Heading1"/>
      </w:pPr>
      <w:bookmarkStart w:id="1" w:name="_Toc223021801"/>
      <w:r>
        <w:lastRenderedPageBreak/>
        <w:t>Main body</w:t>
      </w:r>
      <w:bookmarkEnd w:id="1"/>
    </w:p>
    <w:p w14:paraId="346A0486" w14:textId="74101162" w:rsidR="00963670" w:rsidRDefault="00963670" w:rsidP="00963670">
      <w:r>
        <w:t xml:space="preserve">Globalisation has been </w:t>
      </w:r>
      <w:r w:rsidR="003B6D83">
        <w:t xml:space="preserve">a </w:t>
      </w:r>
      <w:r>
        <w:t xml:space="preserve">major </w:t>
      </w:r>
      <w:r w:rsidR="003B6D83">
        <w:t xml:space="preserve">factor </w:t>
      </w:r>
      <w:r>
        <w:t>in the improvement of the operational efficiency and positioning of Tesco. Tesco has been able to diversify its revenue by entering the international market and avoiding overreliance on domestic market demand through the presence of the international market</w:t>
      </w:r>
      <w:r w:rsidR="003B6D83">
        <w:t xml:space="preserve"> (</w:t>
      </w:r>
      <w:r w:rsidR="003B6D83" w:rsidRPr="003B6D83">
        <w:t>Roy, 2024</w:t>
      </w:r>
      <w:r w:rsidR="003B6D83">
        <w:t>)</w:t>
      </w:r>
      <w:r>
        <w:t xml:space="preserve">. The large-volume purchases and centralised procurement also </w:t>
      </w:r>
      <w:r w:rsidR="003B6D83">
        <w:t>contribute</w:t>
      </w:r>
      <w:r>
        <w:t xml:space="preserve"> to the economies of scale that Tesco achieves, allowing the company to obtain a better price with suppliers and enhancing its cost leadership strategy. The sourcing globally also improves the product variety and cost-effectiveness</w:t>
      </w:r>
      <w:r w:rsidR="003B6D83">
        <w:t>,</w:t>
      </w:r>
      <w:r>
        <w:t xml:space="preserve"> which allows the firm to provide competitive prices to customers. Digital supply chain systems and online stores are forms of technological integration which enhance the handling of inventory and </w:t>
      </w:r>
      <w:r w:rsidR="003B6D83">
        <w:t>its</w:t>
      </w:r>
      <w:r>
        <w:t xml:space="preserve"> interaction with customers</w:t>
      </w:r>
      <w:r w:rsidR="003B6D83">
        <w:t xml:space="preserve"> (</w:t>
      </w:r>
      <w:r w:rsidR="003B6D83" w:rsidRPr="003B6D83">
        <w:t>Meng, 2024</w:t>
      </w:r>
      <w:r w:rsidR="003B6D83">
        <w:t>)</w:t>
      </w:r>
      <w:r>
        <w:t xml:space="preserve">. </w:t>
      </w:r>
    </w:p>
    <w:p w14:paraId="3ECDBA52" w14:textId="71FDE2A1" w:rsidR="00963670" w:rsidRDefault="00963670" w:rsidP="00963670">
      <w:r>
        <w:t>Although globalisation has its benefits, it poses a lot of challenges to the strategic and operational stability of Tesco</w:t>
      </w:r>
      <w:r w:rsidRPr="00BB0D4C">
        <w:t xml:space="preserve">. </w:t>
      </w:r>
      <w:r w:rsidR="007730DE" w:rsidRPr="00BB0D4C">
        <w:t xml:space="preserve">Despite the regulatory stutter and supply chain hold-ups with the advent of Brexit, Tesco overcame short-term disruption by acquiring early stocks and renegotiating with its suppliers. Nevertheless, the continuity of border checks implies structural cost increments are still entrenched in its EU sourcing model, and this is putting long-term </w:t>
      </w:r>
      <w:r w:rsidR="00BB0D4C" w:rsidRPr="00BB0D4C">
        <w:t>margin ability</w:t>
      </w:r>
      <w:r w:rsidR="007730DE" w:rsidRPr="00BB0D4C">
        <w:t xml:space="preserve"> into question </w:t>
      </w:r>
      <w:r w:rsidR="00C6530B" w:rsidRPr="00BB0D4C">
        <w:t>(</w:t>
      </w:r>
      <w:proofErr w:type="spellStart"/>
      <w:r w:rsidR="00C6530B" w:rsidRPr="00BB0D4C">
        <w:t>Guérineau</w:t>
      </w:r>
      <w:proofErr w:type="spellEnd"/>
      <w:r w:rsidR="00C6530B" w:rsidRPr="00BB0D4C">
        <w:t>, 2025)</w:t>
      </w:r>
      <w:r w:rsidRPr="00BB0D4C">
        <w:t>. The COVID disruptions of global supply chains, especially the ones that have occurred</w:t>
      </w:r>
      <w:r>
        <w:t xml:space="preserve"> during geopolitical conflicts, have revealed weaknesses in sourcing networks. Fluctuations in currency also affect the cost of imports and the profit margins</w:t>
      </w:r>
      <w:r w:rsidR="003B6D83">
        <w:t>,</w:t>
      </w:r>
      <w:r>
        <w:t xml:space="preserve"> and as a result</w:t>
      </w:r>
      <w:r w:rsidR="003B6D83">
        <w:t>,</w:t>
      </w:r>
      <w:r>
        <w:t xml:space="preserve"> </w:t>
      </w:r>
      <w:r w:rsidR="00AA442D">
        <w:t>they need</w:t>
      </w:r>
      <w:r>
        <w:t xml:space="preserve"> active strategies of financial risk management. Cost pressures increase due to inflation and increasing energy costs</w:t>
      </w:r>
      <w:r w:rsidR="003B6D83">
        <w:t>,</w:t>
      </w:r>
      <w:r>
        <w:t xml:space="preserve"> which restrict pricing flexibility in a very competitive market. Moreover, the growth of international discount retail outlets like Aldi and Lidl has heightened competition in terms of price in the UK grocery market</w:t>
      </w:r>
      <w:r w:rsidR="00C6530B">
        <w:t xml:space="preserve"> (</w:t>
      </w:r>
      <w:r w:rsidR="00C6530B" w:rsidRPr="003B6D83">
        <w:t>Bednarski</w:t>
      </w:r>
      <w:r w:rsidR="00C6530B">
        <w:t xml:space="preserve"> et al.,</w:t>
      </w:r>
      <w:r w:rsidR="00C6530B" w:rsidRPr="003B6D83">
        <w:t xml:space="preserve"> 2025</w:t>
      </w:r>
      <w:r w:rsidR="00C6530B">
        <w:t>)</w:t>
      </w:r>
      <w:r>
        <w:t xml:space="preserve">. </w:t>
      </w:r>
    </w:p>
    <w:p w14:paraId="54150EF2" w14:textId="4660A533" w:rsidR="00963670" w:rsidRDefault="00963670" w:rsidP="00963670">
      <w:r>
        <w:t xml:space="preserve">The world forces have a substantial effect on the strategies and the performance of Tesco. With the help of </w:t>
      </w:r>
      <w:r w:rsidR="003B6D83">
        <w:t xml:space="preserve">the </w:t>
      </w:r>
      <w:r>
        <w:t>PESTLE framework, one can assess the political, economic, technological, social and environmental forces that would influence the competitive landscape of the company.</w:t>
      </w:r>
      <w:r w:rsidR="003C5B5E">
        <w:t xml:space="preserve"> </w:t>
      </w:r>
      <w:r>
        <w:t xml:space="preserve">The history of political events has directly affected the supply chain and cost of Tesco. Brexit has brought about customs checks, regulatory divergence and other administrative demands of goods imported into the European Union. The changes have complicated the operations and demanded modifications in the sourcing and logistics approaches. The import costs and availability of </w:t>
      </w:r>
      <w:r w:rsidR="003B6D83">
        <w:t>markets</w:t>
      </w:r>
      <w:r>
        <w:t xml:space="preserve"> in non-EU countries are also </w:t>
      </w:r>
      <w:r>
        <w:lastRenderedPageBreak/>
        <w:t>influenced by trade agreements between the UK and other countries</w:t>
      </w:r>
      <w:r w:rsidR="00C6530B">
        <w:t xml:space="preserve"> (</w:t>
      </w:r>
      <w:r w:rsidR="00C6530B" w:rsidRPr="00C6530B">
        <w:t>Simonneau, 2025</w:t>
      </w:r>
      <w:r w:rsidR="00C6530B">
        <w:t>)</w:t>
      </w:r>
      <w:r>
        <w:t xml:space="preserve">. </w:t>
      </w:r>
      <w:r w:rsidR="003C5B5E">
        <w:t xml:space="preserve"> </w:t>
      </w:r>
      <w:r>
        <w:t xml:space="preserve">One of the most important global factors impacting Tesco is the economic conditions. Inflation, especially inflation of food products, raises the cost of procurement and imposes strain on the retail pricing strategy. Increased interest rates increase the cost of borrowing, which might restrain capital investment in the expansion of the stores or digital infrastructure. The cost-of-living crisis in the UK has taken over consumer behaviour towards value-based purchasing, which promotes more demand </w:t>
      </w:r>
      <w:r w:rsidR="003B6D83">
        <w:t>for</w:t>
      </w:r>
      <w:r>
        <w:t xml:space="preserve"> the products of the own label and discount offers. Exchange rate volatility also has an impact </w:t>
      </w:r>
      <w:r w:rsidR="003B6D83">
        <w:t>on</w:t>
      </w:r>
      <w:r>
        <w:t xml:space="preserve"> the cost of imports, particularly those that are sourced worldwide in foreign currencies</w:t>
      </w:r>
      <w:r w:rsidR="00C6530B">
        <w:t xml:space="preserve"> (</w:t>
      </w:r>
      <w:proofErr w:type="spellStart"/>
      <w:r w:rsidR="00C6530B" w:rsidRPr="00C6530B">
        <w:t>Hlaimi</w:t>
      </w:r>
      <w:proofErr w:type="spellEnd"/>
      <w:r w:rsidR="00C6530B" w:rsidRPr="00C6530B">
        <w:t>, 2021</w:t>
      </w:r>
      <w:r w:rsidR="00C6530B">
        <w:t>)</w:t>
      </w:r>
      <w:r>
        <w:t xml:space="preserve">.  </w:t>
      </w:r>
    </w:p>
    <w:p w14:paraId="14552606" w14:textId="46E44543" w:rsidR="00963670" w:rsidRPr="00963670" w:rsidRDefault="00963670" w:rsidP="00963670">
      <w:r>
        <w:t xml:space="preserve">Technological development is a key factor in the formation of the up-to-date business model in Tesco. The online groceries have increased because of the digital transformation, and Tesco </w:t>
      </w:r>
      <w:r w:rsidR="003B6D83">
        <w:t>can</w:t>
      </w:r>
      <w:r>
        <w:t xml:space="preserve"> adjust to the shifting trends </w:t>
      </w:r>
      <w:r w:rsidR="003B6D83">
        <w:t>in</w:t>
      </w:r>
      <w:r>
        <w:t xml:space="preserve"> convenience and home delivery. The development of e-commerce demands investment in digital infrastructure, the optimisation of cybersecurity and logistics. The data analytics system of Tesco Clubcard gives important information about the purchasing behaviour</w:t>
      </w:r>
      <w:r w:rsidR="003B6D83">
        <w:t>,</w:t>
      </w:r>
      <w:r>
        <w:t xml:space="preserve"> which is used to promote the products personally as well as through targeted promotional offers. Warehousing, inventory management and demand forecasting are becoming more automated and artificial intelligence, which enhances operational efficiency and waste reduction</w:t>
      </w:r>
      <w:r w:rsidR="002568A7">
        <w:t xml:space="preserve"> (</w:t>
      </w:r>
      <w:r w:rsidR="002568A7" w:rsidRPr="002568A7">
        <w:t>Treves, 2021</w:t>
      </w:r>
      <w:r w:rsidR="002568A7">
        <w:t>)</w:t>
      </w:r>
      <w:r>
        <w:t>. The social change has a great impact on the strategic positioning of Tesco. The consumer behaviour is changing due to digital lifestyles and price sensitivity, and has placed greater pressure on convenience, ethical sourcing and transparency. There are increased demands of sustainability</w:t>
      </w:r>
      <w:r w:rsidR="003B6D83">
        <w:t>,</w:t>
      </w:r>
      <w:r>
        <w:t xml:space="preserve"> where customers want to get eco-friendly packaging and less food waste. Fair labour standards and responsible supply chains are two ethical sourcing practices which are becoming </w:t>
      </w:r>
      <w:r w:rsidR="00B94D8C">
        <w:t>significant</w:t>
      </w:r>
      <w:r>
        <w:t xml:space="preserve"> to brand image and trust of stakeholders</w:t>
      </w:r>
      <w:r w:rsidR="002568A7">
        <w:t xml:space="preserve"> (</w:t>
      </w:r>
      <w:r w:rsidR="002568A7" w:rsidRPr="002568A7">
        <w:t>Samdani, 2020</w:t>
      </w:r>
      <w:r w:rsidR="002568A7">
        <w:t>)</w:t>
      </w:r>
      <w:r>
        <w:t xml:space="preserve">. Recruitment strategies and organisational culture are also influenced by workforce diversity and labour unavailability. </w:t>
      </w:r>
      <w:r w:rsidR="003C5B5E">
        <w:t xml:space="preserve"> </w:t>
      </w:r>
      <w:r>
        <w:t xml:space="preserve">Environmental and governance issues are taking </w:t>
      </w:r>
      <w:r w:rsidR="003B6D83">
        <w:t>centre</w:t>
      </w:r>
      <w:r>
        <w:t xml:space="preserve"> stage </w:t>
      </w:r>
      <w:r w:rsidR="003B6D83">
        <w:t>in</w:t>
      </w:r>
      <w:r>
        <w:t xml:space="preserve"> the </w:t>
      </w:r>
      <w:r w:rsidR="003B6D83">
        <w:t>long-term</w:t>
      </w:r>
      <w:r>
        <w:t xml:space="preserve"> strategy of Tesco. Net-zero carbon goals necessitate the cutting of emissions in the chain of supply and transportation networks and </w:t>
      </w:r>
      <w:r w:rsidR="003B6D83">
        <w:t xml:space="preserve">the </w:t>
      </w:r>
      <w:r>
        <w:t>operation of stores. Environmental regulations</w:t>
      </w:r>
      <w:r w:rsidR="003B6D83">
        <w:t>,</w:t>
      </w:r>
      <w:r>
        <w:t xml:space="preserve"> such as waste </w:t>
      </w:r>
      <w:r w:rsidR="003B6D83">
        <w:t>minimisation</w:t>
      </w:r>
      <w:r>
        <w:t xml:space="preserve"> and the use of </w:t>
      </w:r>
      <w:r w:rsidR="003B6D83">
        <w:t>plastic</w:t>
      </w:r>
      <w:r>
        <w:t xml:space="preserve"> package requirements</w:t>
      </w:r>
      <w:r w:rsidR="003B6D83">
        <w:t>,</w:t>
      </w:r>
      <w:r>
        <w:t xml:space="preserve"> require companies to adhere to compliance, which </w:t>
      </w:r>
      <w:r w:rsidR="003B6D83">
        <w:t>affects</w:t>
      </w:r>
      <w:r>
        <w:t xml:space="preserve"> the design of products and logistics. </w:t>
      </w:r>
      <w:r w:rsidR="007730DE" w:rsidRPr="00BB0D4C">
        <w:t xml:space="preserve">Investors and stakeholders are increasingly utilising social, governance, and environmental (ESG) measures as a performance measuring tool to evaluate capital and business reputation </w:t>
      </w:r>
      <w:r w:rsidR="002568A7" w:rsidRPr="00BB0D4C">
        <w:t>(</w:t>
      </w:r>
      <w:proofErr w:type="spellStart"/>
      <w:r w:rsidR="002568A7" w:rsidRPr="00BB0D4C">
        <w:t>Hardyment</w:t>
      </w:r>
      <w:proofErr w:type="spellEnd"/>
      <w:r w:rsidR="002568A7" w:rsidRPr="00BB0D4C">
        <w:t>, 2024)</w:t>
      </w:r>
      <w:r w:rsidRPr="00BB0D4C">
        <w:t>.</w:t>
      </w:r>
      <w:r>
        <w:t xml:space="preserve"> </w:t>
      </w:r>
    </w:p>
    <w:p w14:paraId="2E155D95" w14:textId="08130FF2" w:rsidR="003B6D83" w:rsidRDefault="003B6D83" w:rsidP="003B6D83">
      <w:r>
        <w:lastRenderedPageBreak/>
        <w:t>The use of pertinent business models enhances the analysis intensity of this essay and aids in the analysis of the competitive environment at Tesco.</w:t>
      </w:r>
      <w:r w:rsidR="003C5B5E">
        <w:t xml:space="preserve"> </w:t>
      </w:r>
      <w:r>
        <w:t>Porter's five forces model assists in evaluating the level of rivalry in the UK grocery industry</w:t>
      </w:r>
      <w:r w:rsidRPr="00BB0D4C">
        <w:t xml:space="preserve">. </w:t>
      </w:r>
      <w:r w:rsidR="00AA442D" w:rsidRPr="00BB0D4C">
        <w:t xml:space="preserve">Competitive rivalry in the UK grocery sector is extremely strong because consumers can easily switch supermarkets and compare prices. Digital pricing systems intensify competition, while Aldi and Lidl’s expansion </w:t>
      </w:r>
      <w:r w:rsidR="00BB0D4C" w:rsidRPr="00BB0D4C">
        <w:t>continue</w:t>
      </w:r>
      <w:r w:rsidR="00AA442D" w:rsidRPr="00BB0D4C">
        <w:t xml:space="preserve"> to pressure Tesco’s profit margins. </w:t>
      </w:r>
      <w:r w:rsidRPr="00BB0D4C">
        <w:t>This competition constrains the ability to influence the price and squash profit margins. New entrants can be said to be re</w:t>
      </w:r>
      <w:r>
        <w:t>latively low, and this is because of the high capital requirements, the brand loyalty, and the intricate supply chain infrastructure, which may serve as a major barrier to entry</w:t>
      </w:r>
      <w:r w:rsidR="002568A7">
        <w:t xml:space="preserve"> (</w:t>
      </w:r>
      <w:r w:rsidR="002568A7" w:rsidRPr="002568A7">
        <w:t>Hood</w:t>
      </w:r>
      <w:r w:rsidR="002568A7">
        <w:t xml:space="preserve"> et al., </w:t>
      </w:r>
      <w:r w:rsidR="002568A7" w:rsidRPr="002568A7">
        <w:t>2020</w:t>
      </w:r>
      <w:r w:rsidR="002568A7">
        <w:t>)</w:t>
      </w:r>
      <w:r>
        <w:t>. The bargaining power of buyers is, however, high as consumers can easily switch among the supermarkets depending on costs and promotions. The power of the suppliers is not high; there are large multinational suppliers who have negotiation power, but the scale of Tesco allows it to obtain good contracts. Competition is further increased by the threat of substitutes such as convenience stores and online delivery services</w:t>
      </w:r>
      <w:r w:rsidR="002568A7">
        <w:t xml:space="preserve"> (</w:t>
      </w:r>
      <w:r w:rsidR="002568A7" w:rsidRPr="002568A7">
        <w:t xml:space="preserve">Pangarkar and </w:t>
      </w:r>
      <w:proofErr w:type="spellStart"/>
      <w:r w:rsidR="002568A7" w:rsidRPr="002568A7">
        <w:t>Prabhudesai</w:t>
      </w:r>
      <w:proofErr w:type="spellEnd"/>
      <w:r w:rsidR="002568A7" w:rsidRPr="002568A7">
        <w:t>,</w:t>
      </w:r>
      <w:r w:rsidR="002568A7">
        <w:t xml:space="preserve"> </w:t>
      </w:r>
      <w:r w:rsidR="002568A7" w:rsidRPr="002568A7">
        <w:t>2024</w:t>
      </w:r>
      <w:r w:rsidR="002568A7">
        <w:t>)</w:t>
      </w:r>
      <w:r>
        <w:t>.</w:t>
      </w:r>
    </w:p>
    <w:p w14:paraId="04BAB4EE" w14:textId="0CECE774" w:rsidR="003B6D83" w:rsidRDefault="003B6D83" w:rsidP="003B6D83">
      <w:r>
        <w:t>The UK grocery market can be described as an oligopoly, and a few dominant firms own the largest portion of market share. Under this type of structure, firms depend on each other, i.e. the decision of one firm in terms of pricing and strategy affects the other firms. Competition on price is also strong, especially after the growth of low-cost retailers Aldi and Lidl. This has pushed Tesco to boost its value propositions, such as price-matching offers and expansion of its own-label. Another form of competition also plays an important role in the form of non-price competition, where companies are differentiating based on loyalty programmes, store formats and digital services</w:t>
      </w:r>
      <w:r w:rsidR="002568A7">
        <w:t xml:space="preserve"> (</w:t>
      </w:r>
      <w:proofErr w:type="spellStart"/>
      <w:r w:rsidR="002568A7" w:rsidRPr="002568A7">
        <w:t>Seuri</w:t>
      </w:r>
      <w:proofErr w:type="spellEnd"/>
      <w:r w:rsidR="002568A7" w:rsidRPr="002568A7">
        <w:t>, 2024</w:t>
      </w:r>
      <w:r w:rsidR="002568A7">
        <w:t>)</w:t>
      </w:r>
      <w:r>
        <w:t xml:space="preserve">. Entry barriers are not low because capital investment requirements are high, economies of scale and a distribution network. </w:t>
      </w:r>
    </w:p>
    <w:p w14:paraId="51E21187" w14:textId="2E519ADC" w:rsidR="003B6D83" w:rsidRDefault="003B6D83" w:rsidP="003B6D83">
      <w:r>
        <w:t>Tesco ought to embrace a set of strategic responses to deal with the identified challenges so that it can help in enhancing resilience and competitiveness. First, to lessen excessive dependence on certain geographic areas, supply chain diversification is necessary to ensure that it is not easily affected by geopolitical conflicts and trade restrictions. Increasing the number of partnerships with national suppliers, even though selective sourcing is maintained globally, would be more flexible and stable. Second, further investment in the digital infrastructure, such as advanced data analytics and automation, would enhance the efficiency of the operations, demand forecasting and personalisation of the customers</w:t>
      </w:r>
      <w:r w:rsidR="00B94D8C">
        <w:t xml:space="preserve"> (</w:t>
      </w:r>
      <w:r w:rsidR="00B94D8C" w:rsidRPr="00B94D8C">
        <w:t>Turban, Pollard, and Wood, 2021</w:t>
      </w:r>
      <w:r w:rsidR="00B94D8C">
        <w:t>)</w:t>
      </w:r>
      <w:r>
        <w:t xml:space="preserve">.  Also, enhancing the strategy of cost leadership by increasing economies of scale and expansion of own-label would serve to keep Tesco competitive in the face of the </w:t>
      </w:r>
      <w:r>
        <w:lastRenderedPageBreak/>
        <w:t>inflationary and price-sensitive environment. By making ESG principles even more integrated into the corporate strategy, especially during the processes of sustainable sourcing and carbon reduction, the brand image and investor trust would become even stronger. Lastly, better financial risk management, including currency hedging and scenario planning, would reduce the effect of economic volatility and safeguard future profitability</w:t>
      </w:r>
      <w:r w:rsidR="00B94D8C">
        <w:t xml:space="preserve"> (</w:t>
      </w:r>
      <w:r w:rsidR="00B94D8C" w:rsidRPr="00B94D8C">
        <w:t>Zhang, 2020</w:t>
      </w:r>
      <w:r w:rsidR="00B94D8C">
        <w:t>)</w:t>
      </w:r>
      <w:r>
        <w:t>.</w:t>
      </w:r>
    </w:p>
    <w:p w14:paraId="68C75A15" w14:textId="77777777" w:rsidR="003B6D83" w:rsidRDefault="003B6D83" w:rsidP="003B6D83"/>
    <w:p w14:paraId="10B2C265" w14:textId="77777777" w:rsidR="003B6D83" w:rsidRDefault="003B6D83">
      <w:pPr>
        <w:spacing w:line="278" w:lineRule="auto"/>
        <w:jc w:val="left"/>
      </w:pPr>
      <w:r>
        <w:br w:type="page"/>
      </w:r>
    </w:p>
    <w:p w14:paraId="42D7C300" w14:textId="1C194683" w:rsidR="003B6D83" w:rsidRDefault="003B6D83" w:rsidP="003B6D83">
      <w:pPr>
        <w:pStyle w:val="Heading1"/>
      </w:pPr>
      <w:bookmarkStart w:id="2" w:name="_Toc223021802"/>
      <w:r>
        <w:lastRenderedPageBreak/>
        <w:t>Conclusion</w:t>
      </w:r>
      <w:bookmarkEnd w:id="2"/>
    </w:p>
    <w:p w14:paraId="22A20792" w14:textId="5F5D61EA" w:rsidR="003B6D83" w:rsidRDefault="007730DE" w:rsidP="007730DE">
      <w:r w:rsidRPr="00BB0D4C">
        <w:t>Finally, globalisation has served both as a strategic enabler and a structural constraint to Tesco. Even as international supply integration, technological and economies of scale enhanced the market leadership, political uncertainty, inflationary pressures and increased digital competition have exposed the company to operational risk. The pricing power and margin stability are further constrained by the fact that the company operates in a very competitive oligopolistic market. And so, globalisation is still a net plus in favour of Tesco; it must be backed by adaptive strategy, supply chain resilience and digital innovation. The next generation of competitiveness will not rely on expansion per se, but on how Tesco manages to transform the global exposure into long-term strategic flexibility.</w:t>
      </w:r>
      <w:r w:rsidR="003B6D83">
        <w:br w:type="page"/>
      </w:r>
    </w:p>
    <w:p w14:paraId="272C8186" w14:textId="26F4D145" w:rsidR="003B6D83" w:rsidRDefault="00C6530B" w:rsidP="003B6D83">
      <w:pPr>
        <w:pStyle w:val="Heading1"/>
      </w:pPr>
      <w:bookmarkStart w:id="3" w:name="_Toc223021803"/>
      <w:r>
        <w:lastRenderedPageBreak/>
        <w:t>References</w:t>
      </w:r>
      <w:bookmarkEnd w:id="3"/>
      <w:r w:rsidR="003B6D83">
        <w:t xml:space="preserve"> </w:t>
      </w:r>
      <w:r w:rsidR="00227164">
        <w:t xml:space="preserve"> </w:t>
      </w:r>
      <w:r w:rsidR="00482B59">
        <w:t xml:space="preserve"> </w:t>
      </w:r>
    </w:p>
    <w:p w14:paraId="23CBB3AA" w14:textId="757994D9" w:rsidR="00A13069" w:rsidRDefault="00A13069" w:rsidP="003B6D83">
      <w:r w:rsidRPr="003B6D83">
        <w:t xml:space="preserve">Bednarski, L., Roscoe, S., Blome, C. and Schleper, M.C. </w:t>
      </w:r>
      <w:r>
        <w:t>(</w:t>
      </w:r>
      <w:r w:rsidRPr="003B6D83">
        <w:t>2025</w:t>
      </w:r>
      <w:r>
        <w:t>)</w:t>
      </w:r>
      <w:r w:rsidRPr="003B6D83">
        <w:t>. Geopolitical disruptions in global supply chains: a state-of-the-art literature review. </w:t>
      </w:r>
      <w:r w:rsidRPr="003B6D83">
        <w:rPr>
          <w:i/>
          <w:iCs/>
        </w:rPr>
        <w:t>Production planning &amp; control</w:t>
      </w:r>
      <w:r w:rsidRPr="003B6D83">
        <w:t>, </w:t>
      </w:r>
      <w:r w:rsidRPr="003B6D83">
        <w:rPr>
          <w:i/>
          <w:iCs/>
        </w:rPr>
        <w:t>36</w:t>
      </w:r>
      <w:r w:rsidRPr="003B6D83">
        <w:t>(4), pp.536-562.</w:t>
      </w:r>
      <w:r>
        <w:t xml:space="preserve"> </w:t>
      </w:r>
    </w:p>
    <w:p w14:paraId="58B856D0" w14:textId="77777777" w:rsidR="00A13069" w:rsidRDefault="00A13069" w:rsidP="003B6D83">
      <w:r w:rsidRPr="00C6530B">
        <w:t xml:space="preserve">Guérineau, A. </w:t>
      </w:r>
      <w:r>
        <w:t>(</w:t>
      </w:r>
      <w:r w:rsidRPr="00C6530B">
        <w:t>2025</w:t>
      </w:r>
      <w:r>
        <w:t>)</w:t>
      </w:r>
      <w:r w:rsidRPr="00C6530B">
        <w:t>. The impact of Brexit on Companies’ Supply Chains.</w:t>
      </w:r>
    </w:p>
    <w:p w14:paraId="32E747C9" w14:textId="77777777" w:rsidR="00A13069" w:rsidRDefault="00A13069" w:rsidP="003B6D83">
      <w:proofErr w:type="spellStart"/>
      <w:r w:rsidRPr="002568A7">
        <w:t>Hardyment</w:t>
      </w:r>
      <w:proofErr w:type="spellEnd"/>
      <w:r w:rsidRPr="002568A7">
        <w:t xml:space="preserve">, R. </w:t>
      </w:r>
      <w:r>
        <w:t>(</w:t>
      </w:r>
      <w:r w:rsidRPr="002568A7">
        <w:t>2024</w:t>
      </w:r>
      <w:r>
        <w:t>)</w:t>
      </w:r>
      <w:r w:rsidRPr="002568A7">
        <w:t>. </w:t>
      </w:r>
      <w:r w:rsidRPr="002568A7">
        <w:rPr>
          <w:i/>
          <w:iCs/>
        </w:rPr>
        <w:t>Measuring good business: Making sense of environmental, social and governance (ESG) data</w:t>
      </w:r>
      <w:r w:rsidRPr="002568A7">
        <w:t>. Routledge.</w:t>
      </w:r>
    </w:p>
    <w:p w14:paraId="6DB9C07C" w14:textId="77777777" w:rsidR="00A13069" w:rsidRDefault="00A13069" w:rsidP="003B6D83">
      <w:proofErr w:type="spellStart"/>
      <w:r w:rsidRPr="00C6530B">
        <w:t>Hlaimi</w:t>
      </w:r>
      <w:proofErr w:type="spellEnd"/>
      <w:r w:rsidRPr="00C6530B">
        <w:t xml:space="preserve">, S., </w:t>
      </w:r>
      <w:r>
        <w:t>(</w:t>
      </w:r>
      <w:r w:rsidRPr="00C6530B">
        <w:t>2021</w:t>
      </w:r>
      <w:r>
        <w:t>)</w:t>
      </w:r>
      <w:r w:rsidRPr="00C6530B">
        <w:t>. The effects of Brexit and Covid-19 on food inflation in the United Kingdom.</w:t>
      </w:r>
    </w:p>
    <w:p w14:paraId="0A1A466B" w14:textId="77777777" w:rsidR="00A13069" w:rsidRDefault="00A13069" w:rsidP="003B6D83">
      <w:r w:rsidRPr="002568A7">
        <w:t xml:space="preserve">Hood, N., Urquhart, R., </w:t>
      </w:r>
      <w:proofErr w:type="spellStart"/>
      <w:r w:rsidRPr="002568A7">
        <w:t>Newing</w:t>
      </w:r>
      <w:proofErr w:type="spellEnd"/>
      <w:r w:rsidRPr="002568A7">
        <w:t xml:space="preserve">, A. and Heppenstall, A. </w:t>
      </w:r>
      <w:r>
        <w:t>(</w:t>
      </w:r>
      <w:r w:rsidRPr="002568A7">
        <w:t>2020</w:t>
      </w:r>
      <w:r>
        <w:t>)</w:t>
      </w:r>
      <w:r w:rsidRPr="002568A7">
        <w:t>. Sociodemographic and spatial disaggregation of e-commerce channel use in the grocery market in Great Britain. </w:t>
      </w:r>
      <w:r w:rsidRPr="002568A7">
        <w:rPr>
          <w:i/>
          <w:iCs/>
        </w:rPr>
        <w:t>Journal of Retailing and Consumer Services</w:t>
      </w:r>
      <w:r w:rsidRPr="002568A7">
        <w:t>, </w:t>
      </w:r>
      <w:r w:rsidRPr="002568A7">
        <w:rPr>
          <w:i/>
          <w:iCs/>
        </w:rPr>
        <w:t>55</w:t>
      </w:r>
      <w:r w:rsidRPr="002568A7">
        <w:t>, p.102076.</w:t>
      </w:r>
    </w:p>
    <w:p w14:paraId="2D0C239B" w14:textId="77777777" w:rsidR="00A13069" w:rsidRDefault="00A13069" w:rsidP="003B6D83">
      <w:r w:rsidRPr="003B6D83">
        <w:t xml:space="preserve">Meng, S. </w:t>
      </w:r>
      <w:r>
        <w:t>(</w:t>
      </w:r>
      <w:r w:rsidRPr="003B6D83">
        <w:t>2024</w:t>
      </w:r>
      <w:r>
        <w:t>)</w:t>
      </w:r>
      <w:r w:rsidRPr="003B6D83">
        <w:t>. Operation Management of Grocery Retailer in the UK: A Case of Tesco. </w:t>
      </w:r>
      <w:r w:rsidRPr="003B6D83">
        <w:rPr>
          <w:i/>
          <w:iCs/>
        </w:rPr>
        <w:t>Pacific International Journal</w:t>
      </w:r>
      <w:r w:rsidRPr="003B6D83">
        <w:t>, </w:t>
      </w:r>
      <w:r w:rsidRPr="003B6D83">
        <w:rPr>
          <w:i/>
          <w:iCs/>
        </w:rPr>
        <w:t>7</w:t>
      </w:r>
      <w:r w:rsidRPr="003B6D83">
        <w:t>(2), pp.136-142.</w:t>
      </w:r>
    </w:p>
    <w:p w14:paraId="45BEB5A5" w14:textId="77777777" w:rsidR="00A13069" w:rsidRDefault="00A13069" w:rsidP="003B6D83">
      <w:r w:rsidRPr="002568A7">
        <w:t xml:space="preserve">Pangarkar, N. and </w:t>
      </w:r>
      <w:proofErr w:type="spellStart"/>
      <w:r w:rsidRPr="002568A7">
        <w:t>Prabhudesai</w:t>
      </w:r>
      <w:proofErr w:type="spellEnd"/>
      <w:r w:rsidRPr="002568A7">
        <w:t xml:space="preserve">, R. </w:t>
      </w:r>
      <w:r>
        <w:t>(</w:t>
      </w:r>
      <w:r w:rsidRPr="002568A7">
        <w:t>2024</w:t>
      </w:r>
      <w:r>
        <w:t>)</w:t>
      </w:r>
      <w:r w:rsidRPr="002568A7">
        <w:t>. Using Porter's Five Forces analysis to drive strategy. </w:t>
      </w:r>
      <w:r w:rsidRPr="002568A7">
        <w:rPr>
          <w:i/>
          <w:iCs/>
        </w:rPr>
        <w:t xml:space="preserve">Global Business and </w:t>
      </w:r>
      <w:r>
        <w:rPr>
          <w:i/>
          <w:iCs/>
        </w:rPr>
        <w:t>Organisational</w:t>
      </w:r>
      <w:r w:rsidRPr="002568A7">
        <w:rPr>
          <w:i/>
          <w:iCs/>
        </w:rPr>
        <w:t xml:space="preserve"> Excellence</w:t>
      </w:r>
      <w:r w:rsidRPr="002568A7">
        <w:t>, </w:t>
      </w:r>
      <w:r w:rsidRPr="002568A7">
        <w:rPr>
          <w:i/>
          <w:iCs/>
        </w:rPr>
        <w:t>43</w:t>
      </w:r>
      <w:r w:rsidRPr="002568A7">
        <w:t>(5), pp.24-34.</w:t>
      </w:r>
    </w:p>
    <w:p w14:paraId="404B4798" w14:textId="77777777" w:rsidR="00A13069" w:rsidRDefault="00A13069" w:rsidP="003B6D83">
      <w:r w:rsidRPr="003B6D83">
        <w:t xml:space="preserve">Roy, B.A.S.I.L. </w:t>
      </w:r>
      <w:r>
        <w:t>(</w:t>
      </w:r>
      <w:r w:rsidRPr="003B6D83">
        <w:t>2024</w:t>
      </w:r>
      <w:r>
        <w:t>)</w:t>
      </w:r>
      <w:r w:rsidRPr="003B6D83">
        <w:t>. Digital Transformation Strategies in Traditional Retail Industries: A Case of Tesco PLC.</w:t>
      </w:r>
    </w:p>
    <w:p w14:paraId="23066517" w14:textId="77777777" w:rsidR="00A13069" w:rsidRDefault="00A13069" w:rsidP="003B6D83">
      <w:r w:rsidRPr="002568A7">
        <w:t xml:space="preserve">Samdani, T. </w:t>
      </w:r>
      <w:r>
        <w:t>(</w:t>
      </w:r>
      <w:r w:rsidRPr="002568A7">
        <w:t>2020</w:t>
      </w:r>
      <w:r>
        <w:t>)</w:t>
      </w:r>
      <w:r w:rsidRPr="002568A7">
        <w:t>. </w:t>
      </w:r>
      <w:r w:rsidRPr="002568A7">
        <w:rPr>
          <w:i/>
          <w:iCs/>
        </w:rPr>
        <w:t xml:space="preserve">Impact of Tesco's Private Label brands on </w:t>
      </w:r>
      <w:r>
        <w:rPr>
          <w:i/>
          <w:iCs/>
        </w:rPr>
        <w:t xml:space="preserve">the </w:t>
      </w:r>
      <w:r w:rsidRPr="002568A7">
        <w:rPr>
          <w:i/>
          <w:iCs/>
        </w:rPr>
        <w:t xml:space="preserve">buying behaviour of Millennials in terms of brand preference in </w:t>
      </w:r>
      <w:r>
        <w:rPr>
          <w:i/>
          <w:iCs/>
        </w:rPr>
        <w:t xml:space="preserve">the </w:t>
      </w:r>
      <w:r w:rsidRPr="002568A7">
        <w:rPr>
          <w:i/>
          <w:iCs/>
        </w:rPr>
        <w:t>Irish market</w:t>
      </w:r>
      <w:r w:rsidRPr="002568A7">
        <w:t> (Doctoral dissertation, Dublin, National College of Ireland).</w:t>
      </w:r>
    </w:p>
    <w:p w14:paraId="4760F926" w14:textId="77777777" w:rsidR="00A13069" w:rsidRDefault="00A13069" w:rsidP="003B6D83">
      <w:proofErr w:type="spellStart"/>
      <w:r w:rsidRPr="002568A7">
        <w:t>Seuri</w:t>
      </w:r>
      <w:proofErr w:type="spellEnd"/>
      <w:r w:rsidRPr="002568A7">
        <w:t xml:space="preserve">, J. </w:t>
      </w:r>
      <w:r>
        <w:t>(</w:t>
      </w:r>
      <w:r w:rsidRPr="002568A7">
        <w:t>2024</w:t>
      </w:r>
      <w:r>
        <w:t>)</w:t>
      </w:r>
      <w:r w:rsidRPr="002568A7">
        <w:t>. The impact of online grocery retail on market entry challenges.</w:t>
      </w:r>
    </w:p>
    <w:p w14:paraId="6E42FFD1" w14:textId="77777777" w:rsidR="00A13069" w:rsidRDefault="00A13069" w:rsidP="003B6D83">
      <w:r w:rsidRPr="00C6530B">
        <w:t xml:space="preserve">Simonneau, D. </w:t>
      </w:r>
      <w:r>
        <w:t>(</w:t>
      </w:r>
      <w:r w:rsidRPr="00C6530B">
        <w:t>2025</w:t>
      </w:r>
      <w:r>
        <w:t>)</w:t>
      </w:r>
      <w:r w:rsidRPr="00C6530B">
        <w:t>. The e-Walls of Brexit: Digital Adjustments in Customs Programs Between France, Belgium and the United Kingdom. </w:t>
      </w:r>
      <w:r w:rsidRPr="00C6530B">
        <w:rPr>
          <w:i/>
          <w:iCs/>
        </w:rPr>
        <w:t>Journal of Borderlands Studies</w:t>
      </w:r>
      <w:r w:rsidRPr="00C6530B">
        <w:t>, </w:t>
      </w:r>
      <w:r w:rsidRPr="00C6530B">
        <w:rPr>
          <w:i/>
          <w:iCs/>
        </w:rPr>
        <w:t>40</w:t>
      </w:r>
      <w:r w:rsidRPr="00C6530B">
        <w:t>(4), pp.859-879.</w:t>
      </w:r>
    </w:p>
    <w:p w14:paraId="1B5CED0A" w14:textId="77777777" w:rsidR="00A13069" w:rsidRDefault="00A13069" w:rsidP="003B6D83">
      <w:r w:rsidRPr="002568A7">
        <w:t xml:space="preserve">Treves, L. </w:t>
      </w:r>
      <w:r>
        <w:t>(</w:t>
      </w:r>
      <w:r w:rsidRPr="002568A7">
        <w:t>2021</w:t>
      </w:r>
      <w:r>
        <w:t>)</w:t>
      </w:r>
      <w:r w:rsidRPr="002568A7">
        <w:t>. Business Models in the Digital Age: The Internet of Things. </w:t>
      </w:r>
      <w:r w:rsidRPr="002568A7">
        <w:rPr>
          <w:i/>
          <w:iCs/>
        </w:rPr>
        <w:t>Contemporary Issues in International Business and Entrepreneurship</w:t>
      </w:r>
      <w:r w:rsidRPr="002568A7">
        <w:t>.</w:t>
      </w:r>
    </w:p>
    <w:p w14:paraId="56FE52B3" w14:textId="77777777" w:rsidR="00A13069" w:rsidRDefault="00A13069" w:rsidP="003B6D83">
      <w:r w:rsidRPr="00B94D8C">
        <w:lastRenderedPageBreak/>
        <w:t xml:space="preserve">Turban, E., Pollard, C. and Wood, G. </w:t>
      </w:r>
      <w:r>
        <w:t>(</w:t>
      </w:r>
      <w:r w:rsidRPr="00B94D8C">
        <w:t>2021</w:t>
      </w:r>
      <w:r>
        <w:t>)</w:t>
      </w:r>
      <w:r w:rsidRPr="00B94D8C">
        <w:t>. </w:t>
      </w:r>
      <w:r w:rsidRPr="00B94D8C">
        <w:rPr>
          <w:i/>
          <w:iCs/>
        </w:rPr>
        <w:t>Information technology for management: Driving digital transformation to increase local and global performance, growth and sustainability</w:t>
      </w:r>
      <w:r w:rsidRPr="00B94D8C">
        <w:t>. John Wiley &amp; Sons.</w:t>
      </w:r>
    </w:p>
    <w:p w14:paraId="75B79476" w14:textId="77777777" w:rsidR="00A13069" w:rsidRDefault="00A13069" w:rsidP="003B6D83">
      <w:r w:rsidRPr="00B94D8C">
        <w:t xml:space="preserve">Zhang, S. </w:t>
      </w:r>
      <w:r>
        <w:t>(</w:t>
      </w:r>
      <w:r w:rsidRPr="00B94D8C">
        <w:t>2020</w:t>
      </w:r>
      <w:r>
        <w:t>)</w:t>
      </w:r>
      <w:r w:rsidRPr="00B94D8C">
        <w:t>. </w:t>
      </w:r>
      <w:r w:rsidRPr="00B94D8C">
        <w:rPr>
          <w:i/>
          <w:iCs/>
        </w:rPr>
        <w:t>An empirical study of the relationship between risk management capabilities and the use of financial derivatives: UK case studies</w:t>
      </w:r>
      <w:r w:rsidRPr="00B94D8C">
        <w:t> (Doctoral dissertation, Edinburgh Napier University).</w:t>
      </w:r>
      <w:r>
        <w:t xml:space="preserve"> </w:t>
      </w:r>
    </w:p>
    <w:p w14:paraId="126CF0A1" w14:textId="77777777" w:rsidR="00C6530B" w:rsidRPr="003B6D83" w:rsidRDefault="00C6530B" w:rsidP="003B6D83"/>
    <w:sectPr w:rsidR="00C6530B" w:rsidRPr="003B6D8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ED0B1" w14:textId="77777777" w:rsidR="003D57AC" w:rsidRDefault="003D57AC" w:rsidP="002C36DD">
      <w:pPr>
        <w:spacing w:after="0" w:line="240" w:lineRule="auto"/>
      </w:pPr>
      <w:r>
        <w:separator/>
      </w:r>
    </w:p>
  </w:endnote>
  <w:endnote w:type="continuationSeparator" w:id="0">
    <w:p w14:paraId="1488CD4B" w14:textId="77777777" w:rsidR="003D57AC" w:rsidRDefault="003D57AC" w:rsidP="002C3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1129561"/>
      <w:docPartObj>
        <w:docPartGallery w:val="Page Numbers (Bottom of Page)"/>
        <w:docPartUnique/>
      </w:docPartObj>
    </w:sdtPr>
    <w:sdtEndPr/>
    <w:sdtContent>
      <w:p w14:paraId="1E4095D8" w14:textId="455079A3" w:rsidR="002C36DD" w:rsidRDefault="002C36DD">
        <w:pPr>
          <w:pStyle w:val="Footer"/>
          <w:jc w:val="right"/>
        </w:pPr>
        <w:r>
          <w:fldChar w:fldCharType="begin"/>
        </w:r>
        <w:r>
          <w:instrText>PAGE   \* MERGEFORMAT</w:instrText>
        </w:r>
        <w:r>
          <w:fldChar w:fldCharType="separate"/>
        </w:r>
        <w:r>
          <w:rPr>
            <w:lang w:val="en-GB"/>
          </w:rPr>
          <w:t>2</w:t>
        </w:r>
        <w:r>
          <w:fldChar w:fldCharType="end"/>
        </w:r>
      </w:p>
    </w:sdtContent>
  </w:sdt>
  <w:p w14:paraId="11A9E759" w14:textId="77777777" w:rsidR="002C36DD" w:rsidRDefault="002C3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50433" w14:textId="77777777" w:rsidR="003D57AC" w:rsidRDefault="003D57AC" w:rsidP="002C36DD">
      <w:pPr>
        <w:spacing w:after="0" w:line="240" w:lineRule="auto"/>
      </w:pPr>
      <w:r>
        <w:separator/>
      </w:r>
    </w:p>
  </w:footnote>
  <w:footnote w:type="continuationSeparator" w:id="0">
    <w:p w14:paraId="55BCB4BD" w14:textId="77777777" w:rsidR="003D57AC" w:rsidRDefault="003D57AC" w:rsidP="002C36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670"/>
    <w:rsid w:val="000527CE"/>
    <w:rsid w:val="00061A96"/>
    <w:rsid w:val="00112DB4"/>
    <w:rsid w:val="00157D22"/>
    <w:rsid w:val="001F6AC9"/>
    <w:rsid w:val="00227164"/>
    <w:rsid w:val="002420DB"/>
    <w:rsid w:val="002568A7"/>
    <w:rsid w:val="002C36DD"/>
    <w:rsid w:val="003046BC"/>
    <w:rsid w:val="0037056C"/>
    <w:rsid w:val="003B6D83"/>
    <w:rsid w:val="003C5B5E"/>
    <w:rsid w:val="003D57AC"/>
    <w:rsid w:val="00482B59"/>
    <w:rsid w:val="00637706"/>
    <w:rsid w:val="00721FE7"/>
    <w:rsid w:val="007730DE"/>
    <w:rsid w:val="00827F08"/>
    <w:rsid w:val="00963670"/>
    <w:rsid w:val="00A13069"/>
    <w:rsid w:val="00A7701F"/>
    <w:rsid w:val="00AA442D"/>
    <w:rsid w:val="00AB39F0"/>
    <w:rsid w:val="00B94D8C"/>
    <w:rsid w:val="00BA2BF2"/>
    <w:rsid w:val="00BB0D4C"/>
    <w:rsid w:val="00BF6050"/>
    <w:rsid w:val="00C6530B"/>
    <w:rsid w:val="00C75F6B"/>
    <w:rsid w:val="00E31B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4EEE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AC9"/>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1F6AC9"/>
    <w:pPr>
      <w:keepNext/>
      <w:keepLines/>
      <w:spacing w:before="360" w:after="80"/>
      <w:outlineLvl w:val="0"/>
    </w:pPr>
    <w:rPr>
      <w:rFonts w:eastAsiaTheme="majorEastAsia" w:cstheme="majorBidi"/>
      <w:b/>
      <w:sz w:val="36"/>
      <w:szCs w:val="40"/>
    </w:rPr>
  </w:style>
  <w:style w:type="paragraph" w:styleId="Heading2">
    <w:name w:val="heading 2"/>
    <w:basedOn w:val="Normal"/>
    <w:next w:val="Normal"/>
    <w:link w:val="Heading2Char"/>
    <w:autoRedefine/>
    <w:uiPriority w:val="9"/>
    <w:semiHidden/>
    <w:unhideWhenUsed/>
    <w:qFormat/>
    <w:rsid w:val="001F6AC9"/>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721FE7"/>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96367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6367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6367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6367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6367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6367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AC9"/>
    <w:rPr>
      <w:rFonts w:ascii="Times New Roman" w:eastAsiaTheme="majorEastAsia" w:hAnsi="Times New Roman" w:cstheme="majorBidi"/>
      <w:b/>
      <w:sz w:val="36"/>
      <w:szCs w:val="40"/>
    </w:rPr>
  </w:style>
  <w:style w:type="character" w:customStyle="1" w:styleId="Heading2Char">
    <w:name w:val="Heading 2 Char"/>
    <w:basedOn w:val="DefaultParagraphFont"/>
    <w:link w:val="Heading2"/>
    <w:uiPriority w:val="9"/>
    <w:semiHidden/>
    <w:rsid w:val="001F6AC9"/>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721FE7"/>
    <w:rPr>
      <w:rFonts w:ascii="Times New Roman" w:eastAsiaTheme="majorEastAsia" w:hAnsi="Times New Roman" w:cstheme="majorBidi"/>
      <w:b/>
      <w:sz w:val="28"/>
      <w:szCs w:val="28"/>
    </w:rPr>
  </w:style>
  <w:style w:type="character" w:customStyle="1" w:styleId="Heading4Char">
    <w:name w:val="Heading 4 Char"/>
    <w:basedOn w:val="DefaultParagraphFont"/>
    <w:link w:val="Heading4"/>
    <w:uiPriority w:val="9"/>
    <w:semiHidden/>
    <w:rsid w:val="009636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36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36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36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36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3670"/>
    <w:rPr>
      <w:rFonts w:eastAsiaTheme="majorEastAsia" w:cstheme="majorBidi"/>
      <w:color w:val="272727" w:themeColor="text1" w:themeTint="D8"/>
    </w:rPr>
  </w:style>
  <w:style w:type="paragraph" w:styleId="Title">
    <w:name w:val="Title"/>
    <w:basedOn w:val="Normal"/>
    <w:next w:val="Normal"/>
    <w:link w:val="TitleChar"/>
    <w:uiPriority w:val="10"/>
    <w:qFormat/>
    <w:rsid w:val="009636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6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367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6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3670"/>
    <w:pPr>
      <w:spacing w:before="160"/>
      <w:jc w:val="center"/>
    </w:pPr>
    <w:rPr>
      <w:i/>
      <w:iCs/>
      <w:color w:val="404040" w:themeColor="text1" w:themeTint="BF"/>
    </w:rPr>
  </w:style>
  <w:style w:type="character" w:customStyle="1" w:styleId="QuoteChar">
    <w:name w:val="Quote Char"/>
    <w:basedOn w:val="DefaultParagraphFont"/>
    <w:link w:val="Quote"/>
    <w:uiPriority w:val="29"/>
    <w:rsid w:val="00963670"/>
    <w:rPr>
      <w:rFonts w:ascii="Times New Roman" w:hAnsi="Times New Roman"/>
      <w:i/>
      <w:iCs/>
      <w:color w:val="404040" w:themeColor="text1" w:themeTint="BF"/>
    </w:rPr>
  </w:style>
  <w:style w:type="paragraph" w:styleId="ListParagraph">
    <w:name w:val="List Paragraph"/>
    <w:basedOn w:val="Normal"/>
    <w:uiPriority w:val="34"/>
    <w:qFormat/>
    <w:rsid w:val="00963670"/>
    <w:pPr>
      <w:ind w:left="720"/>
      <w:contextualSpacing/>
    </w:pPr>
  </w:style>
  <w:style w:type="character" w:styleId="IntenseEmphasis">
    <w:name w:val="Intense Emphasis"/>
    <w:basedOn w:val="DefaultParagraphFont"/>
    <w:uiPriority w:val="21"/>
    <w:qFormat/>
    <w:rsid w:val="00963670"/>
    <w:rPr>
      <w:i/>
      <w:iCs/>
      <w:color w:val="0F4761" w:themeColor="accent1" w:themeShade="BF"/>
    </w:rPr>
  </w:style>
  <w:style w:type="paragraph" w:styleId="IntenseQuote">
    <w:name w:val="Intense Quote"/>
    <w:basedOn w:val="Normal"/>
    <w:next w:val="Normal"/>
    <w:link w:val="IntenseQuoteChar"/>
    <w:uiPriority w:val="30"/>
    <w:qFormat/>
    <w:rsid w:val="009636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3670"/>
    <w:rPr>
      <w:rFonts w:ascii="Times New Roman" w:hAnsi="Times New Roman"/>
      <w:i/>
      <w:iCs/>
      <w:color w:val="0F4761" w:themeColor="accent1" w:themeShade="BF"/>
    </w:rPr>
  </w:style>
  <w:style w:type="character" w:styleId="IntenseReference">
    <w:name w:val="Intense Reference"/>
    <w:basedOn w:val="DefaultParagraphFont"/>
    <w:uiPriority w:val="32"/>
    <w:qFormat/>
    <w:rsid w:val="00963670"/>
    <w:rPr>
      <w:b/>
      <w:bCs/>
      <w:smallCaps/>
      <w:color w:val="0F4761" w:themeColor="accent1" w:themeShade="BF"/>
      <w:spacing w:val="5"/>
    </w:rPr>
  </w:style>
  <w:style w:type="paragraph" w:styleId="TOCHeading">
    <w:name w:val="TOC Heading"/>
    <w:basedOn w:val="Heading1"/>
    <w:next w:val="Normal"/>
    <w:uiPriority w:val="39"/>
    <w:unhideWhenUsed/>
    <w:qFormat/>
    <w:rsid w:val="002C36DD"/>
    <w:pPr>
      <w:spacing w:before="240" w:after="0" w:line="259" w:lineRule="auto"/>
      <w:jc w:val="left"/>
      <w:outlineLvl w:val="9"/>
    </w:pPr>
    <w:rPr>
      <w:rFonts w:asciiTheme="majorHAnsi" w:hAnsiTheme="majorHAnsi"/>
      <w:b w:val="0"/>
      <w:color w:val="0F4761" w:themeColor="accent1" w:themeShade="BF"/>
      <w:kern w:val="0"/>
      <w:sz w:val="32"/>
      <w:szCs w:val="32"/>
      <w:lang w:eastAsia="en-IN"/>
      <w14:ligatures w14:val="none"/>
    </w:rPr>
  </w:style>
  <w:style w:type="paragraph" w:styleId="TOC1">
    <w:name w:val="toc 1"/>
    <w:basedOn w:val="Normal"/>
    <w:next w:val="Normal"/>
    <w:autoRedefine/>
    <w:uiPriority w:val="39"/>
    <w:unhideWhenUsed/>
    <w:rsid w:val="002C36DD"/>
    <w:pPr>
      <w:spacing w:after="100"/>
    </w:pPr>
  </w:style>
  <w:style w:type="character" w:styleId="Hyperlink">
    <w:name w:val="Hyperlink"/>
    <w:basedOn w:val="DefaultParagraphFont"/>
    <w:uiPriority w:val="99"/>
    <w:unhideWhenUsed/>
    <w:rsid w:val="002C36DD"/>
    <w:rPr>
      <w:color w:val="467886" w:themeColor="hyperlink"/>
      <w:u w:val="single"/>
    </w:rPr>
  </w:style>
  <w:style w:type="paragraph" w:styleId="Header">
    <w:name w:val="header"/>
    <w:basedOn w:val="Normal"/>
    <w:link w:val="HeaderChar"/>
    <w:uiPriority w:val="99"/>
    <w:unhideWhenUsed/>
    <w:rsid w:val="002C36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6DD"/>
    <w:rPr>
      <w:rFonts w:ascii="Times New Roman" w:hAnsi="Times New Roman"/>
    </w:rPr>
  </w:style>
  <w:style w:type="paragraph" w:styleId="Footer">
    <w:name w:val="footer"/>
    <w:basedOn w:val="Normal"/>
    <w:link w:val="FooterChar"/>
    <w:uiPriority w:val="99"/>
    <w:unhideWhenUsed/>
    <w:rsid w:val="002C36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6DD"/>
    <w:rPr>
      <w:rFonts w:ascii="Times New Roman" w:hAnsi="Times New Roman"/>
    </w:rPr>
  </w:style>
  <w:style w:type="paragraph" w:styleId="NormalWeb">
    <w:name w:val="Normal (Web)"/>
    <w:basedOn w:val="Normal"/>
    <w:uiPriority w:val="99"/>
    <w:semiHidden/>
    <w:unhideWhenUsed/>
    <w:rsid w:val="00AA442D"/>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1FFD4A-E5DB-4013-96F5-520CA0AF2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2011</Words>
  <Characters>11464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2026-02-26T12:39:00Z</dcterms:created>
  <dcterms:modified xsi:type="dcterms:W3CDTF">2026-03-22T09:28:00Z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5d1c630a-3435-4f58-a97a-efc8e7449a45</vt:lpwstr>
  </property>
</Properties>
</file>