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19506845"/>
        <w:docPartObj>
          <w:docPartGallery w:val="Cover Pages"/>
          <w:docPartUnique/>
        </w:docPartObj>
      </w:sdtPr>
      <w:sdtContent>
        <w:p w14:paraId="2BD3D162" w14:textId="288F72CB" w:rsidR="005A6B47" w:rsidRPr="00DB52F6" w:rsidRDefault="005A6B47" w:rsidP="005A6B47">
          <w:pPr>
            <w:spacing w:line="720" w:lineRule="auto"/>
            <w:rPr>
              <w:sz w:val="32"/>
              <w:szCs w:val="32"/>
            </w:rPr>
          </w:pPr>
          <w:r w:rsidRPr="00DB52F6">
            <w:rPr>
              <w:sz w:val="32"/>
              <w:szCs w:val="32"/>
            </w:rPr>
            <w:t>Student Name:</w:t>
          </w:r>
          <w:r>
            <w:rPr>
              <w:sz w:val="32"/>
              <w:szCs w:val="32"/>
            </w:rPr>
            <w:tab/>
          </w:r>
          <w:r>
            <w:rPr>
              <w:sz w:val="32"/>
              <w:szCs w:val="32"/>
            </w:rPr>
            <w:tab/>
          </w:r>
          <w:r w:rsidR="003F79CF">
            <w:rPr>
              <w:sz w:val="32"/>
              <w:szCs w:val="32"/>
            </w:rPr>
            <w:t>Racqueal Collins</w:t>
          </w:r>
        </w:p>
        <w:p w14:paraId="78146E92" w14:textId="6D8DA054" w:rsidR="005A6B47" w:rsidRPr="00DB52F6" w:rsidRDefault="005A6B47" w:rsidP="005A6B47">
          <w:pPr>
            <w:spacing w:line="720" w:lineRule="auto"/>
            <w:rPr>
              <w:sz w:val="32"/>
              <w:szCs w:val="32"/>
            </w:rPr>
          </w:pPr>
          <w:r w:rsidRPr="00DB52F6">
            <w:rPr>
              <w:sz w:val="32"/>
              <w:szCs w:val="32"/>
            </w:rPr>
            <w:t>Student Number:</w:t>
          </w:r>
          <w:r>
            <w:rPr>
              <w:sz w:val="32"/>
              <w:szCs w:val="32"/>
            </w:rPr>
            <w:tab/>
          </w:r>
          <w:r w:rsidR="003F79CF">
            <w:rPr>
              <w:sz w:val="32"/>
              <w:szCs w:val="32"/>
            </w:rPr>
            <w:t>2442244</w:t>
          </w:r>
        </w:p>
        <w:p w14:paraId="42E2D7CE" w14:textId="77777777" w:rsidR="005A6B47" w:rsidRPr="00DB52F6" w:rsidRDefault="005A6B47" w:rsidP="005A6B47">
          <w:pPr>
            <w:spacing w:line="720" w:lineRule="auto"/>
            <w:rPr>
              <w:sz w:val="32"/>
              <w:szCs w:val="32"/>
            </w:rPr>
          </w:pPr>
          <w:r w:rsidRPr="00DB52F6">
            <w:rPr>
              <w:sz w:val="32"/>
              <w:szCs w:val="32"/>
            </w:rPr>
            <w:t>Module Title:</w:t>
          </w:r>
          <w:r>
            <w:rPr>
              <w:sz w:val="32"/>
              <w:szCs w:val="32"/>
            </w:rPr>
            <w:tab/>
          </w:r>
          <w:r>
            <w:rPr>
              <w:sz w:val="32"/>
              <w:szCs w:val="32"/>
            </w:rPr>
            <w:tab/>
          </w:r>
          <w:r w:rsidRPr="00DB52F6">
            <w:rPr>
              <w:sz w:val="32"/>
              <w:szCs w:val="32"/>
            </w:rPr>
            <w:t xml:space="preserve">Psychology in Health and Social Care </w:t>
          </w:r>
        </w:p>
        <w:p w14:paraId="137DC657" w14:textId="77777777" w:rsidR="005A6B47" w:rsidRPr="00DB52F6" w:rsidRDefault="005A6B47" w:rsidP="005A6B47">
          <w:pPr>
            <w:spacing w:line="720" w:lineRule="auto"/>
            <w:rPr>
              <w:sz w:val="32"/>
              <w:szCs w:val="32"/>
            </w:rPr>
          </w:pPr>
          <w:r w:rsidRPr="00DB52F6">
            <w:rPr>
              <w:sz w:val="32"/>
              <w:szCs w:val="32"/>
            </w:rPr>
            <w:t>Model Code:</w:t>
          </w:r>
          <w:r>
            <w:rPr>
              <w:sz w:val="32"/>
              <w:szCs w:val="32"/>
            </w:rPr>
            <w:tab/>
          </w:r>
          <w:r>
            <w:rPr>
              <w:sz w:val="32"/>
              <w:szCs w:val="32"/>
            </w:rPr>
            <w:tab/>
            <w:t>LCH4010</w:t>
          </w:r>
        </w:p>
        <w:p w14:paraId="5B2EBC8A" w14:textId="60B2A990" w:rsidR="005A6B47" w:rsidRPr="00DB52F6" w:rsidRDefault="005A6B47" w:rsidP="005A6B47">
          <w:pPr>
            <w:spacing w:line="720" w:lineRule="auto"/>
            <w:rPr>
              <w:sz w:val="32"/>
              <w:szCs w:val="32"/>
            </w:rPr>
          </w:pPr>
          <w:r w:rsidRPr="00DB52F6">
            <w:rPr>
              <w:sz w:val="32"/>
              <w:szCs w:val="32"/>
            </w:rPr>
            <w:t>Lecturer’s Name:</w:t>
          </w:r>
          <w:r>
            <w:rPr>
              <w:sz w:val="32"/>
              <w:szCs w:val="32"/>
            </w:rPr>
            <w:tab/>
          </w:r>
          <w:r w:rsidR="00C06632">
            <w:rPr>
              <w:sz w:val="32"/>
              <w:szCs w:val="32"/>
            </w:rPr>
            <w:t xml:space="preserve">Dr </w:t>
          </w:r>
          <w:r w:rsidRPr="00001824">
            <w:rPr>
              <w:sz w:val="32"/>
              <w:szCs w:val="32"/>
            </w:rPr>
            <w:t>Farah Wiita</w:t>
          </w:r>
        </w:p>
        <w:p w14:paraId="2B03D82B" w14:textId="77777777" w:rsidR="005A6B47" w:rsidRPr="00DB52F6" w:rsidRDefault="005A6B47" w:rsidP="005A6B47">
          <w:pPr>
            <w:spacing w:line="720" w:lineRule="auto"/>
            <w:rPr>
              <w:sz w:val="32"/>
              <w:szCs w:val="32"/>
            </w:rPr>
          </w:pPr>
          <w:r w:rsidRPr="00DB52F6">
            <w:rPr>
              <w:sz w:val="32"/>
              <w:szCs w:val="32"/>
            </w:rPr>
            <w:t>Assignment Title:</w:t>
          </w:r>
          <w:r>
            <w:rPr>
              <w:sz w:val="32"/>
              <w:szCs w:val="32"/>
            </w:rPr>
            <w:tab/>
          </w:r>
          <w:r w:rsidRPr="00001824">
            <w:rPr>
              <w:sz w:val="32"/>
              <w:szCs w:val="32"/>
            </w:rPr>
            <w:t xml:space="preserve">Assessment 2: Bibliography &amp; </w:t>
          </w:r>
          <w:r>
            <w:rPr>
              <w:sz w:val="32"/>
              <w:szCs w:val="32"/>
            </w:rPr>
            <w:t>R</w:t>
          </w:r>
          <w:r w:rsidRPr="00001824">
            <w:rPr>
              <w:sz w:val="32"/>
              <w:szCs w:val="32"/>
            </w:rPr>
            <w:t>eport</w:t>
          </w:r>
        </w:p>
        <w:p w14:paraId="4D88C1E3" w14:textId="77777777" w:rsidR="005A6B47" w:rsidRDefault="005A6B47" w:rsidP="005A6B47"/>
        <w:p w14:paraId="1282FA42" w14:textId="77777777" w:rsidR="005A6B47" w:rsidRDefault="005A6B47" w:rsidP="005A6B47">
          <w:pPr>
            <w:spacing w:line="480" w:lineRule="auto"/>
            <w:rPr>
              <w:rFonts w:eastAsiaTheme="majorEastAsia" w:cstheme="majorBidi"/>
              <w:color w:val="000000" w:themeColor="text1"/>
              <w:sz w:val="26"/>
              <w:szCs w:val="32"/>
            </w:rPr>
          </w:pPr>
          <w:r>
            <w:br w:type="page"/>
          </w:r>
        </w:p>
      </w:sdtContent>
    </w:sdt>
    <w:p w14:paraId="45C772D1" w14:textId="77777777" w:rsidR="005A6B47" w:rsidRPr="00B80ECF" w:rsidRDefault="005A6B47" w:rsidP="005A6B47">
      <w:pPr>
        <w:pStyle w:val="Title"/>
        <w:rPr>
          <w:sz w:val="32"/>
          <w:szCs w:val="32"/>
        </w:rPr>
      </w:pPr>
      <w:r w:rsidRPr="00B80ECF">
        <w:rPr>
          <w:sz w:val="32"/>
          <w:szCs w:val="32"/>
        </w:rPr>
        <w:lastRenderedPageBreak/>
        <w:t>ASSIGNMENT 2</w:t>
      </w:r>
    </w:p>
    <w:p w14:paraId="0F8CA8A6" w14:textId="77777777" w:rsidR="005A6B47" w:rsidRPr="00B80ECF" w:rsidRDefault="005A6B47" w:rsidP="005A6B47">
      <w:pPr>
        <w:pStyle w:val="Title"/>
        <w:rPr>
          <w:sz w:val="32"/>
          <w:szCs w:val="32"/>
        </w:rPr>
      </w:pPr>
      <w:r w:rsidRPr="00B80ECF">
        <w:rPr>
          <w:sz w:val="32"/>
          <w:szCs w:val="32"/>
        </w:rPr>
        <w:t>BIBLIOGRAPHY AND REPORT</w:t>
      </w:r>
    </w:p>
    <w:p w14:paraId="222EB149" w14:textId="77777777" w:rsidR="005A6B47" w:rsidRDefault="005A6B47" w:rsidP="005A6B47">
      <w:pPr>
        <w:pStyle w:val="Heading1"/>
      </w:pPr>
      <w:r>
        <w:t xml:space="preserve">PART A: </w:t>
      </w:r>
      <w:r w:rsidRPr="001F1202">
        <w:t>Annotated Bibliography</w:t>
      </w:r>
    </w:p>
    <w:p w14:paraId="74541435" w14:textId="77777777" w:rsidR="005A6B47" w:rsidRDefault="005A6B47" w:rsidP="005A6B47">
      <w:r w:rsidRPr="00F61416">
        <w:t>This section describes four academic sources that discuss psychological theories on adult development and well-being in health and social care. Bowlby's Attachment Theory (Weeks 1–5) and Positive Psychology Theory (Weeks 6–9) have been chosen for this analysis.</w:t>
      </w:r>
    </w:p>
    <w:p w14:paraId="58983B86" w14:textId="77777777" w:rsidR="005A6B47" w:rsidRDefault="005A6B47" w:rsidP="005A6B47">
      <w:pPr>
        <w:pStyle w:val="Heading2"/>
      </w:pPr>
      <w:r w:rsidRPr="001F1202">
        <w:t>BOWLBY’S ATTACHMENT THEORY</w:t>
      </w:r>
    </w:p>
    <w:p w14:paraId="633070B3" w14:textId="77777777" w:rsidR="005A6B47" w:rsidRPr="00923BCE" w:rsidRDefault="005A6B47" w:rsidP="005A6B47">
      <w:pPr>
        <w:pStyle w:val="Heading3"/>
      </w:pPr>
      <w:r>
        <w:t xml:space="preserve">Journal Article: </w:t>
      </w:r>
      <w:r w:rsidRPr="005D0E17">
        <w:t>Wilson-Ali, N., Barratt-Pugh, C.</w:t>
      </w:r>
      <w:r>
        <w:t xml:space="preserve"> and</w:t>
      </w:r>
      <w:r w:rsidRPr="005D0E17">
        <w:t xml:space="preserve"> Knaus, M. (2019)</w:t>
      </w:r>
      <w:r>
        <w:t xml:space="preserve"> ‘</w:t>
      </w:r>
      <w:r w:rsidRPr="005D0E17">
        <w:t>Multiple perspectives on attachment theory: Investigating educators’ knowledge and understanding</w:t>
      </w:r>
      <w:r>
        <w:t>’,</w:t>
      </w:r>
      <w:r w:rsidRPr="005D0E17">
        <w:t xml:space="preserve"> </w:t>
      </w:r>
      <w:r w:rsidRPr="005D0E17">
        <w:rPr>
          <w:i/>
          <w:iCs/>
        </w:rPr>
        <w:t>Australasian Journal of Early Childhood</w:t>
      </w:r>
      <w:r w:rsidRPr="005D0E17">
        <w:t>, 44(3), 215-229.</w:t>
      </w:r>
    </w:p>
    <w:p w14:paraId="546067E1" w14:textId="77777777" w:rsidR="005A6B47" w:rsidRPr="00923BCE" w:rsidRDefault="005A6B47" w:rsidP="005A6B47">
      <w:r w:rsidRPr="00394E54">
        <w:t>Wilson-Ali et al. (2019) examine how teachers understand attachment theory and apply it in the classroom. The study focused on early childhood settings, but it presents important ideas from Bowlby's theory, such as the importance of safe, stable relationships for keeping your emotions in check and staying healthy. It was found that practitioners generally agreed on the importance of attachment, but there was variation in how much they knew about the theory and how confident they were in its use. The piece stresses the importance of consistent relationships, understanding emotions, and caring for people in ways that meet their needs at all stages of life.</w:t>
      </w:r>
    </w:p>
    <w:p w14:paraId="117E0F50" w14:textId="77777777" w:rsidR="005A6B47" w:rsidRDefault="005A6B47" w:rsidP="005A6B47">
      <w:r w:rsidRPr="003220A6">
        <w:t>Despite focusing on the early years, Wilson-Ali et al. (2019) also provided useful information for caring for older adults. The results show that safe relationships are important throughout life, especially when someone is sick, dependent, or moving into home care. Like young children, older people benefit from having routines, caregivers they know, and interactions that are sensitive to their needs. The study also points out a problem that often occurs in care settings.</w:t>
      </w:r>
    </w:p>
    <w:p w14:paraId="2C1E2B1C" w14:textId="77777777" w:rsidR="005A6B47" w:rsidRPr="005D0E17" w:rsidRDefault="005A6B47" w:rsidP="005A6B47">
      <w:pPr>
        <w:pStyle w:val="Heading3"/>
      </w:pPr>
      <w:r>
        <w:lastRenderedPageBreak/>
        <w:t xml:space="preserve">Book Chapter: </w:t>
      </w:r>
      <w:r w:rsidRPr="005D0E17">
        <w:t xml:space="preserve">Blood, I. (2018) ‘Attachment and Older People: Understanding Emotional Needs in Later Life. In: I. Blood, L. Guthrie, </w:t>
      </w:r>
      <w:r w:rsidRPr="005D0E17">
        <w:rPr>
          <w:i/>
          <w:iCs/>
        </w:rPr>
        <w:t>Supporting Older People Using Attachment-Informed and Strengths-Based Approaches</w:t>
      </w:r>
      <w:r w:rsidRPr="005D0E17">
        <w:t>. London: Jessica Kingsley Publishers.</w:t>
      </w:r>
    </w:p>
    <w:p w14:paraId="1C6889BF" w14:textId="77777777" w:rsidR="005A6B47" w:rsidRPr="005D0E17" w:rsidRDefault="005A6B47" w:rsidP="005A6B47">
      <w:r w:rsidRPr="00B52526">
        <w:t>This chapter uses Bowlby's attachment theory to examine aging and discusses how attachment needs remain the same throughout life and often grow stronger as people age. Blood (2018) points out that many older people undergo changes that make their attachment systems work harder, leading them to seek safety, predictability, and emotional connection more. This chapter discusses how consistent caregiving, building trust, and maintaining relationships can support mental health. Blood (2018) also discusses how early attachment habits can come back to haunt people when they are dependent on others, changing how they react to care, seek help, and manage stress.</w:t>
      </w:r>
    </w:p>
    <w:p w14:paraId="71791D2E" w14:textId="77777777" w:rsidR="005A6B47" w:rsidRDefault="005A6B47" w:rsidP="005A6B47">
      <w:r w:rsidRPr="00D40322">
        <w:t>The chapter is very useful for health and social care practitioners because it translates Bowlby's ideas into practical tips for working with older people. Blood (2018) explains that having safe, stable relationships with workers can help people in residential settings feel less anxious, lonely, and behaviourally disturbed. The author also discusses the risks of fragmented care, such as frequent staff changes, which can make a person feel less safe. Even though attachment theory doesn't fully explain how family systems or community caregiving differ across cultures, it does provide a strong relational framework for person-centred care.</w:t>
      </w:r>
    </w:p>
    <w:p w14:paraId="4E6161C6" w14:textId="77777777" w:rsidR="005A6B47" w:rsidRDefault="005A6B47" w:rsidP="005A6B47">
      <w:pPr>
        <w:pStyle w:val="Heading2"/>
      </w:pPr>
      <w:r w:rsidRPr="008B5B72">
        <w:t>POSITIVE PSYCHOLOGY</w:t>
      </w:r>
    </w:p>
    <w:p w14:paraId="08F0D0B6" w14:textId="77777777" w:rsidR="005A6B47" w:rsidRDefault="005A6B47" w:rsidP="005A6B47">
      <w:pPr>
        <w:pStyle w:val="Heading3"/>
      </w:pPr>
      <w:r>
        <w:t xml:space="preserve">Journal Article: </w:t>
      </w:r>
      <w:r w:rsidRPr="00F618FD">
        <w:t>Bar</w:t>
      </w:r>
      <w:r w:rsidRPr="00F618FD">
        <w:rPr>
          <w:rFonts w:ascii="Cambria Math" w:hAnsi="Cambria Math" w:cs="Cambria Math"/>
        </w:rPr>
        <w:t>‑</w:t>
      </w:r>
      <w:r w:rsidRPr="00F618FD">
        <w:t xml:space="preserve">Tur, L. (2021) </w:t>
      </w:r>
      <w:r w:rsidRPr="00F618FD">
        <w:rPr>
          <w:rFonts w:cs="Arial"/>
        </w:rPr>
        <w:t>‘</w:t>
      </w:r>
      <w:r w:rsidRPr="00F618FD">
        <w:t>Fostering Well</w:t>
      </w:r>
      <w:r w:rsidRPr="00F618FD">
        <w:rPr>
          <w:rFonts w:ascii="Cambria Math" w:hAnsi="Cambria Math" w:cs="Cambria Math"/>
        </w:rPr>
        <w:t>‑</w:t>
      </w:r>
      <w:r w:rsidRPr="00F618FD">
        <w:t>Being in the Elderly: Translating Theories on Positive Aging to Practical Approaches</w:t>
      </w:r>
      <w:r w:rsidRPr="00F618FD">
        <w:rPr>
          <w:rFonts w:cs="Arial"/>
        </w:rPr>
        <w:t>’</w:t>
      </w:r>
      <w:r w:rsidRPr="00F618FD">
        <w:t>, Frontiers in Medicine, 8, 517226.</w:t>
      </w:r>
    </w:p>
    <w:p w14:paraId="19837930" w14:textId="77777777" w:rsidR="005A6B47" w:rsidRPr="00923BCE" w:rsidRDefault="005A6B47" w:rsidP="005A6B47">
      <w:r w:rsidRPr="00F618FD">
        <w:t xml:space="preserve">Bar-Tur (2021) examines how ideas from positive psychology and positive ageing can help older people </w:t>
      </w:r>
      <w:r>
        <w:t>live happier, healthier lives</w:t>
      </w:r>
      <w:r w:rsidRPr="00F618FD">
        <w:t xml:space="preserve">. The article says that psychological and social resources, as well as physical health, affect a person's happiness and health in later life. It uses concepts such as resilience, meaning, social connection, and strengths-based functioning to make its case. Bar-Tur discusses interventions that help older people feel more independent, find a sense of purpose, </w:t>
      </w:r>
      <w:r w:rsidRPr="00F618FD">
        <w:lastRenderedPageBreak/>
        <w:t>manage their emotions, and get involved in their communities. These examples show that older people can continue to do well when they are helped in ways that build on their skills and abilities.</w:t>
      </w:r>
    </w:p>
    <w:p w14:paraId="63CCDA36" w14:textId="77777777" w:rsidR="005A6B47" w:rsidRDefault="005A6B47" w:rsidP="005A6B47">
      <w:r>
        <w:t>The information in this article is very useful for people working in health and social care, as it provides clear, evidence-based guidance on applying positive psychology in community and residential settings. Focusing on purpose, engagement, and strengths is similar to the PERMA model and offers useful tips for boosting mood, reducing loneliness, and improving life overall. Bar-Tur's (2021) focus on empowerment challenges views of ageing that frame it as a problem and encourages professionals to create spaces where older people can maintain their independence and sense of purpose. One problem is that some interventions might require staff training or changes to how things are run, but the piece provides a strong theoretical and practical basis for improving well-being in care homes.</w:t>
      </w:r>
    </w:p>
    <w:p w14:paraId="44DC372A" w14:textId="77777777" w:rsidR="005A6B47" w:rsidRPr="00923BCE" w:rsidRDefault="005A6B47" w:rsidP="005A6B47">
      <w:pPr>
        <w:pStyle w:val="Heading3"/>
      </w:pPr>
      <w:r>
        <w:t xml:space="preserve">Book Chapter: </w:t>
      </w:r>
      <w:r w:rsidRPr="00652326">
        <w:t>Carr, A. (20</w:t>
      </w:r>
      <w:r>
        <w:t>22</w:t>
      </w:r>
      <w:r w:rsidRPr="00652326">
        <w:t xml:space="preserve">) ‘Positive psychology and ageing’, </w:t>
      </w:r>
      <w:r>
        <w:t>I</w:t>
      </w:r>
      <w:r w:rsidRPr="00652326">
        <w:t>n</w:t>
      </w:r>
      <w:r>
        <w:t>:</w:t>
      </w:r>
      <w:r w:rsidRPr="00652326">
        <w:t xml:space="preserve"> A. Carr (ed.) </w:t>
      </w:r>
      <w:r w:rsidRPr="00652326">
        <w:rPr>
          <w:i/>
          <w:iCs/>
        </w:rPr>
        <w:t>Positive Psychology: The Science of Happiness and Human Strengths</w:t>
      </w:r>
      <w:r w:rsidRPr="00652326">
        <w:t xml:space="preserve">. 3rd </w:t>
      </w:r>
      <w:proofErr w:type="spellStart"/>
      <w:r w:rsidRPr="00652326">
        <w:t>edn</w:t>
      </w:r>
      <w:proofErr w:type="spellEnd"/>
      <w:r w:rsidRPr="00652326">
        <w:t>. London: Routledge, pp. 301–320.</w:t>
      </w:r>
    </w:p>
    <w:p w14:paraId="4F3D0F2A" w14:textId="77777777" w:rsidR="005A6B47" w:rsidRPr="00923BCE" w:rsidRDefault="005A6B47" w:rsidP="005A6B47">
      <w:r w:rsidRPr="00A711AA">
        <w:t>In this chapter, Carr (2022) applies positive psychology ideas to groups of older people. The author discusses how the PERMA model, which stands for Positive Emotion, Engagement, Relationships, Meaning, and Accomplishment, can help older people be happier and healthier. The chapter provides evidence that even in residential care settings, older people benefit from strengths-based methods, social connections, and opportunities to make a real difference.</w:t>
      </w:r>
    </w:p>
    <w:p w14:paraId="747B8DFB" w14:textId="77777777" w:rsidR="005A6B47" w:rsidRDefault="005A6B47" w:rsidP="005A6B47">
      <w:r w:rsidRPr="0096763D">
        <w:t>This chapter provides evidence-based information that can be directly applied in health and social care. It stresses that older people can do well if they are given opportunities to use their strengths, maintain relationships, and do things that have meaning. Carr (2022) also discusses how staff feel, noting that a culture that focuses on strengths can transform the care setting. One problem is that PERMA takes time to set up and needs staff training, but the health benefits for residents could be huge.</w:t>
      </w:r>
    </w:p>
    <w:p w14:paraId="4302BA37" w14:textId="77777777" w:rsidR="005A6B47" w:rsidRDefault="005A6B47" w:rsidP="005A6B47">
      <w:pPr>
        <w:pStyle w:val="Heading1"/>
      </w:pPr>
      <w:r>
        <w:lastRenderedPageBreak/>
        <w:t>PART B: Report</w:t>
      </w:r>
    </w:p>
    <w:p w14:paraId="5AAE9656" w14:textId="77777777" w:rsidR="005A6B47" w:rsidRDefault="005A6B47" w:rsidP="005A6B47">
      <w:pPr>
        <w:pStyle w:val="Heading2"/>
      </w:pPr>
      <w:r w:rsidRPr="00FC2DD2">
        <w:t xml:space="preserve">Applying Bowlby’s Attachment Theory to Support Psychological </w:t>
      </w:r>
      <w:r>
        <w:t>Well-being</w:t>
      </w:r>
      <w:r w:rsidRPr="00FC2DD2">
        <w:t xml:space="preserve"> in Older Adults Living in Residential Care</w:t>
      </w:r>
    </w:p>
    <w:p w14:paraId="76CA5095" w14:textId="77777777" w:rsidR="005A6B47" w:rsidRPr="00E82C35" w:rsidRDefault="005A6B47" w:rsidP="005A6B47">
      <w:pPr>
        <w:pStyle w:val="Heading3"/>
      </w:pPr>
      <w:r>
        <w:t>Introduction</w:t>
      </w:r>
    </w:p>
    <w:p w14:paraId="4A82612F" w14:textId="77777777" w:rsidR="005A6B47" w:rsidRDefault="005A6B47" w:rsidP="005A6B47">
      <w:r>
        <w:t xml:space="preserve">Bowlby's attachment theory is a useful framework for understanding the mental needs of older people living in residential care facilities (Cassidy </w:t>
      </w:r>
      <w:r w:rsidRPr="00FC2DD2">
        <w:rPr>
          <w:i/>
          <w:iCs/>
        </w:rPr>
        <w:t>et al.,</w:t>
      </w:r>
      <w:r>
        <w:t xml:space="preserve"> 2013). Attachment theory was first used to explain the connection between an infant and a caregiver. However, new research shows that attachment processes continue throughout life and are still very important in later years (White </w:t>
      </w:r>
      <w:r w:rsidRPr="003C0987">
        <w:rPr>
          <w:i/>
          <w:iCs/>
        </w:rPr>
        <w:t>et al.,</w:t>
      </w:r>
      <w:r>
        <w:t xml:space="preserve"> 2025). Loss of a loved one, getting sicker, or moving into care are all big changes that can affect older people's attachment systems and make them need safety, stability, and emotional connection even more. Therefore, using attachment-informed methods in residential care can be very important for improving mental health, reducing stress, and helping residents adjust to their new surroundings.</w:t>
      </w:r>
    </w:p>
    <w:p w14:paraId="06D72810" w14:textId="77777777" w:rsidR="005A6B47" w:rsidRDefault="005A6B47" w:rsidP="005A6B47">
      <w:r>
        <w:t>Blood (2018) argued that older people often re-experience attachment needs when they are dependent on others, especially when they must rely on strangers for personal and social support. When someone is in residential care, losing habits, relationships, and places they are used to can make them feel unsafe. Residents may show this by pulling away, becoming anxious, or refusing help. Wilson-Ali et al. (2019) further explained that even if practitioners value relationships, they might not feel comfortable using attachment theory.</w:t>
      </w:r>
    </w:p>
    <w:p w14:paraId="07289514" w14:textId="77777777" w:rsidR="005A6B47" w:rsidRDefault="005A6B47" w:rsidP="005A6B47">
      <w:r>
        <w:t>Bowlby's theory is based on the idea of the secure base, a connection that provides safety, consistency, and emotional closeness (Blood, 2018). The people who work in home care can be safe anchors by providing routines, friendly interactions, and dependable support. According to research, older people feel less anxious and more trusting when they have regular caregiving relationships (Aman et al., 2020). Staff continuity is very important because residents can feel less stable when staff turnover is frequent.  Hou et al. (2022) argued that attachment-based care improves mental health and lowers behavioural distress in older adults.</w:t>
      </w:r>
    </w:p>
    <w:p w14:paraId="3AEBDAA3" w14:textId="77777777" w:rsidR="005A6B47" w:rsidRDefault="005A6B47" w:rsidP="005A6B47">
      <w:pPr>
        <w:pStyle w:val="Heading3"/>
      </w:pPr>
      <w:r>
        <w:lastRenderedPageBreak/>
        <w:t>Case Example:</w:t>
      </w:r>
    </w:p>
    <w:p w14:paraId="052F65CD" w14:textId="77777777" w:rsidR="005A6B47" w:rsidRDefault="005A6B47" w:rsidP="005A6B47">
      <w:r>
        <w:t>In this case, Mr B (pseudonym), who is 84 years old, has just entered a care home. He has been showing signs of grief since he was admitted, such as refusing personal care, saying he is afraid of being left alone, and asking repeatedly for his late wife. At first, the staff thought that his behaviour was caused by his stroke-related uncertainty. However, an attachment-based assessment showed that Mr B was feeling very unsafe because he had lost known attachment figures and had to rely on new caregivers right away. As a result, the care team set up a relational care plan by assigning a small, consistent group of staff to help him, placing familiar items from his home in his room, and spending time getting to know him through conversation and reassurance. Over the course of a few weeks, Mr B's anxiety went down, he cooperated better with care, and he started taking part in group activities. This case shows how attachment-informed practice can change a resident's experience by addressing their deepest emotional needs.</w:t>
      </w:r>
    </w:p>
    <w:p w14:paraId="06612100" w14:textId="77777777" w:rsidR="005A6B47" w:rsidRDefault="005A6B47" w:rsidP="005A6B47">
      <w:r>
        <w:t>Even though attachment theory is useful, it can be hard to use in home care. Staff turnover is a major problem because it disrupts continuity and makes it hard to build safe, trusted relationships. There is significant staff turnover in social care due to heavy workloads, low pay, and high emotional expectations (Hussein, 2018). When residents lose known caregivers repeatedly, they may feel less safe, become more upset, and be less interested in their care. Another problem is that people working in busy care settings have little time for social work, leading staff to prioritise task-based care over emotional support.</w:t>
      </w:r>
    </w:p>
    <w:p w14:paraId="573BA0F7" w14:textId="77777777" w:rsidR="005A6B47" w:rsidRDefault="005A6B47" w:rsidP="005A6B47">
      <w:r>
        <w:t>Care organisations can address these problems by implementing strategies that make attachment-based practice a normal part of their daily work. One good way is to set up key-worker systems, in which each resident is assigned a small group of consistent staff members who are responsible for providing mental and social support (Hou et al., 2022). This helps keep things the same and gives staff a chance to learn more about residents' pasts, tastes, and attachment needs.</w:t>
      </w:r>
    </w:p>
    <w:p w14:paraId="259B04C4" w14:textId="77777777" w:rsidR="005A6B47" w:rsidRDefault="005A6B47" w:rsidP="005A6B47">
      <w:pPr>
        <w:pStyle w:val="Heading3"/>
      </w:pPr>
      <w:r>
        <w:t>Conclusion</w:t>
      </w:r>
    </w:p>
    <w:p w14:paraId="47128F4C" w14:textId="77777777" w:rsidR="005A6B47" w:rsidRDefault="005A6B47" w:rsidP="005A6B47">
      <w:r>
        <w:t xml:space="preserve">In conclusion, Bowlby's attachment theory is a powerful framework for understanding and meeting the emotional needs of older people living in residential care. Health and social care workers can use relational methods to promote safety, trust, and well-being by recognising that attachment needs last a lifetime and often grow stronger when people are vulnerable. There are problems </w:t>
      </w:r>
      <w:r>
        <w:lastRenderedPageBreak/>
        <w:t>such as staff turnover and tight deadlines, but key worker tools, staff training, and organisational support can help overcome these issues. In the end, attachment-informed practice improves the standard of care and helps create an environment that is more caring and person-centred for older people.</w:t>
      </w:r>
    </w:p>
    <w:p w14:paraId="2E102403" w14:textId="77777777" w:rsidR="005A6B47" w:rsidRDefault="005A6B47" w:rsidP="005A6B47">
      <w:r>
        <w:t>Word count: 1,512</w:t>
      </w:r>
    </w:p>
    <w:p w14:paraId="3C4252EB" w14:textId="77777777" w:rsidR="005A6B47" w:rsidRDefault="005A6B47" w:rsidP="005A6B47">
      <w:pPr>
        <w:spacing w:line="480" w:lineRule="auto"/>
      </w:pPr>
      <w:r>
        <w:br w:type="page"/>
      </w:r>
    </w:p>
    <w:p w14:paraId="5773D451" w14:textId="77777777" w:rsidR="005A6B47" w:rsidRDefault="005A6B47" w:rsidP="005A6B47">
      <w:pPr>
        <w:pStyle w:val="Heading1"/>
      </w:pPr>
      <w:r>
        <w:lastRenderedPageBreak/>
        <w:t>REFERENCES</w:t>
      </w:r>
    </w:p>
    <w:p w14:paraId="11A50431" w14:textId="77777777" w:rsidR="005A6B47" w:rsidRPr="00A229A5" w:rsidRDefault="005A6B47" w:rsidP="005A6B47">
      <w:pPr>
        <w:jc w:val="left"/>
        <w:rPr>
          <w:lang w:val="en-US"/>
        </w:rPr>
      </w:pPr>
      <w:r w:rsidRPr="00A229A5">
        <w:rPr>
          <w:lang w:val="en-US"/>
        </w:rPr>
        <w:t xml:space="preserve">Aman, Z., Liew, S. M., </w:t>
      </w:r>
      <w:proofErr w:type="spellStart"/>
      <w:r w:rsidRPr="00A229A5">
        <w:rPr>
          <w:lang w:val="en-US"/>
        </w:rPr>
        <w:t>Ramdzan</w:t>
      </w:r>
      <w:proofErr w:type="spellEnd"/>
      <w:r w:rsidRPr="00A229A5">
        <w:rPr>
          <w:lang w:val="en-US"/>
        </w:rPr>
        <w:t xml:space="preserve">, S. N., Philp, I. and Khoo, E. M. (2020) ‘The impact of caregiving on caregivers of older persons and its associated factors: A cross-sectional study’, </w:t>
      </w:r>
      <w:r w:rsidRPr="00A229A5">
        <w:rPr>
          <w:i/>
          <w:iCs/>
          <w:lang w:val="en-US"/>
        </w:rPr>
        <w:t>Singapore Medical Journal</w:t>
      </w:r>
      <w:r w:rsidRPr="00A229A5">
        <w:rPr>
          <w:lang w:val="en-US"/>
        </w:rPr>
        <w:t xml:space="preserve">, </w:t>
      </w:r>
      <w:r w:rsidRPr="00A229A5">
        <w:rPr>
          <w:i/>
          <w:iCs/>
          <w:lang w:val="en-US"/>
        </w:rPr>
        <w:t>61</w:t>
      </w:r>
      <w:r w:rsidRPr="00A229A5">
        <w:rPr>
          <w:lang w:val="en-US"/>
        </w:rPr>
        <w:t xml:space="preserve">(5), 238. </w:t>
      </w:r>
      <w:hyperlink r:id="rId4" w:history="1">
        <w:r w:rsidRPr="00A229A5">
          <w:rPr>
            <w:rStyle w:val="Hyperlink"/>
            <w:lang w:val="en-US"/>
          </w:rPr>
          <w:t>https://doi.org/10.11622/smedj.2019100</w:t>
        </w:r>
      </w:hyperlink>
      <w:r w:rsidRPr="00A229A5">
        <w:rPr>
          <w:lang w:val="en-US"/>
        </w:rPr>
        <w:t xml:space="preserve"> </w:t>
      </w:r>
    </w:p>
    <w:p w14:paraId="029E7A56" w14:textId="77777777" w:rsidR="005A6B47" w:rsidRPr="00A229A5" w:rsidRDefault="005A6B47" w:rsidP="005A6B47">
      <w:pPr>
        <w:jc w:val="left"/>
        <w:rPr>
          <w:lang w:val="en-US"/>
        </w:rPr>
      </w:pPr>
      <w:r w:rsidRPr="00A229A5">
        <w:rPr>
          <w:lang w:val="en-US"/>
        </w:rPr>
        <w:t xml:space="preserve">Bar-Tur, L. (2021) ‘Fostering Well-Being in the Elderly: Translating Theories on Positive Aging to Practical Approaches’, </w:t>
      </w:r>
      <w:r w:rsidRPr="00A229A5">
        <w:rPr>
          <w:i/>
          <w:iCs/>
          <w:lang w:val="en-US"/>
        </w:rPr>
        <w:t>Frontiers in Medicine</w:t>
      </w:r>
      <w:r w:rsidRPr="00A229A5">
        <w:rPr>
          <w:lang w:val="en-US"/>
        </w:rPr>
        <w:t xml:space="preserve">, </w:t>
      </w:r>
      <w:r w:rsidRPr="00A229A5">
        <w:rPr>
          <w:i/>
          <w:iCs/>
          <w:lang w:val="en-US"/>
        </w:rPr>
        <w:t>8</w:t>
      </w:r>
      <w:r w:rsidRPr="00A229A5">
        <w:rPr>
          <w:lang w:val="en-US"/>
        </w:rPr>
        <w:t xml:space="preserve">, 517226. </w:t>
      </w:r>
      <w:hyperlink r:id="rId5" w:history="1">
        <w:r w:rsidRPr="00A229A5">
          <w:rPr>
            <w:rStyle w:val="Hyperlink"/>
            <w:lang w:val="en-US"/>
          </w:rPr>
          <w:t>https://doi.org/10.3389/fmed.2021.517226</w:t>
        </w:r>
      </w:hyperlink>
    </w:p>
    <w:p w14:paraId="14C7E101" w14:textId="77777777" w:rsidR="005A6B47" w:rsidRPr="00A229A5" w:rsidRDefault="005A6B47" w:rsidP="005A6B47">
      <w:pPr>
        <w:jc w:val="left"/>
      </w:pPr>
      <w:r w:rsidRPr="00A229A5">
        <w:t>Blood, I. (2018) ‘Attachment and Older People: Understanding Emotional Needs in Later Life. In: I. Blood, L. Guthrie, </w:t>
      </w:r>
      <w:r w:rsidRPr="00A229A5">
        <w:rPr>
          <w:i/>
          <w:iCs/>
        </w:rPr>
        <w:t>Supporting Older People Using Attachment-Informed and Strengths-Based Approaches</w:t>
      </w:r>
      <w:r w:rsidRPr="00A229A5">
        <w:t>. London: Jessica Kingsley Publishers.</w:t>
      </w:r>
    </w:p>
    <w:p w14:paraId="530F99D6" w14:textId="77777777" w:rsidR="005A6B47" w:rsidRPr="00A229A5" w:rsidRDefault="005A6B47" w:rsidP="005A6B47">
      <w:pPr>
        <w:jc w:val="left"/>
        <w:rPr>
          <w:lang w:val="en-US"/>
        </w:rPr>
      </w:pPr>
      <w:r w:rsidRPr="00A229A5">
        <w:rPr>
          <w:lang w:val="en-US"/>
        </w:rPr>
        <w:t xml:space="preserve">Cassidy, J., Jones, J. D. and Shaver, P. R. (2013) ‘Contributions of Attachment Theory and Research: A Framework for Future Research, Translation, and Policy’, </w:t>
      </w:r>
      <w:r w:rsidRPr="00A229A5">
        <w:rPr>
          <w:i/>
          <w:iCs/>
          <w:lang w:val="en-US"/>
        </w:rPr>
        <w:t>Development and Psychopathology</w:t>
      </w:r>
      <w:r w:rsidRPr="00A229A5">
        <w:rPr>
          <w:lang w:val="en-US"/>
        </w:rPr>
        <w:t xml:space="preserve">, </w:t>
      </w:r>
      <w:r w:rsidRPr="00A229A5">
        <w:rPr>
          <w:i/>
          <w:iCs/>
          <w:lang w:val="en-US"/>
        </w:rPr>
        <w:t>25</w:t>
      </w:r>
      <w:r w:rsidRPr="00A229A5">
        <w:rPr>
          <w:lang w:val="en-US"/>
        </w:rPr>
        <w:t xml:space="preserve">(4 0 2), 1415. </w:t>
      </w:r>
      <w:hyperlink r:id="rId6" w:history="1">
        <w:r w:rsidRPr="00A229A5">
          <w:rPr>
            <w:rStyle w:val="Hyperlink"/>
            <w:lang w:val="en-US"/>
          </w:rPr>
          <w:t>https://doi.org/10.1017/S0954579413000692</w:t>
        </w:r>
      </w:hyperlink>
    </w:p>
    <w:p w14:paraId="188D999C" w14:textId="77777777" w:rsidR="005A6B47" w:rsidRPr="00A229A5" w:rsidRDefault="005A6B47" w:rsidP="005A6B47">
      <w:pPr>
        <w:jc w:val="left"/>
        <w:rPr>
          <w:lang w:val="en-US"/>
        </w:rPr>
      </w:pPr>
      <w:r w:rsidRPr="00A229A5">
        <w:rPr>
          <w:lang w:val="en-US"/>
        </w:rPr>
        <w:t xml:space="preserve">Hou, Y., Suitor, J. J. and Gilligan, M. (2022) ‘Intergenerational Transmission of Relationship Quality in Later-Life Families’, </w:t>
      </w:r>
      <w:r w:rsidRPr="00A229A5">
        <w:rPr>
          <w:i/>
          <w:iCs/>
          <w:lang w:val="en-US"/>
        </w:rPr>
        <w:t>Journal of Marriage and the Family</w:t>
      </w:r>
      <w:r w:rsidRPr="00A229A5">
        <w:rPr>
          <w:lang w:val="en-US"/>
        </w:rPr>
        <w:t xml:space="preserve">, </w:t>
      </w:r>
      <w:r w:rsidRPr="00A229A5">
        <w:rPr>
          <w:i/>
          <w:iCs/>
          <w:lang w:val="en-US"/>
        </w:rPr>
        <w:t>85</w:t>
      </w:r>
      <w:r w:rsidRPr="00A229A5">
        <w:rPr>
          <w:lang w:val="en-US"/>
        </w:rPr>
        <w:t xml:space="preserve">(2), 539. </w:t>
      </w:r>
      <w:hyperlink r:id="rId7" w:history="1">
        <w:r w:rsidRPr="00A229A5">
          <w:rPr>
            <w:rStyle w:val="Hyperlink"/>
            <w:lang w:val="en-US"/>
          </w:rPr>
          <w:t>https://doi.org/10.1111/jomf.12884</w:t>
        </w:r>
      </w:hyperlink>
      <w:r w:rsidRPr="00A229A5">
        <w:rPr>
          <w:lang w:val="en-US"/>
        </w:rPr>
        <w:t xml:space="preserve"> </w:t>
      </w:r>
    </w:p>
    <w:p w14:paraId="0B4ABA9C" w14:textId="77777777" w:rsidR="005A6B47" w:rsidRPr="00A229A5" w:rsidRDefault="005A6B47" w:rsidP="005A6B47">
      <w:pPr>
        <w:jc w:val="left"/>
        <w:rPr>
          <w:lang w:val="en-US"/>
        </w:rPr>
      </w:pPr>
      <w:r w:rsidRPr="00A229A5">
        <w:rPr>
          <w:lang w:val="en-US"/>
        </w:rPr>
        <w:t xml:space="preserve">Hussein, S. (2018) ‘Job Demand, Control and Unresolved Stress within the Emotional Work of Long Term Care in England’, </w:t>
      </w:r>
      <w:r w:rsidRPr="00A229A5">
        <w:rPr>
          <w:i/>
          <w:iCs/>
          <w:lang w:val="en-US"/>
        </w:rPr>
        <w:t>International Journal of Care and Caring</w:t>
      </w:r>
      <w:r w:rsidRPr="00A229A5">
        <w:rPr>
          <w:lang w:val="en-US"/>
        </w:rPr>
        <w:t xml:space="preserve">, 2 (1). pp. 89-107. </w:t>
      </w:r>
      <w:proofErr w:type="spellStart"/>
      <w:r w:rsidRPr="00A229A5">
        <w:rPr>
          <w:lang w:val="en-US"/>
        </w:rPr>
        <w:t>doi</w:t>
      </w:r>
      <w:proofErr w:type="spellEnd"/>
      <w:r w:rsidRPr="00A229A5">
        <w:rPr>
          <w:lang w:val="en-US"/>
        </w:rPr>
        <w:t>: 10.1332/239788218X15187915863909</w:t>
      </w:r>
    </w:p>
    <w:p w14:paraId="4CE5AA58" w14:textId="77777777" w:rsidR="005A6B47" w:rsidRPr="00A229A5" w:rsidRDefault="005A6B47" w:rsidP="005A6B47">
      <w:pPr>
        <w:jc w:val="left"/>
        <w:rPr>
          <w:lang w:val="en-US"/>
        </w:rPr>
      </w:pPr>
      <w:r w:rsidRPr="00A229A5">
        <w:rPr>
          <w:lang w:val="en-US"/>
        </w:rPr>
        <w:t xml:space="preserve">White, S., Walsh, S., Shuttleworth, S. and Dagnall, N. (2025) ‘How identification with and attachment to place affects preference to move in later life: Smallest space analysis’, </w:t>
      </w:r>
      <w:r w:rsidRPr="00A229A5">
        <w:rPr>
          <w:i/>
          <w:iCs/>
          <w:lang w:val="en-US"/>
        </w:rPr>
        <w:t>Frontiers in Psychology</w:t>
      </w:r>
      <w:r w:rsidRPr="00A229A5">
        <w:rPr>
          <w:lang w:val="en-US"/>
        </w:rPr>
        <w:t xml:space="preserve">, </w:t>
      </w:r>
      <w:r w:rsidRPr="00A229A5">
        <w:rPr>
          <w:i/>
          <w:iCs/>
          <w:lang w:val="en-US"/>
        </w:rPr>
        <w:t>16</w:t>
      </w:r>
      <w:r w:rsidRPr="00A229A5">
        <w:rPr>
          <w:lang w:val="en-US"/>
        </w:rPr>
        <w:t xml:space="preserve">, 1704089. </w:t>
      </w:r>
      <w:hyperlink r:id="rId8" w:history="1">
        <w:r w:rsidRPr="00A229A5">
          <w:rPr>
            <w:rStyle w:val="Hyperlink"/>
            <w:lang w:val="en-US"/>
          </w:rPr>
          <w:t>https://doi.org/10.3389/fpsyg.2025.1704089</w:t>
        </w:r>
      </w:hyperlink>
      <w:r w:rsidRPr="00A229A5">
        <w:rPr>
          <w:lang w:val="en-US"/>
        </w:rPr>
        <w:t xml:space="preserve"> </w:t>
      </w:r>
    </w:p>
    <w:p w14:paraId="21C4CA3D" w14:textId="77777777" w:rsidR="005A6B47" w:rsidRPr="00A229A5" w:rsidRDefault="005A6B47" w:rsidP="005A6B47">
      <w:pPr>
        <w:jc w:val="left"/>
        <w:rPr>
          <w:lang w:val="en-US"/>
        </w:rPr>
      </w:pPr>
      <w:r w:rsidRPr="00A229A5">
        <w:rPr>
          <w:lang w:val="en-US"/>
        </w:rPr>
        <w:t>Wilson</w:t>
      </w:r>
      <w:r w:rsidRPr="00A229A5">
        <w:rPr>
          <w:lang w:val="en-US"/>
        </w:rPr>
        <w:noBreakHyphen/>
        <w:t>Ali, N., Barratt</w:t>
      </w:r>
      <w:r w:rsidRPr="00A229A5">
        <w:rPr>
          <w:lang w:val="en-US"/>
        </w:rPr>
        <w:noBreakHyphen/>
        <w:t xml:space="preserve">Pugh, C. and Knaus, M. (2019) ‘Multiple perspectives on attachment theory: Investigating educators’ knowledge and understanding’, </w:t>
      </w:r>
      <w:r w:rsidRPr="00A229A5">
        <w:rPr>
          <w:i/>
          <w:iCs/>
          <w:lang w:val="en-US"/>
        </w:rPr>
        <w:t>Australasian Journal of Early Childhood</w:t>
      </w:r>
      <w:r w:rsidRPr="00A229A5">
        <w:rPr>
          <w:lang w:val="en-US"/>
        </w:rPr>
        <w:t>, 44(3), pp. 215–229.</w:t>
      </w:r>
    </w:p>
    <w:p w14:paraId="158F3897" w14:textId="77777777" w:rsidR="005A6B47" w:rsidRPr="00BA111F" w:rsidRDefault="005A6B47" w:rsidP="005A6B47">
      <w:pPr>
        <w:jc w:val="left"/>
      </w:pPr>
    </w:p>
    <w:p w14:paraId="61330337" w14:textId="77777777" w:rsidR="005A6B47" w:rsidRDefault="005A6B47" w:rsidP="005A6B47">
      <w:pPr>
        <w:pStyle w:val="NoSpacing"/>
      </w:pPr>
    </w:p>
    <w:sectPr w:rsidR="005A6B47" w:rsidSect="005A6B47">
      <w:footerReference w:type="default" r:id="rId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3413562"/>
      <w:docPartObj>
        <w:docPartGallery w:val="Page Numbers (Bottom of Page)"/>
        <w:docPartUnique/>
      </w:docPartObj>
    </w:sdtPr>
    <w:sdtEndPr>
      <w:rPr>
        <w:noProof/>
      </w:rPr>
    </w:sdtEndPr>
    <w:sdtContent>
      <w:p w14:paraId="327AB5B3" w14:textId="77777777" w:rsidR="005A6B47" w:rsidRDefault="005A6B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995A63" w14:textId="77777777" w:rsidR="005A6B47" w:rsidRDefault="005A6B47">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B47"/>
    <w:rsid w:val="003F79CF"/>
    <w:rsid w:val="005A6B47"/>
    <w:rsid w:val="006C43B1"/>
    <w:rsid w:val="00B80ECF"/>
    <w:rsid w:val="00C06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566EB"/>
  <w15:chartTrackingRefBased/>
  <w15:docId w15:val="{4F2CBC78-5BD1-4B50-9676-B54885E22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B47"/>
    <w:pPr>
      <w:spacing w:before="100" w:beforeAutospacing="1" w:after="100" w:afterAutospacing="1" w:line="360" w:lineRule="auto"/>
      <w:jc w:val="both"/>
    </w:pPr>
    <w:rPr>
      <w:rFonts w:ascii="Arial" w:hAnsi="Arial"/>
      <w:sz w:val="22"/>
      <w:szCs w:val="22"/>
    </w:rPr>
  </w:style>
  <w:style w:type="paragraph" w:styleId="Heading1">
    <w:name w:val="heading 1"/>
    <w:basedOn w:val="Normal"/>
    <w:next w:val="Normal"/>
    <w:link w:val="Heading1Char"/>
    <w:uiPriority w:val="9"/>
    <w:qFormat/>
    <w:rsid w:val="005A6B47"/>
    <w:pPr>
      <w:keepNext/>
      <w:keepLines/>
      <w:spacing w:before="360" w:beforeAutospacing="0" w:after="80" w:afterAutospacing="0" w:line="278"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6B47"/>
    <w:pPr>
      <w:keepNext/>
      <w:keepLines/>
      <w:spacing w:before="160" w:beforeAutospacing="0" w:after="80" w:afterAutospacing="0" w:line="278"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6B47"/>
    <w:pPr>
      <w:keepNext/>
      <w:keepLines/>
      <w:spacing w:before="160" w:beforeAutospacing="0" w:after="80" w:afterAutospacing="0" w:line="278"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B47"/>
    <w:pPr>
      <w:keepNext/>
      <w:keepLines/>
      <w:spacing w:before="80" w:beforeAutospacing="0" w:after="40" w:afterAutospacing="0" w:line="278" w:lineRule="auto"/>
      <w:jc w:val="left"/>
      <w:outlineLvl w:val="3"/>
    </w:pPr>
    <w:rPr>
      <w:rFonts w:asciiTheme="minorHAnsi" w:eastAsiaTheme="majorEastAsia" w:hAnsiTheme="minorHAnsi"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5A6B47"/>
    <w:pPr>
      <w:keepNext/>
      <w:keepLines/>
      <w:spacing w:before="80" w:beforeAutospacing="0" w:after="40" w:afterAutospacing="0" w:line="278" w:lineRule="auto"/>
      <w:jc w:val="left"/>
      <w:outlineLvl w:val="4"/>
    </w:pPr>
    <w:rPr>
      <w:rFonts w:asciiTheme="minorHAnsi" w:eastAsiaTheme="majorEastAsia" w:hAnsiTheme="minorHAnsi"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5A6B47"/>
    <w:pPr>
      <w:keepNext/>
      <w:keepLines/>
      <w:spacing w:before="40" w:beforeAutospacing="0" w:after="0" w:afterAutospacing="0" w:line="278" w:lineRule="auto"/>
      <w:jc w:val="left"/>
      <w:outlineLvl w:val="5"/>
    </w:pPr>
    <w:rPr>
      <w:rFonts w:asciiTheme="minorHAnsi" w:eastAsiaTheme="majorEastAsia" w:hAnsiTheme="minorHAnsi"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5A6B47"/>
    <w:pPr>
      <w:keepNext/>
      <w:keepLines/>
      <w:spacing w:before="40" w:beforeAutospacing="0" w:after="0" w:afterAutospacing="0" w:line="278" w:lineRule="auto"/>
      <w:jc w:val="left"/>
      <w:outlineLvl w:val="6"/>
    </w:pPr>
    <w:rPr>
      <w:rFonts w:asciiTheme="minorHAnsi" w:eastAsiaTheme="majorEastAsia" w:hAnsiTheme="min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5A6B47"/>
    <w:pPr>
      <w:keepNext/>
      <w:keepLines/>
      <w:spacing w:before="0" w:beforeAutospacing="0" w:after="0" w:afterAutospacing="0" w:line="278" w:lineRule="auto"/>
      <w:jc w:val="left"/>
      <w:outlineLvl w:val="7"/>
    </w:pPr>
    <w:rPr>
      <w:rFonts w:asciiTheme="minorHAnsi" w:eastAsiaTheme="majorEastAsia" w:hAnsiTheme="minorHAnsi"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5A6B47"/>
    <w:pPr>
      <w:keepNext/>
      <w:keepLines/>
      <w:spacing w:before="0" w:beforeAutospacing="0" w:after="0" w:afterAutospacing="0" w:line="278" w:lineRule="auto"/>
      <w:jc w:val="left"/>
      <w:outlineLvl w:val="8"/>
    </w:pPr>
    <w:rPr>
      <w:rFonts w:asciiTheme="minorHAnsi" w:eastAsiaTheme="majorEastAsia" w:hAnsiTheme="minorHAnsi"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B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6B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6B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B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B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B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B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B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B47"/>
    <w:rPr>
      <w:rFonts w:eastAsiaTheme="majorEastAsia" w:cstheme="majorBidi"/>
      <w:color w:val="272727" w:themeColor="text1" w:themeTint="D8"/>
    </w:rPr>
  </w:style>
  <w:style w:type="paragraph" w:styleId="Title">
    <w:name w:val="Title"/>
    <w:basedOn w:val="Normal"/>
    <w:next w:val="Normal"/>
    <w:link w:val="TitleChar"/>
    <w:uiPriority w:val="10"/>
    <w:qFormat/>
    <w:rsid w:val="005A6B47"/>
    <w:pPr>
      <w:spacing w:before="0" w:beforeAutospacing="0" w:after="80" w:afterAutospacing="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B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B47"/>
    <w:pPr>
      <w:numPr>
        <w:ilvl w:val="1"/>
      </w:numPr>
      <w:spacing w:before="0" w:beforeAutospacing="0" w:after="160" w:afterAutospacing="0" w:line="278"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B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B47"/>
    <w:pPr>
      <w:spacing w:before="160" w:beforeAutospacing="0" w:after="160" w:afterAutospacing="0" w:line="278" w:lineRule="auto"/>
      <w:jc w:val="center"/>
    </w:pPr>
    <w:rPr>
      <w:rFonts w:asciiTheme="minorHAnsi" w:hAnsiTheme="minorHAnsi"/>
      <w:i/>
      <w:iCs/>
      <w:color w:val="404040" w:themeColor="text1" w:themeTint="BF"/>
      <w:sz w:val="24"/>
      <w:szCs w:val="24"/>
    </w:rPr>
  </w:style>
  <w:style w:type="character" w:customStyle="1" w:styleId="QuoteChar">
    <w:name w:val="Quote Char"/>
    <w:basedOn w:val="DefaultParagraphFont"/>
    <w:link w:val="Quote"/>
    <w:uiPriority w:val="29"/>
    <w:rsid w:val="005A6B47"/>
    <w:rPr>
      <w:i/>
      <w:iCs/>
      <w:color w:val="404040" w:themeColor="text1" w:themeTint="BF"/>
    </w:rPr>
  </w:style>
  <w:style w:type="paragraph" w:styleId="ListParagraph">
    <w:name w:val="List Paragraph"/>
    <w:basedOn w:val="Normal"/>
    <w:uiPriority w:val="34"/>
    <w:qFormat/>
    <w:rsid w:val="005A6B47"/>
    <w:pPr>
      <w:spacing w:before="0" w:beforeAutospacing="0" w:after="160" w:afterAutospacing="0" w:line="278" w:lineRule="auto"/>
      <w:ind w:left="720"/>
      <w:contextualSpacing/>
      <w:jc w:val="left"/>
    </w:pPr>
    <w:rPr>
      <w:rFonts w:asciiTheme="minorHAnsi" w:hAnsiTheme="minorHAnsi"/>
      <w:sz w:val="24"/>
      <w:szCs w:val="24"/>
    </w:rPr>
  </w:style>
  <w:style w:type="character" w:styleId="IntenseEmphasis">
    <w:name w:val="Intense Emphasis"/>
    <w:basedOn w:val="DefaultParagraphFont"/>
    <w:uiPriority w:val="21"/>
    <w:qFormat/>
    <w:rsid w:val="005A6B47"/>
    <w:rPr>
      <w:i/>
      <w:iCs/>
      <w:color w:val="0F4761" w:themeColor="accent1" w:themeShade="BF"/>
    </w:rPr>
  </w:style>
  <w:style w:type="paragraph" w:styleId="IntenseQuote">
    <w:name w:val="Intense Quote"/>
    <w:basedOn w:val="Normal"/>
    <w:next w:val="Normal"/>
    <w:link w:val="IntenseQuoteChar"/>
    <w:uiPriority w:val="30"/>
    <w:qFormat/>
    <w:rsid w:val="005A6B47"/>
    <w:pPr>
      <w:pBdr>
        <w:top w:val="single" w:sz="4" w:space="10" w:color="0F4761" w:themeColor="accent1" w:themeShade="BF"/>
        <w:bottom w:val="single" w:sz="4" w:space="10" w:color="0F4761" w:themeColor="accent1" w:themeShade="BF"/>
      </w:pBdr>
      <w:spacing w:before="360" w:beforeAutospacing="0" w:after="360" w:afterAutospacing="0" w:line="278" w:lineRule="auto"/>
      <w:ind w:left="864" w:right="864"/>
      <w:jc w:val="center"/>
    </w:pPr>
    <w:rPr>
      <w:rFonts w:asciiTheme="minorHAnsi" w:hAnsiTheme="minorHAnsi"/>
      <w:i/>
      <w:iCs/>
      <w:color w:val="0F4761" w:themeColor="accent1" w:themeShade="BF"/>
      <w:sz w:val="24"/>
      <w:szCs w:val="24"/>
    </w:rPr>
  </w:style>
  <w:style w:type="character" w:customStyle="1" w:styleId="IntenseQuoteChar">
    <w:name w:val="Intense Quote Char"/>
    <w:basedOn w:val="DefaultParagraphFont"/>
    <w:link w:val="IntenseQuote"/>
    <w:uiPriority w:val="30"/>
    <w:rsid w:val="005A6B47"/>
    <w:rPr>
      <w:i/>
      <w:iCs/>
      <w:color w:val="0F4761" w:themeColor="accent1" w:themeShade="BF"/>
    </w:rPr>
  </w:style>
  <w:style w:type="character" w:styleId="IntenseReference">
    <w:name w:val="Intense Reference"/>
    <w:basedOn w:val="DefaultParagraphFont"/>
    <w:uiPriority w:val="32"/>
    <w:qFormat/>
    <w:rsid w:val="005A6B47"/>
    <w:rPr>
      <w:b/>
      <w:bCs/>
      <w:smallCaps/>
      <w:color w:val="0F4761" w:themeColor="accent1" w:themeShade="BF"/>
      <w:spacing w:val="5"/>
    </w:rPr>
  </w:style>
  <w:style w:type="paragraph" w:styleId="Footer">
    <w:name w:val="footer"/>
    <w:basedOn w:val="Normal"/>
    <w:link w:val="FooterChar"/>
    <w:uiPriority w:val="99"/>
    <w:unhideWhenUsed/>
    <w:rsid w:val="005A6B4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A6B47"/>
    <w:rPr>
      <w:rFonts w:ascii="Arial" w:hAnsi="Arial"/>
      <w:sz w:val="22"/>
      <w:szCs w:val="22"/>
    </w:rPr>
  </w:style>
  <w:style w:type="character" w:styleId="Hyperlink">
    <w:name w:val="Hyperlink"/>
    <w:basedOn w:val="DefaultParagraphFont"/>
    <w:uiPriority w:val="99"/>
    <w:unhideWhenUsed/>
    <w:rsid w:val="005A6B47"/>
    <w:rPr>
      <w:color w:val="467886" w:themeColor="hyperlink"/>
      <w:u w:val="single"/>
    </w:rPr>
  </w:style>
  <w:style w:type="paragraph" w:styleId="NoSpacing">
    <w:name w:val="No Spacing"/>
    <w:uiPriority w:val="1"/>
    <w:qFormat/>
    <w:rsid w:val="005A6B47"/>
    <w:pPr>
      <w:spacing w:beforeAutospacing="1" w:after="0" w:afterAutospacing="1" w:line="240" w:lineRule="auto"/>
      <w:jc w:val="both"/>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5.1704089" TargetMode="External"/><Relationship Id="rId3" Type="http://schemas.openxmlformats.org/officeDocument/2006/relationships/webSettings" Target="webSettings.xml"/><Relationship Id="rId7" Type="http://schemas.openxmlformats.org/officeDocument/2006/relationships/hyperlink" Target="https://doi.org/10.1111/jomf.1288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7/S0954579413000692" TargetMode="External"/><Relationship Id="rId11" Type="http://schemas.openxmlformats.org/officeDocument/2006/relationships/theme" Target="theme/theme1.xml"/><Relationship Id="rId5" Type="http://schemas.openxmlformats.org/officeDocument/2006/relationships/hyperlink" Target="https://doi.org/10.3389/fmed.2021.517226" TargetMode="External"/><Relationship Id="rId10" Type="http://schemas.openxmlformats.org/officeDocument/2006/relationships/fontTable" Target="fontTable.xml"/><Relationship Id="rId4" Type="http://schemas.openxmlformats.org/officeDocument/2006/relationships/hyperlink" Target="https://doi.org/10.11622/smedj.2019100" TargetMode="Externa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2005</Words>
  <Characters>11433</Characters>
  <Application>Microsoft Office Word</Application>
  <DocSecurity>0</DocSecurity>
  <Lines>95</Lines>
  <Paragraphs>26</Paragraphs>
  <ScaleCrop>false</ScaleCrop>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Racqueal Abigail Collins (2442244)</dc:creator>
  <cp:keywords/>
  <dc:description/>
  <cp:lastModifiedBy>Racqueal Abigail Collins (2442244)</cp:lastModifiedBy>
  <cp:revision>4</cp:revision>
  <dcterms:created xsi:type="dcterms:W3CDTF">2026-04-20T09:00:00Z</dcterms:created>
  <dcterms:modified xsi:type="dcterms:W3CDTF">2026-04-20T09:12:00Z</dcterms:modified>
</cp:coreProperties>
</file>