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BAF287" w14:textId="77777777" w:rsidR="005F73DC" w:rsidRPr="00E82F89" w:rsidRDefault="005F73DC" w:rsidP="005F73DC">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pt-BR"/>
          <w14:ligatures w14:val="none"/>
        </w:rPr>
      </w:pPr>
      <w:bookmarkStart w:id="0" w:name="_Toc237942734"/>
      <w:bookmarkStart w:id="1" w:name="_Toc238022906"/>
      <w:r w:rsidRPr="00E82F89">
        <w:rPr>
          <w:rFonts w:ascii="Times New Roman" w:eastAsia="Times New Roman" w:hAnsi="Times New Roman" w:cs="Times New Roman"/>
          <w:b/>
          <w:bCs/>
          <w:color w:val="000000"/>
          <w:kern w:val="36"/>
          <w:sz w:val="48"/>
          <w:szCs w:val="48"/>
          <w:lang w:eastAsia="pt-BR"/>
          <w14:ligatures w14:val="none"/>
        </w:rPr>
        <w:t>UNIVERSITY OF WALES TRINITY SAINT DAVID</w:t>
      </w:r>
      <w:bookmarkEnd w:id="0"/>
      <w:bookmarkEnd w:id="1"/>
    </w:p>
    <w:p w14:paraId="42F70A1F" w14:textId="77777777" w:rsidR="005F73DC" w:rsidRPr="00E82F89" w:rsidRDefault="005F73DC" w:rsidP="005F73D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pt-BR"/>
          <w14:ligatures w14:val="none"/>
        </w:rPr>
      </w:pPr>
      <w:bookmarkStart w:id="2" w:name="_Toc237942735"/>
      <w:bookmarkStart w:id="3" w:name="_Toc238022907"/>
      <w:r>
        <w:rPr>
          <w:rFonts w:ascii="Times New Roman" w:eastAsia="Times New Roman" w:hAnsi="Times New Roman" w:cs="Times New Roman"/>
          <w:b/>
          <w:bCs/>
          <w:color w:val="000000"/>
          <w:kern w:val="0"/>
          <w:sz w:val="36"/>
          <w:szCs w:val="36"/>
          <w:lang w:eastAsia="pt-BR"/>
          <w14:ligatures w14:val="none"/>
        </w:rPr>
        <w:t>Health and Social Care</w:t>
      </w:r>
      <w:bookmarkEnd w:id="2"/>
      <w:bookmarkEnd w:id="3"/>
    </w:p>
    <w:p w14:paraId="1A4C2274" w14:textId="77777777" w:rsidR="005F73DC" w:rsidRDefault="009E73CA" w:rsidP="005F73DC">
      <w:pPr>
        <w:spacing w:after="0" w:line="240" w:lineRule="auto"/>
        <w:rPr>
          <w:rFonts w:ascii="Times New Roman" w:eastAsia="Times New Roman" w:hAnsi="Times New Roman" w:cs="Times New Roman"/>
          <w:kern w:val="0"/>
          <w:lang w:eastAsia="pt-BR"/>
          <w14:ligatures w14:val="none"/>
        </w:rPr>
      </w:pPr>
      <w:r>
        <w:rPr>
          <w:noProof/>
        </w:rPr>
      </w:r>
      <w:r>
        <w:pict w14:anchorId="6FA5DCA9">
          <v:rect id="Horizontal Lin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75D271C9" w14:textId="77777777" w:rsidR="005F73DC" w:rsidRDefault="005F73DC" w:rsidP="005F73DC">
      <w:pPr>
        <w:spacing w:after="0" w:line="240" w:lineRule="auto"/>
        <w:rPr>
          <w:rFonts w:ascii="Times New Roman" w:eastAsia="Times New Roman" w:hAnsi="Times New Roman" w:cs="Times New Roman"/>
          <w:kern w:val="0"/>
          <w:lang w:eastAsia="pt-BR"/>
          <w14:ligatures w14:val="none"/>
        </w:rPr>
      </w:pPr>
    </w:p>
    <w:p w14:paraId="25642E52" w14:textId="77777777" w:rsidR="005F73DC" w:rsidRPr="00E82F89" w:rsidRDefault="005F73DC" w:rsidP="005F73DC">
      <w:pPr>
        <w:spacing w:after="0" w:line="240" w:lineRule="auto"/>
        <w:rPr>
          <w:rFonts w:ascii="Times New Roman" w:eastAsia="Times New Roman" w:hAnsi="Times New Roman" w:cs="Times New Roman"/>
          <w:kern w:val="0"/>
          <w:lang w:eastAsia="pt-BR"/>
          <w14:ligatures w14:val="none"/>
        </w:rPr>
      </w:pPr>
    </w:p>
    <w:p w14:paraId="0F51D4D6" w14:textId="77777777" w:rsidR="005F73DC" w:rsidRPr="00E82F89"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4" w:name="_Toc237942736"/>
      <w:bookmarkStart w:id="5" w:name="_Toc238022908"/>
      <w:r w:rsidRPr="00E82F89">
        <w:rPr>
          <w:rFonts w:ascii="Times New Roman" w:eastAsia="Times New Roman" w:hAnsi="Times New Roman" w:cs="Times New Roman"/>
          <w:b/>
          <w:bCs/>
          <w:color w:val="000000"/>
          <w:kern w:val="0"/>
          <w:sz w:val="27"/>
          <w:szCs w:val="27"/>
          <w:lang w:eastAsia="pt-BR"/>
          <w14:ligatures w14:val="none"/>
        </w:rPr>
        <w:t>Module Code</w:t>
      </w:r>
      <w:bookmarkEnd w:id="4"/>
      <w:bookmarkEnd w:id="5"/>
    </w:p>
    <w:p w14:paraId="515ECF70" w14:textId="54798052" w:rsidR="005F73DC" w:rsidRPr="00E82F89" w:rsidRDefault="005F73DC" w:rsidP="005F73DC">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sidRPr="00E82F89">
        <w:rPr>
          <w:rFonts w:ascii="Times New Roman" w:eastAsia="Times New Roman" w:hAnsi="Times New Roman" w:cs="Times New Roman"/>
          <w:b/>
          <w:bCs/>
          <w:color w:val="000000"/>
          <w:kern w:val="0"/>
          <w:lang w:eastAsia="pt-BR"/>
          <w14:ligatures w14:val="none"/>
        </w:rPr>
        <w:t>LCHS400</w:t>
      </w:r>
      <w:r w:rsidR="00121FF7">
        <w:rPr>
          <w:rFonts w:ascii="Times New Roman" w:eastAsia="Times New Roman" w:hAnsi="Times New Roman" w:cs="Times New Roman"/>
          <w:b/>
          <w:bCs/>
          <w:color w:val="000000"/>
          <w:kern w:val="0"/>
          <w:lang w:eastAsia="pt-BR"/>
          <w14:ligatures w14:val="none"/>
        </w:rPr>
        <w:t>3</w:t>
      </w:r>
    </w:p>
    <w:p w14:paraId="3D48D048" w14:textId="77777777" w:rsidR="005F73DC" w:rsidRPr="00E82F89"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6" w:name="_Toc237942737"/>
      <w:bookmarkStart w:id="7" w:name="_Toc238022909"/>
      <w:r w:rsidRPr="00E82F89">
        <w:rPr>
          <w:rFonts w:ascii="Times New Roman" w:eastAsia="Times New Roman" w:hAnsi="Times New Roman" w:cs="Times New Roman"/>
          <w:b/>
          <w:bCs/>
          <w:color w:val="000000"/>
          <w:kern w:val="0"/>
          <w:sz w:val="27"/>
          <w:szCs w:val="27"/>
          <w:lang w:eastAsia="pt-BR"/>
          <w14:ligatures w14:val="none"/>
        </w:rPr>
        <w:t>Module Title</w:t>
      </w:r>
      <w:bookmarkEnd w:id="6"/>
      <w:bookmarkEnd w:id="7"/>
    </w:p>
    <w:p w14:paraId="2D6B36C5" w14:textId="4D16B618" w:rsidR="005F73DC" w:rsidRDefault="00121FF7" w:rsidP="005F73DC">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Pr>
          <w:rFonts w:ascii="Times New Roman" w:eastAsia="Times New Roman" w:hAnsi="Times New Roman" w:cs="Times New Roman"/>
          <w:b/>
          <w:bCs/>
          <w:color w:val="000000"/>
          <w:kern w:val="0"/>
          <w:lang w:eastAsia="pt-BR"/>
          <w14:ligatures w14:val="none"/>
        </w:rPr>
        <w:t>Introduction to Health and Social Care</w:t>
      </w:r>
    </w:p>
    <w:p w14:paraId="0520EA87" w14:textId="77777777" w:rsidR="005F73DC"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8" w:name="_Toc237942738"/>
      <w:bookmarkStart w:id="9" w:name="_Toc238022910"/>
      <w:r>
        <w:rPr>
          <w:rFonts w:ascii="Times New Roman" w:eastAsia="Times New Roman" w:hAnsi="Times New Roman" w:cs="Times New Roman"/>
          <w:b/>
          <w:bCs/>
          <w:color w:val="000000"/>
          <w:kern w:val="0"/>
          <w:sz w:val="27"/>
          <w:szCs w:val="27"/>
          <w:lang w:eastAsia="pt-BR"/>
          <w14:ligatures w14:val="none"/>
        </w:rPr>
        <w:t>Lecturer</w:t>
      </w:r>
      <w:bookmarkEnd w:id="8"/>
      <w:bookmarkEnd w:id="9"/>
    </w:p>
    <w:p w14:paraId="5AD1F10B" w14:textId="5ABE5C19" w:rsidR="005F73DC" w:rsidRPr="00673600" w:rsidRDefault="005F73DC" w:rsidP="005F73DC">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Pr>
          <w:rFonts w:ascii="Times New Roman" w:eastAsia="Times New Roman" w:hAnsi="Times New Roman" w:cs="Times New Roman"/>
          <w:b/>
          <w:bCs/>
          <w:color w:val="000000"/>
          <w:kern w:val="0"/>
          <w:lang w:eastAsia="pt-BR"/>
          <w14:ligatures w14:val="none"/>
        </w:rPr>
        <w:t>Caroline Salami</w:t>
      </w:r>
    </w:p>
    <w:p w14:paraId="43190F15" w14:textId="77777777" w:rsidR="005F73DC" w:rsidRPr="00E82F89"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10" w:name="_Toc237942739"/>
      <w:bookmarkStart w:id="11" w:name="_Toc238022911"/>
      <w:r>
        <w:rPr>
          <w:rFonts w:ascii="Times New Roman" w:eastAsia="Times New Roman" w:hAnsi="Times New Roman" w:cs="Times New Roman"/>
          <w:b/>
          <w:bCs/>
          <w:color w:val="000000"/>
          <w:kern w:val="0"/>
          <w:sz w:val="27"/>
          <w:szCs w:val="27"/>
          <w:lang w:eastAsia="pt-BR"/>
          <w14:ligatures w14:val="none"/>
        </w:rPr>
        <w:t>Assignment Title</w:t>
      </w:r>
      <w:bookmarkEnd w:id="10"/>
      <w:bookmarkEnd w:id="11"/>
    </w:p>
    <w:p w14:paraId="33647B89" w14:textId="3523BE02" w:rsidR="005F73DC" w:rsidRPr="00E82F89" w:rsidRDefault="00121FF7" w:rsidP="005F73DC">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Mr</w:t>
      </w:r>
      <w:r w:rsidR="005F73DC">
        <w:rPr>
          <w:rFonts w:ascii="Times New Roman" w:eastAsia="Times New Roman" w:hAnsi="Times New Roman" w:cs="Times New Roman"/>
          <w:b/>
          <w:bCs/>
          <w:color w:val="000000"/>
          <w:kern w:val="0"/>
          <w:lang w:eastAsia="pt-BR"/>
          <w14:ligatures w14:val="none"/>
        </w:rPr>
        <w:t>s</w:t>
      </w:r>
      <w:r>
        <w:rPr>
          <w:rFonts w:ascii="Times New Roman" w:eastAsia="Times New Roman" w:hAnsi="Times New Roman" w:cs="Times New Roman"/>
          <w:b/>
          <w:bCs/>
          <w:color w:val="000000"/>
          <w:kern w:val="0"/>
          <w:lang w:eastAsia="pt-BR"/>
          <w14:ligatures w14:val="none"/>
        </w:rPr>
        <w:t xml:space="preserve"> Thompson</w:t>
      </w:r>
    </w:p>
    <w:p w14:paraId="30E4079E" w14:textId="77777777" w:rsidR="005F73DC" w:rsidRPr="00E82F89"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12" w:name="_Toc237942740"/>
      <w:bookmarkStart w:id="13" w:name="_Toc238022912"/>
      <w:r w:rsidRPr="00E82F89">
        <w:rPr>
          <w:rFonts w:ascii="Times New Roman" w:eastAsia="Times New Roman" w:hAnsi="Times New Roman" w:cs="Times New Roman"/>
          <w:b/>
          <w:bCs/>
          <w:color w:val="000000"/>
          <w:kern w:val="0"/>
          <w:sz w:val="27"/>
          <w:szCs w:val="27"/>
          <w:lang w:eastAsia="pt-BR"/>
          <w14:ligatures w14:val="none"/>
        </w:rPr>
        <w:t>Student Name</w:t>
      </w:r>
      <w:bookmarkEnd w:id="12"/>
      <w:bookmarkEnd w:id="13"/>
    </w:p>
    <w:p w14:paraId="370511DD" w14:textId="77777777" w:rsidR="005F73DC" w:rsidRPr="00E82F89" w:rsidRDefault="005F73DC" w:rsidP="005F73DC">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 xml:space="preserve">Aline </w:t>
      </w:r>
      <w:r w:rsidRPr="00E82F89">
        <w:rPr>
          <w:rFonts w:ascii="Times New Roman" w:eastAsia="Times New Roman" w:hAnsi="Times New Roman" w:cs="Times New Roman"/>
          <w:b/>
          <w:bCs/>
          <w:color w:val="000000"/>
          <w:kern w:val="0"/>
          <w:lang w:eastAsia="pt-BR"/>
          <w14:ligatures w14:val="none"/>
        </w:rPr>
        <w:t>Ticiane Ferreira</w:t>
      </w:r>
      <w:r>
        <w:rPr>
          <w:rFonts w:ascii="Times New Roman" w:eastAsia="Times New Roman" w:hAnsi="Times New Roman" w:cs="Times New Roman"/>
          <w:b/>
          <w:bCs/>
          <w:color w:val="000000"/>
          <w:kern w:val="0"/>
          <w:lang w:eastAsia="pt-BR"/>
          <w14:ligatures w14:val="none"/>
        </w:rPr>
        <w:t xml:space="preserve"> da Silva</w:t>
      </w:r>
    </w:p>
    <w:p w14:paraId="588B207A" w14:textId="77777777" w:rsidR="005F73DC" w:rsidRPr="00E82F89"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14" w:name="_Toc237942741"/>
      <w:bookmarkStart w:id="15" w:name="_Toc238022913"/>
      <w:r w:rsidRPr="00E82F89">
        <w:rPr>
          <w:rFonts w:ascii="Times New Roman" w:eastAsia="Times New Roman" w:hAnsi="Times New Roman" w:cs="Times New Roman"/>
          <w:b/>
          <w:bCs/>
          <w:color w:val="000000"/>
          <w:kern w:val="0"/>
          <w:sz w:val="27"/>
          <w:szCs w:val="27"/>
          <w:lang w:eastAsia="pt-BR"/>
          <w14:ligatures w14:val="none"/>
        </w:rPr>
        <w:t>Student Number</w:t>
      </w:r>
      <w:bookmarkEnd w:id="14"/>
      <w:bookmarkEnd w:id="15"/>
    </w:p>
    <w:p w14:paraId="6C69D650" w14:textId="77777777" w:rsidR="005F73DC" w:rsidRPr="00673600" w:rsidRDefault="005F73DC" w:rsidP="005F73DC">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2531527</w:t>
      </w:r>
    </w:p>
    <w:p w14:paraId="334FADC7" w14:textId="77777777" w:rsidR="005F73DC"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r>
        <w:rPr>
          <w:rFonts w:ascii="Times New Roman" w:eastAsia="Times New Roman" w:hAnsi="Times New Roman" w:cs="Times New Roman"/>
          <w:b/>
          <w:bCs/>
          <w:color w:val="000000"/>
          <w:kern w:val="0"/>
          <w:sz w:val="27"/>
          <w:szCs w:val="27"/>
          <w:lang w:eastAsia="pt-BR"/>
          <w14:ligatures w14:val="none"/>
        </w:rPr>
        <w:tab/>
      </w:r>
    </w:p>
    <w:p w14:paraId="12CA88BB" w14:textId="77777777" w:rsidR="005F73DC"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p>
    <w:p w14:paraId="7EEC34D0" w14:textId="77777777" w:rsidR="005F73DC" w:rsidRPr="00E82F89" w:rsidRDefault="005F73DC" w:rsidP="005F73D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16" w:name="_Toc237942742"/>
      <w:bookmarkStart w:id="17" w:name="_Toc238022914"/>
      <w:r w:rsidRPr="00E82F89">
        <w:rPr>
          <w:rFonts w:ascii="Times New Roman" w:eastAsia="Times New Roman" w:hAnsi="Times New Roman" w:cs="Times New Roman"/>
          <w:b/>
          <w:bCs/>
          <w:color w:val="000000"/>
          <w:kern w:val="0"/>
          <w:sz w:val="27"/>
          <w:szCs w:val="27"/>
          <w:lang w:eastAsia="pt-BR"/>
          <w14:ligatures w14:val="none"/>
        </w:rPr>
        <w:t>Submission Date</w:t>
      </w:r>
      <w:bookmarkEnd w:id="16"/>
      <w:bookmarkEnd w:id="17"/>
    </w:p>
    <w:p w14:paraId="46B30952" w14:textId="3A7C41D6" w:rsidR="005F73DC" w:rsidRDefault="005F73DC" w:rsidP="005F73DC">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sidRPr="00E82F89">
        <w:rPr>
          <w:rFonts w:ascii="Times New Roman" w:eastAsia="Times New Roman" w:hAnsi="Times New Roman" w:cs="Times New Roman"/>
          <w:b/>
          <w:bCs/>
          <w:color w:val="000000"/>
          <w:kern w:val="0"/>
          <w:lang w:eastAsia="pt-BR"/>
          <w14:ligatures w14:val="none"/>
        </w:rPr>
        <w:t>1</w:t>
      </w:r>
      <w:r w:rsidR="00121FF7">
        <w:rPr>
          <w:rFonts w:ascii="Times New Roman" w:eastAsia="Times New Roman" w:hAnsi="Times New Roman" w:cs="Times New Roman"/>
          <w:b/>
          <w:bCs/>
          <w:color w:val="000000"/>
          <w:kern w:val="0"/>
          <w:lang w:eastAsia="pt-BR"/>
          <w14:ligatures w14:val="none"/>
        </w:rPr>
        <w:t>9</w:t>
      </w:r>
      <w:r w:rsidRPr="00E82F89">
        <w:rPr>
          <w:rFonts w:ascii="Times New Roman" w:eastAsia="Times New Roman" w:hAnsi="Times New Roman" w:cs="Times New Roman"/>
          <w:b/>
          <w:bCs/>
          <w:color w:val="000000"/>
          <w:kern w:val="0"/>
          <w:lang w:eastAsia="pt-BR"/>
          <w14:ligatures w14:val="none"/>
        </w:rPr>
        <w:t xml:space="preserve"> August 2026</w:t>
      </w:r>
    </w:p>
    <w:p w14:paraId="4E122F5C" w14:textId="77777777" w:rsidR="00121FF7" w:rsidRDefault="00121FF7" w:rsidP="005F73DC">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p>
    <w:p w14:paraId="34799CC9" w14:textId="77777777" w:rsidR="00121FF7" w:rsidRDefault="00121FF7" w:rsidP="005F73DC">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p>
    <w:sdt>
      <w:sdtPr>
        <w:rPr>
          <w:rFonts w:ascii="Arial" w:hAnsi="Arial" w:cs="Arial"/>
          <w:lang w:val="pt-BR"/>
        </w:rPr>
        <w:id w:val="-288362008"/>
        <w:docPartObj>
          <w:docPartGallery w:val="Table of Contents"/>
          <w:docPartUnique/>
        </w:docPartObj>
      </w:sdtPr>
      <w:sdtEndPr>
        <w:rPr>
          <w:rFonts w:eastAsiaTheme="minorHAnsi"/>
          <w:noProof/>
          <w:color w:val="auto"/>
          <w:kern w:val="2"/>
          <w:sz w:val="24"/>
          <w:szCs w:val="24"/>
          <w:lang w:val="pt-GB" w:eastAsia="en-US"/>
          <w14:ligatures w14:val="standardContextual"/>
        </w:rPr>
      </w:sdtEndPr>
      <w:sdtContent>
        <w:p w14:paraId="68F56AFC" w14:textId="04276C09" w:rsidR="00121FF7" w:rsidRPr="00121FF7" w:rsidRDefault="00121FF7">
          <w:pPr>
            <w:pStyle w:val="CabealhodoSumrio"/>
            <w:rPr>
              <w:rFonts w:ascii="Arial" w:hAnsi="Arial" w:cs="Arial"/>
            </w:rPr>
          </w:pPr>
          <w:r w:rsidRPr="00121FF7">
            <w:rPr>
              <w:rFonts w:ascii="Arial" w:hAnsi="Arial" w:cs="Arial"/>
              <w:lang w:val="pt-BR"/>
            </w:rPr>
            <w:t>Sumário</w:t>
          </w:r>
        </w:p>
        <w:p w14:paraId="671C7781" w14:textId="35832E0E" w:rsidR="00121FF7" w:rsidRPr="00121FF7" w:rsidRDefault="00121FF7">
          <w:pPr>
            <w:pStyle w:val="Sumrio1"/>
            <w:tabs>
              <w:tab w:val="right" w:leader="dot" w:pos="9016"/>
            </w:tabs>
            <w:rPr>
              <w:rFonts w:ascii="Arial" w:hAnsi="Arial" w:cs="Arial"/>
              <w:noProof/>
            </w:rPr>
          </w:pPr>
          <w:r w:rsidRPr="00121FF7">
            <w:rPr>
              <w:rFonts w:ascii="Arial" w:hAnsi="Arial" w:cs="Arial"/>
              <w:b w:val="0"/>
              <w:bCs w:val="0"/>
            </w:rPr>
            <w:fldChar w:fldCharType="begin"/>
          </w:r>
          <w:r w:rsidRPr="00121FF7">
            <w:rPr>
              <w:rFonts w:ascii="Arial" w:hAnsi="Arial" w:cs="Arial"/>
            </w:rPr>
            <w:instrText>TOC \o "1-3" \h \z \u</w:instrText>
          </w:r>
          <w:r w:rsidRPr="00121FF7">
            <w:rPr>
              <w:rFonts w:ascii="Arial" w:hAnsi="Arial" w:cs="Arial"/>
              <w:b w:val="0"/>
              <w:bCs w:val="0"/>
            </w:rPr>
            <w:fldChar w:fldCharType="separate"/>
          </w:r>
          <w:hyperlink w:anchor="_Toc238022906" w:history="1">
            <w:r w:rsidRPr="00121FF7">
              <w:rPr>
                <w:rStyle w:val="Hyperlink"/>
                <w:rFonts w:ascii="Arial" w:eastAsia="Times New Roman" w:hAnsi="Arial" w:cs="Arial"/>
                <w:noProof/>
                <w:kern w:val="36"/>
                <w:lang w:eastAsia="pt-BR"/>
                <w14:ligatures w14:val="none"/>
              </w:rPr>
              <w:t>UNIVERSITY OF WALES TRINITY SAINT DAVID</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_Toc238022906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4A218BF2" w14:textId="532C840D" w:rsidR="00121FF7" w:rsidRPr="00121FF7" w:rsidRDefault="00121FF7">
          <w:pPr>
            <w:pStyle w:val="Sumrio2"/>
            <w:tabs>
              <w:tab w:val="right" w:leader="dot" w:pos="9016"/>
            </w:tabs>
            <w:rPr>
              <w:rFonts w:ascii="Arial" w:hAnsi="Arial" w:cs="Arial"/>
              <w:noProof/>
            </w:rPr>
          </w:pPr>
          <w:hyperlink w:anchor="_Toc238022907" w:history="1">
            <w:r w:rsidRPr="00121FF7">
              <w:rPr>
                <w:rStyle w:val="Hyperlink"/>
                <w:rFonts w:ascii="Arial" w:eastAsia="Times New Roman" w:hAnsi="Arial" w:cs="Arial"/>
                <w:noProof/>
                <w:kern w:val="0"/>
                <w:lang w:eastAsia="pt-BR"/>
                <w14:ligatures w14:val="none"/>
              </w:rPr>
              <w:t>Health and Social Care</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_Toc238022907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040294F7" w14:textId="47F5F436" w:rsidR="00121FF7" w:rsidRPr="00121FF7" w:rsidRDefault="00121FF7">
          <w:pPr>
            <w:pStyle w:val="Sumrio3"/>
            <w:tabs>
              <w:tab w:val="right" w:leader="dot" w:pos="9016"/>
            </w:tabs>
            <w:rPr>
              <w:rFonts w:ascii="Arial" w:hAnsi="Arial" w:cs="Arial"/>
              <w:noProof/>
            </w:rPr>
          </w:pPr>
          <w:hyperlink w:anchor="_Toc238022908" w:history="1">
            <w:r w:rsidRPr="00121FF7">
              <w:rPr>
                <w:rStyle w:val="Hyperlink"/>
                <w:rFonts w:ascii="Arial" w:eastAsia="Times New Roman" w:hAnsi="Arial" w:cs="Arial"/>
                <w:b/>
                <w:bCs/>
                <w:noProof/>
                <w:kern w:val="0"/>
                <w:lang w:eastAsia="pt-BR"/>
                <w14:ligatures w14:val="none"/>
              </w:rPr>
              <w:t>Module Code</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_Toc238022908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7219773B" w14:textId="2DA1081C" w:rsidR="00121FF7" w:rsidRPr="00121FF7" w:rsidRDefault="00121FF7">
          <w:pPr>
            <w:pStyle w:val="Sumrio3"/>
            <w:tabs>
              <w:tab w:val="right" w:leader="dot" w:pos="9016"/>
            </w:tabs>
            <w:rPr>
              <w:rFonts w:ascii="Arial" w:hAnsi="Arial" w:cs="Arial"/>
              <w:noProof/>
            </w:rPr>
          </w:pPr>
          <w:hyperlink w:anchor="_Toc238022909" w:history="1">
            <w:r w:rsidRPr="00121FF7">
              <w:rPr>
                <w:rStyle w:val="Hyperlink"/>
                <w:rFonts w:ascii="Arial" w:eastAsia="Times New Roman" w:hAnsi="Arial" w:cs="Arial"/>
                <w:b/>
                <w:bCs/>
                <w:noProof/>
                <w:kern w:val="0"/>
                <w:lang w:eastAsia="pt-BR"/>
                <w14:ligatures w14:val="none"/>
              </w:rPr>
              <w:t>Module Title</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_Toc238022909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560018C7" w14:textId="24D13A9C" w:rsidR="00121FF7" w:rsidRPr="00121FF7" w:rsidRDefault="00121FF7">
          <w:pPr>
            <w:pStyle w:val="Sumrio3"/>
            <w:tabs>
              <w:tab w:val="right" w:leader="dot" w:pos="9016"/>
            </w:tabs>
            <w:rPr>
              <w:rFonts w:ascii="Arial" w:hAnsi="Arial" w:cs="Arial"/>
              <w:noProof/>
            </w:rPr>
          </w:pPr>
          <w:hyperlink w:anchor="_Toc238022910" w:history="1">
            <w:r w:rsidRPr="00121FF7">
              <w:rPr>
                <w:rStyle w:val="Hyperlink"/>
                <w:rFonts w:ascii="Arial" w:eastAsia="Times New Roman" w:hAnsi="Arial" w:cs="Arial"/>
                <w:b/>
                <w:bCs/>
                <w:noProof/>
                <w:kern w:val="0"/>
                <w:lang w:eastAsia="pt-BR"/>
                <w14:ligatures w14:val="none"/>
              </w:rPr>
              <w:t>Lecturer</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_Toc238022910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5CC37E5B" w14:textId="7CEA1BAC" w:rsidR="00121FF7" w:rsidRPr="00121FF7" w:rsidRDefault="00121FF7">
          <w:pPr>
            <w:pStyle w:val="Sumrio3"/>
            <w:tabs>
              <w:tab w:val="right" w:leader="dot" w:pos="9016"/>
            </w:tabs>
            <w:rPr>
              <w:rFonts w:ascii="Arial" w:hAnsi="Arial" w:cs="Arial"/>
              <w:noProof/>
            </w:rPr>
          </w:pPr>
          <w:hyperlink w:anchor="_Toc238022911" w:history="1">
            <w:r w:rsidRPr="00121FF7">
              <w:rPr>
                <w:rStyle w:val="Hyperlink"/>
                <w:rFonts w:ascii="Arial" w:eastAsia="Times New Roman" w:hAnsi="Arial" w:cs="Arial"/>
                <w:b/>
                <w:bCs/>
                <w:noProof/>
                <w:kern w:val="0"/>
                <w:lang w:eastAsia="pt-BR"/>
                <w14:ligatures w14:val="none"/>
              </w:rPr>
              <w:t>Assignment Title</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_Toc238022911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52D350C2" w14:textId="4A19FEC5" w:rsidR="00121FF7" w:rsidRPr="00121FF7" w:rsidRDefault="00121FF7">
          <w:pPr>
            <w:pStyle w:val="Sumrio3"/>
            <w:tabs>
              <w:tab w:val="right" w:leader="dot" w:pos="9016"/>
            </w:tabs>
            <w:rPr>
              <w:rFonts w:ascii="Arial" w:hAnsi="Arial" w:cs="Arial"/>
              <w:noProof/>
            </w:rPr>
          </w:pPr>
          <w:hyperlink w:anchor="_Toc238022912" w:history="1">
            <w:r w:rsidRPr="00121FF7">
              <w:rPr>
                <w:rStyle w:val="Hyperlink"/>
                <w:rFonts w:ascii="Arial" w:eastAsia="Times New Roman" w:hAnsi="Arial" w:cs="Arial"/>
                <w:b/>
                <w:bCs/>
                <w:noProof/>
                <w:kern w:val="0"/>
                <w:lang w:eastAsia="pt-BR"/>
                <w14:ligatures w14:val="none"/>
              </w:rPr>
              <w:t>Student Name</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_Toc238022912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0FCE0B4E" w14:textId="22645128" w:rsidR="00121FF7" w:rsidRPr="00121FF7" w:rsidRDefault="00121FF7">
          <w:pPr>
            <w:pStyle w:val="Sumrio3"/>
            <w:tabs>
              <w:tab w:val="right" w:leader="dot" w:pos="9016"/>
            </w:tabs>
            <w:rPr>
              <w:rFonts w:ascii="Arial" w:hAnsi="Arial" w:cs="Arial"/>
              <w:noProof/>
            </w:rPr>
          </w:pPr>
          <w:hyperlink w:anchor="_Toc238022913" w:history="1">
            <w:r w:rsidRPr="00121FF7">
              <w:rPr>
                <w:rStyle w:val="Hyperlink"/>
                <w:rFonts w:ascii="Arial" w:eastAsia="Times New Roman" w:hAnsi="Arial" w:cs="Arial"/>
                <w:b/>
                <w:bCs/>
                <w:noProof/>
                <w:kern w:val="0"/>
                <w:lang w:eastAsia="pt-BR"/>
                <w14:ligatures w14:val="none"/>
              </w:rPr>
              <w:t>Student Number</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_Toc238022913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6E94673B" w14:textId="39BCDFE7" w:rsidR="00121FF7" w:rsidRPr="00121FF7" w:rsidRDefault="00121FF7">
          <w:pPr>
            <w:pStyle w:val="Sumrio3"/>
            <w:tabs>
              <w:tab w:val="right" w:leader="dot" w:pos="9016"/>
            </w:tabs>
            <w:rPr>
              <w:rFonts w:ascii="Arial" w:hAnsi="Arial" w:cs="Arial"/>
              <w:noProof/>
            </w:rPr>
          </w:pPr>
          <w:hyperlink w:anchor="_Toc238022914" w:history="1">
            <w:r w:rsidRPr="00121FF7">
              <w:rPr>
                <w:rStyle w:val="Hyperlink"/>
                <w:rFonts w:ascii="Arial" w:eastAsia="Times New Roman" w:hAnsi="Arial" w:cs="Arial"/>
                <w:b/>
                <w:bCs/>
                <w:noProof/>
                <w:kern w:val="0"/>
                <w:lang w:eastAsia="pt-BR"/>
                <w14:ligatures w14:val="none"/>
              </w:rPr>
              <w:t>Submission Date</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_Toc238022914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1</w:t>
            </w:r>
            <w:r w:rsidRPr="00121FF7">
              <w:rPr>
                <w:rFonts w:ascii="Arial" w:hAnsi="Arial" w:cs="Arial"/>
                <w:noProof/>
                <w:webHidden/>
              </w:rPr>
              <w:fldChar w:fldCharType="end"/>
            </w:r>
          </w:hyperlink>
        </w:p>
        <w:p w14:paraId="4E492F9B" w14:textId="2EF76B07" w:rsidR="00121FF7" w:rsidRPr="00121FF7" w:rsidRDefault="00121FF7">
          <w:pPr>
            <w:pStyle w:val="Sumrio1"/>
            <w:tabs>
              <w:tab w:val="right" w:leader="dot" w:pos="9016"/>
            </w:tabs>
            <w:rPr>
              <w:rFonts w:ascii="Arial" w:hAnsi="Arial" w:cs="Arial"/>
              <w:noProof/>
            </w:rPr>
          </w:pPr>
          <w:hyperlink w:anchor="_Toc238022915" w:history="1">
            <w:r w:rsidRPr="00121FF7">
              <w:rPr>
                <w:rStyle w:val="Hyperlink"/>
                <w:rFonts w:ascii="Arial" w:hAnsi="Arial" w:cs="Arial"/>
                <w:noProof/>
                <w:lang w:val="en-US"/>
              </w:rPr>
              <w:t>Introduction</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_Toc238022915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3</w:t>
            </w:r>
            <w:r w:rsidRPr="00121FF7">
              <w:rPr>
                <w:rFonts w:ascii="Arial" w:hAnsi="Arial" w:cs="Arial"/>
                <w:noProof/>
                <w:webHidden/>
              </w:rPr>
              <w:fldChar w:fldCharType="end"/>
            </w:r>
          </w:hyperlink>
        </w:p>
        <w:p w14:paraId="68B419CF" w14:textId="5D1E22D3" w:rsidR="00121FF7" w:rsidRPr="00121FF7" w:rsidRDefault="00121FF7">
          <w:pPr>
            <w:pStyle w:val="Sumrio1"/>
            <w:tabs>
              <w:tab w:val="right" w:leader="dot" w:pos="9016"/>
            </w:tabs>
            <w:rPr>
              <w:rFonts w:ascii="Arial" w:hAnsi="Arial" w:cs="Arial"/>
              <w:noProof/>
            </w:rPr>
          </w:pPr>
          <w:hyperlink w:anchor="_Toc238022916" w:history="1">
            <w:r w:rsidRPr="00121FF7">
              <w:rPr>
                <w:rStyle w:val="Hyperlink"/>
                <w:rFonts w:ascii="Arial" w:hAnsi="Arial" w:cs="Arial"/>
                <w:noProof/>
                <w:lang w:val="en-US"/>
              </w:rPr>
              <w:t>Importance of Effective Communication</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_Toc238022916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3</w:t>
            </w:r>
            <w:r w:rsidRPr="00121FF7">
              <w:rPr>
                <w:rFonts w:ascii="Arial" w:hAnsi="Arial" w:cs="Arial"/>
                <w:noProof/>
                <w:webHidden/>
              </w:rPr>
              <w:fldChar w:fldCharType="end"/>
            </w:r>
          </w:hyperlink>
        </w:p>
        <w:p w14:paraId="604F057F" w14:textId="52188C8F" w:rsidR="00121FF7" w:rsidRPr="00121FF7" w:rsidRDefault="00121FF7">
          <w:pPr>
            <w:pStyle w:val="Sumrio1"/>
            <w:tabs>
              <w:tab w:val="right" w:leader="dot" w:pos="9016"/>
            </w:tabs>
            <w:rPr>
              <w:rFonts w:ascii="Arial" w:hAnsi="Arial" w:cs="Arial"/>
              <w:noProof/>
            </w:rPr>
          </w:pPr>
          <w:hyperlink w:anchor="_Toc238022917" w:history="1">
            <w:r w:rsidRPr="00121FF7">
              <w:rPr>
                <w:rStyle w:val="Hyperlink"/>
                <w:rFonts w:ascii="Arial" w:hAnsi="Arial" w:cs="Arial"/>
                <w:noProof/>
                <w:lang w:val="en-US"/>
              </w:rPr>
              <w:t>Importance of Good Administrative Skills</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_Toc238022917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4</w:t>
            </w:r>
            <w:r w:rsidRPr="00121FF7">
              <w:rPr>
                <w:rFonts w:ascii="Arial" w:hAnsi="Arial" w:cs="Arial"/>
                <w:noProof/>
                <w:webHidden/>
              </w:rPr>
              <w:fldChar w:fldCharType="end"/>
            </w:r>
          </w:hyperlink>
        </w:p>
        <w:p w14:paraId="5292B72C" w14:textId="17FE34B6" w:rsidR="00121FF7" w:rsidRPr="00121FF7" w:rsidRDefault="00121FF7">
          <w:pPr>
            <w:pStyle w:val="Sumrio1"/>
            <w:tabs>
              <w:tab w:val="right" w:leader="dot" w:pos="9016"/>
            </w:tabs>
            <w:rPr>
              <w:rFonts w:ascii="Arial" w:hAnsi="Arial" w:cs="Arial"/>
              <w:noProof/>
            </w:rPr>
          </w:pPr>
          <w:hyperlink w:anchor="_Toc238022918" w:history="1">
            <w:r w:rsidRPr="00121FF7">
              <w:rPr>
                <w:rStyle w:val="Hyperlink"/>
                <w:rFonts w:ascii="Arial" w:hAnsi="Arial" w:cs="Arial"/>
                <w:noProof/>
                <w:lang w:val="en-US"/>
              </w:rPr>
              <w:t>Importance of Working Collaboratively</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_Toc238022918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5</w:t>
            </w:r>
            <w:r w:rsidRPr="00121FF7">
              <w:rPr>
                <w:rFonts w:ascii="Arial" w:hAnsi="Arial" w:cs="Arial"/>
                <w:noProof/>
                <w:webHidden/>
              </w:rPr>
              <w:fldChar w:fldCharType="end"/>
            </w:r>
          </w:hyperlink>
        </w:p>
        <w:p w14:paraId="6189EB40" w14:textId="3638264A" w:rsidR="00121FF7" w:rsidRPr="00121FF7" w:rsidRDefault="00121FF7">
          <w:pPr>
            <w:pStyle w:val="Sumrio1"/>
            <w:tabs>
              <w:tab w:val="right" w:leader="dot" w:pos="9016"/>
            </w:tabs>
            <w:rPr>
              <w:rFonts w:ascii="Arial" w:hAnsi="Arial" w:cs="Arial"/>
              <w:noProof/>
            </w:rPr>
          </w:pPr>
          <w:hyperlink w:anchor="_Toc238022919" w:history="1">
            <w:r w:rsidRPr="00121FF7">
              <w:rPr>
                <w:rStyle w:val="Hyperlink"/>
                <w:rFonts w:ascii="Arial" w:hAnsi="Arial" w:cs="Arial"/>
                <w:noProof/>
                <w:lang w:val="en-US"/>
              </w:rPr>
              <w:t>Conclusion</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_Toc238022919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6</w:t>
            </w:r>
            <w:r w:rsidRPr="00121FF7">
              <w:rPr>
                <w:rFonts w:ascii="Arial" w:hAnsi="Arial" w:cs="Arial"/>
                <w:noProof/>
                <w:webHidden/>
              </w:rPr>
              <w:fldChar w:fldCharType="end"/>
            </w:r>
          </w:hyperlink>
        </w:p>
        <w:p w14:paraId="0312CF0B" w14:textId="5E8DA8AC" w:rsidR="00121FF7" w:rsidRPr="00121FF7" w:rsidRDefault="00121FF7">
          <w:pPr>
            <w:pStyle w:val="Sumrio1"/>
            <w:tabs>
              <w:tab w:val="right" w:leader="dot" w:pos="9016"/>
            </w:tabs>
            <w:rPr>
              <w:rFonts w:ascii="Arial" w:hAnsi="Arial" w:cs="Arial"/>
              <w:noProof/>
            </w:rPr>
          </w:pPr>
          <w:hyperlink w:anchor="_Toc238022920" w:history="1">
            <w:r w:rsidRPr="00121FF7">
              <w:rPr>
                <w:rStyle w:val="Hyperlink"/>
                <w:rFonts w:ascii="Arial" w:hAnsi="Arial" w:cs="Arial"/>
                <w:noProof/>
                <w:lang w:val="en-US"/>
              </w:rPr>
              <w:t>References</w:t>
            </w:r>
            <w:r w:rsidRPr="00121FF7">
              <w:rPr>
                <w:rFonts w:ascii="Arial" w:hAnsi="Arial" w:cs="Arial"/>
                <w:noProof/>
                <w:webHidden/>
              </w:rPr>
              <w:tab/>
            </w:r>
            <w:r w:rsidRPr="00121FF7">
              <w:rPr>
                <w:rFonts w:ascii="Arial" w:hAnsi="Arial" w:cs="Arial"/>
                <w:noProof/>
                <w:webHidden/>
              </w:rPr>
              <w:fldChar w:fldCharType="begin"/>
            </w:r>
            <w:r w:rsidRPr="00121FF7">
              <w:rPr>
                <w:rFonts w:ascii="Arial" w:hAnsi="Arial" w:cs="Arial"/>
                <w:noProof/>
                <w:webHidden/>
              </w:rPr>
              <w:instrText xml:space="preserve"> PAGEREF _Toc238022920 \h </w:instrText>
            </w:r>
            <w:r w:rsidRPr="00121FF7">
              <w:rPr>
                <w:rFonts w:ascii="Arial" w:hAnsi="Arial" w:cs="Arial"/>
                <w:noProof/>
                <w:webHidden/>
              </w:rPr>
            </w:r>
            <w:r w:rsidRPr="00121FF7">
              <w:rPr>
                <w:rFonts w:ascii="Arial" w:hAnsi="Arial" w:cs="Arial"/>
                <w:noProof/>
                <w:webHidden/>
              </w:rPr>
              <w:fldChar w:fldCharType="separate"/>
            </w:r>
            <w:r>
              <w:rPr>
                <w:rFonts w:ascii="Arial" w:hAnsi="Arial" w:cs="Arial"/>
                <w:noProof/>
                <w:webHidden/>
              </w:rPr>
              <w:t>6</w:t>
            </w:r>
            <w:r w:rsidRPr="00121FF7">
              <w:rPr>
                <w:rFonts w:ascii="Arial" w:hAnsi="Arial" w:cs="Arial"/>
                <w:noProof/>
                <w:webHidden/>
              </w:rPr>
              <w:fldChar w:fldCharType="end"/>
            </w:r>
          </w:hyperlink>
        </w:p>
        <w:p w14:paraId="2A1634BE" w14:textId="11FF247C" w:rsidR="00121FF7" w:rsidRPr="00121FF7" w:rsidRDefault="00121FF7">
          <w:pPr>
            <w:rPr>
              <w:rFonts w:ascii="Arial" w:hAnsi="Arial" w:cs="Arial"/>
            </w:rPr>
          </w:pPr>
          <w:r w:rsidRPr="00121FF7">
            <w:rPr>
              <w:rFonts w:ascii="Arial" w:hAnsi="Arial" w:cs="Arial"/>
              <w:b/>
              <w:bCs/>
              <w:noProof/>
            </w:rPr>
            <w:fldChar w:fldCharType="end"/>
          </w:r>
        </w:p>
      </w:sdtContent>
    </w:sdt>
    <w:p w14:paraId="19C6B2DF"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13F62496"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748E29F2"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25AEFB10"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3B09ED61"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0525AC34"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28E25011"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1476AC90"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11BED220"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05E68A59"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1BBC02CE"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07E37A5F"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1B0E6500"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0CE71A14"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6C7DC135"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0FD3D19F"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20578177"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3D40ACD4"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44E1F1FF"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461F8ED1"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56877E9D"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1323917B"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4F2834D4" w14:textId="0B6DECD6" w:rsidR="00121FF7" w:rsidRPr="00121FF7" w:rsidRDefault="00121FF7" w:rsidP="00121FF7">
      <w:pPr>
        <w:pStyle w:val="Ttulo1"/>
        <w:rPr>
          <w:rFonts w:ascii="Arial" w:hAnsi="Arial" w:cs="Arial"/>
          <w:b/>
          <w:bCs/>
          <w:color w:val="000000" w:themeColor="text1"/>
          <w:sz w:val="26"/>
          <w:szCs w:val="26"/>
          <w:lang w:val="en-US"/>
        </w:rPr>
      </w:pPr>
      <w:r w:rsidRPr="00121FF7">
        <w:rPr>
          <w:rFonts w:ascii="Arial" w:hAnsi="Arial" w:cs="Arial"/>
          <w:b/>
          <w:bCs/>
          <w:color w:val="000000" w:themeColor="text1"/>
          <w:sz w:val="26"/>
          <w:szCs w:val="26"/>
          <w:lang w:val="en-US"/>
        </w:rPr>
        <w:lastRenderedPageBreak/>
        <w:t>Effective Communication, Administrative Practice and Collaborative Working in the Care of Mrs Thompson</w:t>
      </w:r>
    </w:p>
    <w:p w14:paraId="547F87A6" w14:textId="77777777" w:rsidR="00121FF7" w:rsidRPr="00121FF7" w:rsidRDefault="00121FF7" w:rsidP="00121FF7">
      <w:pPr>
        <w:autoSpaceDE w:val="0"/>
        <w:autoSpaceDN w:val="0"/>
        <w:adjustRightInd w:val="0"/>
        <w:spacing w:after="0" w:line="240" w:lineRule="auto"/>
        <w:rPr>
          <w:rFonts w:ascii="Arial" w:hAnsi="Arial" w:cs="Arial"/>
          <w:b/>
          <w:bCs/>
          <w:color w:val="000000" w:themeColor="text1"/>
          <w:kern w:val="0"/>
          <w:sz w:val="26"/>
          <w:szCs w:val="26"/>
          <w:lang w:val="en-US"/>
        </w:rPr>
      </w:pPr>
    </w:p>
    <w:p w14:paraId="3B83D4F4" w14:textId="77777777" w:rsidR="00121FF7" w:rsidRPr="00121FF7" w:rsidRDefault="00121FF7" w:rsidP="00121FF7">
      <w:pPr>
        <w:pStyle w:val="Ttulo1"/>
        <w:rPr>
          <w:rFonts w:ascii="Arial" w:hAnsi="Arial" w:cs="Arial"/>
          <w:b/>
          <w:bCs/>
          <w:color w:val="000000" w:themeColor="text1"/>
          <w:sz w:val="26"/>
          <w:szCs w:val="26"/>
          <w:lang w:val="en-US"/>
        </w:rPr>
      </w:pPr>
      <w:bookmarkStart w:id="18" w:name="_Toc238022915"/>
      <w:r w:rsidRPr="00121FF7">
        <w:rPr>
          <w:rFonts w:ascii="Arial" w:hAnsi="Arial" w:cs="Arial"/>
          <w:b/>
          <w:bCs/>
          <w:color w:val="000000" w:themeColor="text1"/>
          <w:sz w:val="26"/>
          <w:szCs w:val="26"/>
          <w:lang w:val="en-US"/>
        </w:rPr>
        <w:t>Introduction</w:t>
      </w:r>
      <w:bookmarkEnd w:id="18"/>
    </w:p>
    <w:p w14:paraId="4B8D72D3" w14:textId="77777777" w:rsidR="00121FF7" w:rsidRPr="00121FF7" w:rsidRDefault="00121FF7" w:rsidP="00121FF7">
      <w:pPr>
        <w:autoSpaceDE w:val="0"/>
        <w:autoSpaceDN w:val="0"/>
        <w:adjustRightInd w:val="0"/>
        <w:spacing w:after="0" w:line="240" w:lineRule="auto"/>
        <w:rPr>
          <w:rFonts w:ascii="Arial" w:hAnsi="Arial" w:cs="Arial"/>
          <w:b/>
          <w:bCs/>
          <w:kern w:val="0"/>
          <w:sz w:val="22"/>
          <w:szCs w:val="22"/>
          <w:lang w:val="en-US"/>
        </w:rPr>
      </w:pPr>
      <w:r w:rsidRPr="00121FF7">
        <w:rPr>
          <w:rFonts w:ascii="Arial" w:hAnsi="Arial" w:cs="Arial"/>
          <w:kern w:val="0"/>
          <w:sz w:val="22"/>
          <w:szCs w:val="22"/>
          <w:lang w:val="en-US"/>
        </w:rPr>
        <w:t>Mrs Thompson is an 84-year-old woman who was recently discharged from hospital after receiving treatment for pneumonia. She lives alone in sheltered accommodation and receives domiciliary care twice daily. Mrs Thompson also has mild dementia, which affects her memory and can make it difficult for her to carry out daily activities independently. Recently, concerns were raised when she missed taking her medication for two consecutive days, resulting in increased confusion. An incident report was completed, and a medication review was requested. In addition, Mrs Thompson was found outside during cold weather without appropriate clothing, creating concerns about her safety and wellbeing. As a result, the local authority initiated a review of her care needs. This case highlights the importance of effective communication, good administrative practice and collaborative working in health and social care settings. These principles are essential for promoting safety, dignity, independence and person-centred care. This essay will discuss how communication, record keeping and partnership working contribute to the support of Mrs Thompson while considering relevant legislation and professional frameworks.</w:t>
      </w:r>
    </w:p>
    <w:p w14:paraId="0C7AEEDC" w14:textId="77777777" w:rsidR="00121FF7" w:rsidRPr="00121FF7" w:rsidRDefault="00121FF7" w:rsidP="00121FF7">
      <w:pPr>
        <w:autoSpaceDE w:val="0"/>
        <w:autoSpaceDN w:val="0"/>
        <w:adjustRightInd w:val="0"/>
        <w:spacing w:after="0" w:line="240" w:lineRule="auto"/>
        <w:rPr>
          <w:rFonts w:ascii="Arial" w:hAnsi="Arial" w:cs="Arial"/>
          <w:b/>
          <w:bCs/>
          <w:kern w:val="0"/>
          <w:sz w:val="26"/>
          <w:szCs w:val="26"/>
          <w:lang w:val="en-US"/>
        </w:rPr>
      </w:pPr>
    </w:p>
    <w:p w14:paraId="632A181B" w14:textId="77777777" w:rsidR="00121FF7" w:rsidRPr="00121FF7" w:rsidRDefault="00121FF7" w:rsidP="00121FF7">
      <w:pPr>
        <w:pStyle w:val="Ttulo1"/>
        <w:rPr>
          <w:rFonts w:ascii="Arial" w:hAnsi="Arial" w:cs="Arial"/>
          <w:b/>
          <w:bCs/>
          <w:color w:val="000000" w:themeColor="text1"/>
          <w:sz w:val="26"/>
          <w:szCs w:val="26"/>
          <w:lang w:val="en-US"/>
        </w:rPr>
      </w:pPr>
      <w:bookmarkStart w:id="19" w:name="_Toc238022916"/>
      <w:r w:rsidRPr="00121FF7">
        <w:rPr>
          <w:rFonts w:ascii="Arial" w:hAnsi="Arial" w:cs="Arial"/>
          <w:b/>
          <w:bCs/>
          <w:color w:val="000000" w:themeColor="text1"/>
          <w:sz w:val="26"/>
          <w:szCs w:val="26"/>
          <w:lang w:val="en-US"/>
        </w:rPr>
        <w:t>Importance of Effective Communication</w:t>
      </w:r>
      <w:bookmarkEnd w:id="19"/>
    </w:p>
    <w:p w14:paraId="60EBA7C3"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Effective communication is one of the most important aspects of health and social care practice. It allows professionals to understand the needs of service users, establish trust, build positive relationships and provide safe and effective care. According to the NHS (2025), communication becomes particularly important when supporting individuals living with dementia because cognitive changes may affect memory, concentration and understanding. In Mrs Thompson’s case, poor communication could contribute to medication errors, increased confusion and situations that place her health and safety at risk.</w:t>
      </w:r>
    </w:p>
    <w:p w14:paraId="4B8FC984"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Healthcare professionals should therefore adapt their communication methods to meet Mrs Thompson’s individual needs. Using simple language, short sentences and a calm tone of voice can improve understanding and reduce anxiety. Care workers should allow additional time for responses and avoid rushing conversations. Maintaining eye contact and reducing environmental distractions can also support effective communication. These strategies help ensure that Mrs Thompson remains actively involved in decisions regarding her care, promoting independence and dignity.</w:t>
      </w:r>
    </w:p>
    <w:p w14:paraId="6632B973"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Visual communication methods may also be beneficial. Written reminders, medication charts, calendars and labelled storage areas can help compensate for memory difficulties. Research suggests that visual prompts can support people living with dementia by reinforcing routines and encouraging independence (NHS, 2025). In Mrs Thompson’s case, a medication schedule displayed in a visible location may help reduce the risk of missed doses and support adherence to treatment.</w:t>
      </w:r>
    </w:p>
    <w:p w14:paraId="43014B37"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Communication with family members is equally important. Family members often have detailed knowledge of an individual’s personality, routines, preferences and behaviour patterns. They may notice subtle changes in health or wellbeing before professionals become aware of them. According to Skills for Care (2024), involving families in care planning can improve outcomes and promote person-centred care. In Mrs Thompson’s case, relatives may provide valuable information regarding her daily functioning, medication habits and any recent changes in behaviour. This information can support professionals in making informed decisions about her care needs.</w:t>
      </w:r>
    </w:p>
    <w:p w14:paraId="23AF600A"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lastRenderedPageBreak/>
        <w:t>The Equality Act 2010 is particularly relevant when considering communication and access to services. The Act protects individuals from discrimination based on protected characteristics, including age and disability (UK Government, 2010). As Mrs Thompson has dementia, healthcare providers have a responsibility to make reasonable adjustments to ensure she can access services on an equal basis with others. This may include adapting communication methods, providing information in accessible formats and allowing additional time during assessments. Such adjustments help maintain dignity, respect and inclusion while ensuring that Mrs Thompson receives equitable care.</w:t>
      </w:r>
    </w:p>
    <w:p w14:paraId="1A04180E"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One communication model that can be applied to this case is Egan's SOLER model. The SOLER model focuses on active listening and non-verbal communication skills that help professionals build trust and understanding with service users. The model encourages practitioners to sit facing the individual, maintain an open posture, lean slightly forward, maintain appropriate eye contact and remain relaxed during interactions (Egan, 1975). These behaviours help create a supportive environment and encourage effective communication. In Mrs Thompson’s case, using the SOLER model could help care workers communicate more effectively by reducing anxiety and increasing understanding. For example, maintaining eye contact, speaking calmly and demonstrating attentive body language may help Mrs Thompson feel respected and supported when discussing medication management or care decisions. As a result, the model can improve engagement, strengthen relationships and support person-centred care.</w:t>
      </w:r>
    </w:p>
    <w:p w14:paraId="2A1BA24F"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Communication also plays a significant role in safeguarding vulnerable adults. Safeguarding involves protecting individuals from abuse, neglect and avoidable harm (SCIE, 2024). The incident where Mrs Thompson was found outside in cold weather without suitable clothing may indicate confusion, self-neglect or an increased vulnerability to harm. Effective communication allows professionals to identify risks early, discuss concerns with the service user and involve appropriate agencies when necessary. Through open communication and regular monitoring, professionals can help prevent further incidents and support Mrs Thompson’s wellbeing.</w:t>
      </w:r>
    </w:p>
    <w:p w14:paraId="012E86A5"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p>
    <w:p w14:paraId="70F02887" w14:textId="77777777" w:rsidR="00121FF7" w:rsidRPr="00121FF7" w:rsidRDefault="00121FF7" w:rsidP="00121FF7">
      <w:pPr>
        <w:pStyle w:val="Ttulo1"/>
        <w:rPr>
          <w:rFonts w:ascii="Arial" w:hAnsi="Arial" w:cs="Arial"/>
          <w:b/>
          <w:bCs/>
          <w:color w:val="000000" w:themeColor="text1"/>
          <w:sz w:val="26"/>
          <w:szCs w:val="26"/>
          <w:lang w:val="en-US"/>
        </w:rPr>
      </w:pPr>
      <w:bookmarkStart w:id="20" w:name="_Toc238022917"/>
      <w:r w:rsidRPr="00121FF7">
        <w:rPr>
          <w:rFonts w:ascii="Arial" w:hAnsi="Arial" w:cs="Arial"/>
          <w:b/>
          <w:bCs/>
          <w:color w:val="000000" w:themeColor="text1"/>
          <w:sz w:val="26"/>
          <w:szCs w:val="26"/>
          <w:lang w:val="en-US"/>
        </w:rPr>
        <w:t>Importance of Good Administrative Skills</w:t>
      </w:r>
      <w:bookmarkEnd w:id="20"/>
    </w:p>
    <w:p w14:paraId="484FB2E9"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Alongside effective communication, good administrative practice is essential for delivering safe, high-quality care. Administrative responsibilities include maintaining accurate records, completing incident reports, updating care plans and ensuring information is shared appropriately. These activities provide a clear record of care delivery and support informed decision-making.</w:t>
      </w:r>
    </w:p>
    <w:p w14:paraId="348F8137"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Accurate record keeping is particularly important in Mrs Thompson’s case because it enables professionals to monitor changes in her condition over time. Documentation relating to medication administration, health observations, incidents and daily care activities provides valuable evidence that can be used to assess risks and evaluate the effectiveness of interventions. According to the Care Quality Commission (2024), good record keeping supports continuity of care by ensuring that all professionals involved have access to accurate and up-to-date information.</w:t>
      </w:r>
    </w:p>
    <w:p w14:paraId="005CFC64"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The medication incident demonstrates the importance of effective documentation. By recording the missed medication and resulting confusion, professionals were able to identify a potential risk and initiate a medication review. Without accurate records, this issue may have gone unnoticed, increasing the likelihood of further complications. Documentation therefore contributes directly to patient safety and quality improvement.</w:t>
      </w:r>
    </w:p>
    <w:p w14:paraId="0A4B40E7"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 xml:space="preserve">Confidentiality and data protection are also fundamental aspects of administrative practice. The Data Protection Act 2018 requires organisations to process personal information lawfully, securely and transparently (UK Government, 2018). Information regarding Mrs Thompson’s health conditions, medication and personal circumstances must only be shared with authorised individuals who are directly involved in her care. Protecting confidential information helps maintain trust between service users, families and healthcare providers. </w:t>
      </w:r>
      <w:r w:rsidRPr="00121FF7">
        <w:rPr>
          <w:rFonts w:ascii="Arial" w:hAnsi="Arial" w:cs="Arial"/>
          <w:kern w:val="0"/>
          <w:sz w:val="22"/>
          <w:szCs w:val="22"/>
          <w:lang w:val="en-US"/>
        </w:rPr>
        <w:lastRenderedPageBreak/>
        <w:t>Families are often more confident in care services when they know personal information is handled responsibly and professionally.</w:t>
      </w:r>
    </w:p>
    <w:p w14:paraId="040596B8"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The Care Act 2014 provides an important framework for supporting adults who require care and support. The Act places a duty on local authorities to promote wellbeing, prevent deterioration and safeguard vulnerable adults (Department of Health and Social Care, 2014). Mrs Thompson’s case clearly demonstrates the relevance of these responsibilities. Her missed medication and the incident involving inappropriate clothing indicate potential risks that require assessment and intervention. A review of her care needs may identify additional support measures, such as increased care visits, medication assistance or enhanced monitoring.</w:t>
      </w:r>
    </w:p>
    <w:p w14:paraId="6573C68E"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The Mental Capacity Act 2005 is equally significant. Although Mrs Thompson has mild dementia, professionals must not automatically assume she lacks capacity to make decisions. The Act states that every adult should be presumed to have capacity unless proven otherwise (UK Government, 2005). Individuals should be supported to make their own decisions whenever possible. In practice, this may involve presenting information in a clear and accessible manner, allowing extra time for decision-making and ensuring that communication methods meet the person’s needs. If Mrs Thompson is found to lack capacity regarding a specific decision, any action taken must be in her best interests while respecting her rights and preferences.</w:t>
      </w:r>
    </w:p>
    <w:p w14:paraId="25952F99"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Administrative practice also promotes accountability. Incident reporting systems allow organisations to investigate concerns, identify underlying causes and implement improvements. Learning from incidents is a key component of quality assurance and risk management. In Mrs Thompson’s case, the medication incident provides an opportunity to review existing procedures and consider strategies that may reduce future risks, such as medication reminders, electronic monitoring systems or additional support from care staff.</w:t>
      </w:r>
    </w:p>
    <w:p w14:paraId="674FD6BF"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p>
    <w:p w14:paraId="7CEE593D" w14:textId="77777777" w:rsidR="00121FF7" w:rsidRPr="00121FF7" w:rsidRDefault="00121FF7" w:rsidP="00121FF7">
      <w:pPr>
        <w:pStyle w:val="Ttulo1"/>
        <w:rPr>
          <w:rFonts w:ascii="Arial" w:hAnsi="Arial" w:cs="Arial"/>
          <w:b/>
          <w:bCs/>
          <w:color w:val="000000" w:themeColor="text1"/>
          <w:sz w:val="26"/>
          <w:szCs w:val="26"/>
          <w:lang w:val="en-US"/>
        </w:rPr>
      </w:pPr>
      <w:bookmarkStart w:id="21" w:name="_Toc238022918"/>
      <w:r w:rsidRPr="00121FF7">
        <w:rPr>
          <w:rFonts w:ascii="Arial" w:hAnsi="Arial" w:cs="Arial"/>
          <w:b/>
          <w:bCs/>
          <w:color w:val="000000" w:themeColor="text1"/>
          <w:sz w:val="26"/>
          <w:szCs w:val="26"/>
          <w:lang w:val="en-US"/>
        </w:rPr>
        <w:t>Importance of Working Collaboratively</w:t>
      </w:r>
      <w:bookmarkEnd w:id="21"/>
    </w:p>
    <w:p w14:paraId="5EE28307"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Collaborative working is another essential element of health and social care practice. Individuals with complex needs often require support from multiple professionals and organisations. Effective partnership working ensures that care is coordinated, information is shared appropriately and services are delivered efficiently.</w:t>
      </w:r>
    </w:p>
    <w:p w14:paraId="32C985C6"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Mrs Thompson’s care involves a range of professionals, including general practitioners, community nurses, domiciliary care workers, pharmacists and social workers. Each professional contributes specialist knowledge and skills that support different aspects of her care. The GP may review her medication and overall health status. Community nurses can monitor her recovery from pneumonia and assess any ongoing physical health concerns. Care workers provide practical support and are often the first to identify changes in behaviour or wellbeing. Pharmacists can advise on medication management, while social workers can coordinate services and conduct care assessments.</w:t>
      </w:r>
    </w:p>
    <w:p w14:paraId="781DDBC9"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Working collaboratively offers several benefits. It allows professionals to share information, reduce duplication of services and develop comprehensive care plans that address all aspects of an individual’s needs. According to the NHS (2025), integrated care approaches improve outcomes by ensuring that services work together around the needs of the person rather than operating independently.</w:t>
      </w:r>
    </w:p>
    <w:p w14:paraId="2C85AC93"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Despite these benefits, challenges may arise. Different organisations may use separate systems, have different priorities or experience communication delays. Poor information sharing can lead to fragmented care and increase risks for vulnerable individuals. In Mrs Thompson’s case, delays in communicating concerns about medication adherence could result in further health complications. To overcome these challenges, professionals should engage in regular meetings, maintain accurate records and use shared care plans whenever possible. Effective leadership and clear communication channels are also essential for successful partnership working.</w:t>
      </w:r>
    </w:p>
    <w:p w14:paraId="1F3A554D"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lastRenderedPageBreak/>
        <w:t>Ultimately, collaborative working supports person-centred care by ensuring that all decisions are focused on the needs, preferences and wellbeing of the service user. Through effective teamwork, professionals can provide coordinated support that promotes safety, independence and quality of life.</w:t>
      </w:r>
    </w:p>
    <w:p w14:paraId="1BE732E8" w14:textId="77777777" w:rsidR="00121FF7" w:rsidRPr="00121FF7" w:rsidRDefault="00121FF7" w:rsidP="00121FF7">
      <w:pPr>
        <w:autoSpaceDE w:val="0"/>
        <w:autoSpaceDN w:val="0"/>
        <w:adjustRightInd w:val="0"/>
        <w:spacing w:after="0" w:line="240" w:lineRule="auto"/>
        <w:rPr>
          <w:rFonts w:ascii="Arial" w:hAnsi="Arial" w:cs="Arial"/>
          <w:b/>
          <w:bCs/>
          <w:kern w:val="0"/>
          <w:sz w:val="22"/>
          <w:szCs w:val="22"/>
          <w:lang w:val="en-US"/>
        </w:rPr>
      </w:pPr>
    </w:p>
    <w:p w14:paraId="0F98B026" w14:textId="77777777" w:rsidR="00121FF7" w:rsidRPr="00121FF7" w:rsidRDefault="00121FF7" w:rsidP="00121FF7">
      <w:pPr>
        <w:pStyle w:val="Ttulo1"/>
        <w:rPr>
          <w:rFonts w:ascii="Arial" w:hAnsi="Arial" w:cs="Arial"/>
          <w:b/>
          <w:bCs/>
          <w:color w:val="000000" w:themeColor="text1"/>
          <w:sz w:val="26"/>
          <w:szCs w:val="26"/>
          <w:lang w:val="en-US"/>
        </w:rPr>
      </w:pPr>
      <w:bookmarkStart w:id="22" w:name="_Toc238022919"/>
      <w:r w:rsidRPr="00121FF7">
        <w:rPr>
          <w:rFonts w:ascii="Arial" w:hAnsi="Arial" w:cs="Arial"/>
          <w:b/>
          <w:bCs/>
          <w:color w:val="000000" w:themeColor="text1"/>
          <w:sz w:val="26"/>
          <w:szCs w:val="26"/>
          <w:lang w:val="en-US"/>
        </w:rPr>
        <w:t>Conclusion</w:t>
      </w:r>
      <w:bookmarkEnd w:id="22"/>
    </w:p>
    <w:p w14:paraId="6FAA4851"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Mrs Thompson’s case highlights the importance of effective communication, good administrative practice and collaborative working within health and social care. Her dementia, medication concerns and recent safety incidents demonstrate the need for clear communication, accurate documentation and coordinated professional support. Effective communication enables professionals to understand her needs, involve her in decision-making and build trusting relationships. Good administrative practice supports accountability, continuity of care and risk management through accurate record keeping and appropriate information sharing. Legislation such as the Equality Act 2010, Care Act 2014, Mental Capacity Act 2005 and Data Protection Act 2018 provides an essential framework for protecting vulnerable adults while promoting independence and wellbeing. Finally, collaborative working ensures that professionals can share expertise, coordinate services and deliver person-centred care. By applying these principles, health and social care professionals can help ensure that Mrs Thompson receives safe, effective and compassionate support that enhances her quality of life.</w:t>
      </w:r>
    </w:p>
    <w:p w14:paraId="72A53333"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 </w:t>
      </w:r>
    </w:p>
    <w:p w14:paraId="46AA1B65" w14:textId="77777777" w:rsidR="00121FF7" w:rsidRPr="00121FF7" w:rsidRDefault="00121FF7" w:rsidP="00121FF7">
      <w:pPr>
        <w:pStyle w:val="Ttulo1"/>
        <w:rPr>
          <w:rFonts w:ascii="Arial" w:hAnsi="Arial" w:cs="Arial"/>
          <w:b/>
          <w:bCs/>
          <w:color w:val="000000" w:themeColor="text1"/>
          <w:sz w:val="26"/>
          <w:szCs w:val="26"/>
          <w:lang w:val="en-US"/>
        </w:rPr>
      </w:pPr>
      <w:bookmarkStart w:id="23" w:name="_Toc238022920"/>
      <w:r w:rsidRPr="00121FF7">
        <w:rPr>
          <w:rFonts w:ascii="Arial" w:hAnsi="Arial" w:cs="Arial"/>
          <w:b/>
          <w:bCs/>
          <w:color w:val="000000" w:themeColor="text1"/>
          <w:sz w:val="26"/>
          <w:szCs w:val="26"/>
          <w:lang w:val="en-US"/>
        </w:rPr>
        <w:t>References</w:t>
      </w:r>
      <w:bookmarkEnd w:id="23"/>
    </w:p>
    <w:p w14:paraId="06E9D2E1"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 xml:space="preserve">Egan, G. (1975) </w:t>
      </w:r>
      <w:r w:rsidRPr="00121FF7">
        <w:rPr>
          <w:rFonts w:ascii="Arial" w:hAnsi="Arial" w:cs="Arial"/>
          <w:i/>
          <w:iCs/>
          <w:kern w:val="0"/>
          <w:sz w:val="22"/>
          <w:szCs w:val="22"/>
          <w:lang w:val="en-US"/>
        </w:rPr>
        <w:t>The Skilled Helper: A Model for Systematic Helping and Interpersonal Relating</w:t>
      </w:r>
      <w:r w:rsidRPr="00121FF7">
        <w:rPr>
          <w:rFonts w:ascii="Arial" w:hAnsi="Arial" w:cs="Arial"/>
          <w:kern w:val="0"/>
          <w:sz w:val="22"/>
          <w:szCs w:val="22"/>
          <w:lang w:val="en-US"/>
        </w:rPr>
        <w:t>. Monterey, CA: Brooks/Cole.</w:t>
      </w:r>
    </w:p>
    <w:p w14:paraId="534BA567"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Care Quality Commission (2024) </w:t>
      </w:r>
      <w:r w:rsidRPr="00121FF7">
        <w:rPr>
          <w:rFonts w:ascii="Arial" w:hAnsi="Arial" w:cs="Arial"/>
          <w:i/>
          <w:iCs/>
          <w:kern w:val="0"/>
          <w:sz w:val="22"/>
          <w:szCs w:val="22"/>
          <w:lang w:val="en-US"/>
        </w:rPr>
        <w:t>Guidance for providers on meeting the regulations</w:t>
      </w:r>
      <w:r w:rsidRPr="00121FF7">
        <w:rPr>
          <w:rFonts w:ascii="Arial" w:hAnsi="Arial" w:cs="Arial"/>
          <w:kern w:val="0"/>
          <w:sz w:val="22"/>
          <w:szCs w:val="22"/>
          <w:lang w:val="en-US"/>
        </w:rPr>
        <w:t>. Available at: </w:t>
      </w:r>
      <w:hyperlink r:id="rId7" w:history="1">
        <w:r w:rsidRPr="00121FF7">
          <w:rPr>
            <w:rFonts w:ascii="Arial" w:hAnsi="Arial" w:cs="Arial"/>
            <w:kern w:val="0"/>
            <w:sz w:val="22"/>
            <w:szCs w:val="22"/>
            <w:u w:val="single"/>
            <w:lang w:val="en-US"/>
          </w:rPr>
          <w:t>https://www.cqc.org.uk</w:t>
        </w:r>
      </w:hyperlink>
      <w:r w:rsidRPr="00121FF7">
        <w:rPr>
          <w:rFonts w:ascii="Arial" w:hAnsi="Arial" w:cs="Arial"/>
          <w:kern w:val="0"/>
          <w:sz w:val="22"/>
          <w:szCs w:val="22"/>
          <w:lang w:val="en-US"/>
        </w:rPr>
        <w:t> (Accessed: 16 July 2026).</w:t>
      </w:r>
    </w:p>
    <w:p w14:paraId="18154BF1"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Department of Health and Social Care (2014) </w:t>
      </w:r>
      <w:r w:rsidRPr="00121FF7">
        <w:rPr>
          <w:rFonts w:ascii="Arial" w:hAnsi="Arial" w:cs="Arial"/>
          <w:i/>
          <w:iCs/>
          <w:kern w:val="0"/>
          <w:sz w:val="22"/>
          <w:szCs w:val="22"/>
          <w:lang w:val="en-US"/>
        </w:rPr>
        <w:t>Care Act 2014</w:t>
      </w:r>
      <w:r w:rsidRPr="00121FF7">
        <w:rPr>
          <w:rFonts w:ascii="Arial" w:hAnsi="Arial" w:cs="Arial"/>
          <w:kern w:val="0"/>
          <w:sz w:val="22"/>
          <w:szCs w:val="22"/>
          <w:lang w:val="en-US"/>
        </w:rPr>
        <w:t>. Available at: </w:t>
      </w:r>
      <w:hyperlink r:id="rId8" w:history="1">
        <w:r w:rsidRPr="00121FF7">
          <w:rPr>
            <w:rFonts w:ascii="Arial" w:hAnsi="Arial" w:cs="Arial"/>
            <w:kern w:val="0"/>
            <w:sz w:val="22"/>
            <w:szCs w:val="22"/>
            <w:u w:val="single"/>
            <w:lang w:val="en-US"/>
          </w:rPr>
          <w:t>https://www.legislation.gov.uk/ukpga/2014/23/contents</w:t>
        </w:r>
      </w:hyperlink>
      <w:r w:rsidRPr="00121FF7">
        <w:rPr>
          <w:rFonts w:ascii="Arial" w:hAnsi="Arial" w:cs="Arial"/>
          <w:kern w:val="0"/>
          <w:sz w:val="22"/>
          <w:szCs w:val="22"/>
          <w:lang w:val="en-US"/>
        </w:rPr>
        <w:t> (Accessed: 16 July 2026).</w:t>
      </w:r>
    </w:p>
    <w:p w14:paraId="040F2922"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National Health Service (2025) </w:t>
      </w:r>
      <w:r w:rsidRPr="00121FF7">
        <w:rPr>
          <w:rFonts w:ascii="Arial" w:hAnsi="Arial" w:cs="Arial"/>
          <w:i/>
          <w:iCs/>
          <w:kern w:val="0"/>
          <w:sz w:val="22"/>
          <w:szCs w:val="22"/>
          <w:lang w:val="en-US"/>
        </w:rPr>
        <w:t>Dementia</w:t>
      </w:r>
      <w:r w:rsidRPr="00121FF7">
        <w:rPr>
          <w:rFonts w:ascii="Arial" w:hAnsi="Arial" w:cs="Arial"/>
          <w:kern w:val="0"/>
          <w:sz w:val="22"/>
          <w:szCs w:val="22"/>
          <w:lang w:val="en-US"/>
        </w:rPr>
        <w:t>. Available at: </w:t>
      </w:r>
      <w:hyperlink r:id="rId9" w:history="1">
        <w:r w:rsidRPr="00121FF7">
          <w:rPr>
            <w:rFonts w:ascii="Arial" w:hAnsi="Arial" w:cs="Arial"/>
            <w:kern w:val="0"/>
            <w:sz w:val="22"/>
            <w:szCs w:val="22"/>
            <w:u w:val="single"/>
            <w:lang w:val="en-US"/>
          </w:rPr>
          <w:t>https://www.nhs.uk/conditions/dementia/</w:t>
        </w:r>
      </w:hyperlink>
      <w:r w:rsidRPr="00121FF7">
        <w:rPr>
          <w:rFonts w:ascii="Arial" w:hAnsi="Arial" w:cs="Arial"/>
          <w:kern w:val="0"/>
          <w:sz w:val="22"/>
          <w:szCs w:val="22"/>
          <w:lang w:val="en-US"/>
        </w:rPr>
        <w:t> (Accessed: 16 July 2026).</w:t>
      </w:r>
    </w:p>
    <w:p w14:paraId="54A9A2E4"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SCIE (2024) </w:t>
      </w:r>
      <w:r w:rsidRPr="00121FF7">
        <w:rPr>
          <w:rFonts w:ascii="Arial" w:hAnsi="Arial" w:cs="Arial"/>
          <w:i/>
          <w:iCs/>
          <w:kern w:val="0"/>
          <w:sz w:val="22"/>
          <w:szCs w:val="22"/>
          <w:lang w:val="en-US"/>
        </w:rPr>
        <w:t>Safeguarding Adults</w:t>
      </w:r>
      <w:r w:rsidRPr="00121FF7">
        <w:rPr>
          <w:rFonts w:ascii="Arial" w:hAnsi="Arial" w:cs="Arial"/>
          <w:kern w:val="0"/>
          <w:sz w:val="22"/>
          <w:szCs w:val="22"/>
          <w:lang w:val="en-US"/>
        </w:rPr>
        <w:t>. Available at: </w:t>
      </w:r>
      <w:hyperlink r:id="rId10" w:history="1">
        <w:r w:rsidRPr="00121FF7">
          <w:rPr>
            <w:rFonts w:ascii="Arial" w:hAnsi="Arial" w:cs="Arial"/>
            <w:kern w:val="0"/>
            <w:sz w:val="22"/>
            <w:szCs w:val="22"/>
            <w:u w:val="single"/>
            <w:lang w:val="en-US"/>
          </w:rPr>
          <w:t>https://www.scie.org.uk/safeguarding/adults/</w:t>
        </w:r>
      </w:hyperlink>
      <w:r w:rsidRPr="00121FF7">
        <w:rPr>
          <w:rFonts w:ascii="Arial" w:hAnsi="Arial" w:cs="Arial"/>
          <w:kern w:val="0"/>
          <w:sz w:val="22"/>
          <w:szCs w:val="22"/>
          <w:lang w:val="en-US"/>
        </w:rPr>
        <w:t> (Accessed: 16 July 2026).</w:t>
      </w:r>
    </w:p>
    <w:p w14:paraId="0ADADEBF"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Skills for Care (2024) </w:t>
      </w:r>
      <w:r w:rsidRPr="00121FF7">
        <w:rPr>
          <w:rFonts w:ascii="Arial" w:hAnsi="Arial" w:cs="Arial"/>
          <w:i/>
          <w:iCs/>
          <w:kern w:val="0"/>
          <w:sz w:val="22"/>
          <w:szCs w:val="22"/>
          <w:lang w:val="en-US"/>
        </w:rPr>
        <w:t>Good Record Keeping</w:t>
      </w:r>
      <w:r w:rsidRPr="00121FF7">
        <w:rPr>
          <w:rFonts w:ascii="Arial" w:hAnsi="Arial" w:cs="Arial"/>
          <w:kern w:val="0"/>
          <w:sz w:val="22"/>
          <w:szCs w:val="22"/>
          <w:lang w:val="en-US"/>
        </w:rPr>
        <w:t>. Available at: </w:t>
      </w:r>
      <w:hyperlink r:id="rId11" w:history="1">
        <w:r w:rsidRPr="00121FF7">
          <w:rPr>
            <w:rFonts w:ascii="Arial" w:hAnsi="Arial" w:cs="Arial"/>
            <w:kern w:val="0"/>
            <w:sz w:val="22"/>
            <w:szCs w:val="22"/>
            <w:u w:val="single"/>
            <w:lang w:val="en-US"/>
          </w:rPr>
          <w:t>https://www.skillsforcare.org.uk</w:t>
        </w:r>
      </w:hyperlink>
      <w:r w:rsidRPr="00121FF7">
        <w:rPr>
          <w:rFonts w:ascii="Arial" w:hAnsi="Arial" w:cs="Arial"/>
          <w:kern w:val="0"/>
          <w:sz w:val="22"/>
          <w:szCs w:val="22"/>
          <w:lang w:val="en-US"/>
        </w:rPr>
        <w:t> (Accessed: 16 July 2026).</w:t>
      </w:r>
    </w:p>
    <w:p w14:paraId="099FF7AB"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UK Government (2005) </w:t>
      </w:r>
      <w:r w:rsidRPr="00121FF7">
        <w:rPr>
          <w:rFonts w:ascii="Arial" w:hAnsi="Arial" w:cs="Arial"/>
          <w:i/>
          <w:iCs/>
          <w:kern w:val="0"/>
          <w:sz w:val="22"/>
          <w:szCs w:val="22"/>
          <w:lang w:val="en-US"/>
        </w:rPr>
        <w:t>Mental Capacity Act 2005</w:t>
      </w:r>
      <w:r w:rsidRPr="00121FF7">
        <w:rPr>
          <w:rFonts w:ascii="Arial" w:hAnsi="Arial" w:cs="Arial"/>
          <w:kern w:val="0"/>
          <w:sz w:val="22"/>
          <w:szCs w:val="22"/>
          <w:lang w:val="en-US"/>
        </w:rPr>
        <w:t>. Available at: </w:t>
      </w:r>
      <w:hyperlink r:id="rId12" w:history="1">
        <w:r w:rsidRPr="00121FF7">
          <w:rPr>
            <w:rFonts w:ascii="Arial" w:hAnsi="Arial" w:cs="Arial"/>
            <w:kern w:val="0"/>
            <w:sz w:val="22"/>
            <w:szCs w:val="22"/>
            <w:u w:val="single"/>
            <w:lang w:val="en-US"/>
          </w:rPr>
          <w:t>https://www.legislation.gov.uk/ukpga/2005/9/contents</w:t>
        </w:r>
      </w:hyperlink>
      <w:r w:rsidRPr="00121FF7">
        <w:rPr>
          <w:rFonts w:ascii="Arial" w:hAnsi="Arial" w:cs="Arial"/>
          <w:kern w:val="0"/>
          <w:sz w:val="22"/>
          <w:szCs w:val="22"/>
          <w:lang w:val="en-US"/>
        </w:rPr>
        <w:t>(Accessed: 16 July 2026).</w:t>
      </w:r>
    </w:p>
    <w:p w14:paraId="58ED0A06"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UK Government (2010) </w:t>
      </w:r>
      <w:r w:rsidRPr="00121FF7">
        <w:rPr>
          <w:rFonts w:ascii="Arial" w:hAnsi="Arial" w:cs="Arial"/>
          <w:i/>
          <w:iCs/>
          <w:kern w:val="0"/>
          <w:sz w:val="22"/>
          <w:szCs w:val="22"/>
          <w:lang w:val="en-US"/>
        </w:rPr>
        <w:t>Equality Act 2010</w:t>
      </w:r>
      <w:r w:rsidRPr="00121FF7">
        <w:rPr>
          <w:rFonts w:ascii="Arial" w:hAnsi="Arial" w:cs="Arial"/>
          <w:kern w:val="0"/>
          <w:sz w:val="22"/>
          <w:szCs w:val="22"/>
          <w:lang w:val="en-US"/>
        </w:rPr>
        <w:t>. Available at: </w:t>
      </w:r>
      <w:hyperlink r:id="rId13" w:history="1">
        <w:r w:rsidRPr="00121FF7">
          <w:rPr>
            <w:rFonts w:ascii="Arial" w:hAnsi="Arial" w:cs="Arial"/>
            <w:kern w:val="0"/>
            <w:sz w:val="22"/>
            <w:szCs w:val="22"/>
            <w:u w:val="single"/>
            <w:lang w:val="en-US"/>
          </w:rPr>
          <w:t>https://www.legislation.gov.uk/ukpga/2010/15/contents</w:t>
        </w:r>
      </w:hyperlink>
      <w:r w:rsidRPr="00121FF7">
        <w:rPr>
          <w:rFonts w:ascii="Arial" w:hAnsi="Arial" w:cs="Arial"/>
          <w:kern w:val="0"/>
          <w:sz w:val="22"/>
          <w:szCs w:val="22"/>
          <w:lang w:val="en-US"/>
        </w:rPr>
        <w:t>(Accessed: 16 July 2026).</w:t>
      </w:r>
    </w:p>
    <w:p w14:paraId="18A67D25"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UK Government (2018) </w:t>
      </w:r>
      <w:r w:rsidRPr="00121FF7">
        <w:rPr>
          <w:rFonts w:ascii="Arial" w:hAnsi="Arial" w:cs="Arial"/>
          <w:i/>
          <w:iCs/>
          <w:kern w:val="0"/>
          <w:sz w:val="22"/>
          <w:szCs w:val="22"/>
          <w:lang w:val="en-US"/>
        </w:rPr>
        <w:t>Data Protection Act 2018</w:t>
      </w:r>
      <w:r w:rsidRPr="00121FF7">
        <w:rPr>
          <w:rFonts w:ascii="Arial" w:hAnsi="Arial" w:cs="Arial"/>
          <w:kern w:val="0"/>
          <w:sz w:val="22"/>
          <w:szCs w:val="22"/>
          <w:lang w:val="en-US"/>
        </w:rPr>
        <w:t>. Available at: </w:t>
      </w:r>
      <w:hyperlink r:id="rId14" w:history="1">
        <w:r w:rsidRPr="00121FF7">
          <w:rPr>
            <w:rFonts w:ascii="Arial" w:hAnsi="Arial" w:cs="Arial"/>
            <w:kern w:val="0"/>
            <w:sz w:val="22"/>
            <w:szCs w:val="22"/>
            <w:u w:val="single"/>
            <w:lang w:val="en-US"/>
          </w:rPr>
          <w:t>https://www.legislation.gov.uk/ukpga/2018/12/contents</w:t>
        </w:r>
      </w:hyperlink>
      <w:r w:rsidRPr="00121FF7">
        <w:rPr>
          <w:rFonts w:ascii="Arial" w:hAnsi="Arial" w:cs="Arial"/>
          <w:kern w:val="0"/>
          <w:sz w:val="22"/>
          <w:szCs w:val="22"/>
          <w:lang w:val="en-US"/>
        </w:rPr>
        <w:t>(Accessed: 16 July 2026).</w:t>
      </w:r>
    </w:p>
    <w:p w14:paraId="461BBCAC" w14:textId="77777777" w:rsidR="00121FF7" w:rsidRPr="00121FF7" w:rsidRDefault="00121FF7" w:rsidP="00121FF7">
      <w:pPr>
        <w:autoSpaceDE w:val="0"/>
        <w:autoSpaceDN w:val="0"/>
        <w:adjustRightInd w:val="0"/>
        <w:spacing w:after="0" w:line="240" w:lineRule="auto"/>
        <w:rPr>
          <w:rFonts w:ascii="Arial" w:hAnsi="Arial" w:cs="Arial"/>
          <w:kern w:val="0"/>
          <w:sz w:val="22"/>
          <w:szCs w:val="22"/>
          <w:lang w:val="en-US"/>
        </w:rPr>
      </w:pPr>
      <w:r w:rsidRPr="00121FF7">
        <w:rPr>
          <w:rFonts w:ascii="Arial" w:hAnsi="Arial" w:cs="Arial"/>
          <w:kern w:val="0"/>
          <w:sz w:val="22"/>
          <w:szCs w:val="22"/>
          <w:lang w:val="en-US"/>
        </w:rPr>
        <w:t> </w:t>
      </w:r>
    </w:p>
    <w:p w14:paraId="5D796F12" w14:textId="77777777" w:rsidR="005F73DC" w:rsidRPr="00121FF7" w:rsidRDefault="005F73DC" w:rsidP="005F73DC">
      <w:pPr>
        <w:spacing w:before="100" w:beforeAutospacing="1" w:after="100" w:afterAutospacing="1" w:line="240" w:lineRule="auto"/>
        <w:rPr>
          <w:rFonts w:ascii="Arial" w:eastAsia="Times New Roman" w:hAnsi="Arial" w:cs="Arial"/>
          <w:b/>
          <w:bCs/>
          <w:color w:val="000000"/>
          <w:kern w:val="0"/>
          <w:sz w:val="22"/>
          <w:szCs w:val="22"/>
          <w:lang w:eastAsia="pt-BR"/>
          <w14:ligatures w14:val="none"/>
        </w:rPr>
      </w:pPr>
    </w:p>
    <w:p w14:paraId="37F6658C" w14:textId="77777777" w:rsidR="005F73DC" w:rsidRPr="00121FF7" w:rsidRDefault="005F73DC">
      <w:pPr>
        <w:rPr>
          <w:rFonts w:ascii="Arial" w:hAnsi="Arial" w:cs="Arial"/>
        </w:rPr>
      </w:pPr>
    </w:p>
    <w:sectPr w:rsidR="005F73DC" w:rsidRPr="00121FF7">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13BA37" w14:textId="77777777" w:rsidR="009E73CA" w:rsidRDefault="009E73CA" w:rsidP="00121FF7">
      <w:pPr>
        <w:spacing w:after="0" w:line="240" w:lineRule="auto"/>
      </w:pPr>
      <w:r>
        <w:separator/>
      </w:r>
    </w:p>
  </w:endnote>
  <w:endnote w:type="continuationSeparator" w:id="0">
    <w:p w14:paraId="28B51071" w14:textId="77777777" w:rsidR="009E73CA" w:rsidRDefault="009E73CA" w:rsidP="00121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1480992606"/>
      <w:docPartObj>
        <w:docPartGallery w:val="Page Numbers (Bottom of Page)"/>
        <w:docPartUnique/>
      </w:docPartObj>
    </w:sdtPr>
    <w:sdtContent>
      <w:p w14:paraId="6A1770E9" w14:textId="3D1E70E2" w:rsidR="00121FF7" w:rsidRDefault="00121FF7" w:rsidP="00544B13">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00F24A42" w14:textId="77777777" w:rsidR="00121FF7" w:rsidRDefault="00121FF7" w:rsidP="00121FF7">
    <w:pPr>
      <w:pStyle w:val="Rodap"/>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1519378267"/>
      <w:docPartObj>
        <w:docPartGallery w:val="Page Numbers (Bottom of Page)"/>
        <w:docPartUnique/>
      </w:docPartObj>
    </w:sdtPr>
    <w:sdtContent>
      <w:p w14:paraId="727DCB3E" w14:textId="57ADA594" w:rsidR="00121FF7" w:rsidRDefault="00121FF7" w:rsidP="00544B13">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4AF34A7F" w14:textId="77777777" w:rsidR="00121FF7" w:rsidRDefault="00121FF7" w:rsidP="00121FF7">
    <w:pPr>
      <w:pStyle w:val="Rodap"/>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899286" w14:textId="77777777" w:rsidR="009E73CA" w:rsidRDefault="009E73CA" w:rsidP="00121FF7">
      <w:pPr>
        <w:spacing w:after="0" w:line="240" w:lineRule="auto"/>
      </w:pPr>
      <w:r>
        <w:separator/>
      </w:r>
    </w:p>
  </w:footnote>
  <w:footnote w:type="continuationSeparator" w:id="0">
    <w:p w14:paraId="4E8BB1B5" w14:textId="77777777" w:rsidR="009E73CA" w:rsidRDefault="009E73CA" w:rsidP="00121FF7">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3DC"/>
    <w:rsid w:val="00121FF7"/>
    <w:rsid w:val="00210256"/>
    <w:rsid w:val="003E04D1"/>
    <w:rsid w:val="005806CA"/>
    <w:rsid w:val="005F73DC"/>
    <w:rsid w:val="009E73CA"/>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D153D79"/>
  <w15:chartTrackingRefBased/>
  <w15:docId w15:val="{DA56192B-42D5-194F-936E-C99EE8CF4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pt-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3DC"/>
  </w:style>
  <w:style w:type="paragraph" w:styleId="Ttulo1">
    <w:name w:val="heading 1"/>
    <w:basedOn w:val="Normal"/>
    <w:next w:val="Normal"/>
    <w:link w:val="Ttulo1Char"/>
    <w:uiPriority w:val="9"/>
    <w:qFormat/>
    <w:rsid w:val="005F73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semiHidden/>
    <w:unhideWhenUsed/>
    <w:qFormat/>
    <w:rsid w:val="005F73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semiHidden/>
    <w:unhideWhenUsed/>
    <w:qFormat/>
    <w:rsid w:val="005F73D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5F73D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5F73D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5F73D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5F73D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5F73D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5F73DC"/>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5F73DC"/>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semiHidden/>
    <w:rsid w:val="005F73DC"/>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semiHidden/>
    <w:rsid w:val="005F73DC"/>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5F73DC"/>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5F73DC"/>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5F73DC"/>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5F73DC"/>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5F73DC"/>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5F73DC"/>
    <w:rPr>
      <w:rFonts w:eastAsiaTheme="majorEastAsia" w:cstheme="majorBidi"/>
      <w:color w:val="272727" w:themeColor="text1" w:themeTint="D8"/>
    </w:rPr>
  </w:style>
  <w:style w:type="paragraph" w:styleId="Ttulo">
    <w:name w:val="Title"/>
    <w:basedOn w:val="Normal"/>
    <w:next w:val="Normal"/>
    <w:link w:val="TtuloChar"/>
    <w:uiPriority w:val="10"/>
    <w:qFormat/>
    <w:rsid w:val="005F7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5F73D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5F73DC"/>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5F73DC"/>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5F73DC"/>
    <w:pPr>
      <w:spacing w:before="160"/>
      <w:jc w:val="center"/>
    </w:pPr>
    <w:rPr>
      <w:i/>
      <w:iCs/>
      <w:color w:val="404040" w:themeColor="text1" w:themeTint="BF"/>
    </w:rPr>
  </w:style>
  <w:style w:type="character" w:customStyle="1" w:styleId="CitaoChar">
    <w:name w:val="Citação Char"/>
    <w:basedOn w:val="Fontepargpadro"/>
    <w:link w:val="Citao"/>
    <w:uiPriority w:val="29"/>
    <w:rsid w:val="005F73DC"/>
    <w:rPr>
      <w:i/>
      <w:iCs/>
      <w:color w:val="404040" w:themeColor="text1" w:themeTint="BF"/>
    </w:rPr>
  </w:style>
  <w:style w:type="paragraph" w:styleId="PargrafodaLista">
    <w:name w:val="List Paragraph"/>
    <w:basedOn w:val="Normal"/>
    <w:uiPriority w:val="34"/>
    <w:qFormat/>
    <w:rsid w:val="005F73DC"/>
    <w:pPr>
      <w:ind w:left="720"/>
      <w:contextualSpacing/>
    </w:pPr>
  </w:style>
  <w:style w:type="character" w:styleId="nfaseIntensa">
    <w:name w:val="Intense Emphasis"/>
    <w:basedOn w:val="Fontepargpadro"/>
    <w:uiPriority w:val="21"/>
    <w:qFormat/>
    <w:rsid w:val="005F73DC"/>
    <w:rPr>
      <w:i/>
      <w:iCs/>
      <w:color w:val="0F4761" w:themeColor="accent1" w:themeShade="BF"/>
    </w:rPr>
  </w:style>
  <w:style w:type="paragraph" w:styleId="CitaoIntensa">
    <w:name w:val="Intense Quote"/>
    <w:basedOn w:val="Normal"/>
    <w:next w:val="Normal"/>
    <w:link w:val="CitaoIntensaChar"/>
    <w:uiPriority w:val="30"/>
    <w:qFormat/>
    <w:rsid w:val="005F7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5F73DC"/>
    <w:rPr>
      <w:i/>
      <w:iCs/>
      <w:color w:val="0F4761" w:themeColor="accent1" w:themeShade="BF"/>
    </w:rPr>
  </w:style>
  <w:style w:type="character" w:styleId="RefernciaIntensa">
    <w:name w:val="Intense Reference"/>
    <w:basedOn w:val="Fontepargpadro"/>
    <w:uiPriority w:val="32"/>
    <w:qFormat/>
    <w:rsid w:val="005F73DC"/>
    <w:rPr>
      <w:b/>
      <w:bCs/>
      <w:smallCaps/>
      <w:color w:val="0F4761" w:themeColor="accent1" w:themeShade="BF"/>
      <w:spacing w:val="5"/>
    </w:rPr>
  </w:style>
  <w:style w:type="paragraph" w:styleId="CabealhodoSumrio">
    <w:name w:val="TOC Heading"/>
    <w:basedOn w:val="Ttulo1"/>
    <w:next w:val="Normal"/>
    <w:uiPriority w:val="39"/>
    <w:unhideWhenUsed/>
    <w:qFormat/>
    <w:rsid w:val="00121FF7"/>
    <w:pPr>
      <w:spacing w:before="480" w:after="0" w:line="276" w:lineRule="auto"/>
      <w:outlineLvl w:val="9"/>
    </w:pPr>
    <w:rPr>
      <w:b/>
      <w:bCs/>
      <w:kern w:val="0"/>
      <w:sz w:val="28"/>
      <w:szCs w:val="28"/>
      <w:lang w:eastAsia="pt-BR"/>
      <w14:ligatures w14:val="none"/>
    </w:rPr>
  </w:style>
  <w:style w:type="paragraph" w:styleId="Sumrio1">
    <w:name w:val="toc 1"/>
    <w:basedOn w:val="Normal"/>
    <w:next w:val="Normal"/>
    <w:autoRedefine/>
    <w:uiPriority w:val="39"/>
    <w:unhideWhenUsed/>
    <w:rsid w:val="00121FF7"/>
    <w:pPr>
      <w:spacing w:before="120" w:after="0"/>
    </w:pPr>
    <w:rPr>
      <w:b/>
      <w:bCs/>
      <w:i/>
      <w:iCs/>
    </w:rPr>
  </w:style>
  <w:style w:type="paragraph" w:styleId="Sumrio2">
    <w:name w:val="toc 2"/>
    <w:basedOn w:val="Normal"/>
    <w:next w:val="Normal"/>
    <w:autoRedefine/>
    <w:uiPriority w:val="39"/>
    <w:unhideWhenUsed/>
    <w:rsid w:val="00121FF7"/>
    <w:pPr>
      <w:spacing w:before="120" w:after="0"/>
      <w:ind w:left="240"/>
    </w:pPr>
    <w:rPr>
      <w:b/>
      <w:bCs/>
      <w:sz w:val="22"/>
      <w:szCs w:val="22"/>
    </w:rPr>
  </w:style>
  <w:style w:type="paragraph" w:styleId="Sumrio3">
    <w:name w:val="toc 3"/>
    <w:basedOn w:val="Normal"/>
    <w:next w:val="Normal"/>
    <w:autoRedefine/>
    <w:uiPriority w:val="39"/>
    <w:unhideWhenUsed/>
    <w:rsid w:val="00121FF7"/>
    <w:pPr>
      <w:spacing w:after="0"/>
      <w:ind w:left="480"/>
    </w:pPr>
    <w:rPr>
      <w:sz w:val="20"/>
      <w:szCs w:val="20"/>
    </w:rPr>
  </w:style>
  <w:style w:type="character" w:styleId="Hyperlink">
    <w:name w:val="Hyperlink"/>
    <w:basedOn w:val="Fontepargpadro"/>
    <w:uiPriority w:val="99"/>
    <w:unhideWhenUsed/>
    <w:rsid w:val="00121FF7"/>
    <w:rPr>
      <w:color w:val="467886" w:themeColor="hyperlink"/>
      <w:u w:val="single"/>
    </w:rPr>
  </w:style>
  <w:style w:type="paragraph" w:styleId="Sumrio4">
    <w:name w:val="toc 4"/>
    <w:basedOn w:val="Normal"/>
    <w:next w:val="Normal"/>
    <w:autoRedefine/>
    <w:uiPriority w:val="39"/>
    <w:semiHidden/>
    <w:unhideWhenUsed/>
    <w:rsid w:val="00121FF7"/>
    <w:pPr>
      <w:spacing w:after="0"/>
      <w:ind w:left="720"/>
    </w:pPr>
    <w:rPr>
      <w:sz w:val="20"/>
      <w:szCs w:val="20"/>
    </w:rPr>
  </w:style>
  <w:style w:type="paragraph" w:styleId="Sumrio5">
    <w:name w:val="toc 5"/>
    <w:basedOn w:val="Normal"/>
    <w:next w:val="Normal"/>
    <w:autoRedefine/>
    <w:uiPriority w:val="39"/>
    <w:semiHidden/>
    <w:unhideWhenUsed/>
    <w:rsid w:val="00121FF7"/>
    <w:pPr>
      <w:spacing w:after="0"/>
      <w:ind w:left="960"/>
    </w:pPr>
    <w:rPr>
      <w:sz w:val="20"/>
      <w:szCs w:val="20"/>
    </w:rPr>
  </w:style>
  <w:style w:type="paragraph" w:styleId="Sumrio6">
    <w:name w:val="toc 6"/>
    <w:basedOn w:val="Normal"/>
    <w:next w:val="Normal"/>
    <w:autoRedefine/>
    <w:uiPriority w:val="39"/>
    <w:semiHidden/>
    <w:unhideWhenUsed/>
    <w:rsid w:val="00121FF7"/>
    <w:pPr>
      <w:spacing w:after="0"/>
      <w:ind w:left="1200"/>
    </w:pPr>
    <w:rPr>
      <w:sz w:val="20"/>
      <w:szCs w:val="20"/>
    </w:rPr>
  </w:style>
  <w:style w:type="paragraph" w:styleId="Sumrio7">
    <w:name w:val="toc 7"/>
    <w:basedOn w:val="Normal"/>
    <w:next w:val="Normal"/>
    <w:autoRedefine/>
    <w:uiPriority w:val="39"/>
    <w:semiHidden/>
    <w:unhideWhenUsed/>
    <w:rsid w:val="00121FF7"/>
    <w:pPr>
      <w:spacing w:after="0"/>
      <w:ind w:left="1440"/>
    </w:pPr>
    <w:rPr>
      <w:sz w:val="20"/>
      <w:szCs w:val="20"/>
    </w:rPr>
  </w:style>
  <w:style w:type="paragraph" w:styleId="Sumrio8">
    <w:name w:val="toc 8"/>
    <w:basedOn w:val="Normal"/>
    <w:next w:val="Normal"/>
    <w:autoRedefine/>
    <w:uiPriority w:val="39"/>
    <w:semiHidden/>
    <w:unhideWhenUsed/>
    <w:rsid w:val="00121FF7"/>
    <w:pPr>
      <w:spacing w:after="0"/>
      <w:ind w:left="1680"/>
    </w:pPr>
    <w:rPr>
      <w:sz w:val="20"/>
      <w:szCs w:val="20"/>
    </w:rPr>
  </w:style>
  <w:style w:type="paragraph" w:styleId="Sumrio9">
    <w:name w:val="toc 9"/>
    <w:basedOn w:val="Normal"/>
    <w:next w:val="Normal"/>
    <w:autoRedefine/>
    <w:uiPriority w:val="39"/>
    <w:semiHidden/>
    <w:unhideWhenUsed/>
    <w:rsid w:val="00121FF7"/>
    <w:pPr>
      <w:spacing w:after="0"/>
      <w:ind w:left="1920"/>
    </w:pPr>
    <w:rPr>
      <w:sz w:val="20"/>
      <w:szCs w:val="20"/>
    </w:rPr>
  </w:style>
  <w:style w:type="paragraph" w:styleId="Rodap">
    <w:name w:val="footer"/>
    <w:basedOn w:val="Normal"/>
    <w:link w:val="RodapChar"/>
    <w:uiPriority w:val="99"/>
    <w:unhideWhenUsed/>
    <w:rsid w:val="00121FF7"/>
    <w:pPr>
      <w:tabs>
        <w:tab w:val="center" w:pos="4513"/>
        <w:tab w:val="right" w:pos="9026"/>
      </w:tabs>
      <w:spacing w:after="0" w:line="240" w:lineRule="auto"/>
    </w:pPr>
  </w:style>
  <w:style w:type="character" w:customStyle="1" w:styleId="RodapChar">
    <w:name w:val="Rodapé Char"/>
    <w:basedOn w:val="Fontepargpadro"/>
    <w:link w:val="Rodap"/>
    <w:uiPriority w:val="99"/>
    <w:rsid w:val="00121FF7"/>
  </w:style>
  <w:style w:type="character" w:styleId="Nmerodepgina">
    <w:name w:val="page number"/>
    <w:basedOn w:val="Fontepargpadro"/>
    <w:uiPriority w:val="99"/>
    <w:semiHidden/>
    <w:unhideWhenUsed/>
    <w:rsid w:val="00121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ukpga/2010/15/conten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qc.org.uk/" TargetMode="External"/><Relationship Id="rId12" Type="http://schemas.openxmlformats.org/officeDocument/2006/relationships/hyperlink" Target="https://www.legislation.gov.uk/ukpga/2005/9/cont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cie.org.uk/safeguarding/adults/" TargetMode="External"/><Relationship Id="rId4" Type="http://schemas.openxmlformats.org/officeDocument/2006/relationships/webSettings" Target="webSettings.xml"/><Relationship Id="rId9" Type="http://schemas.openxmlformats.org/officeDocument/2006/relationships/hyperlink" Target="https://www.nhs.uk/conditions/dementia/" TargetMode="External"/><Relationship Id="rId14" Type="http://schemas.openxmlformats.org/officeDocument/2006/relationships/hyperlink" Target="https://www.legislation.gov.uk/ukpga/2018/12/contents"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F8B16-AADE-F445-9D59-5EFA0ACB0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287</TotalTime>
  <Pages>6</Pages>
  <Words>2631</Words>
  <Characters>14208</Characters>
  <Application>Microsoft Office Word</Application>
  <DocSecurity>0</DocSecurity>
  <Lines>118</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Ticiane Ferreira Da Silva (2531527)</dc:creator>
  <cp:keywords/>
  <dc:description/>
  <cp:lastModifiedBy>Aline Ticiane Ferreira Da Silva (2531527)</cp:lastModifiedBy>
  <cp:revision>1</cp:revision>
  <dcterms:created xsi:type="dcterms:W3CDTF">2026-08-19T03:53:00Z</dcterms:created>
  <dcterms:modified xsi:type="dcterms:W3CDTF">2026-08-19T12:13:00Z</dcterms:modified>
</cp:coreProperties>
</file>