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1B6FE8">
      <w:pPr>
        <w:spacing w:before="200"/>
        <w:ind w:firstLine="720"/>
        <w:jc w:val="center"/>
        <w:rPr>
          <w:rFonts w:cs="Arial"/>
          <w:b/>
          <w:sz w:val="22"/>
          <w:szCs w:val="22"/>
        </w:rPr>
      </w:pPr>
      <w:r>
        <w:rPr>
          <w:rFonts w:cs="Arial"/>
          <w:b/>
          <w:sz w:val="22"/>
          <w:szCs w:val="22"/>
        </w:rPr>
        <w:t>PG1 - FULL RESEARCH PROPOSAL</w:t>
      </w:r>
    </w:p>
    <w:p w14:paraId="67A10B1E">
      <w:pPr>
        <w:rPr>
          <w:rFonts w:cs="Arial"/>
          <w:b/>
          <w:sz w:val="22"/>
          <w:szCs w:val="22"/>
        </w:rPr>
      </w:pPr>
    </w:p>
    <w:tbl>
      <w:tblPr>
        <w:tblStyle w:val="14"/>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6"/>
      </w:tblGrid>
      <w:tr w14:paraId="7FC84945">
        <w:tc>
          <w:tcPr>
            <w:tcW w:w="9776" w:type="dxa"/>
          </w:tcPr>
          <w:p w14:paraId="2834770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r>
              <w:fldChar w:fldCharType="begin"/>
            </w:r>
            <w:r>
              <w:instrText xml:space="preserve"> HYPERLINK "mailto:pgresearch@uwtsd.ac.uk" </w:instrText>
            </w:r>
            <w:r>
              <w:fldChar w:fldCharType="separate"/>
            </w:r>
            <w:r>
              <w:rPr>
                <w:rStyle w:val="19"/>
                <w:rFonts w:cs="Arial"/>
                <w:sz w:val="22"/>
                <w:szCs w:val="22"/>
              </w:rPr>
              <w:t>pgresearch@uwtsd.ac.uk</w:t>
            </w:r>
            <w:r>
              <w:rPr>
                <w:rStyle w:val="19"/>
                <w:rFonts w:cs="Arial"/>
                <w:sz w:val="22"/>
                <w:szCs w:val="22"/>
              </w:rPr>
              <w:fldChar w:fldCharType="end"/>
            </w:r>
            <w:r>
              <w:rPr>
                <w:rFonts w:cs="Arial"/>
                <w:b/>
                <w:bCs/>
                <w:sz w:val="22"/>
                <w:szCs w:val="22"/>
              </w:rPr>
              <w:t xml:space="preserve">. </w:t>
            </w:r>
          </w:p>
        </w:tc>
      </w:tr>
    </w:tbl>
    <w:p w14:paraId="41AFDF91">
      <w:pPr>
        <w:rPr>
          <w:rFonts w:cs="Arial"/>
          <w:b/>
          <w:sz w:val="22"/>
          <w:szCs w:val="22"/>
        </w:rPr>
      </w:pPr>
    </w:p>
    <w:p w14:paraId="13208F20">
      <w:pPr>
        <w:spacing w:before="240"/>
        <w:rPr>
          <w:rFonts w:cs="Arial"/>
          <w:b/>
          <w:sz w:val="22"/>
          <w:szCs w:val="22"/>
        </w:rPr>
      </w:pPr>
      <w:r>
        <w:rPr>
          <w:rFonts w:cs="Arial"/>
          <w:b/>
          <w:sz w:val="22"/>
          <w:szCs w:val="22"/>
        </w:rPr>
        <w:t xml:space="preserve">Student Details </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93"/>
        <w:gridCol w:w="1594"/>
        <w:gridCol w:w="2198"/>
        <w:gridCol w:w="2198"/>
        <w:gridCol w:w="2198"/>
      </w:tblGrid>
      <w:tr w14:paraId="0707E424">
        <w:trPr>
          <w:trHeight w:val="300" w:hRule="atLeast"/>
        </w:trPr>
        <w:tc>
          <w:tcPr>
            <w:tcW w:w="3187" w:type="dxa"/>
            <w:gridSpan w:val="2"/>
            <w:shd w:val="clear" w:color="auto" w:fill="F1F1F1" w:themeFill="background1" w:themeFillShade="F2"/>
          </w:tcPr>
          <w:p w14:paraId="631F831C">
            <w:pPr>
              <w:tabs>
                <w:tab w:val="center" w:pos="2202"/>
              </w:tabs>
              <w:rPr>
                <w:rFonts w:cs="Arial"/>
                <w:sz w:val="22"/>
                <w:szCs w:val="22"/>
              </w:rPr>
            </w:pPr>
            <w:r>
              <w:rPr>
                <w:rFonts w:cs="Arial"/>
                <w:sz w:val="22"/>
                <w:szCs w:val="22"/>
              </w:rPr>
              <w:t>Student Family / Surname:</w:t>
            </w:r>
          </w:p>
          <w:p w14:paraId="4AF5A3C3">
            <w:pPr>
              <w:rPr>
                <w:rFonts w:cs="Arial"/>
                <w:sz w:val="22"/>
                <w:szCs w:val="22"/>
              </w:rPr>
            </w:pPr>
          </w:p>
        </w:tc>
        <w:tc>
          <w:tcPr>
            <w:tcW w:w="4396" w:type="dxa"/>
            <w:gridSpan w:val="2"/>
            <w:shd w:val="clear" w:color="auto" w:fill="auto"/>
          </w:tcPr>
          <w:p w14:paraId="4C983A78">
            <w:pPr>
              <w:rPr>
                <w:rFonts w:hint="eastAsia" w:eastAsia="宋体" w:cs="Arial"/>
                <w:sz w:val="22"/>
                <w:szCs w:val="22"/>
                <w:lang w:val="en-US" w:eastAsia="zh-CN"/>
              </w:rPr>
            </w:pPr>
            <w:r>
              <w:rPr>
                <w:rFonts w:hint="default" w:cs="Arial"/>
                <w:sz w:val="22"/>
                <w:szCs w:val="22"/>
                <w:lang w:val="en-US" w:eastAsia="zh-Hans"/>
              </w:rPr>
              <w:t>Z</w:t>
            </w:r>
            <w:r>
              <w:rPr>
                <w:rFonts w:hint="eastAsia" w:eastAsia="宋体" w:cs="Arial"/>
                <w:sz w:val="22"/>
                <w:szCs w:val="22"/>
                <w:lang w:val="en-US" w:eastAsia="zh-CN"/>
              </w:rPr>
              <w:t>hou</w:t>
            </w:r>
          </w:p>
        </w:tc>
        <w:tc>
          <w:tcPr>
            <w:tcW w:w="2198" w:type="dxa"/>
            <w:shd w:val="clear" w:color="auto" w:fill="auto"/>
          </w:tcPr>
          <w:p w14:paraId="367C6A50">
            <w:pPr>
              <w:rPr>
                <w:rFonts w:cs="Arial"/>
                <w:sz w:val="22"/>
                <w:szCs w:val="22"/>
                <w:lang w:val="en-US" w:eastAsia="zh-Hans"/>
              </w:rPr>
            </w:pPr>
          </w:p>
        </w:tc>
      </w:tr>
      <w:tr w14:paraId="75A0E515">
        <w:trPr>
          <w:trHeight w:val="300" w:hRule="atLeast"/>
        </w:trPr>
        <w:tc>
          <w:tcPr>
            <w:tcW w:w="3187" w:type="dxa"/>
            <w:gridSpan w:val="2"/>
            <w:shd w:val="clear" w:color="auto" w:fill="F1F1F1" w:themeFill="background1" w:themeFillShade="F2"/>
          </w:tcPr>
          <w:p w14:paraId="54C7E4AF">
            <w:pPr>
              <w:rPr>
                <w:rFonts w:cs="Arial"/>
                <w:sz w:val="22"/>
                <w:szCs w:val="22"/>
              </w:rPr>
            </w:pPr>
            <w:r>
              <w:rPr>
                <w:rFonts w:cs="Arial"/>
                <w:sz w:val="22"/>
                <w:szCs w:val="22"/>
              </w:rPr>
              <w:t>Student Given / First name:</w:t>
            </w:r>
          </w:p>
          <w:p w14:paraId="139D02D7">
            <w:pPr>
              <w:rPr>
                <w:rFonts w:cs="Arial"/>
                <w:sz w:val="22"/>
                <w:szCs w:val="22"/>
              </w:rPr>
            </w:pPr>
          </w:p>
        </w:tc>
        <w:tc>
          <w:tcPr>
            <w:tcW w:w="4396" w:type="dxa"/>
            <w:gridSpan w:val="2"/>
            <w:shd w:val="clear" w:color="auto" w:fill="auto"/>
          </w:tcPr>
          <w:p w14:paraId="0982AFDA">
            <w:pPr>
              <w:rPr>
                <w:rFonts w:hint="eastAsia" w:eastAsia="宋体" w:cs="Arial"/>
                <w:sz w:val="22"/>
                <w:szCs w:val="22"/>
                <w:lang w:val="en-US" w:eastAsia="zh-CN"/>
              </w:rPr>
            </w:pPr>
            <w:r>
              <w:rPr>
                <w:rFonts w:hint="default" w:cs="Arial"/>
                <w:sz w:val="22"/>
                <w:szCs w:val="22"/>
                <w:lang w:val="en-US" w:eastAsia="zh-Hans"/>
              </w:rPr>
              <w:t>K</w:t>
            </w:r>
            <w:r>
              <w:rPr>
                <w:rFonts w:hint="eastAsia" w:eastAsia="宋体" w:cs="Arial"/>
                <w:sz w:val="22"/>
                <w:szCs w:val="22"/>
                <w:lang w:val="en-US" w:eastAsia="zh-CN"/>
              </w:rPr>
              <w:t>aining</w:t>
            </w:r>
          </w:p>
        </w:tc>
        <w:tc>
          <w:tcPr>
            <w:tcW w:w="2198" w:type="dxa"/>
            <w:shd w:val="clear" w:color="auto" w:fill="auto"/>
          </w:tcPr>
          <w:p w14:paraId="087B8132">
            <w:pPr>
              <w:rPr>
                <w:rFonts w:cs="Arial"/>
                <w:sz w:val="22"/>
                <w:szCs w:val="22"/>
                <w:lang w:val="en-US" w:eastAsia="zh-Hans"/>
              </w:rPr>
            </w:pPr>
          </w:p>
        </w:tc>
      </w:tr>
      <w:tr w14:paraId="3BE87A21">
        <w:trPr>
          <w:trHeight w:val="300" w:hRule="atLeast"/>
        </w:trPr>
        <w:tc>
          <w:tcPr>
            <w:tcW w:w="3187" w:type="dxa"/>
            <w:gridSpan w:val="2"/>
            <w:shd w:val="clear" w:color="auto" w:fill="F1F1F1" w:themeFill="background1" w:themeFillShade="F2"/>
          </w:tcPr>
          <w:p w14:paraId="38813AE2">
            <w:pPr>
              <w:rPr>
                <w:rFonts w:cs="Arial"/>
                <w:sz w:val="22"/>
                <w:szCs w:val="22"/>
              </w:rPr>
            </w:pPr>
            <w:r>
              <w:rPr>
                <w:rFonts w:cs="Arial"/>
                <w:sz w:val="22"/>
                <w:szCs w:val="22"/>
              </w:rPr>
              <w:t>Student Number</w:t>
            </w:r>
          </w:p>
          <w:p w14:paraId="50BCCB4A">
            <w:pPr>
              <w:tabs>
                <w:tab w:val="center" w:pos="2202"/>
              </w:tabs>
              <w:rPr>
                <w:rFonts w:cs="Arial"/>
                <w:sz w:val="22"/>
                <w:szCs w:val="22"/>
              </w:rPr>
            </w:pPr>
          </w:p>
        </w:tc>
        <w:tc>
          <w:tcPr>
            <w:tcW w:w="4396" w:type="dxa"/>
            <w:gridSpan w:val="2"/>
            <w:shd w:val="clear" w:color="auto" w:fill="auto"/>
          </w:tcPr>
          <w:p w14:paraId="75CFB1E4">
            <w:pPr>
              <w:rPr>
                <w:rFonts w:hint="default" w:eastAsia="宋体" w:cs="Arial"/>
                <w:sz w:val="22"/>
                <w:szCs w:val="22"/>
                <w:lang w:val="en-US" w:eastAsia="zh-CN"/>
              </w:rPr>
            </w:pPr>
            <w:r>
              <w:rPr>
                <w:rFonts w:hint="eastAsia" w:eastAsia="宋体" w:cs="Arial"/>
                <w:sz w:val="22"/>
                <w:szCs w:val="22"/>
                <w:lang w:val="en-US" w:eastAsia="zh-CN"/>
              </w:rPr>
              <w:t>2406136</w:t>
            </w:r>
          </w:p>
        </w:tc>
        <w:tc>
          <w:tcPr>
            <w:tcW w:w="2198" w:type="dxa"/>
            <w:shd w:val="clear" w:color="auto" w:fill="auto"/>
          </w:tcPr>
          <w:p w14:paraId="1B75E8EB">
            <w:pPr>
              <w:rPr>
                <w:rFonts w:cs="Arial"/>
                <w:sz w:val="22"/>
                <w:szCs w:val="22"/>
              </w:rPr>
            </w:pPr>
          </w:p>
        </w:tc>
      </w:tr>
      <w:tr w14:paraId="38B50353">
        <w:trPr>
          <w:trHeight w:val="300" w:hRule="atLeast"/>
        </w:trPr>
        <w:tc>
          <w:tcPr>
            <w:tcW w:w="3187" w:type="dxa"/>
            <w:gridSpan w:val="2"/>
            <w:shd w:val="clear" w:color="auto" w:fill="F1F1F1" w:themeFill="background1" w:themeFillShade="F2"/>
          </w:tcPr>
          <w:p w14:paraId="60A21908">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4396" w:type="dxa"/>
            <w:gridSpan w:val="2"/>
            <w:shd w:val="clear" w:color="auto" w:fill="auto"/>
          </w:tcPr>
          <w:p w14:paraId="45A727F7">
            <w:pPr>
              <w:rPr>
                <w:rFonts w:hint="default" w:eastAsia="宋体" w:cs="Arial"/>
                <w:sz w:val="22"/>
                <w:szCs w:val="22"/>
                <w:lang w:val="en-US" w:eastAsia="zh-CN"/>
              </w:rPr>
            </w:pPr>
            <w:r>
              <w:rPr>
                <w:rFonts w:hint="eastAsia" w:eastAsia="宋体" w:cs="Arial"/>
                <w:sz w:val="22"/>
                <w:szCs w:val="22"/>
                <w:lang w:val="en-US" w:eastAsia="zh-CN"/>
              </w:rPr>
              <w:t>atr&amp;design</w:t>
            </w:r>
          </w:p>
        </w:tc>
        <w:tc>
          <w:tcPr>
            <w:tcW w:w="2198" w:type="dxa"/>
            <w:shd w:val="clear" w:color="auto" w:fill="auto"/>
          </w:tcPr>
          <w:p w14:paraId="5B30A4B3">
            <w:pPr>
              <w:rPr>
                <w:rFonts w:cs="Arial"/>
                <w:sz w:val="22"/>
                <w:szCs w:val="22"/>
                <w:lang w:eastAsia="zh-Hans"/>
              </w:rPr>
            </w:pPr>
          </w:p>
        </w:tc>
      </w:tr>
      <w:tr w14:paraId="61E08842">
        <w:trPr>
          <w:trHeight w:val="300" w:hRule="atLeast"/>
        </w:trPr>
        <w:tc>
          <w:tcPr>
            <w:tcW w:w="3187" w:type="dxa"/>
            <w:gridSpan w:val="2"/>
            <w:shd w:val="clear" w:color="auto" w:fill="F1F1F1" w:themeFill="background1" w:themeFillShade="F2"/>
          </w:tcPr>
          <w:p w14:paraId="134D63C4">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4396" w:type="dxa"/>
            <w:gridSpan w:val="2"/>
            <w:shd w:val="clear" w:color="auto" w:fill="auto"/>
          </w:tcPr>
          <w:p w14:paraId="1AF91D2A">
            <w:pPr>
              <w:rPr>
                <w:rFonts w:cs="Arial"/>
                <w:sz w:val="22"/>
                <w:szCs w:val="22"/>
              </w:rPr>
            </w:pPr>
          </w:p>
        </w:tc>
        <w:tc>
          <w:tcPr>
            <w:tcW w:w="2198" w:type="dxa"/>
            <w:shd w:val="clear" w:color="auto" w:fill="auto"/>
          </w:tcPr>
          <w:p w14:paraId="4A155BAD">
            <w:pPr>
              <w:rPr>
                <w:rFonts w:cs="Arial"/>
                <w:sz w:val="22"/>
                <w:szCs w:val="22"/>
              </w:rPr>
            </w:pPr>
          </w:p>
        </w:tc>
      </w:tr>
      <w:tr w14:paraId="567B8265">
        <w:trPr>
          <w:trHeight w:val="300" w:hRule="atLeast"/>
        </w:trPr>
        <w:tc>
          <w:tcPr>
            <w:tcW w:w="1593" w:type="dxa"/>
            <w:shd w:val="clear" w:color="auto" w:fill="F1F1F1" w:themeFill="background1" w:themeFillShade="F2"/>
          </w:tcPr>
          <w:p w14:paraId="7DD8280F">
            <w:pPr>
              <w:rPr>
                <w:rFonts w:cs="Arial"/>
                <w:sz w:val="22"/>
                <w:szCs w:val="22"/>
              </w:rPr>
            </w:pPr>
            <w:r>
              <w:rPr>
                <w:rFonts w:cs="Arial"/>
                <w:sz w:val="22"/>
                <w:szCs w:val="22"/>
              </w:rPr>
              <w:t>Start Date</w:t>
            </w:r>
          </w:p>
        </w:tc>
        <w:tc>
          <w:tcPr>
            <w:tcW w:w="1594" w:type="dxa"/>
            <w:shd w:val="clear" w:color="auto" w:fill="FFFFFF" w:themeFill="background1"/>
          </w:tcPr>
          <w:p w14:paraId="6885D0B7">
            <w:pPr>
              <w:rPr>
                <w:rFonts w:cs="Arial"/>
                <w:sz w:val="22"/>
                <w:szCs w:val="22"/>
              </w:rPr>
            </w:pPr>
            <w:r>
              <w:rPr>
                <w:rFonts w:cs="Arial"/>
                <w:sz w:val="22"/>
                <w:szCs w:val="22"/>
              </w:rPr>
              <w:t xml:space="preserve"> </w:t>
            </w:r>
            <w:r>
              <w:rPr>
                <w:rFonts w:hint="eastAsia" w:eastAsia="宋体" w:cs="Arial"/>
                <w:sz w:val="22"/>
                <w:szCs w:val="22"/>
                <w:lang w:val="en-US" w:eastAsia="zh-CN"/>
              </w:rPr>
              <w:t>01.10.2024</w:t>
            </w:r>
          </w:p>
        </w:tc>
        <w:tc>
          <w:tcPr>
            <w:tcW w:w="2198" w:type="dxa"/>
            <w:shd w:val="clear" w:color="auto" w:fill="F1F1F1" w:themeFill="background1" w:themeFillShade="F2"/>
          </w:tcPr>
          <w:p w14:paraId="70A4F3B0">
            <w:pPr>
              <w:rPr>
                <w:rFonts w:hint="default" w:eastAsia="宋体" w:cs="Arial"/>
                <w:sz w:val="22"/>
                <w:szCs w:val="22"/>
                <w:lang w:val="en-US" w:eastAsia="zh-CN"/>
              </w:rPr>
            </w:pPr>
          </w:p>
        </w:tc>
        <w:tc>
          <w:tcPr>
            <w:tcW w:w="2198" w:type="dxa"/>
            <w:shd w:val="clear" w:color="auto" w:fill="auto"/>
          </w:tcPr>
          <w:p w14:paraId="0325A6C5">
            <w:pPr>
              <w:rPr>
                <w:rFonts w:cs="Arial"/>
                <w:sz w:val="22"/>
                <w:szCs w:val="22"/>
              </w:rPr>
            </w:pPr>
          </w:p>
        </w:tc>
        <w:tc>
          <w:tcPr>
            <w:tcW w:w="2198" w:type="dxa"/>
            <w:shd w:val="clear" w:color="auto" w:fill="auto"/>
          </w:tcPr>
          <w:p w14:paraId="66ACA076">
            <w:pPr>
              <w:rPr>
                <w:rFonts w:cs="Arial"/>
                <w:sz w:val="22"/>
                <w:szCs w:val="22"/>
              </w:rPr>
            </w:pPr>
          </w:p>
        </w:tc>
      </w:tr>
      <w:tr w14:paraId="251E083D">
        <w:trPr>
          <w:trHeight w:val="300" w:hRule="atLeast"/>
        </w:trPr>
        <w:tc>
          <w:tcPr>
            <w:tcW w:w="3187" w:type="dxa"/>
            <w:gridSpan w:val="2"/>
            <w:shd w:val="clear" w:color="auto" w:fill="F1F1F1" w:themeFill="background1" w:themeFillShade="F2"/>
          </w:tcPr>
          <w:p w14:paraId="5B464AB0">
            <w:pPr>
              <w:rPr>
                <w:rFonts w:cs="Arial"/>
                <w:sz w:val="22"/>
                <w:szCs w:val="22"/>
              </w:rPr>
            </w:pPr>
            <w:r>
              <w:rPr>
                <w:rFonts w:cs="Arial"/>
                <w:sz w:val="22"/>
                <w:szCs w:val="22"/>
              </w:rPr>
              <w:t>Mode of Study</w:t>
            </w:r>
          </w:p>
          <w:p w14:paraId="32AC254B">
            <w:pPr>
              <w:rPr>
                <w:rFonts w:cs="Arial"/>
                <w:sz w:val="22"/>
                <w:szCs w:val="22"/>
              </w:rPr>
            </w:pPr>
          </w:p>
        </w:tc>
        <w:tc>
          <w:tcPr>
            <w:tcW w:w="2198" w:type="dxa"/>
            <w:shd w:val="clear" w:color="auto" w:fill="auto"/>
          </w:tcPr>
          <w:p w14:paraId="111F828B">
            <w:pPr>
              <w:rPr>
                <w:rFonts w:cs="Arial"/>
                <w:sz w:val="22"/>
                <w:szCs w:val="22"/>
              </w:rPr>
            </w:pPr>
            <w:r>
              <w:rPr>
                <w:rFonts w:cs="Arial"/>
                <w:sz w:val="22"/>
                <w:szCs w:val="22"/>
              </w:rPr>
              <w:t xml:space="preserve">Part time   </w:t>
            </w:r>
            <w:sdt>
              <w:sdtPr>
                <w:rPr>
                  <w:rFonts w:cs="Arial"/>
                  <w:sz w:val="22"/>
                  <w:szCs w:val="22"/>
                </w:rPr>
                <w:id w:val="714779916"/>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MS Gothic"/>
                    <w:sz w:val="22"/>
                    <w:szCs w:val="22"/>
                    <w:lang w:val="en-GB" w:eastAsia="en-GB" w:bidi="ar-SA"/>
                  </w:rPr>
                  <w:t>☒</w:t>
                </w:r>
              </w:sdtContent>
            </w:sdt>
          </w:p>
        </w:tc>
        <w:tc>
          <w:tcPr>
            <w:tcW w:w="2198" w:type="dxa"/>
            <w:shd w:val="clear" w:color="auto" w:fill="auto"/>
          </w:tcPr>
          <w:p w14:paraId="00DFCF3D">
            <w:pPr>
              <w:rPr>
                <w:rFonts w:cs="Arial"/>
                <w:sz w:val="22"/>
                <w:szCs w:val="22"/>
              </w:rPr>
            </w:pPr>
            <w:r>
              <w:rPr>
                <w:rFonts w:cs="Arial"/>
                <w:sz w:val="22"/>
                <w:szCs w:val="22"/>
              </w:rPr>
              <w:t xml:space="preserve">Full time   </w:t>
            </w:r>
            <w:sdt>
              <w:sdtPr>
                <w:rPr>
                  <w:rFonts w:cs="Arial"/>
                  <w:sz w:val="22"/>
                  <w:szCs w:val="22"/>
                </w:rPr>
                <w:id w:val="324639206"/>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MS Gothic"/>
                    <w:sz w:val="22"/>
                    <w:szCs w:val="22"/>
                  </w:rPr>
                  <w:t>☐</w:t>
                </w:r>
              </w:sdtContent>
            </w:sdt>
          </w:p>
        </w:tc>
        <w:tc>
          <w:tcPr>
            <w:tcW w:w="2198" w:type="dxa"/>
            <w:shd w:val="clear" w:color="auto" w:fill="auto"/>
          </w:tcPr>
          <w:p w14:paraId="1DD669CC">
            <w:pPr>
              <w:rPr>
                <w:rFonts w:cs="Arial"/>
                <w:sz w:val="22"/>
                <w:szCs w:val="22"/>
              </w:rPr>
            </w:pPr>
          </w:p>
        </w:tc>
      </w:tr>
    </w:tbl>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14:paraId="52116E2E">
        <w:tc>
          <w:tcPr>
            <w:tcW w:w="1623" w:type="dxa"/>
            <w:shd w:val="clear" w:color="auto" w:fill="F1F1F1" w:themeFill="background1" w:themeFillShade="F2"/>
          </w:tcPr>
          <w:p w14:paraId="0C2EE508">
            <w:pPr>
              <w:rPr>
                <w:rFonts w:cs="Arial"/>
                <w:sz w:val="22"/>
                <w:szCs w:val="22"/>
              </w:rPr>
            </w:pPr>
            <w:r>
              <w:rPr>
                <w:rFonts w:cs="Arial"/>
                <w:sz w:val="22"/>
                <w:szCs w:val="22"/>
              </w:rPr>
              <w:t>PhD</w:t>
            </w:r>
          </w:p>
          <w:p w14:paraId="7E150CDA">
            <w:pPr>
              <w:rPr>
                <w:rFonts w:cs="Arial"/>
                <w:sz w:val="22"/>
                <w:szCs w:val="22"/>
              </w:rPr>
            </w:pPr>
            <w:r>
              <w:rPr>
                <w:rFonts w:cs="Arial"/>
                <w:sz w:val="22"/>
                <w:szCs w:val="22"/>
              </w:rPr>
              <w:t>by Research</w:t>
            </w:r>
          </w:p>
        </w:tc>
        <w:tc>
          <w:tcPr>
            <w:tcW w:w="1660" w:type="dxa"/>
            <w:shd w:val="clear" w:color="auto" w:fill="F1F1F1" w:themeFill="background1" w:themeFillShade="F2"/>
          </w:tcPr>
          <w:p w14:paraId="089AFE73">
            <w:pPr>
              <w:rPr>
                <w:rFonts w:cs="Arial"/>
                <w:sz w:val="22"/>
                <w:szCs w:val="22"/>
              </w:rPr>
            </w:pPr>
            <w:r>
              <w:rPr>
                <w:rFonts w:cs="Arial"/>
                <w:sz w:val="22"/>
                <w:szCs w:val="22"/>
              </w:rPr>
              <w:t xml:space="preserve">PhD </w:t>
            </w:r>
          </w:p>
          <w:p w14:paraId="3D202538">
            <w:pPr>
              <w:rPr>
                <w:rFonts w:cs="Arial"/>
                <w:sz w:val="22"/>
                <w:szCs w:val="22"/>
              </w:rPr>
            </w:pPr>
            <w:r>
              <w:rPr>
                <w:rFonts w:cs="Arial"/>
                <w:sz w:val="22"/>
                <w:szCs w:val="22"/>
              </w:rPr>
              <w:t>Practice Based</w:t>
            </w:r>
          </w:p>
        </w:tc>
        <w:tc>
          <w:tcPr>
            <w:tcW w:w="1648" w:type="dxa"/>
            <w:shd w:val="clear" w:color="auto" w:fill="F1F1F1" w:themeFill="background1" w:themeFillShade="F2"/>
          </w:tcPr>
          <w:p w14:paraId="1540ABF7">
            <w:pPr>
              <w:rPr>
                <w:rFonts w:cs="Arial"/>
                <w:sz w:val="22"/>
                <w:szCs w:val="22"/>
              </w:rPr>
            </w:pPr>
            <w:r>
              <w:rPr>
                <w:rFonts w:cs="Arial"/>
                <w:sz w:val="22"/>
                <w:szCs w:val="22"/>
              </w:rPr>
              <w:t xml:space="preserve">PhD by </w:t>
            </w:r>
          </w:p>
          <w:p w14:paraId="6D11D54E">
            <w:pPr>
              <w:rPr>
                <w:rFonts w:cs="Arial"/>
                <w:sz w:val="22"/>
                <w:szCs w:val="22"/>
              </w:rPr>
            </w:pPr>
            <w:r>
              <w:rPr>
                <w:rFonts w:cs="Arial"/>
                <w:sz w:val="22"/>
                <w:szCs w:val="22"/>
              </w:rPr>
              <w:t>Published Works</w:t>
            </w:r>
          </w:p>
        </w:tc>
        <w:tc>
          <w:tcPr>
            <w:tcW w:w="1662" w:type="dxa"/>
            <w:shd w:val="clear" w:color="auto" w:fill="F1F1F1" w:themeFill="background1" w:themeFillShade="F2"/>
          </w:tcPr>
          <w:p w14:paraId="6031027A">
            <w:pPr>
              <w:rPr>
                <w:rFonts w:cs="Arial"/>
                <w:sz w:val="22"/>
                <w:szCs w:val="22"/>
              </w:rPr>
            </w:pPr>
            <w:r>
              <w:rPr>
                <w:rFonts w:cs="Arial"/>
                <w:sz w:val="22"/>
                <w:szCs w:val="22"/>
              </w:rPr>
              <w:t>Professional Doctorate</w:t>
            </w:r>
          </w:p>
          <w:p w14:paraId="5338E6CC">
            <w:pPr>
              <w:rPr>
                <w:rFonts w:cs="Arial"/>
                <w:sz w:val="22"/>
                <w:szCs w:val="22"/>
              </w:rPr>
            </w:pPr>
            <w:r>
              <w:rPr>
                <w:rFonts w:cs="Arial"/>
                <w:szCs w:val="22"/>
              </w:rPr>
              <w:t>(including DBA, DProf, Ed D)</w:t>
            </w:r>
          </w:p>
        </w:tc>
        <w:tc>
          <w:tcPr>
            <w:tcW w:w="1629" w:type="dxa"/>
            <w:shd w:val="clear" w:color="auto" w:fill="F1F1F1" w:themeFill="background1" w:themeFillShade="F2"/>
          </w:tcPr>
          <w:p w14:paraId="48FB1034">
            <w:pPr>
              <w:rPr>
                <w:rFonts w:cs="Arial"/>
                <w:sz w:val="22"/>
                <w:szCs w:val="22"/>
              </w:rPr>
            </w:pPr>
            <w:r>
              <w:rPr>
                <w:rFonts w:cs="Arial"/>
                <w:sz w:val="22"/>
                <w:szCs w:val="22"/>
              </w:rPr>
              <w:t>MPhil by Research</w:t>
            </w:r>
          </w:p>
          <w:p w14:paraId="62A96A8A">
            <w:pPr>
              <w:rPr>
                <w:rFonts w:cs="Arial"/>
                <w:sz w:val="22"/>
                <w:szCs w:val="22"/>
              </w:rPr>
            </w:pPr>
          </w:p>
        </w:tc>
        <w:tc>
          <w:tcPr>
            <w:tcW w:w="1525" w:type="dxa"/>
            <w:shd w:val="clear" w:color="auto" w:fill="F1F1F1" w:themeFill="background1" w:themeFillShade="F2"/>
          </w:tcPr>
          <w:p w14:paraId="18690D32">
            <w:pPr>
              <w:rPr>
                <w:rFonts w:cs="Arial"/>
                <w:sz w:val="22"/>
                <w:szCs w:val="22"/>
              </w:rPr>
            </w:pPr>
            <w:r>
              <w:rPr>
                <w:rFonts w:cs="Arial"/>
                <w:sz w:val="22"/>
                <w:szCs w:val="22"/>
              </w:rPr>
              <w:t>MPhil</w:t>
            </w:r>
          </w:p>
          <w:p w14:paraId="112C0192">
            <w:pPr>
              <w:rPr>
                <w:rFonts w:cs="Arial"/>
                <w:sz w:val="22"/>
                <w:szCs w:val="22"/>
              </w:rPr>
            </w:pPr>
            <w:r>
              <w:rPr>
                <w:rFonts w:cs="Arial"/>
                <w:sz w:val="22"/>
                <w:szCs w:val="22"/>
              </w:rPr>
              <w:t xml:space="preserve">Practice Based </w:t>
            </w:r>
          </w:p>
          <w:p w14:paraId="6044FFAD">
            <w:pPr>
              <w:rPr>
                <w:rFonts w:cs="Arial"/>
                <w:sz w:val="22"/>
                <w:szCs w:val="22"/>
              </w:rPr>
            </w:pPr>
          </w:p>
        </w:tc>
      </w:tr>
      <w:tr w14:paraId="7302DE43">
        <w:tc>
          <w:tcPr>
            <w:tcW w:w="1623" w:type="dxa"/>
          </w:tcPr>
          <w:sdt>
            <w:sdtPr>
              <w:rPr>
                <w:rFonts w:cs="Arial"/>
                <w:sz w:val="22"/>
                <w:szCs w:val="22"/>
              </w:rPr>
              <w:id w:val="746380728"/>
              <w14:checkbox>
                <w14:checked w14:val="0"/>
                <w14:checkedState w14:val="2612" w14:font="MS Gothic"/>
                <w14:uncheckedState w14:val="2610" w14:font="MS Gothic"/>
              </w14:checkbox>
            </w:sdtPr>
            <w:sdtEndPr>
              <w:rPr>
                <w:rFonts w:cs="Arial"/>
                <w:sz w:val="22"/>
                <w:szCs w:val="22"/>
              </w:rPr>
            </w:sdtEndPr>
            <w:sdtContent>
              <w:p w14:paraId="01BCCEDB">
                <w:pPr>
                  <w:jc w:val="center"/>
                  <w:rPr>
                    <w:rFonts w:cs="Arial"/>
                    <w:sz w:val="22"/>
                    <w:szCs w:val="22"/>
                  </w:rPr>
                </w:pPr>
                <w:r>
                  <w:rPr>
                    <w:rFonts w:ascii="MS Gothic" w:hAnsi="MS Gothic" w:eastAsia="MS Gothic" w:cs="MS Gothic"/>
                    <w:sz w:val="22"/>
                    <w:szCs w:val="22"/>
                  </w:rPr>
                  <w:t>☐</w:t>
                </w:r>
              </w:p>
            </w:sdtContent>
          </w:sdt>
          <w:p w14:paraId="43584980">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EndPr>
            <w:rPr>
              <w:rFonts w:cs="Arial"/>
              <w:sz w:val="22"/>
              <w:szCs w:val="22"/>
            </w:rPr>
          </w:sdtEndPr>
          <w:sdtContent>
            <w:tc>
              <w:tcPr>
                <w:tcW w:w="1660" w:type="dxa"/>
              </w:tcPr>
              <w:p w14:paraId="2D089835">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14:paraId="3DC3F887">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tc>
              <w:tcPr>
                <w:tcW w:w="1662" w:type="dxa"/>
              </w:tcPr>
              <w:p w14:paraId="222233A1">
                <w:pPr>
                  <w:jc w:val="center"/>
                  <w:rPr>
                    <w:rFonts w:cs="Arial"/>
                    <w:sz w:val="22"/>
                    <w:szCs w:val="22"/>
                  </w:rPr>
                </w:pPr>
                <w:r>
                  <w:rPr>
                    <w:rFonts w:ascii="MS Gothic" w:hAnsi="MS Gothic" w:eastAsia="MS Gothic" w:cs="MS Gothic"/>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14:paraId="15236023">
                <w:pPr>
                  <w:jc w:val="center"/>
                  <w:rPr>
                    <w:rFonts w:cs="Arial"/>
                    <w:sz w:val="22"/>
                    <w:szCs w:val="22"/>
                  </w:rPr>
                </w:pPr>
                <w:r>
                  <w:rPr>
                    <w:rFonts w:ascii="MS Gothic" w:hAnsi="MS Gothic" w:eastAsia="MS Gothic" w:cs="MS Gothic"/>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14:paraId="092BDE7C">
                <w:pPr>
                  <w:jc w:val="center"/>
                  <w:rPr>
                    <w:rFonts w:cs="Arial"/>
                    <w:sz w:val="22"/>
                    <w:szCs w:val="22"/>
                  </w:rPr>
                </w:pPr>
                <w:r>
                  <w:rPr>
                    <w:rFonts w:ascii="MS Gothic" w:hAnsi="MS Gothic" w:eastAsia="MS Gothic" w:cs="Arial"/>
                    <w:sz w:val="22"/>
                    <w:szCs w:val="22"/>
                  </w:rPr>
                  <w:t>☐</w:t>
                </w:r>
              </w:p>
            </w:tc>
          </w:sdtContent>
        </w:sdt>
      </w:tr>
      <w:tr w14:paraId="002C30E3">
        <w:tc>
          <w:tcPr>
            <w:tcW w:w="1623" w:type="dxa"/>
            <w:shd w:val="clear" w:color="auto" w:fill="D8D8D8" w:themeFill="background1" w:themeFillShade="D9"/>
          </w:tcPr>
          <w:p w14:paraId="5015986A">
            <w:pPr>
              <w:jc w:val="center"/>
              <w:rPr>
                <w:rFonts w:cs="Arial"/>
                <w:sz w:val="22"/>
                <w:szCs w:val="22"/>
              </w:rPr>
            </w:pPr>
            <w:r>
              <w:rPr>
                <w:rFonts w:cs="Arial"/>
                <w:sz w:val="22"/>
                <w:szCs w:val="22"/>
              </w:rPr>
              <w:t>MA by Research</w:t>
            </w:r>
          </w:p>
        </w:tc>
        <w:tc>
          <w:tcPr>
            <w:tcW w:w="1660" w:type="dxa"/>
            <w:shd w:val="clear" w:color="auto" w:fill="D8D8D8" w:themeFill="background1" w:themeFillShade="D9"/>
          </w:tcPr>
          <w:p w14:paraId="6784FFE2">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14:paraId="74597816">
            <w:pPr>
              <w:jc w:val="center"/>
              <w:rPr>
                <w:rFonts w:cs="Arial"/>
                <w:sz w:val="22"/>
                <w:szCs w:val="22"/>
              </w:rPr>
            </w:pPr>
            <w:r>
              <w:rPr>
                <w:rFonts w:cs="Arial"/>
                <w:sz w:val="22"/>
                <w:szCs w:val="22"/>
              </w:rPr>
              <w:t>MRes</w:t>
            </w:r>
          </w:p>
        </w:tc>
        <w:tc>
          <w:tcPr>
            <w:tcW w:w="1662" w:type="dxa"/>
            <w:shd w:val="clear" w:color="auto" w:fill="D8D8D8" w:themeFill="background1" w:themeFillShade="D9"/>
          </w:tcPr>
          <w:p w14:paraId="2760CEEB">
            <w:pPr>
              <w:jc w:val="center"/>
              <w:rPr>
                <w:rFonts w:cs="Arial"/>
                <w:sz w:val="22"/>
                <w:szCs w:val="22"/>
              </w:rPr>
            </w:pPr>
          </w:p>
        </w:tc>
        <w:tc>
          <w:tcPr>
            <w:tcW w:w="1629" w:type="dxa"/>
            <w:shd w:val="clear" w:color="auto" w:fill="D8D8D8" w:themeFill="background1" w:themeFillShade="D9"/>
          </w:tcPr>
          <w:p w14:paraId="47EEC8A4">
            <w:pPr>
              <w:jc w:val="center"/>
              <w:rPr>
                <w:rFonts w:cs="Arial"/>
                <w:sz w:val="22"/>
                <w:szCs w:val="22"/>
              </w:rPr>
            </w:pPr>
          </w:p>
        </w:tc>
        <w:tc>
          <w:tcPr>
            <w:tcW w:w="1525" w:type="dxa"/>
            <w:shd w:val="clear" w:color="auto" w:fill="D8D8D8" w:themeFill="background1" w:themeFillShade="D9"/>
          </w:tcPr>
          <w:p w14:paraId="2E94090E">
            <w:pPr>
              <w:jc w:val="center"/>
              <w:rPr>
                <w:rFonts w:cs="Arial"/>
                <w:sz w:val="22"/>
                <w:szCs w:val="22"/>
              </w:rPr>
            </w:pPr>
          </w:p>
        </w:tc>
      </w:tr>
      <w:tr w14:paraId="6E7B34B3">
        <w:tc>
          <w:tcPr>
            <w:tcW w:w="1623" w:type="dxa"/>
          </w:tcPr>
          <w:sdt>
            <w:sdtPr>
              <w:rPr>
                <w:rFonts w:cs="Arial"/>
                <w:sz w:val="22"/>
                <w:szCs w:val="22"/>
              </w:rPr>
              <w:id w:val="1366476584"/>
              <w14:checkbox>
                <w14:checked w14:val="0"/>
                <w14:checkedState w14:val="2612" w14:font="MS Gothic"/>
                <w14:uncheckedState w14:val="2610" w14:font="MS Gothic"/>
              </w14:checkbox>
            </w:sdtPr>
            <w:sdtEndPr>
              <w:rPr>
                <w:rFonts w:cs="Arial"/>
                <w:sz w:val="22"/>
                <w:szCs w:val="22"/>
              </w:rPr>
            </w:sdtEndPr>
            <w:sdtContent>
              <w:p w14:paraId="3A5C1CED">
                <w:pPr>
                  <w:jc w:val="center"/>
                  <w:rPr>
                    <w:rFonts w:cs="Arial"/>
                    <w:sz w:val="22"/>
                    <w:szCs w:val="22"/>
                  </w:rPr>
                </w:pPr>
                <w:r>
                  <w:rPr>
                    <w:rFonts w:ascii="MS Gothic" w:hAnsi="MS Gothic" w:eastAsia="MS Gothic" w:cs="Arial"/>
                    <w:sz w:val="22"/>
                    <w:szCs w:val="22"/>
                  </w:rPr>
                  <w:t>☐</w:t>
                </w:r>
              </w:p>
            </w:sdtContent>
          </w:sdt>
          <w:p w14:paraId="7ACE8D3B">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14:paraId="610D168E">
                <w:pPr>
                  <w:jc w:val="center"/>
                  <w:rPr>
                    <w:rFonts w:cs="Arial"/>
                    <w:sz w:val="22"/>
                    <w:szCs w:val="22"/>
                  </w:rPr>
                </w:pPr>
                <w:r>
                  <w:rPr>
                    <w:rFonts w:ascii="MS Gothic" w:hAnsi="MS Gothic" w:eastAsia="MS Gothic" w:cs="Arial"/>
                    <w:sz w:val="22"/>
                    <w:szCs w:val="22"/>
                  </w:rPr>
                  <w:t>☐</w:t>
                </w:r>
              </w:p>
            </w:sdtContent>
          </w:sdt>
          <w:p w14:paraId="4E2724AB">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14:paraId="4EB6A137">
                <w:pPr>
                  <w:jc w:val="center"/>
                  <w:rPr>
                    <w:rFonts w:cs="Arial"/>
                    <w:sz w:val="22"/>
                    <w:szCs w:val="22"/>
                  </w:rPr>
                </w:pPr>
                <w:r>
                  <w:rPr>
                    <w:rFonts w:ascii="MS Gothic" w:hAnsi="MS Gothic" w:eastAsia="MS Gothic" w:cs="Arial"/>
                    <w:sz w:val="22"/>
                    <w:szCs w:val="22"/>
                  </w:rPr>
                  <w:t>☐</w:t>
                </w:r>
              </w:p>
            </w:sdtContent>
          </w:sdt>
          <w:p w14:paraId="4F53A6CD">
            <w:pPr>
              <w:jc w:val="center"/>
              <w:rPr>
                <w:rFonts w:cs="Arial"/>
                <w:sz w:val="22"/>
                <w:szCs w:val="22"/>
              </w:rPr>
            </w:pPr>
          </w:p>
        </w:tc>
        <w:tc>
          <w:tcPr>
            <w:tcW w:w="1662" w:type="dxa"/>
          </w:tcPr>
          <w:p w14:paraId="5732EEEC">
            <w:pPr>
              <w:jc w:val="center"/>
              <w:rPr>
                <w:rFonts w:cs="Arial"/>
                <w:sz w:val="22"/>
                <w:szCs w:val="22"/>
              </w:rPr>
            </w:pPr>
          </w:p>
        </w:tc>
        <w:tc>
          <w:tcPr>
            <w:tcW w:w="1629" w:type="dxa"/>
          </w:tcPr>
          <w:p w14:paraId="5804B584">
            <w:pPr>
              <w:jc w:val="center"/>
              <w:rPr>
                <w:rFonts w:cs="Arial"/>
                <w:sz w:val="22"/>
                <w:szCs w:val="22"/>
              </w:rPr>
            </w:pPr>
          </w:p>
        </w:tc>
        <w:tc>
          <w:tcPr>
            <w:tcW w:w="1525" w:type="dxa"/>
          </w:tcPr>
          <w:p w14:paraId="47B4645E">
            <w:pPr>
              <w:jc w:val="center"/>
              <w:rPr>
                <w:rFonts w:cs="Arial"/>
                <w:sz w:val="22"/>
                <w:szCs w:val="22"/>
              </w:rPr>
            </w:pPr>
          </w:p>
        </w:tc>
      </w:tr>
    </w:tbl>
    <w:p w14:paraId="07A1ACF8">
      <w:pPr>
        <w:ind w:left="180" w:hanging="270"/>
        <w:rPr>
          <w:rFonts w:cs="Arial"/>
          <w:b/>
          <w:sz w:val="22"/>
          <w:szCs w:val="22"/>
        </w:rPr>
      </w:pPr>
    </w:p>
    <w:p w14:paraId="607555D2">
      <w:pPr>
        <w:rPr>
          <w:rFonts w:cs="Arial"/>
          <w:sz w:val="22"/>
          <w:szCs w:val="22"/>
        </w:rPr>
      </w:pPr>
    </w:p>
    <w:p w14:paraId="106A4E2E">
      <w:pPr>
        <w:ind w:left="-142"/>
        <w:rPr>
          <w:rFonts w:cs="Arial"/>
          <w:bCs/>
          <w:sz w:val="22"/>
          <w:szCs w:val="22"/>
        </w:rPr>
      </w:pPr>
      <w:r>
        <w:rPr>
          <w:rFonts w:cs="Arial"/>
          <w:b/>
          <w:bCs/>
          <w:sz w:val="22"/>
          <w:szCs w:val="22"/>
        </w:rPr>
        <w:t>Proposed Research</w:t>
      </w:r>
    </w:p>
    <w:p w14:paraId="5945FBF9">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14:paraId="77021C71">
        <w:trPr>
          <w:trHeight w:val="397" w:hRule="atLeast"/>
        </w:trPr>
        <w:tc>
          <w:tcPr>
            <w:tcW w:w="9781" w:type="dxa"/>
            <w:shd w:val="clear" w:color="auto" w:fill="F1F1F1" w:themeFill="background1" w:themeFillShade="F2"/>
            <w:vAlign w:val="center"/>
          </w:tcPr>
          <w:p w14:paraId="6CE06150">
            <w:pPr>
              <w:rPr>
                <w:rFonts w:cs="Arial"/>
                <w:sz w:val="22"/>
                <w:szCs w:val="22"/>
              </w:rPr>
            </w:pPr>
            <w:r>
              <w:rPr>
                <w:rFonts w:cs="Arial"/>
                <w:sz w:val="22"/>
                <w:szCs w:val="22"/>
              </w:rPr>
              <w:t>Current Proposed Title (20 / 30 words):</w:t>
            </w:r>
          </w:p>
        </w:tc>
      </w:tr>
      <w:tr w14:paraId="46DEBFBA">
        <w:trPr>
          <w:trHeight w:val="397" w:hRule="atLeast"/>
        </w:trPr>
        <w:tc>
          <w:tcPr>
            <w:tcW w:w="9781" w:type="dxa"/>
            <w:vAlign w:val="center"/>
          </w:tcPr>
          <w:p w14:paraId="62F75C6C">
            <w:pPr>
              <w:pStyle w:val="27"/>
              <w:numPr>
                <w:ilvl w:val="0"/>
                <w:numId w:val="0"/>
              </w:numPr>
              <w:autoSpaceDE w:val="0"/>
              <w:autoSpaceDN w:val="0"/>
              <w:adjustRightInd w:val="0"/>
              <w:contextualSpacing/>
              <w:rPr>
                <w:rFonts w:ascii="Arial" w:hAnsi="Arial" w:cs="Arial"/>
                <w:sz w:val="22"/>
                <w:szCs w:val="22"/>
              </w:rPr>
            </w:pPr>
            <w:r>
              <w:rPr>
                <w:rFonts w:ascii="Arial" w:hAnsi="Arial" w:cs="Arial"/>
                <w:sz w:val="22"/>
                <w:szCs w:val="22"/>
              </w:rPr>
              <w:t>Embedding Peking Opera into Beijing’s Landmarks through AR: Exploring Cultural Experience and Identity among City Walk Participants</w:t>
            </w:r>
          </w:p>
          <w:p w14:paraId="270A07EC">
            <w:pPr>
              <w:rPr>
                <w:rFonts w:cs="Arial"/>
                <w:sz w:val="22"/>
                <w:szCs w:val="22"/>
              </w:rPr>
            </w:pPr>
          </w:p>
        </w:tc>
      </w:tr>
      <w:tr w14:paraId="047A55B1">
        <w:trPr>
          <w:trHeight w:val="397" w:hRule="atLeast"/>
        </w:trPr>
        <w:tc>
          <w:tcPr>
            <w:tcW w:w="9781" w:type="dxa"/>
            <w:shd w:val="clear" w:color="auto" w:fill="F1F1F1" w:themeFill="background1" w:themeFillShade="F2"/>
            <w:vAlign w:val="center"/>
          </w:tcPr>
          <w:p w14:paraId="6A6E17FC">
            <w:pPr>
              <w:rPr>
                <w:rFonts w:cs="Arial"/>
                <w:sz w:val="22"/>
                <w:szCs w:val="22"/>
              </w:rPr>
            </w:pPr>
            <w:r>
              <w:rPr>
                <w:rFonts w:cs="Arial"/>
                <w:sz w:val="22"/>
                <w:szCs w:val="22"/>
              </w:rPr>
              <w:t xml:space="preserve"> </w:t>
            </w:r>
          </w:p>
          <w:p w14:paraId="1C9B2173">
            <w:pPr>
              <w:rPr>
                <w:rFonts w:cs="Arial"/>
                <w:sz w:val="22"/>
                <w:szCs w:val="22"/>
              </w:rPr>
            </w:pPr>
            <w:r>
              <w:rPr>
                <w:rFonts w:cs="Arial"/>
                <w:sz w:val="22"/>
                <w:szCs w:val="22"/>
              </w:rPr>
              <w:t>Background &amp; Context (approx. 500 words)</w:t>
            </w:r>
          </w:p>
          <w:p w14:paraId="065EF8C5">
            <w:pPr>
              <w:rPr>
                <w:rFonts w:cs="Arial"/>
                <w:sz w:val="22"/>
                <w:szCs w:val="22"/>
              </w:rPr>
            </w:pPr>
          </w:p>
        </w:tc>
      </w:tr>
      <w:tr w14:paraId="3F5B4463">
        <w:trPr>
          <w:trHeight w:val="397" w:hRule="atLeast"/>
        </w:trPr>
        <w:tc>
          <w:tcPr>
            <w:tcW w:w="9781" w:type="dxa"/>
            <w:vAlign w:val="center"/>
          </w:tcPr>
          <w:p w14:paraId="7676B11D">
            <w:pPr>
              <w:pStyle w:val="27"/>
              <w:numPr>
                <w:ilvl w:val="0"/>
                <w:numId w:val="0"/>
              </w:numPr>
              <w:autoSpaceDE w:val="0"/>
              <w:autoSpaceDN w:val="0"/>
              <w:adjustRightInd w:val="0"/>
              <w:contextualSpacing/>
              <w:rPr>
                <w:rFonts w:ascii="Arial" w:hAnsi="Arial" w:cs="Arial"/>
                <w:sz w:val="22"/>
                <w:szCs w:val="22"/>
              </w:rPr>
            </w:pPr>
            <w:r>
              <w:rPr>
                <w:rFonts w:ascii="Arial" w:hAnsi="Arial" w:cs="Arial"/>
                <w:sz w:val="22"/>
                <w:szCs w:val="22"/>
                <w:lang w:val="en-US" w:eastAsia="zh-CN"/>
              </w:rPr>
              <w:t>Peking Opera, a representative form of Chinese traditional culture, emerged in the mid-Qing dynasty and evolved into the nation’s most celebrated art form, known as the “national essence.” As a cultural emblem of Beijing, it was inscribed on UNESCO’s Representative List of the Intangible Cultural Heritage of Humanity in 2010 (Yue Han, 2020). Yet today it faces serious challenges: its codified system of singing, recitation, acting, and combat raises entry barriers for modern audiences, leaving viewership dominated by older generations while younger engagement declines, reinforcing its niche status (</w:t>
            </w:r>
            <w:r>
              <w:rPr>
                <w:rFonts w:hint="default" w:ascii="Arial" w:hAnsi="Arial" w:cs="Arial"/>
                <w:sz w:val="22"/>
                <w:szCs w:val="22"/>
                <w:lang w:val="en-US" w:eastAsia="zh-CN"/>
              </w:rPr>
              <w:t>S</w:t>
            </w:r>
            <w:r>
              <w:rPr>
                <w:rFonts w:hint="eastAsia" w:ascii="Arial" w:hAnsi="Arial" w:cs="Arial"/>
                <w:sz w:val="22"/>
                <w:szCs w:val="22"/>
                <w:lang w:val="en-US" w:eastAsia="zh-CN"/>
              </w:rPr>
              <w:t>uo</w:t>
            </w:r>
            <w:r>
              <w:rPr>
                <w:rFonts w:hint="default" w:ascii="Arial" w:hAnsi="Arial" w:cs="Arial"/>
                <w:sz w:val="22"/>
                <w:szCs w:val="22"/>
                <w:lang w:val="en-US" w:eastAsia="zh-CN"/>
              </w:rPr>
              <w:t xml:space="preserve"> Zhang</w:t>
            </w:r>
            <w:r>
              <w:rPr>
                <w:rFonts w:ascii="Arial" w:hAnsi="Arial" w:cs="Arial"/>
                <w:sz w:val="22"/>
                <w:szCs w:val="22"/>
                <w:lang w:val="en-US" w:eastAsia="zh-CN"/>
              </w:rPr>
              <w:t>, 2022). At the same time</w:t>
            </w:r>
            <w:r>
              <w:rPr>
                <w:rFonts w:hint="default" w:ascii="Arial" w:hAnsi="Arial" w:cs="Arial"/>
                <w:sz w:val="22"/>
                <w:szCs w:val="22"/>
                <w:lang w:val="en-US" w:eastAsia="zh-CN"/>
              </w:rPr>
              <w:t xml:space="preserve">, </w:t>
            </w:r>
            <w:r>
              <w:rPr>
                <w:rFonts w:ascii="Arial" w:hAnsi="Arial" w:cs="Arial"/>
                <w:sz w:val="22"/>
                <w:szCs w:val="22"/>
                <w:lang w:val="en-US" w:eastAsia="zh-CN"/>
              </w:rPr>
              <w:t xml:space="preserve"> Beijing, a city deeply bound to the history of Peking Opera, landmarks such as Qianmen, and the Zhengyici Theatre remain, yet they are scarcely integrated into everyday urban life. The urgent challenge is how to reconnect Peking Opera with contemporary city living and youth culture. </w:t>
            </w:r>
          </w:p>
          <w:p w14:paraId="31670DDA">
            <w:pPr>
              <w:pStyle w:val="27"/>
              <w:numPr>
                <w:ilvl w:val="0"/>
                <w:numId w:val="0"/>
              </w:numPr>
              <w:autoSpaceDE w:val="0"/>
              <w:autoSpaceDN w:val="0"/>
              <w:adjustRightInd w:val="0"/>
              <w:contextualSpacing/>
              <w:rPr>
                <w:rFonts w:ascii="Arial" w:hAnsi="Arial" w:cs="Arial"/>
                <w:sz w:val="22"/>
                <w:szCs w:val="22"/>
                <w:lang w:val="en-US" w:eastAsia="zh-CN"/>
              </w:rPr>
            </w:pPr>
          </w:p>
          <w:p w14:paraId="6F6E67F4">
            <w:pPr>
              <w:pStyle w:val="27"/>
              <w:numPr>
                <w:ilvl w:val="0"/>
                <w:numId w:val="0"/>
              </w:numPr>
              <w:autoSpaceDE w:val="0"/>
              <w:autoSpaceDN w:val="0"/>
              <w:adjustRightInd w:val="0"/>
              <w:contextualSpacing/>
              <w:rPr>
                <w:rFonts w:ascii="Arial" w:hAnsi="Arial" w:cs="Arial"/>
                <w:sz w:val="22"/>
                <w:szCs w:val="22"/>
              </w:rPr>
            </w:pPr>
            <w:r>
              <w:rPr>
                <w:rFonts w:ascii="Arial" w:hAnsi="Arial" w:cs="Arial"/>
                <w:sz w:val="22"/>
                <w:szCs w:val="22"/>
                <w:lang w:val="en-US" w:eastAsia="zh-CN"/>
              </w:rPr>
              <w:t>Practical experience shows that AR technology can greatly enhance the dissemination of intangible cultural heritage. A notable example is the “Hetu AR Nine-Colored Deer” project by the Dunhuang Research Academy and Huawei. At Mogao Cave 257, visitors use a mobile AR app to see a virtual deer leap from the mural, interact with it, take photos, and access the related narrative and symbolism. This breaks through the limits of static display, allowing immersive engagement with Dunhuang culture and enriching the tourist experience (</w:t>
            </w:r>
            <w:r>
              <w:rPr>
                <w:rFonts w:hint="default" w:ascii="Arial" w:hAnsi="Arial" w:cs="Arial"/>
                <w:sz w:val="22"/>
                <w:szCs w:val="22"/>
                <w:lang w:val="en-US" w:eastAsia="zh-CN"/>
              </w:rPr>
              <w:t>Xiangling Huang</w:t>
            </w:r>
            <w:r>
              <w:rPr>
                <w:rFonts w:ascii="Arial" w:hAnsi="Arial" w:cs="Arial"/>
                <w:sz w:val="22"/>
                <w:szCs w:val="22"/>
                <w:lang w:val="en-US" w:eastAsia="zh-CN"/>
              </w:rPr>
              <w:t xml:space="preserve"> </w:t>
            </w:r>
            <w:r>
              <w:rPr>
                <w:rFonts w:hint="eastAsia" w:ascii="Arial" w:hAnsi="Arial" w:cs="Arial"/>
                <w:sz w:val="22"/>
                <w:szCs w:val="22"/>
                <w:lang w:val="en-US" w:eastAsia="zh-CN"/>
              </w:rPr>
              <w:t>et al.</w:t>
            </w:r>
            <w:r>
              <w:rPr>
                <w:rFonts w:ascii="Arial" w:hAnsi="Arial" w:cs="Arial"/>
                <w:sz w:val="22"/>
                <w:szCs w:val="22"/>
                <w:lang w:val="en-US" w:eastAsia="zh-CN"/>
              </w:rPr>
              <w:t xml:space="preserve"> 2024). Similarly, Daoqing shadow puppetry in Huan County, Gansu, has been revitalised through an AR app developed with Unity and Vuforia. By scanning images, users view 3D reconstructions of puppets and related chants. This enables the endangered art form to transcend time and space, re-enter public view, and support local tourism and the economy (</w:t>
            </w:r>
            <w:r>
              <w:rPr>
                <w:rFonts w:hint="default" w:ascii="Arial" w:hAnsi="Arial" w:cs="Arial"/>
                <w:sz w:val="22"/>
                <w:szCs w:val="22"/>
                <w:lang w:val="en-US" w:eastAsia="zh-CN"/>
              </w:rPr>
              <w:t xml:space="preserve">Shuangzhu Zhao </w:t>
            </w:r>
            <w:r>
              <w:rPr>
                <w:rFonts w:ascii="Arial" w:hAnsi="Arial" w:cs="Arial"/>
                <w:sz w:val="22"/>
                <w:szCs w:val="22"/>
                <w:lang w:val="en-US" w:eastAsia="zh-CN"/>
              </w:rPr>
              <w:t>et al., 2017). Together, these cases show how AR can bring traditional arts out of museums and theatres into daily life, reshaping audience experiences through interactivity, playfulness, and immersion.</w:t>
            </w:r>
          </w:p>
          <w:p w14:paraId="66F3C913">
            <w:pPr>
              <w:pStyle w:val="27"/>
              <w:numPr>
                <w:ilvl w:val="0"/>
                <w:numId w:val="0"/>
              </w:numPr>
              <w:autoSpaceDE w:val="0"/>
              <w:autoSpaceDN w:val="0"/>
              <w:adjustRightInd w:val="0"/>
              <w:contextualSpacing/>
              <w:rPr>
                <w:rFonts w:ascii="Arial" w:hAnsi="Arial" w:cs="Arial"/>
                <w:sz w:val="22"/>
                <w:szCs w:val="22"/>
                <w:lang w:val="en-US" w:eastAsia="zh-CN"/>
              </w:rPr>
            </w:pPr>
          </w:p>
          <w:p w14:paraId="27FE4E59">
            <w:pPr>
              <w:pStyle w:val="27"/>
              <w:numPr>
                <w:ilvl w:val="0"/>
                <w:numId w:val="0"/>
              </w:numPr>
              <w:autoSpaceDE w:val="0"/>
              <w:autoSpaceDN w:val="0"/>
              <w:adjustRightInd w:val="0"/>
              <w:contextualSpacing/>
              <w:rPr>
                <w:rFonts w:ascii="Arial" w:hAnsi="Arial" w:cs="Arial"/>
                <w:sz w:val="22"/>
                <w:szCs w:val="22"/>
              </w:rPr>
            </w:pPr>
            <w:r>
              <w:rPr>
                <w:rFonts w:ascii="Arial" w:hAnsi="Arial" w:cs="Arial"/>
                <w:sz w:val="22"/>
                <w:szCs w:val="22"/>
                <w:lang w:val="en-US" w:eastAsia="zh-CN"/>
              </w:rPr>
              <w:t>At the same time, location-based AR games illustrate how digital technology can reshape urban exploration. For instance, studies on Pokémon GO show that players significantly increased their average daily step count and built new social connections at physical gathering points such as PokéStops, thereby enhancing their sense of community belonging and overall well-being</w:t>
            </w:r>
            <w:r>
              <w:rPr>
                <w:rFonts w:hint="eastAsia" w:ascii="Arial" w:hAnsi="Arial" w:cs="Arial"/>
                <w:sz w:val="22"/>
                <w:szCs w:val="22"/>
                <w:lang w:val="en-US" w:eastAsia="zh-CN"/>
              </w:rPr>
              <w:t>（Paavilainen et al., 2017; Lee, Chiang and Hsiao, 2018</w:t>
            </w:r>
            <w:r>
              <w:rPr>
                <w:rFonts w:hint="default" w:ascii="Arial" w:hAnsi="Arial" w:cs="Arial"/>
                <w:sz w:val="22"/>
                <w:szCs w:val="22"/>
                <w:lang w:val="en-US" w:eastAsia="zh-CN"/>
              </w:rPr>
              <w:t xml:space="preserve">). </w:t>
            </w:r>
            <w:r>
              <w:rPr>
                <w:rFonts w:ascii="Arial" w:hAnsi="Arial" w:cs="Arial"/>
                <w:sz w:val="22"/>
                <w:szCs w:val="22"/>
                <w:lang w:val="en-US" w:eastAsia="zh-CN"/>
              </w:rPr>
              <w:t>These findings suggest that location triggers and gamification not only reshape spatial perception and behaviour but also foster emotional connections and social interaction. This highlights the potential of integrating digital media with urban space. Building on such experiences, the concept of “Peking Opera × Beijing landmarks × AR city exploration” seeks to let users “hear” Peking Opera in daily walks or tours, aligning with young audiences’ media habits while addressing the survival challenges Peking Opera faces.</w:t>
            </w:r>
          </w:p>
          <w:p w14:paraId="185BCD41">
            <w:pPr>
              <w:pStyle w:val="27"/>
              <w:numPr>
                <w:ilvl w:val="0"/>
                <w:numId w:val="0"/>
              </w:numPr>
              <w:autoSpaceDE w:val="0"/>
              <w:autoSpaceDN w:val="0"/>
              <w:adjustRightInd w:val="0"/>
              <w:contextualSpacing/>
              <w:rPr>
                <w:rFonts w:hint="default" w:ascii="Arial" w:hAnsi="Arial" w:cs="Arial"/>
                <w:sz w:val="22"/>
                <w:szCs w:val="22"/>
                <w:lang w:val="en-US"/>
              </w:rPr>
            </w:pPr>
          </w:p>
          <w:p w14:paraId="20D47F59">
            <w:pPr>
              <w:pStyle w:val="27"/>
              <w:numPr>
                <w:ilvl w:val="0"/>
                <w:numId w:val="0"/>
              </w:numPr>
              <w:autoSpaceDE w:val="0"/>
              <w:autoSpaceDN w:val="0"/>
              <w:adjustRightInd w:val="0"/>
              <w:contextualSpacing/>
              <w:rPr>
                <w:rFonts w:ascii="Arial" w:hAnsi="Arial" w:cs="Arial"/>
                <w:sz w:val="22"/>
                <w:szCs w:val="22"/>
              </w:rPr>
            </w:pPr>
            <w:r>
              <w:rPr>
                <w:rFonts w:ascii="Arial" w:hAnsi="Arial" w:cs="Arial"/>
                <w:sz w:val="22"/>
                <w:szCs w:val="22"/>
                <w:lang w:val="en-US" w:eastAsia="zh-CN"/>
              </w:rPr>
              <w:t>This study focuses on young adults aged 18–30, including Generation Z “digital natives” born after 1997 and younger millennials from the mid-1990s. They rely on apps, short videos, and interactive games for cultural content, favouring immersive and gamified experiences (Bresler, 2023). Embedding Peking Opera into Beijing’s urban exploration can foster cultural identity and place attachment while supporting its sustainable transmission.</w:t>
            </w:r>
          </w:p>
          <w:p w14:paraId="7F77DF48">
            <w:pPr>
              <w:pStyle w:val="27"/>
              <w:numPr>
                <w:ilvl w:val="0"/>
                <w:numId w:val="0"/>
              </w:numPr>
              <w:autoSpaceDE w:val="0"/>
              <w:autoSpaceDN w:val="0"/>
              <w:adjustRightInd w:val="0"/>
              <w:contextualSpacing/>
              <w:rPr>
                <w:rFonts w:hint="default" w:ascii="Arial" w:hAnsi="Arial" w:cs="Arial"/>
                <w:sz w:val="22"/>
                <w:szCs w:val="22"/>
                <w:lang w:val="en-US"/>
              </w:rPr>
            </w:pPr>
          </w:p>
          <w:p w14:paraId="3C80B0F9">
            <w:pPr>
              <w:pStyle w:val="27"/>
              <w:numPr>
                <w:ilvl w:val="0"/>
                <w:numId w:val="0"/>
              </w:numPr>
              <w:autoSpaceDE w:val="0"/>
              <w:autoSpaceDN w:val="0"/>
              <w:adjustRightInd w:val="0"/>
              <w:contextualSpacing/>
              <w:rPr>
                <w:rFonts w:ascii="Arial" w:hAnsi="Arial" w:cs="Arial"/>
                <w:sz w:val="22"/>
                <w:szCs w:val="22"/>
              </w:rPr>
            </w:pPr>
            <w:r>
              <w:rPr>
                <w:rFonts w:ascii="Arial" w:hAnsi="Arial" w:cs="Arial"/>
                <w:sz w:val="22"/>
                <w:szCs w:val="22"/>
                <w:lang w:val="en-US" w:eastAsia="zh-CN"/>
              </w:rPr>
              <w:t>In the academic context, existing studies provide theoretical support for this project. From a communication perspective, Wang Tingxin identified two layers of opera dissemination: “intrinsic dissemination,” centred on stage performance, and “extended dissemination,” which broadens influence through education, media, and social channels (</w:t>
            </w:r>
            <w:r>
              <w:rPr>
                <w:rFonts w:hint="default" w:ascii="Arial" w:hAnsi="Arial" w:cs="Arial"/>
                <w:sz w:val="22"/>
                <w:szCs w:val="22"/>
                <w:lang w:val="en-US" w:eastAsia="zh-CN"/>
              </w:rPr>
              <w:t>Tingxin Wang</w:t>
            </w:r>
            <w:r>
              <w:rPr>
                <w:rFonts w:ascii="Arial" w:hAnsi="Arial" w:cs="Arial"/>
                <w:sz w:val="22"/>
                <w:szCs w:val="22"/>
                <w:lang w:val="en-US" w:eastAsia="zh-CN"/>
              </w:rPr>
              <w:t>, 2010). Empirical evidence also shows the potential of augmented reality in cultural heritage tourism. Research at Korean heritage sites demonstrates that AR’s perceptual and aesthetic advantages significantly increase visitor satisfaction and revisit intention</w:t>
            </w:r>
            <w:r>
              <w:rPr>
                <w:rFonts w:hint="default" w:ascii="Arial" w:hAnsi="Arial" w:cs="Arial"/>
                <w:sz w:val="22"/>
                <w:szCs w:val="22"/>
                <w:lang w:val="en-US" w:eastAsia="zh-CN"/>
              </w:rPr>
              <w:t xml:space="preserve"> (</w:t>
            </w:r>
            <w:r>
              <w:rPr>
                <w:rFonts w:hint="eastAsia" w:ascii="Arial" w:hAnsi="Arial" w:cs="Arial"/>
                <w:sz w:val="22"/>
                <w:szCs w:val="22"/>
                <w:lang w:val="en-US" w:eastAsia="zh-CN"/>
              </w:rPr>
              <w:t>Chung et al., 2018</w:t>
            </w:r>
            <w:r>
              <w:rPr>
                <w:rFonts w:hint="default" w:ascii="Arial" w:hAnsi="Arial" w:cs="Arial"/>
                <w:sz w:val="22"/>
                <w:szCs w:val="22"/>
                <w:lang w:val="en-US" w:eastAsia="zh-CN"/>
              </w:rPr>
              <w:t xml:space="preserve">). </w:t>
            </w:r>
            <w:r>
              <w:rPr>
                <w:rFonts w:ascii="Arial" w:hAnsi="Arial" w:cs="Arial"/>
                <w:sz w:val="22"/>
                <w:szCs w:val="22"/>
                <w:lang w:val="en-US" w:eastAsia="zh-CN"/>
              </w:rPr>
              <w:t>An intelligent application platform designed for cultural heritage has further demonstrated a gamified approach that integrates narrative, route design, and sensor-based mini-games, effectively enhancing both the stickiness of user engagement and the educational value of the experience.</w:t>
            </w:r>
            <w:r>
              <w:rPr>
                <w:rFonts w:hint="default" w:ascii="Arial" w:hAnsi="Arial" w:cs="Arial"/>
                <w:sz w:val="22"/>
                <w:szCs w:val="22"/>
                <w:lang w:val="en-US" w:eastAsia="zh-CN"/>
              </w:rPr>
              <w:t>(</w:t>
            </w:r>
            <w:r>
              <w:rPr>
                <w:rFonts w:hint="eastAsia" w:ascii="Arial" w:hAnsi="Arial" w:cs="Arial"/>
                <w:sz w:val="22"/>
                <w:szCs w:val="22"/>
                <w:lang w:val="en-US" w:eastAsia="zh-CN"/>
              </w:rPr>
              <w:t>Kotsopoulos et al., 2024</w:t>
            </w:r>
            <w:r>
              <w:rPr>
                <w:rFonts w:hint="default" w:ascii="Arial" w:hAnsi="Arial" w:cs="Arial"/>
                <w:sz w:val="22"/>
                <w:szCs w:val="22"/>
                <w:lang w:val="en-US" w:eastAsia="zh-CN"/>
              </w:rPr>
              <w:t xml:space="preserve">). </w:t>
            </w:r>
            <w:r>
              <w:rPr>
                <w:rFonts w:ascii="Arial" w:hAnsi="Arial" w:cs="Arial"/>
                <w:sz w:val="22"/>
                <w:szCs w:val="22"/>
                <w:lang w:val="en-US" w:eastAsia="zh-CN"/>
              </w:rPr>
              <w:t>However, most existing studies focus on static, tangible heritage such as murals and architecture. Systematic research is still lacking on how intangible forms centred on dynamic performance, sound, and codified movement—such as Peking Opera—can be effectively communicated and experienced through AR.</w:t>
            </w:r>
          </w:p>
          <w:p w14:paraId="14AFCFB9">
            <w:pPr>
              <w:pStyle w:val="27"/>
              <w:numPr>
                <w:ilvl w:val="0"/>
                <w:numId w:val="0"/>
              </w:numPr>
              <w:autoSpaceDE w:val="0"/>
              <w:autoSpaceDN w:val="0"/>
              <w:adjustRightInd w:val="0"/>
              <w:contextualSpacing/>
              <w:rPr>
                <w:rFonts w:hint="default" w:ascii="Arial" w:hAnsi="Arial" w:cs="Arial"/>
                <w:sz w:val="22"/>
                <w:szCs w:val="22"/>
                <w:lang w:val="en-US"/>
              </w:rPr>
            </w:pPr>
          </w:p>
          <w:p w14:paraId="61767F41">
            <w:pPr>
              <w:pStyle w:val="27"/>
              <w:numPr>
                <w:ilvl w:val="0"/>
                <w:numId w:val="0"/>
              </w:numPr>
              <w:autoSpaceDE w:val="0"/>
              <w:autoSpaceDN w:val="0"/>
              <w:adjustRightInd w:val="0"/>
              <w:contextualSpacing/>
              <w:rPr>
                <w:rFonts w:hint="eastAsia" w:ascii="微软雅黑" w:hAnsi="微软雅黑" w:eastAsia="微软雅黑" w:cs="微软雅黑"/>
                <w:sz w:val="22"/>
                <w:szCs w:val="22"/>
                <w:lang w:eastAsia="zh-CN"/>
              </w:rPr>
            </w:pPr>
            <w:r>
              <w:rPr>
                <w:rFonts w:ascii="Arial" w:hAnsi="Arial" w:cs="Arial"/>
                <w:sz w:val="22"/>
                <w:szCs w:val="22"/>
                <w:lang w:val="en-US" w:eastAsia="zh-CN"/>
              </w:rPr>
              <w:t>In sum, while progress has been made in areas such as the digitalisation of intangible heritage, AR-based cultural tourism, and location-based gaming, the integration of “Peking Opera × Beijing landmarks × AR city exploration” remains underexplored. This study addresses this gap, responding to the challenges of Peking Opera’s transmission and the expectations of younger audiences, while offering new academic insights and practical strategies to foster cultural identity and strengthen city branding.</w:t>
            </w:r>
          </w:p>
        </w:tc>
      </w:tr>
      <w:tr w14:paraId="5BABABCE">
        <w:trPr>
          <w:trHeight w:val="397" w:hRule="atLeast"/>
        </w:trPr>
        <w:tc>
          <w:tcPr>
            <w:tcW w:w="9781" w:type="dxa"/>
            <w:shd w:val="clear" w:color="auto" w:fill="F1F1F1" w:themeFill="background1" w:themeFillShade="F2"/>
            <w:vAlign w:val="center"/>
          </w:tcPr>
          <w:p w14:paraId="2B5B6BE6">
            <w:pPr>
              <w:rPr>
                <w:rFonts w:cs="Arial"/>
                <w:sz w:val="22"/>
                <w:szCs w:val="22"/>
                <w:lang w:eastAsia="zh-CN"/>
              </w:rPr>
            </w:pPr>
          </w:p>
          <w:p w14:paraId="6D47198A">
            <w:pPr>
              <w:rPr>
                <w:rFonts w:cs="Arial"/>
                <w:sz w:val="22"/>
                <w:szCs w:val="22"/>
              </w:rPr>
            </w:pPr>
            <w:r>
              <w:rPr>
                <w:rFonts w:cs="Arial"/>
                <w:sz w:val="22"/>
                <w:szCs w:val="22"/>
              </w:rPr>
              <w:t>Aims and Objectives (approx.. 250 – 500 words)</w:t>
            </w:r>
          </w:p>
        </w:tc>
      </w:tr>
      <w:tr w14:paraId="1AEA8840">
        <w:trPr>
          <w:trHeight w:val="397" w:hRule="atLeast"/>
        </w:trPr>
        <w:tc>
          <w:tcPr>
            <w:tcW w:w="9781" w:type="dxa"/>
            <w:vAlign w:val="center"/>
          </w:tcPr>
          <w:p w14:paraId="55A13E16">
            <w:pPr>
              <w:pStyle w:val="27"/>
              <w:numPr>
                <w:ilvl w:val="0"/>
                <w:numId w:val="0"/>
              </w:numPr>
              <w:autoSpaceDE w:val="0"/>
              <w:autoSpaceDN w:val="0"/>
              <w:adjustRightInd w:val="0"/>
              <w:contextualSpacing/>
              <w:rPr>
                <w:rFonts w:hint="eastAsia" w:ascii="Arial" w:hAnsi="Arial" w:cs="Arial"/>
                <w:sz w:val="22"/>
                <w:szCs w:val="22"/>
                <w:lang w:val="en-US" w:eastAsia="zh-CN"/>
              </w:rPr>
            </w:pPr>
            <w:r>
              <w:rPr>
                <w:rFonts w:ascii="Arial" w:hAnsi="Arial" w:cs="Arial"/>
                <w:sz w:val="22"/>
                <w:szCs w:val="22"/>
                <w:lang w:val="en-US" w:eastAsia="zh-CN"/>
              </w:rPr>
              <w:t>Aims</w:t>
            </w:r>
            <w:r>
              <w:rPr>
                <w:rFonts w:hint="eastAsia" w:ascii="Arial" w:hAnsi="Arial" w:cs="Arial"/>
                <w:sz w:val="22"/>
                <w:szCs w:val="22"/>
                <w:lang w:val="en-US" w:eastAsia="zh-CN"/>
              </w:rPr>
              <w:t>：</w:t>
            </w:r>
          </w:p>
          <w:p w14:paraId="02C1E665">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This study aims to design and test an augmented reality (AR) city exploration game that embeds Peking Opera into Beijing’s landmarks. By enabling young adults aged 18–30 to encounter operatic scenes and soundscapes during real-world walking and exploration, the project seeks to deepen their understanding of Peking Opera and its connection to Beijing’s urban culture, thereby fostering cultural identity and a stronger sense of place attachment. At the same time, the study will compare different design elements—such as narrative, AR interaction, and reward mechanisms—to evaluate their effectiveness in enhancing user engagement and cultural resonance.</w:t>
            </w:r>
          </w:p>
          <w:p w14:paraId="67048FAA">
            <w:pPr>
              <w:pStyle w:val="27"/>
              <w:numPr>
                <w:ilvl w:val="0"/>
                <w:numId w:val="0"/>
              </w:numPr>
              <w:autoSpaceDE w:val="0"/>
              <w:autoSpaceDN w:val="0"/>
              <w:adjustRightInd w:val="0"/>
              <w:contextualSpacing/>
              <w:rPr>
                <w:rFonts w:ascii="Arial" w:hAnsi="Arial" w:cs="Arial"/>
                <w:sz w:val="22"/>
                <w:szCs w:val="22"/>
                <w:lang w:val="en-US" w:eastAsia="zh-CN"/>
              </w:rPr>
            </w:pPr>
          </w:p>
          <w:p w14:paraId="74134C34">
            <w:pPr>
              <w:pStyle w:val="27"/>
              <w:numPr>
                <w:ilvl w:val="0"/>
                <w:numId w:val="0"/>
              </w:numPr>
              <w:autoSpaceDE w:val="0"/>
              <w:autoSpaceDN w:val="0"/>
              <w:adjustRightInd w:val="0"/>
              <w:contextualSpacing/>
              <w:rPr>
                <w:rFonts w:ascii="Arial" w:hAnsi="Arial" w:cs="Arial"/>
                <w:sz w:val="22"/>
                <w:szCs w:val="22"/>
                <w:lang w:val="en-US" w:eastAsia="zh-CN"/>
              </w:rPr>
            </w:pPr>
            <w:r>
              <w:rPr>
                <w:rFonts w:hint="eastAsia" w:ascii="Arial" w:hAnsi="Arial" w:cs="Arial"/>
                <w:sz w:val="22"/>
                <w:szCs w:val="22"/>
                <w:lang w:val="en-US" w:eastAsia="zh-CN"/>
              </w:rPr>
              <w:t>Objectives：</w:t>
            </w:r>
          </w:p>
          <w:p w14:paraId="6725BF0E">
            <w:pPr>
              <w:pStyle w:val="27"/>
              <w:numPr>
                <w:ilvl w:val="0"/>
                <w:numId w:val="1"/>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To design and develop multiple versions of the AR city exploration game prototype, each emphasising a distinct design element such as narrative-driven storytelling, interactive features, or reward-based mechanics. The prototypes will be produced in collaboration with technical developers  to ensure technological feasibility.</w:t>
            </w:r>
          </w:p>
          <w:p w14:paraId="3573318A">
            <w:pPr>
              <w:pStyle w:val="27"/>
              <w:numPr>
                <w:ilvl w:val="0"/>
                <w:numId w:val="1"/>
              </w:numPr>
              <w:autoSpaceDE w:val="0"/>
              <w:autoSpaceDN w:val="0"/>
              <w:adjustRightInd w:val="0"/>
              <w:ind w:left="720" w:leftChars="0" w:firstLine="0" w:firstLineChars="0"/>
              <w:contextualSpacing/>
              <w:rPr>
                <w:rFonts w:hint="eastAsia" w:ascii="Arial" w:hAnsi="Arial" w:cs="Arial"/>
                <w:sz w:val="22"/>
                <w:szCs w:val="22"/>
                <w:lang w:val="en-US" w:eastAsia="zh-CN"/>
              </w:rPr>
            </w:pPr>
            <w:r>
              <w:rPr>
                <w:rFonts w:hint="eastAsia" w:ascii="Arial" w:hAnsi="Arial" w:cs="Arial"/>
                <w:sz w:val="22"/>
                <w:szCs w:val="22"/>
                <w:lang w:val="en-US" w:eastAsia="zh-CN"/>
              </w:rPr>
              <w:t>To conduct pre- and post-game surveys using structured scales in order to measure changes in young participants’ knowledge of Peking Opera, their awareness of Beijing’s cultural heritage, and their sense of place attachment. This will allow for a clear evaluation of the game’s educational and cultural impact.</w:t>
            </w:r>
          </w:p>
          <w:p w14:paraId="79D90732">
            <w:pPr>
              <w:pStyle w:val="27"/>
              <w:numPr>
                <w:ilvl w:val="0"/>
                <w:numId w:val="1"/>
              </w:numPr>
              <w:autoSpaceDE w:val="0"/>
              <w:autoSpaceDN w:val="0"/>
              <w:adjustRightInd w:val="0"/>
              <w:ind w:left="720" w:leftChars="0" w:firstLine="0" w:firstLineChars="0"/>
              <w:contextualSpacing/>
              <w:rPr>
                <w:rFonts w:hint="eastAsia" w:ascii="Arial" w:hAnsi="Arial" w:cs="Arial"/>
                <w:sz w:val="22"/>
                <w:szCs w:val="22"/>
                <w:lang w:val="en-US" w:eastAsia="zh-CN"/>
              </w:rPr>
            </w:pPr>
            <w:r>
              <w:rPr>
                <w:rFonts w:hint="eastAsia" w:ascii="Arial" w:hAnsi="Arial" w:cs="Arial"/>
                <w:sz w:val="22"/>
                <w:szCs w:val="22"/>
                <w:lang w:val="en-US" w:eastAsia="zh-CN"/>
              </w:rPr>
              <w:t>To organise focus groups with participants aged 18–30, providing opportunities for in-depth discussion of their subjective experiences. These sessions will help identify how different design elements influence users’ engagement, levels of enjoyment, and the formation of cultural identity.</w:t>
            </w:r>
          </w:p>
          <w:p w14:paraId="6A378736">
            <w:pPr>
              <w:pStyle w:val="27"/>
              <w:numPr>
                <w:ilvl w:val="0"/>
                <w:numId w:val="1"/>
              </w:numPr>
              <w:autoSpaceDE w:val="0"/>
              <w:autoSpaceDN w:val="0"/>
              <w:adjustRightInd w:val="0"/>
              <w:ind w:left="720" w:leftChars="0" w:firstLine="0" w:firstLineChars="0"/>
              <w:contextualSpacing/>
              <w:rPr>
                <w:rFonts w:ascii="Arial" w:hAnsi="Arial" w:cs="Arial"/>
                <w:sz w:val="22"/>
                <w:szCs w:val="22"/>
                <w:lang w:val="en-US" w:eastAsia="zh-CN"/>
              </w:rPr>
            </w:pPr>
            <w:r>
              <w:rPr>
                <w:rFonts w:hint="eastAsia" w:ascii="Arial" w:hAnsi="Arial" w:cs="Arial"/>
                <w:sz w:val="22"/>
                <w:szCs w:val="22"/>
                <w:lang w:val="en-US" w:eastAsia="zh-CN"/>
              </w:rPr>
              <w:t>To collect and analyse real-time behavioural and interaction data generated during gameplay, including time spent at landmarks, frequency of interactions, and choices made. By comparing patterns across different prototype versions, the study aims to determine which design features are most effective in enhancing immersion, sustaining engagement, and fostering cultural resonance.</w:t>
            </w:r>
          </w:p>
          <w:p w14:paraId="743E6469">
            <w:pPr>
              <w:pStyle w:val="27"/>
              <w:numPr>
                <w:ilvl w:val="0"/>
                <w:numId w:val="0"/>
              </w:numPr>
              <w:autoSpaceDE w:val="0"/>
              <w:autoSpaceDN w:val="0"/>
              <w:adjustRightInd w:val="0"/>
              <w:contextualSpacing/>
              <w:rPr>
                <w:rFonts w:cs="Arial"/>
                <w:sz w:val="22"/>
                <w:szCs w:val="22"/>
              </w:rPr>
            </w:pPr>
          </w:p>
        </w:tc>
      </w:tr>
      <w:tr w14:paraId="3B2963C3">
        <w:trPr>
          <w:trHeight w:val="397" w:hRule="atLeast"/>
        </w:trPr>
        <w:tc>
          <w:tcPr>
            <w:tcW w:w="9781" w:type="dxa"/>
            <w:shd w:val="clear" w:color="auto" w:fill="F1F1F1" w:themeFill="background1" w:themeFillShade="F2"/>
            <w:vAlign w:val="center"/>
          </w:tcPr>
          <w:p w14:paraId="3279BA5F">
            <w:pPr>
              <w:rPr>
                <w:rFonts w:cs="Arial"/>
                <w:sz w:val="22"/>
                <w:szCs w:val="22"/>
              </w:rPr>
            </w:pPr>
          </w:p>
          <w:p w14:paraId="02EF8E0E">
            <w:pPr>
              <w:rPr>
                <w:rFonts w:cs="Arial"/>
                <w:sz w:val="22"/>
                <w:szCs w:val="22"/>
              </w:rPr>
            </w:pPr>
            <w:r>
              <w:rPr>
                <w:rFonts w:cs="Arial"/>
                <w:sz w:val="22"/>
                <w:szCs w:val="22"/>
              </w:rPr>
              <w:t xml:space="preserve">Proposed plan of work including timetable </w:t>
            </w:r>
          </w:p>
        </w:tc>
      </w:tr>
      <w:tr w14:paraId="6D638DD3">
        <w:trPr>
          <w:trHeight w:val="397" w:hRule="atLeast"/>
        </w:trPr>
        <w:tc>
          <w:tcPr>
            <w:tcW w:w="9781" w:type="dxa"/>
          </w:tcPr>
          <w:p w14:paraId="3DE4FDEB">
            <w:pPr>
              <w:rPr>
                <w:rFonts w:cs="Arial"/>
                <w:i/>
                <w:sz w:val="22"/>
                <w:szCs w:val="22"/>
              </w:rPr>
            </w:pPr>
            <w:r>
              <w:rPr>
                <w:rFonts w:cs="Arial"/>
                <w:i/>
                <w:sz w:val="22"/>
                <w:szCs w:val="22"/>
              </w:rPr>
              <w:t>Proposed plan of work</w:t>
            </w:r>
          </w:p>
          <w:p w14:paraId="2BF0F110">
            <w:pPr>
              <w:rPr>
                <w:rFonts w:cs="Arial"/>
                <w:sz w:val="22"/>
                <w:szCs w:val="22"/>
                <w:lang w:eastAsia="zh-CN"/>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77"/>
              <w:gridCol w:w="4778"/>
            </w:tblGrid>
            <w:tr w14:paraId="1D921BFD">
              <w:tc>
                <w:tcPr>
                  <w:tcW w:w="4777" w:type="dxa"/>
                </w:tcPr>
                <w:p w14:paraId="555CBE44">
                  <w:pPr>
                    <w:rPr>
                      <w:rFonts w:cs="Arial"/>
                      <w:sz w:val="22"/>
                      <w:szCs w:val="22"/>
                    </w:rPr>
                  </w:pPr>
                  <w:r>
                    <w:rPr>
                      <w:rFonts w:cs="Arial"/>
                      <w:sz w:val="22"/>
                      <w:szCs w:val="22"/>
                    </w:rPr>
                    <w:t>Planned Development (e.g. submission of form, completion of chapter, submission of thesis)</w:t>
                  </w:r>
                </w:p>
              </w:tc>
              <w:tc>
                <w:tcPr>
                  <w:tcW w:w="4778" w:type="dxa"/>
                </w:tcPr>
                <w:p w14:paraId="61FC0D2B">
                  <w:pPr>
                    <w:rPr>
                      <w:rFonts w:cs="Arial"/>
                      <w:sz w:val="22"/>
                      <w:szCs w:val="22"/>
                    </w:rPr>
                  </w:pPr>
                  <w:r>
                    <w:rPr>
                      <w:rFonts w:cs="Arial"/>
                      <w:sz w:val="22"/>
                      <w:szCs w:val="22"/>
                    </w:rPr>
                    <w:t>Target Date</w:t>
                  </w:r>
                </w:p>
              </w:tc>
            </w:tr>
            <w:tr w14:paraId="3E5FE193">
              <w:tc>
                <w:tcPr>
                  <w:tcW w:w="4777" w:type="dxa"/>
                  <w:shd w:val="clear" w:color="auto" w:fill="auto"/>
                  <w:vAlign w:val="top"/>
                </w:tcPr>
                <w:p w14:paraId="09488BEF">
                  <w:pPr>
                    <w:pStyle w:val="27"/>
                    <w:numPr>
                      <w:ilvl w:val="0"/>
                      <w:numId w:val="0"/>
                    </w:numPr>
                    <w:autoSpaceDE w:val="0"/>
                    <w:autoSpaceDN w:val="0"/>
                    <w:adjustRightInd w:val="0"/>
                    <w:contextualSpacing/>
                    <w:rPr>
                      <w:rFonts w:ascii="Arial" w:hAnsi="Arial" w:eastAsia="Times New Roman" w:cs="Arial"/>
                      <w:sz w:val="18"/>
                      <w:szCs w:val="18"/>
                      <w:lang w:val="en-US" w:eastAsia="zh-CN" w:bidi="ar-SA"/>
                    </w:rPr>
                  </w:pPr>
                  <w:r>
                    <w:rPr>
                      <w:rFonts w:ascii="Arial" w:hAnsi="Arial" w:cs="Arial"/>
                      <w:sz w:val="22"/>
                      <w:szCs w:val="22"/>
                      <w:lang w:val="en-US" w:eastAsia="zh-CN"/>
                    </w:rPr>
                    <w:t>Submit full project proposal</w:t>
                  </w:r>
                </w:p>
              </w:tc>
              <w:tc>
                <w:tcPr>
                  <w:tcW w:w="4778" w:type="dxa"/>
                  <w:shd w:val="clear" w:color="auto" w:fill="auto"/>
                  <w:vAlign w:val="top"/>
                </w:tcPr>
                <w:p w14:paraId="3F2D0D31">
                  <w:pPr>
                    <w:pStyle w:val="27"/>
                    <w:numPr>
                      <w:ilvl w:val="0"/>
                      <w:numId w:val="0"/>
                    </w:numPr>
                    <w:autoSpaceDE w:val="0"/>
                    <w:autoSpaceDN w:val="0"/>
                    <w:adjustRightInd w:val="0"/>
                    <w:contextualSpacing/>
                    <w:rPr>
                      <w:rFonts w:hint="default" w:ascii="Arial" w:hAnsi="Arial" w:cs="Arial"/>
                      <w:sz w:val="22"/>
                      <w:szCs w:val="22"/>
                      <w:lang w:val="en-US" w:eastAsia="en-GB"/>
                    </w:rPr>
                  </w:pPr>
                  <w:r>
                    <w:rPr>
                      <w:rFonts w:ascii="Arial" w:hAnsi="Arial" w:cs="Arial"/>
                      <w:sz w:val="22"/>
                      <w:szCs w:val="22"/>
                      <w:lang w:val="en-US" w:eastAsia="zh-CN"/>
                    </w:rPr>
                    <w:t>Sep</w:t>
                  </w:r>
                  <w:r>
                    <w:rPr>
                      <w:rFonts w:hint="default" w:ascii="Arial" w:hAnsi="Arial" w:cs="Arial"/>
                      <w:sz w:val="22"/>
                      <w:szCs w:val="22"/>
                      <w:lang w:val="en-US" w:eastAsia="zh-CN"/>
                    </w:rPr>
                    <w:t>t</w:t>
                  </w:r>
                  <w:r>
                    <w:rPr>
                      <w:rFonts w:ascii="Arial" w:hAnsi="Arial" w:cs="Arial"/>
                      <w:sz w:val="22"/>
                      <w:szCs w:val="22"/>
                      <w:lang w:val="cy-GB" w:eastAsia="zh-CN"/>
                    </w:rPr>
                    <w:t xml:space="preserve"> 202</w:t>
                  </w:r>
                  <w:r>
                    <w:rPr>
                      <w:rFonts w:hint="default" w:ascii="Arial" w:hAnsi="Arial" w:cs="Arial"/>
                      <w:sz w:val="22"/>
                      <w:szCs w:val="22"/>
                      <w:lang w:val="en-US" w:eastAsia="zh-CN"/>
                    </w:rPr>
                    <w:t>5</w:t>
                  </w:r>
                </w:p>
              </w:tc>
            </w:tr>
            <w:tr w14:paraId="03770846">
              <w:tc>
                <w:tcPr>
                  <w:tcW w:w="4777" w:type="dxa"/>
                  <w:shd w:val="clear" w:color="auto" w:fill="auto"/>
                  <w:vAlign w:val="top"/>
                </w:tcPr>
                <w:p w14:paraId="7F5D96E5">
                  <w:pPr>
                    <w:pStyle w:val="27"/>
                    <w:numPr>
                      <w:ilvl w:val="0"/>
                      <w:numId w:val="0"/>
                    </w:numPr>
                    <w:autoSpaceDE w:val="0"/>
                    <w:autoSpaceDN w:val="0"/>
                    <w:adjustRightInd w:val="0"/>
                    <w:contextualSpacing/>
                    <w:rPr>
                      <w:rFonts w:ascii="Arial" w:hAnsi="Arial" w:eastAsia="Times New Roman" w:cs="Arial"/>
                      <w:sz w:val="18"/>
                      <w:szCs w:val="18"/>
                      <w:lang w:val="en-US" w:eastAsia="zh-CN" w:bidi="ar-SA"/>
                    </w:rPr>
                  </w:pPr>
                  <w:r>
                    <w:rPr>
                      <w:rFonts w:ascii="Arial" w:hAnsi="Arial" w:cs="Arial"/>
                      <w:sz w:val="22"/>
                      <w:szCs w:val="22"/>
                      <w:lang w:val="en-US" w:eastAsia="zh-CN"/>
                    </w:rPr>
                    <w:t xml:space="preserve">Submit full Ethics form. </w:t>
                  </w:r>
                </w:p>
              </w:tc>
              <w:tc>
                <w:tcPr>
                  <w:tcW w:w="4778" w:type="dxa"/>
                  <w:shd w:val="clear" w:color="auto" w:fill="auto"/>
                  <w:vAlign w:val="top"/>
                </w:tcPr>
                <w:p w14:paraId="4472CEDF">
                  <w:pPr>
                    <w:pStyle w:val="27"/>
                    <w:numPr>
                      <w:ilvl w:val="0"/>
                      <w:numId w:val="0"/>
                    </w:numPr>
                    <w:autoSpaceDE w:val="0"/>
                    <w:autoSpaceDN w:val="0"/>
                    <w:adjustRightInd w:val="0"/>
                    <w:contextualSpacing/>
                    <w:rPr>
                      <w:rFonts w:hint="default" w:ascii="Arial" w:hAnsi="Arial" w:cs="Arial"/>
                      <w:sz w:val="22"/>
                      <w:szCs w:val="22"/>
                      <w:lang w:val="en-US" w:eastAsia="en-GB"/>
                    </w:rPr>
                  </w:pPr>
                  <w:r>
                    <w:rPr>
                      <w:rFonts w:ascii="Arial" w:hAnsi="Arial" w:cs="Arial"/>
                      <w:sz w:val="22"/>
                      <w:szCs w:val="22"/>
                      <w:lang w:val="en-US" w:eastAsia="zh-CN"/>
                    </w:rPr>
                    <w:t>Sep</w:t>
                  </w:r>
                  <w:r>
                    <w:rPr>
                      <w:rFonts w:hint="default" w:ascii="Arial" w:hAnsi="Arial" w:cs="Arial"/>
                      <w:sz w:val="22"/>
                      <w:szCs w:val="22"/>
                      <w:lang w:val="en-US" w:eastAsia="zh-CN"/>
                    </w:rPr>
                    <w:t>t</w:t>
                  </w:r>
                  <w:r>
                    <w:rPr>
                      <w:rFonts w:ascii="Arial" w:hAnsi="Arial" w:cs="Arial"/>
                      <w:sz w:val="22"/>
                      <w:szCs w:val="22"/>
                      <w:lang w:val="cy-GB" w:eastAsia="zh-CN"/>
                    </w:rPr>
                    <w:t xml:space="preserve"> 202</w:t>
                  </w:r>
                  <w:r>
                    <w:rPr>
                      <w:rFonts w:hint="default" w:ascii="Arial" w:hAnsi="Arial" w:cs="Arial"/>
                      <w:sz w:val="22"/>
                      <w:szCs w:val="22"/>
                      <w:lang w:val="en-US" w:eastAsia="zh-CN"/>
                    </w:rPr>
                    <w:t>5</w:t>
                  </w:r>
                </w:p>
              </w:tc>
            </w:tr>
            <w:tr w14:paraId="1C3B5F93">
              <w:tc>
                <w:tcPr>
                  <w:tcW w:w="4777" w:type="dxa"/>
                </w:tcPr>
                <w:p w14:paraId="08850EF2">
                  <w:pPr>
                    <w:pStyle w:val="27"/>
                    <w:numPr>
                      <w:ilvl w:val="0"/>
                      <w:numId w:val="0"/>
                    </w:numPr>
                    <w:autoSpaceDE w:val="0"/>
                    <w:autoSpaceDN w:val="0"/>
                    <w:adjustRightInd w:val="0"/>
                    <w:contextualSpacing/>
                    <w:rPr>
                      <w:rFonts w:cs="Arial"/>
                      <w:sz w:val="22"/>
                      <w:szCs w:val="22"/>
                    </w:rPr>
                  </w:pPr>
                  <w:r>
                    <w:rPr>
                      <w:rFonts w:ascii="Arial" w:hAnsi="Arial" w:cs="Arial"/>
                      <w:sz w:val="22"/>
                      <w:szCs w:val="22"/>
                      <w:lang w:val="en-US" w:eastAsia="zh-CN"/>
                    </w:rPr>
                    <w:t>Conduct the first stage of the literature review, focusing on augmented reality, gamification theory, place attachment theory, the digital dissemination of intangible cultural heritage, and academic studies on Peking Opera and Beijing culture. This phase will establish the research framework and clarify the key design elements and user experience model.</w:t>
                  </w:r>
                </w:p>
              </w:tc>
              <w:tc>
                <w:tcPr>
                  <w:tcW w:w="4778" w:type="dxa"/>
                  <w:shd w:val="clear" w:color="auto" w:fill="auto"/>
                  <w:vAlign w:val="top"/>
                </w:tcPr>
                <w:p w14:paraId="739AFF27">
                  <w:pPr>
                    <w:pStyle w:val="27"/>
                    <w:numPr>
                      <w:ilvl w:val="0"/>
                      <w:numId w:val="0"/>
                    </w:numPr>
                    <w:autoSpaceDE w:val="0"/>
                    <w:autoSpaceDN w:val="0"/>
                    <w:adjustRightInd w:val="0"/>
                    <w:contextualSpacing/>
                    <w:rPr>
                      <w:rFonts w:hint="default" w:ascii="Arial" w:hAnsi="Arial" w:cs="Arial"/>
                      <w:sz w:val="22"/>
                      <w:szCs w:val="22"/>
                      <w:lang w:val="en-US" w:eastAsia="en-GB"/>
                    </w:rPr>
                  </w:pPr>
                  <w:r>
                    <w:rPr>
                      <w:rFonts w:hint="default" w:ascii="Arial" w:hAnsi="Arial" w:cs="Arial"/>
                      <w:sz w:val="22"/>
                      <w:szCs w:val="22"/>
                      <w:lang w:val="en-US" w:eastAsia="zh-CN"/>
                    </w:rPr>
                    <w:t>Oct</w:t>
                  </w:r>
                  <w:r>
                    <w:rPr>
                      <w:rFonts w:ascii="Arial" w:hAnsi="Arial" w:cs="Arial"/>
                      <w:sz w:val="22"/>
                      <w:szCs w:val="22"/>
                      <w:lang w:val="cy-GB" w:eastAsia="zh-CN"/>
                    </w:rPr>
                    <w:t xml:space="preserve"> 202</w:t>
                  </w:r>
                  <w:r>
                    <w:rPr>
                      <w:rFonts w:hint="default" w:ascii="Arial" w:hAnsi="Arial" w:cs="Arial"/>
                      <w:sz w:val="22"/>
                      <w:szCs w:val="22"/>
                      <w:lang w:val="en-US" w:eastAsia="zh-CN"/>
                    </w:rPr>
                    <w:t>5</w:t>
                  </w:r>
                  <w:r>
                    <w:rPr>
                      <w:rFonts w:ascii="Arial" w:hAnsi="Arial" w:cs="Arial"/>
                      <w:sz w:val="22"/>
                      <w:szCs w:val="22"/>
                      <w:lang w:val="cy-GB" w:eastAsia="zh-CN"/>
                    </w:rPr>
                    <w:t xml:space="preserve"> –</w:t>
                  </w:r>
                  <w:r>
                    <w:rPr>
                      <w:rFonts w:hint="default" w:ascii="Arial" w:hAnsi="Arial" w:cs="Arial"/>
                      <w:sz w:val="22"/>
                      <w:szCs w:val="22"/>
                      <w:lang w:val="en-US" w:eastAsia="zh-CN"/>
                    </w:rPr>
                    <w:t>Nov</w:t>
                  </w:r>
                  <w:r>
                    <w:rPr>
                      <w:rFonts w:ascii="Arial" w:hAnsi="Arial" w:cs="Arial"/>
                      <w:sz w:val="22"/>
                      <w:szCs w:val="22"/>
                      <w:lang w:val="cy-GB" w:eastAsia="zh-CN"/>
                    </w:rPr>
                    <w:t xml:space="preserve"> 202</w:t>
                  </w:r>
                  <w:r>
                    <w:rPr>
                      <w:rFonts w:hint="default" w:ascii="Arial" w:hAnsi="Arial" w:cs="Arial"/>
                      <w:sz w:val="22"/>
                      <w:szCs w:val="22"/>
                      <w:lang w:val="en-US" w:eastAsia="zh-CN"/>
                    </w:rPr>
                    <w:t>5</w:t>
                  </w:r>
                </w:p>
              </w:tc>
            </w:tr>
            <w:tr w14:paraId="376DA13B">
              <w:tc>
                <w:tcPr>
                  <w:tcW w:w="4777" w:type="dxa"/>
                </w:tcPr>
                <w:p w14:paraId="2CCE4D2A">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Formulate research hypotheses and define the expected roles of different game elements, including narrative, AR interaction, and reward mechanisms.</w:t>
                  </w:r>
                </w:p>
              </w:tc>
              <w:tc>
                <w:tcPr>
                  <w:tcW w:w="4778" w:type="dxa"/>
                  <w:shd w:val="clear" w:color="auto" w:fill="auto"/>
                  <w:vAlign w:val="top"/>
                </w:tcPr>
                <w:p w14:paraId="01731808">
                  <w:pPr>
                    <w:pStyle w:val="27"/>
                    <w:numPr>
                      <w:ilvl w:val="0"/>
                      <w:numId w:val="0"/>
                    </w:numPr>
                    <w:autoSpaceDE w:val="0"/>
                    <w:autoSpaceDN w:val="0"/>
                    <w:adjustRightInd w:val="0"/>
                    <w:contextualSpacing/>
                    <w:rPr>
                      <w:rFonts w:hint="default" w:ascii="Arial" w:hAnsi="Arial" w:cs="Arial"/>
                      <w:sz w:val="22"/>
                      <w:szCs w:val="22"/>
                      <w:lang w:val="en-US" w:eastAsia="en-GB"/>
                    </w:rPr>
                  </w:pPr>
                  <w:r>
                    <w:rPr>
                      <w:rFonts w:hint="default" w:ascii="Arial" w:hAnsi="Arial" w:cs="Arial"/>
                      <w:sz w:val="22"/>
                      <w:szCs w:val="22"/>
                      <w:lang w:val="en-US" w:eastAsia="zh-CN"/>
                    </w:rPr>
                    <w:t>Nov</w:t>
                  </w:r>
                  <w:r>
                    <w:rPr>
                      <w:rFonts w:ascii="Arial" w:hAnsi="Arial" w:cs="Arial"/>
                      <w:sz w:val="22"/>
                      <w:szCs w:val="22"/>
                      <w:lang w:val="en-US" w:eastAsia="zh-CN"/>
                    </w:rPr>
                    <w:t xml:space="preserve"> </w:t>
                  </w:r>
                  <w:r>
                    <w:rPr>
                      <w:rFonts w:ascii="Arial" w:hAnsi="Arial" w:cs="Arial"/>
                      <w:sz w:val="22"/>
                      <w:szCs w:val="22"/>
                      <w:lang w:val="cy-GB" w:eastAsia="zh-CN"/>
                    </w:rPr>
                    <w:t>202</w:t>
                  </w:r>
                  <w:r>
                    <w:rPr>
                      <w:rFonts w:hint="default" w:ascii="Arial" w:hAnsi="Arial" w:cs="Arial"/>
                      <w:sz w:val="22"/>
                      <w:szCs w:val="22"/>
                      <w:lang w:val="en-US" w:eastAsia="zh-CN"/>
                    </w:rPr>
                    <w:t>5</w:t>
                  </w:r>
                </w:p>
              </w:tc>
            </w:tr>
            <w:tr w14:paraId="30DF976F">
              <w:tc>
                <w:tcPr>
                  <w:tcW w:w="4777" w:type="dxa"/>
                </w:tcPr>
                <w:p w14:paraId="03CF225D">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Complete the initial design and development of the “Peking Opera × Beijing landmarks × AR” game prototype, followed by small-scale functional and technical stress testing.</w:t>
                  </w:r>
                </w:p>
              </w:tc>
              <w:tc>
                <w:tcPr>
                  <w:tcW w:w="4778" w:type="dxa"/>
                  <w:shd w:val="clear" w:color="auto" w:fill="auto"/>
                  <w:vAlign w:val="top"/>
                </w:tcPr>
                <w:p w14:paraId="3C660521">
                  <w:pPr>
                    <w:pStyle w:val="27"/>
                    <w:numPr>
                      <w:ilvl w:val="0"/>
                      <w:numId w:val="0"/>
                    </w:numPr>
                    <w:autoSpaceDE w:val="0"/>
                    <w:autoSpaceDN w:val="0"/>
                    <w:adjustRightInd w:val="0"/>
                    <w:contextualSpacing/>
                    <w:rPr>
                      <w:rFonts w:hint="default" w:ascii="Arial" w:hAnsi="Arial" w:cs="Arial"/>
                      <w:sz w:val="22"/>
                      <w:szCs w:val="22"/>
                      <w:lang w:val="en-US" w:eastAsia="en-GB"/>
                    </w:rPr>
                  </w:pPr>
                  <w:r>
                    <w:rPr>
                      <w:rFonts w:ascii="Arial" w:hAnsi="Arial" w:cs="Arial"/>
                      <w:sz w:val="22"/>
                      <w:szCs w:val="22"/>
                      <w:lang w:val="cy-GB" w:eastAsia="zh-CN"/>
                    </w:rPr>
                    <w:t>Dec 202</w:t>
                  </w:r>
                  <w:r>
                    <w:rPr>
                      <w:rFonts w:hint="default" w:ascii="Arial" w:hAnsi="Arial" w:cs="Arial"/>
                      <w:sz w:val="22"/>
                      <w:szCs w:val="22"/>
                      <w:lang w:val="en-US" w:eastAsia="zh-CN"/>
                    </w:rPr>
                    <w:t>5</w:t>
                  </w:r>
                  <w:r>
                    <w:rPr>
                      <w:rFonts w:ascii="Arial" w:hAnsi="Arial" w:cs="Arial"/>
                      <w:sz w:val="22"/>
                      <w:szCs w:val="22"/>
                      <w:lang w:val="cy-GB" w:eastAsia="zh-CN"/>
                    </w:rPr>
                    <w:t xml:space="preserve"> – </w:t>
                  </w:r>
                  <w:r>
                    <w:rPr>
                      <w:rFonts w:hint="default" w:ascii="Arial" w:hAnsi="Arial" w:cs="Arial"/>
                      <w:sz w:val="22"/>
                      <w:szCs w:val="22"/>
                      <w:lang w:val="en-US" w:eastAsia="zh-CN"/>
                    </w:rPr>
                    <w:t xml:space="preserve">Mar </w:t>
                  </w:r>
                  <w:r>
                    <w:rPr>
                      <w:rFonts w:ascii="Arial" w:hAnsi="Arial" w:cs="Arial"/>
                      <w:sz w:val="22"/>
                      <w:szCs w:val="22"/>
                      <w:lang w:val="cy-GB" w:eastAsia="zh-CN"/>
                    </w:rPr>
                    <w:t>202</w:t>
                  </w:r>
                  <w:r>
                    <w:rPr>
                      <w:rFonts w:hint="default" w:ascii="Arial" w:hAnsi="Arial" w:cs="Arial"/>
                      <w:sz w:val="22"/>
                      <w:szCs w:val="22"/>
                      <w:lang w:val="en-US" w:eastAsia="zh-CN"/>
                    </w:rPr>
                    <w:t>6</w:t>
                  </w:r>
                </w:p>
              </w:tc>
            </w:tr>
            <w:tr w14:paraId="42565D24">
              <w:tc>
                <w:tcPr>
                  <w:tcW w:w="4777" w:type="dxa"/>
                </w:tcPr>
                <w:p w14:paraId="0CC14C01">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Engage young participants aged 18–30 in preliminary trials, collecting qualitative interview and questionnaire data; refine the game prototype based on feedback, optimising elements such as narrative, interaction, and reward mechanisms.</w:t>
                  </w:r>
                </w:p>
              </w:tc>
              <w:tc>
                <w:tcPr>
                  <w:tcW w:w="4778" w:type="dxa"/>
                  <w:shd w:val="clear" w:color="auto" w:fill="auto"/>
                  <w:vAlign w:val="top"/>
                </w:tcPr>
                <w:p w14:paraId="6E8D6B32">
                  <w:pPr>
                    <w:pStyle w:val="27"/>
                    <w:numPr>
                      <w:ilvl w:val="0"/>
                      <w:numId w:val="0"/>
                    </w:numPr>
                    <w:autoSpaceDE w:val="0"/>
                    <w:autoSpaceDN w:val="0"/>
                    <w:adjustRightInd w:val="0"/>
                    <w:contextualSpacing/>
                    <w:rPr>
                      <w:rFonts w:hint="default" w:ascii="Arial" w:hAnsi="Arial" w:cs="Arial"/>
                      <w:sz w:val="22"/>
                      <w:szCs w:val="22"/>
                      <w:lang w:val="en-US" w:eastAsia="en-GB"/>
                    </w:rPr>
                  </w:pPr>
                  <w:r>
                    <w:rPr>
                      <w:rFonts w:hint="default" w:ascii="Arial" w:hAnsi="Arial" w:cs="Arial"/>
                      <w:sz w:val="22"/>
                      <w:szCs w:val="22"/>
                      <w:lang w:val="en-US" w:eastAsia="zh-CN"/>
                    </w:rPr>
                    <w:t>Apr</w:t>
                  </w:r>
                  <w:r>
                    <w:rPr>
                      <w:rFonts w:ascii="Arial" w:hAnsi="Arial" w:cs="Arial"/>
                      <w:sz w:val="22"/>
                      <w:szCs w:val="22"/>
                      <w:lang w:val="cy-GB" w:eastAsia="zh-CN"/>
                    </w:rPr>
                    <w:t>202</w:t>
                  </w:r>
                  <w:r>
                    <w:rPr>
                      <w:rFonts w:hint="default" w:ascii="Arial" w:hAnsi="Arial" w:cs="Arial"/>
                      <w:sz w:val="22"/>
                      <w:szCs w:val="22"/>
                      <w:lang w:val="en-US" w:eastAsia="zh-CN"/>
                    </w:rPr>
                    <w:t>6</w:t>
                  </w:r>
                  <w:r>
                    <w:rPr>
                      <w:rFonts w:ascii="Arial" w:hAnsi="Arial" w:cs="Arial"/>
                      <w:sz w:val="22"/>
                      <w:szCs w:val="22"/>
                      <w:lang w:val="cy-GB" w:eastAsia="zh-CN"/>
                    </w:rPr>
                    <w:t xml:space="preserve"> – </w:t>
                  </w:r>
                  <w:r>
                    <w:rPr>
                      <w:rFonts w:hint="default" w:ascii="Arial" w:hAnsi="Arial" w:cs="Arial"/>
                      <w:sz w:val="22"/>
                      <w:szCs w:val="22"/>
                      <w:lang w:val="en-US" w:eastAsia="zh-CN"/>
                    </w:rPr>
                    <w:t>Sept</w:t>
                  </w:r>
                  <w:r>
                    <w:rPr>
                      <w:rFonts w:ascii="Arial" w:hAnsi="Arial" w:cs="Arial"/>
                      <w:sz w:val="22"/>
                      <w:szCs w:val="22"/>
                      <w:lang w:val="cy-GB" w:eastAsia="zh-CN"/>
                    </w:rPr>
                    <w:t>202</w:t>
                  </w:r>
                  <w:r>
                    <w:rPr>
                      <w:rFonts w:hint="default" w:ascii="Arial" w:hAnsi="Arial" w:cs="Arial"/>
                      <w:sz w:val="22"/>
                      <w:szCs w:val="22"/>
                      <w:lang w:val="en-US" w:eastAsia="zh-CN"/>
                    </w:rPr>
                    <w:t>6</w:t>
                  </w:r>
                </w:p>
              </w:tc>
            </w:tr>
            <w:tr w14:paraId="14DC096B">
              <w:tc>
                <w:tcPr>
                  <w:tcW w:w="0" w:type="auto"/>
                </w:tcPr>
                <w:p w14:paraId="530FC05E">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Conduct large-scale field testing at selected landmarks in Beijing, collecting video recordings, user interviews, and questionnaire data to produce an interim practice report.</w:t>
                  </w:r>
                </w:p>
              </w:tc>
              <w:tc>
                <w:tcPr>
                  <w:tcW w:w="0" w:type="auto"/>
                  <w:shd w:val="clear" w:color="auto" w:fill="auto"/>
                  <w:vAlign w:val="top"/>
                </w:tcPr>
                <w:p w14:paraId="01480A66">
                  <w:pPr>
                    <w:pStyle w:val="27"/>
                    <w:numPr>
                      <w:ilvl w:val="0"/>
                      <w:numId w:val="0"/>
                    </w:numPr>
                    <w:autoSpaceDE w:val="0"/>
                    <w:autoSpaceDN w:val="0"/>
                    <w:adjustRightInd w:val="0"/>
                    <w:contextualSpacing/>
                    <w:rPr>
                      <w:rFonts w:hint="default" w:ascii="Arial" w:hAnsi="Arial" w:cs="Arial"/>
                      <w:sz w:val="22"/>
                      <w:szCs w:val="22"/>
                      <w:lang w:val="en-US" w:eastAsia="en-GB"/>
                    </w:rPr>
                  </w:pPr>
                  <w:r>
                    <w:rPr>
                      <w:rFonts w:hint="default" w:ascii="Arial" w:hAnsi="Arial" w:cs="Arial"/>
                      <w:sz w:val="22"/>
                      <w:szCs w:val="22"/>
                      <w:lang w:val="en-US" w:eastAsia="zh-CN"/>
                    </w:rPr>
                    <w:t>Sep</w:t>
                  </w:r>
                  <w:r>
                    <w:rPr>
                      <w:rFonts w:ascii="Arial" w:hAnsi="Arial" w:cs="Arial"/>
                      <w:sz w:val="22"/>
                      <w:szCs w:val="22"/>
                      <w:lang w:val="en-US" w:eastAsia="zh-CN"/>
                    </w:rPr>
                    <w:t xml:space="preserve"> 202</w:t>
                  </w:r>
                  <w:r>
                    <w:rPr>
                      <w:rFonts w:hint="default" w:ascii="Arial" w:hAnsi="Arial" w:cs="Arial"/>
                      <w:sz w:val="22"/>
                      <w:szCs w:val="22"/>
                      <w:lang w:val="en-US" w:eastAsia="zh-CN"/>
                    </w:rPr>
                    <w:t>6</w:t>
                  </w:r>
                  <w:r>
                    <w:rPr>
                      <w:rFonts w:ascii="Arial" w:hAnsi="Arial" w:cs="Arial"/>
                      <w:sz w:val="22"/>
                      <w:szCs w:val="22"/>
                      <w:lang w:val="en-US" w:eastAsia="zh-CN"/>
                    </w:rPr>
                    <w:t xml:space="preserve"> </w:t>
                  </w:r>
                  <w:r>
                    <w:rPr>
                      <w:rFonts w:ascii="Arial" w:hAnsi="Arial" w:cs="Arial"/>
                      <w:sz w:val="22"/>
                      <w:szCs w:val="22"/>
                      <w:lang w:val="cy-GB" w:eastAsia="zh-CN"/>
                    </w:rPr>
                    <w:t xml:space="preserve">– </w:t>
                  </w:r>
                  <w:r>
                    <w:rPr>
                      <w:rFonts w:hint="default" w:ascii="Arial" w:hAnsi="Arial" w:cs="Arial"/>
                      <w:sz w:val="22"/>
                      <w:szCs w:val="22"/>
                      <w:lang w:val="en-US" w:eastAsia="zh-CN"/>
                    </w:rPr>
                    <w:t>Jan</w:t>
                  </w:r>
                  <w:r>
                    <w:rPr>
                      <w:rFonts w:ascii="Arial" w:hAnsi="Arial" w:cs="Arial"/>
                      <w:sz w:val="22"/>
                      <w:szCs w:val="22"/>
                      <w:lang w:val="en-US" w:eastAsia="zh-CN"/>
                    </w:rPr>
                    <w:t>202</w:t>
                  </w:r>
                  <w:r>
                    <w:rPr>
                      <w:rFonts w:hint="default" w:ascii="Arial" w:hAnsi="Arial" w:cs="Arial"/>
                      <w:sz w:val="22"/>
                      <w:szCs w:val="22"/>
                      <w:lang w:val="en-US" w:eastAsia="zh-CN"/>
                    </w:rPr>
                    <w:t>7</w:t>
                  </w:r>
                </w:p>
              </w:tc>
            </w:tr>
            <w:tr w14:paraId="37786429">
              <w:tc>
                <w:tcPr>
                  <w:tcW w:w="0" w:type="auto"/>
                </w:tcPr>
                <w:p w14:paraId="2F447AD2">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Carry out a comprehensive analysis of both quantitative and qualitative data to construct a model of cultural experience and identity, identify the design elements that most effectively drive youth engagement, and complete the theoretical synthesis of the research framework.</w:t>
                  </w:r>
                </w:p>
              </w:tc>
              <w:tc>
                <w:tcPr>
                  <w:tcW w:w="0" w:type="auto"/>
                  <w:shd w:val="clear" w:color="auto" w:fill="auto"/>
                  <w:vAlign w:val="top"/>
                </w:tcPr>
                <w:p w14:paraId="5B8077E4">
                  <w:pPr>
                    <w:pStyle w:val="27"/>
                    <w:numPr>
                      <w:ilvl w:val="0"/>
                      <w:numId w:val="0"/>
                    </w:numPr>
                    <w:autoSpaceDE w:val="0"/>
                    <w:autoSpaceDN w:val="0"/>
                    <w:adjustRightInd w:val="0"/>
                    <w:contextualSpacing/>
                    <w:rPr>
                      <w:rFonts w:hint="default" w:ascii="Arial" w:hAnsi="Arial" w:cs="Arial"/>
                      <w:sz w:val="22"/>
                      <w:szCs w:val="22"/>
                      <w:lang w:val="en-US" w:eastAsia="en-GB"/>
                    </w:rPr>
                  </w:pPr>
                  <w:r>
                    <w:rPr>
                      <w:rFonts w:hint="default" w:ascii="Arial" w:hAnsi="Arial" w:cs="Arial"/>
                      <w:sz w:val="22"/>
                      <w:szCs w:val="22"/>
                      <w:lang w:val="en-US" w:eastAsia="zh-CN"/>
                    </w:rPr>
                    <w:t>Jan</w:t>
                  </w:r>
                  <w:r>
                    <w:rPr>
                      <w:rFonts w:ascii="Arial" w:hAnsi="Arial" w:cs="Arial"/>
                      <w:sz w:val="22"/>
                      <w:szCs w:val="22"/>
                      <w:lang w:val="en-US" w:eastAsia="zh-CN"/>
                    </w:rPr>
                    <w:t xml:space="preserve"> 202</w:t>
                  </w:r>
                  <w:r>
                    <w:rPr>
                      <w:rFonts w:hint="default" w:ascii="Arial" w:hAnsi="Arial" w:cs="Arial"/>
                      <w:sz w:val="22"/>
                      <w:szCs w:val="22"/>
                      <w:lang w:val="en-US" w:eastAsia="zh-CN"/>
                    </w:rPr>
                    <w:t>7</w:t>
                  </w:r>
                  <w:r>
                    <w:rPr>
                      <w:rFonts w:ascii="Arial" w:hAnsi="Arial" w:cs="Arial"/>
                      <w:sz w:val="22"/>
                      <w:szCs w:val="22"/>
                      <w:lang w:val="cy-GB" w:eastAsia="zh-CN"/>
                    </w:rPr>
                    <w:t xml:space="preserve">– </w:t>
                  </w:r>
                  <w:r>
                    <w:rPr>
                      <w:rFonts w:hint="default" w:ascii="Arial" w:hAnsi="Arial" w:cs="Arial"/>
                      <w:sz w:val="22"/>
                      <w:szCs w:val="22"/>
                      <w:lang w:val="en-US" w:eastAsia="zh-CN"/>
                    </w:rPr>
                    <w:t>Feb</w:t>
                  </w:r>
                  <w:r>
                    <w:rPr>
                      <w:rFonts w:ascii="Arial" w:hAnsi="Arial" w:cs="Arial"/>
                      <w:sz w:val="22"/>
                      <w:szCs w:val="22"/>
                      <w:lang w:val="en-US" w:eastAsia="zh-CN"/>
                    </w:rPr>
                    <w:t>202</w:t>
                  </w:r>
                  <w:r>
                    <w:rPr>
                      <w:rFonts w:hint="default" w:ascii="Arial" w:hAnsi="Arial" w:cs="Arial"/>
                      <w:sz w:val="22"/>
                      <w:szCs w:val="22"/>
                      <w:lang w:val="en-US" w:eastAsia="zh-CN"/>
                    </w:rPr>
                    <w:t>7</w:t>
                  </w:r>
                </w:p>
              </w:tc>
            </w:tr>
            <w:tr w14:paraId="381C6FBA">
              <w:tc>
                <w:tcPr>
                  <w:tcW w:w="0" w:type="auto"/>
                </w:tcPr>
                <w:p w14:paraId="11B6F86A">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Write the doctoral thesis, including the abstract and introduction, literature review, research methodology, findings, conclusions and recommendations, as well as appendices and references, and prepare it for final submission.</w:t>
                  </w:r>
                </w:p>
              </w:tc>
              <w:tc>
                <w:tcPr>
                  <w:tcW w:w="0" w:type="auto"/>
                  <w:shd w:val="clear" w:color="auto" w:fill="auto"/>
                  <w:vAlign w:val="top"/>
                </w:tcPr>
                <w:p w14:paraId="262939CA">
                  <w:pPr>
                    <w:pStyle w:val="27"/>
                    <w:numPr>
                      <w:ilvl w:val="0"/>
                      <w:numId w:val="0"/>
                    </w:numPr>
                    <w:autoSpaceDE w:val="0"/>
                    <w:autoSpaceDN w:val="0"/>
                    <w:adjustRightInd w:val="0"/>
                    <w:contextualSpacing/>
                    <w:rPr>
                      <w:rFonts w:ascii="Arial" w:hAnsi="Arial" w:cs="Arial"/>
                      <w:sz w:val="22"/>
                      <w:szCs w:val="22"/>
                      <w:lang w:val="en-US" w:eastAsia="en-GB"/>
                    </w:rPr>
                  </w:pPr>
                  <w:r>
                    <w:rPr>
                      <w:rFonts w:hint="default" w:ascii="Arial" w:hAnsi="Arial" w:cs="Arial"/>
                      <w:sz w:val="22"/>
                      <w:szCs w:val="22"/>
                      <w:lang w:val="en-US" w:eastAsia="zh-CN"/>
                    </w:rPr>
                    <w:t>Feb</w:t>
                  </w:r>
                  <w:r>
                    <w:rPr>
                      <w:rFonts w:ascii="Arial" w:hAnsi="Arial" w:cs="Arial"/>
                      <w:sz w:val="22"/>
                      <w:szCs w:val="22"/>
                      <w:lang w:val="cy-GB" w:eastAsia="zh-CN"/>
                    </w:rPr>
                    <w:t>202</w:t>
                  </w:r>
                  <w:r>
                    <w:rPr>
                      <w:rFonts w:hint="default" w:ascii="Arial" w:hAnsi="Arial" w:cs="Arial"/>
                      <w:sz w:val="22"/>
                      <w:szCs w:val="22"/>
                      <w:lang w:val="en-US" w:eastAsia="zh-CN"/>
                    </w:rPr>
                    <w:t>7</w:t>
                  </w:r>
                  <w:r>
                    <w:rPr>
                      <w:rFonts w:ascii="Arial" w:hAnsi="Arial" w:cs="Arial"/>
                      <w:sz w:val="22"/>
                      <w:szCs w:val="22"/>
                      <w:lang w:val="cy-GB" w:eastAsia="zh-CN"/>
                    </w:rPr>
                    <w:t xml:space="preserve"> – </w:t>
                  </w:r>
                  <w:r>
                    <w:rPr>
                      <w:rFonts w:hint="default" w:ascii="Arial" w:hAnsi="Arial" w:cs="Arial"/>
                      <w:sz w:val="22"/>
                      <w:szCs w:val="22"/>
                      <w:lang w:val="en-US" w:eastAsia="zh-CN"/>
                    </w:rPr>
                    <w:t>Sept</w:t>
                  </w:r>
                  <w:r>
                    <w:rPr>
                      <w:rFonts w:ascii="Arial" w:hAnsi="Arial" w:cs="Arial"/>
                      <w:sz w:val="22"/>
                      <w:szCs w:val="22"/>
                      <w:lang w:val="cy-GB" w:eastAsia="zh-CN"/>
                    </w:rPr>
                    <w:t>202</w:t>
                  </w:r>
                  <w:r>
                    <w:rPr>
                      <w:rFonts w:ascii="Arial" w:hAnsi="Arial" w:cs="Arial"/>
                      <w:sz w:val="22"/>
                      <w:szCs w:val="22"/>
                      <w:lang w:val="en-US" w:eastAsia="zh-CN"/>
                    </w:rPr>
                    <w:t>7</w:t>
                  </w:r>
                </w:p>
              </w:tc>
            </w:tr>
          </w:tbl>
          <w:p w14:paraId="02B9AD3E">
            <w:pPr>
              <w:rPr>
                <w:rFonts w:cs="Arial"/>
                <w:sz w:val="22"/>
                <w:szCs w:val="22"/>
              </w:rPr>
            </w:pPr>
          </w:p>
          <w:p w14:paraId="62E10401">
            <w:pPr>
              <w:rPr>
                <w:rFonts w:cs="Arial"/>
                <w:sz w:val="22"/>
                <w:szCs w:val="22"/>
              </w:rPr>
            </w:pPr>
          </w:p>
        </w:tc>
      </w:tr>
      <w:tr w14:paraId="2E92A44F">
        <w:trPr>
          <w:trHeight w:val="397" w:hRule="atLeast"/>
        </w:trPr>
        <w:tc>
          <w:tcPr>
            <w:tcW w:w="9781" w:type="dxa"/>
            <w:shd w:val="clear" w:color="auto" w:fill="F1F1F1" w:themeFill="background1" w:themeFillShade="F2"/>
            <w:vAlign w:val="center"/>
          </w:tcPr>
          <w:p w14:paraId="1F44D456">
            <w:pPr>
              <w:rPr>
                <w:rFonts w:cs="Arial"/>
                <w:sz w:val="22"/>
                <w:szCs w:val="22"/>
              </w:rPr>
            </w:pPr>
            <w:r>
              <w:rPr>
                <w:rFonts w:cs="Arial"/>
                <w:sz w:val="22"/>
                <w:szCs w:val="22"/>
              </w:rPr>
              <w:t>Proposed methodology (approx. 500 words):</w:t>
            </w:r>
          </w:p>
        </w:tc>
      </w:tr>
      <w:tr w14:paraId="61D1B7FC">
        <w:trPr>
          <w:trHeight w:val="397" w:hRule="atLeast"/>
        </w:trPr>
        <w:tc>
          <w:tcPr>
            <w:tcW w:w="9781" w:type="dxa"/>
            <w:vAlign w:val="center"/>
          </w:tcPr>
          <w:p w14:paraId="08B798B5">
            <w:pPr>
              <w:pStyle w:val="27"/>
              <w:numPr>
                <w:ilvl w:val="0"/>
                <w:numId w:val="0"/>
              </w:numPr>
              <w:autoSpaceDE w:val="0"/>
              <w:autoSpaceDN w:val="0"/>
              <w:adjustRightInd w:val="0"/>
              <w:contextualSpacing/>
              <w:rPr>
                <w:rFonts w:hint="eastAsia" w:cs="Arial"/>
                <w:sz w:val="22"/>
                <w:szCs w:val="22"/>
                <w:lang w:val="en-US" w:eastAsia="zh-CN"/>
              </w:rPr>
            </w:pPr>
            <w:r>
              <w:rPr>
                <w:rFonts w:hint="eastAsia" w:ascii="Arial" w:hAnsi="Arial" w:cs="Arial"/>
                <w:sz w:val="22"/>
                <w:szCs w:val="22"/>
                <w:lang w:val="en-US" w:eastAsia="zh-CN"/>
              </w:rPr>
              <w:t>Subject Orientation and Research Orientation</w:t>
            </w:r>
            <w:r>
              <w:rPr>
                <w:rFonts w:hint="eastAsia" w:cs="Arial"/>
                <w:sz w:val="22"/>
                <w:szCs w:val="22"/>
                <w:lang w:val="en-US" w:eastAsia="zh-CN"/>
              </w:rPr>
              <w:t>：</w:t>
            </w:r>
          </w:p>
          <w:p w14:paraId="2785A70C">
            <w:pPr>
              <w:pStyle w:val="27"/>
              <w:numPr>
                <w:ilvl w:val="0"/>
                <w:numId w:val="0"/>
              </w:numPr>
              <w:autoSpaceDE w:val="0"/>
              <w:autoSpaceDN w:val="0"/>
              <w:adjustRightInd w:val="0"/>
              <w:contextualSpacing/>
              <w:rPr>
                <w:rFonts w:hint="eastAsia" w:cs="Arial"/>
                <w:sz w:val="22"/>
                <w:szCs w:val="22"/>
                <w:lang w:val="en-US" w:eastAsia="zh-CN"/>
              </w:rPr>
            </w:pPr>
          </w:p>
          <w:p w14:paraId="77B737C3">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Research Design</w:t>
            </w:r>
          </w:p>
          <w:p w14:paraId="48557B08">
            <w:pPr>
              <w:pStyle w:val="27"/>
              <w:numPr>
                <w:ilvl w:val="0"/>
                <w:numId w:val="0"/>
              </w:numPr>
              <w:autoSpaceDE w:val="0"/>
              <w:autoSpaceDN w:val="0"/>
              <w:adjustRightInd w:val="0"/>
              <w:contextualSpacing/>
              <w:rPr>
                <w:rFonts w:hint="eastAsia" w:ascii="Arial" w:hAnsi="Arial" w:cs="Arial"/>
                <w:sz w:val="22"/>
                <w:szCs w:val="22"/>
                <w:lang w:val="en-US" w:eastAsia="zh-CN"/>
              </w:rPr>
            </w:pPr>
          </w:p>
          <w:p w14:paraId="2FC6AE01">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 xml:space="preserve">The core of this study is the development of a city exploration game prototype that integrates “Peking Opera × Beijing Landmarks × AR.” The prototype will use location-triggered mechanisms to present operatic scenarios linked to specific landmarks, including soundscapes, singing excerpts, character animations, and interactive plots. The study will follow an iterative design–evaluation–refinement process in three stages: (1) a small-scale pilot test focusing on qualitative feedback on usability, playfulness, and immersion; (2) a large-scale field study combining pre- and post-test surveys, interviews, and focus groups to collect both quantitative and qualitative data; and (3) multi-layered data analysis to evaluate how different design elements influence cultural experience and identity. </w:t>
            </w:r>
          </w:p>
          <w:p w14:paraId="5F6D5AD7">
            <w:pPr>
              <w:pStyle w:val="27"/>
              <w:numPr>
                <w:ilvl w:val="0"/>
                <w:numId w:val="0"/>
              </w:numPr>
              <w:autoSpaceDE w:val="0"/>
              <w:autoSpaceDN w:val="0"/>
              <w:adjustRightInd w:val="0"/>
              <w:contextualSpacing/>
              <w:rPr>
                <w:rFonts w:hint="eastAsia" w:ascii="Arial" w:hAnsi="Arial" w:cs="Arial"/>
                <w:sz w:val="22"/>
                <w:szCs w:val="22"/>
                <w:lang w:val="en-US" w:eastAsia="zh-CN"/>
              </w:rPr>
            </w:pPr>
          </w:p>
          <w:p w14:paraId="7A337E2F">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Case Background: Beijing and Peking Opera</w:t>
            </w:r>
          </w:p>
          <w:p w14:paraId="29159CEE">
            <w:pPr>
              <w:pStyle w:val="27"/>
              <w:numPr>
                <w:ilvl w:val="0"/>
                <w:numId w:val="0"/>
              </w:numPr>
              <w:autoSpaceDE w:val="0"/>
              <w:autoSpaceDN w:val="0"/>
              <w:adjustRightInd w:val="0"/>
              <w:contextualSpacing/>
              <w:rPr>
                <w:rFonts w:hint="eastAsia" w:ascii="Arial" w:hAnsi="Arial" w:cs="Arial"/>
                <w:sz w:val="22"/>
                <w:szCs w:val="22"/>
                <w:lang w:val="en-US" w:eastAsia="zh-CN"/>
              </w:rPr>
            </w:pPr>
          </w:p>
          <w:p w14:paraId="21F79DBB">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Beijing provides a highly appropriate cultural and historical setting for this research. As the birthplace and primary stage of Peking Opera, the city houses landmarks such as Qianmen, Dashilan, and the Zhengyici Theatre, along with cultural spaces resonating with operatic narratives. By embedding AR scenarios of Peking Opera into these landmarks, users can “hear opera” while walking through the city, transforming everyday exploration into a soundscape-based cultural experience. This method overcomes the spatial limits of the theatre, allowing opera to re-enter urban life and directly connect with young people’s leisure and city-walking activities.</w:t>
            </w:r>
          </w:p>
          <w:p w14:paraId="50E8DFC6">
            <w:pPr>
              <w:pStyle w:val="27"/>
              <w:numPr>
                <w:ilvl w:val="0"/>
                <w:numId w:val="0"/>
              </w:numPr>
              <w:autoSpaceDE w:val="0"/>
              <w:autoSpaceDN w:val="0"/>
              <w:adjustRightInd w:val="0"/>
              <w:contextualSpacing/>
              <w:rPr>
                <w:rFonts w:hint="eastAsia" w:ascii="Arial" w:hAnsi="Arial" w:cs="Arial"/>
                <w:sz w:val="22"/>
                <w:szCs w:val="22"/>
                <w:lang w:val="en-US" w:eastAsia="zh-CN"/>
              </w:rPr>
            </w:pPr>
          </w:p>
          <w:p w14:paraId="0D022BCF">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Game Design and Features</w:t>
            </w:r>
          </w:p>
          <w:p w14:paraId="7519DE2B">
            <w:pPr>
              <w:pStyle w:val="27"/>
              <w:numPr>
                <w:ilvl w:val="0"/>
                <w:numId w:val="0"/>
              </w:numPr>
              <w:autoSpaceDE w:val="0"/>
              <w:autoSpaceDN w:val="0"/>
              <w:adjustRightInd w:val="0"/>
              <w:contextualSpacing/>
              <w:rPr>
                <w:rFonts w:hint="eastAsia" w:ascii="Arial" w:hAnsi="Arial" w:cs="Arial"/>
                <w:sz w:val="22"/>
                <w:szCs w:val="22"/>
                <w:lang w:val="en-US" w:eastAsia="zh-CN"/>
              </w:rPr>
            </w:pPr>
          </w:p>
          <w:p w14:paraId="12250EEF">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The mobile application will follow a “location-triggered + narrative-driven” model. Upon reaching a landmark, users will see AR overlays such as the “Angry Boy” character or traditional opera figures, accompanied by related singing segments and stories. Historical landmarks will trigger classical excerpts (e.g., sacrificial scenes at the Temple of Heaven), while modern buildings may host innovative fusions of opera with popular music. The app will also provide a “listening-based exploration,” transforming Beijing into an “operatic soundmap.” Gamification elements will reward users by unlocking cultural content such as characters, stories, or songs, and route recommendations will link multiple landmarks into a curated “Peking Opera City Walk.”</w:t>
            </w:r>
          </w:p>
          <w:p w14:paraId="34FBAA6F">
            <w:pPr>
              <w:pStyle w:val="27"/>
              <w:numPr>
                <w:ilvl w:val="0"/>
                <w:numId w:val="0"/>
              </w:numPr>
              <w:autoSpaceDE w:val="0"/>
              <w:autoSpaceDN w:val="0"/>
              <w:adjustRightInd w:val="0"/>
              <w:contextualSpacing/>
              <w:rPr>
                <w:rFonts w:hint="eastAsia" w:ascii="Arial" w:hAnsi="Arial" w:cs="Arial"/>
                <w:sz w:val="22"/>
                <w:szCs w:val="22"/>
                <w:lang w:val="en-US" w:eastAsia="zh-CN"/>
              </w:rPr>
            </w:pPr>
          </w:p>
          <w:p w14:paraId="17C7852F">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Participants</w:t>
            </w:r>
          </w:p>
          <w:p w14:paraId="46A6386D">
            <w:pPr>
              <w:pStyle w:val="27"/>
              <w:numPr>
                <w:ilvl w:val="0"/>
                <w:numId w:val="0"/>
              </w:numPr>
              <w:autoSpaceDE w:val="0"/>
              <w:autoSpaceDN w:val="0"/>
              <w:adjustRightInd w:val="0"/>
              <w:contextualSpacing/>
              <w:rPr>
                <w:rFonts w:hint="eastAsia" w:ascii="Arial" w:hAnsi="Arial" w:cs="Arial"/>
                <w:sz w:val="22"/>
                <w:szCs w:val="22"/>
                <w:lang w:val="en-US" w:eastAsia="zh-CN"/>
              </w:rPr>
            </w:pPr>
          </w:p>
          <w:p w14:paraId="5B81E98D">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The study will focus on young adults aged 18–30, including local students, young professionals, and tourists in Beijing. This demographic constitutes the main user group of mobile games and represents the key audience for the digital dissemination of intangible heritage. To refine analysis, three sub-groups will be considered: (1) “cultural novices” with little prior exposure to opera; (2) “potential enthusiasts” interested in heritage but lacking accessible experiences; and (3) “digital explorers” who are passionate about technology and immersive interaction.</w:t>
            </w:r>
          </w:p>
          <w:p w14:paraId="47114ED3">
            <w:pPr>
              <w:pStyle w:val="27"/>
              <w:numPr>
                <w:ilvl w:val="0"/>
                <w:numId w:val="0"/>
              </w:numPr>
              <w:autoSpaceDE w:val="0"/>
              <w:autoSpaceDN w:val="0"/>
              <w:adjustRightInd w:val="0"/>
              <w:contextualSpacing/>
              <w:rPr>
                <w:rFonts w:hint="eastAsia" w:ascii="Arial" w:hAnsi="Arial" w:cs="Arial"/>
                <w:sz w:val="22"/>
                <w:szCs w:val="22"/>
                <w:lang w:val="en-US" w:eastAsia="zh-CN"/>
              </w:rPr>
            </w:pPr>
          </w:p>
          <w:p w14:paraId="2CD60809">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Data Collection and Analysis</w:t>
            </w:r>
          </w:p>
          <w:p w14:paraId="4123F50C">
            <w:pPr>
              <w:pStyle w:val="27"/>
              <w:numPr>
                <w:ilvl w:val="0"/>
                <w:numId w:val="0"/>
              </w:numPr>
              <w:autoSpaceDE w:val="0"/>
              <w:autoSpaceDN w:val="0"/>
              <w:adjustRightInd w:val="0"/>
              <w:contextualSpacing/>
              <w:rPr>
                <w:rFonts w:hint="eastAsia" w:ascii="Arial" w:hAnsi="Arial" w:cs="Arial"/>
                <w:sz w:val="22"/>
                <w:szCs w:val="22"/>
                <w:lang w:val="en-US" w:eastAsia="zh-CN"/>
              </w:rPr>
            </w:pPr>
          </w:p>
          <w:p w14:paraId="2E4D5BE8">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Data collection will be multi-layered:</w:t>
            </w:r>
          </w:p>
          <w:p w14:paraId="6F9ABC1B">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cs="Arial"/>
                <w:sz w:val="22"/>
                <w:szCs w:val="22"/>
                <w:lang w:val="en-US" w:eastAsia="zh-CN"/>
              </w:rPr>
              <w:t xml:space="preserve">· </w:t>
            </w:r>
            <w:r>
              <w:rPr>
                <w:rFonts w:hint="eastAsia" w:ascii="Arial" w:hAnsi="Arial" w:cs="Arial"/>
                <w:sz w:val="22"/>
                <w:szCs w:val="22"/>
                <w:lang w:val="en-US" w:eastAsia="zh-CN"/>
              </w:rPr>
              <w:t>Qualitative methods: Semi-structured interviews, focus groups, and participant observation will provide insights into user experiences and cultural understanding. Data will be analysed through grounded theory, narrative analysis, and thematic coding.</w:t>
            </w:r>
          </w:p>
          <w:p w14:paraId="3034A10E">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cs="Arial"/>
                <w:sz w:val="22"/>
                <w:szCs w:val="22"/>
                <w:lang w:val="en-US" w:eastAsia="zh-CN"/>
              </w:rPr>
              <w:t xml:space="preserve">· </w:t>
            </w:r>
            <w:r>
              <w:rPr>
                <w:rFonts w:hint="eastAsia" w:ascii="Arial" w:hAnsi="Arial" w:cs="Arial"/>
                <w:sz w:val="22"/>
                <w:szCs w:val="22"/>
                <w:lang w:val="en-US" w:eastAsia="zh-CN"/>
              </w:rPr>
              <w:t>Quantitative methods: Pre- and post-test surveys using structured scales (cultural identity, place attachment, immersion) will evaluate changes in knowledge, identity, and sense of belonging.</w:t>
            </w:r>
          </w:p>
          <w:p w14:paraId="6411684E">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cs="Arial"/>
                <w:sz w:val="22"/>
                <w:szCs w:val="22"/>
                <w:lang w:val="en-US" w:eastAsia="zh-CN"/>
              </w:rPr>
              <w:t xml:space="preserve">· </w:t>
            </w:r>
            <w:r>
              <w:rPr>
                <w:rFonts w:hint="eastAsia" w:ascii="Arial" w:hAnsi="Arial" w:cs="Arial"/>
                <w:sz w:val="22"/>
                <w:szCs w:val="22"/>
                <w:lang w:val="en-US" w:eastAsia="zh-CN"/>
              </w:rPr>
              <w:t>Behavioural data: Interaction logs (dwell time, click frequency, exploration paths) will be visualised and analysed to compare engagement across different design versions.</w:t>
            </w:r>
          </w:p>
          <w:p w14:paraId="2ADC07C8">
            <w:pPr>
              <w:pStyle w:val="27"/>
              <w:numPr>
                <w:ilvl w:val="0"/>
                <w:numId w:val="0"/>
              </w:numPr>
              <w:autoSpaceDE w:val="0"/>
              <w:autoSpaceDN w:val="0"/>
              <w:adjustRightInd w:val="0"/>
              <w:contextualSpacing/>
              <w:rPr>
                <w:rFonts w:hint="eastAsia" w:ascii="Arial" w:hAnsi="Arial" w:cs="Arial"/>
                <w:sz w:val="22"/>
                <w:szCs w:val="22"/>
                <w:lang w:val="en-US" w:eastAsia="zh-CN"/>
              </w:rPr>
            </w:pPr>
          </w:p>
          <w:p w14:paraId="649FACE4">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Potential Challenges and Solutions</w:t>
            </w:r>
          </w:p>
          <w:p w14:paraId="6DDD90BF">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cs="Arial"/>
                <w:sz w:val="22"/>
                <w:szCs w:val="22"/>
                <w:lang w:val="en-US" w:eastAsia="zh-CN"/>
              </w:rPr>
              <w:t xml:space="preserve">· </w:t>
            </w:r>
            <w:r>
              <w:rPr>
                <w:rFonts w:hint="eastAsia" w:ascii="Arial" w:hAnsi="Arial" w:cs="Arial"/>
                <w:sz w:val="22"/>
                <w:szCs w:val="22"/>
                <w:lang w:val="en-US" w:eastAsia="zh-CN"/>
              </w:rPr>
              <w:t>Technical challenges: Developing AR games is complex → collaboration with universities and technical teams in Beijing and across China will ensure feasibility.</w:t>
            </w:r>
          </w:p>
          <w:p w14:paraId="1316AE4E">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cs="Arial"/>
                <w:sz w:val="22"/>
                <w:szCs w:val="22"/>
                <w:lang w:val="en-US" w:eastAsia="zh-CN"/>
              </w:rPr>
              <w:t xml:space="preserve">· </w:t>
            </w:r>
            <w:r>
              <w:rPr>
                <w:rFonts w:hint="eastAsia" w:ascii="Arial" w:hAnsi="Arial" w:cs="Arial"/>
                <w:sz w:val="22"/>
                <w:szCs w:val="22"/>
                <w:lang w:val="en-US" w:eastAsia="zh-CN"/>
              </w:rPr>
              <w:t>Sample acquisition: Recruiting sufficient participants may be difficult → phased testing combined with supplementary online surveys will ensure representativeness.</w:t>
            </w:r>
          </w:p>
          <w:p w14:paraId="57F147A9">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cs="Arial"/>
                <w:sz w:val="22"/>
                <w:szCs w:val="22"/>
                <w:lang w:val="en-US" w:eastAsia="zh-CN"/>
              </w:rPr>
              <w:t xml:space="preserve">· </w:t>
            </w:r>
            <w:r>
              <w:rPr>
                <w:rFonts w:hint="eastAsia" w:ascii="Arial" w:hAnsi="Arial" w:cs="Arial"/>
                <w:sz w:val="22"/>
                <w:szCs w:val="22"/>
                <w:lang w:val="en-US" w:eastAsia="zh-CN"/>
              </w:rPr>
              <w:t>Cultural accuracy: The researcher does not specialise in opera performance → partnerships with opera performers and scholars will guarantee authenticity and professional accuracy.</w:t>
            </w:r>
          </w:p>
          <w:p w14:paraId="3E869016">
            <w:pPr>
              <w:pStyle w:val="27"/>
              <w:numPr>
                <w:ilvl w:val="0"/>
                <w:numId w:val="0"/>
              </w:numPr>
              <w:autoSpaceDE w:val="0"/>
              <w:autoSpaceDN w:val="0"/>
              <w:adjustRightInd w:val="0"/>
              <w:contextualSpacing/>
              <w:rPr>
                <w:rFonts w:hint="eastAsia" w:ascii="Arial" w:hAnsi="Arial" w:cs="Arial"/>
                <w:sz w:val="22"/>
                <w:szCs w:val="22"/>
                <w:lang w:val="en-US" w:eastAsia="zh-CN"/>
              </w:rPr>
            </w:pPr>
          </w:p>
          <w:p w14:paraId="0100C4A2">
            <w:pPr>
              <w:pStyle w:val="27"/>
              <w:numPr>
                <w:ilvl w:val="0"/>
                <w:numId w:val="0"/>
              </w:numPr>
              <w:autoSpaceDE w:val="0"/>
              <w:autoSpaceDN w:val="0"/>
              <w:adjustRightInd w:val="0"/>
              <w:contextualSpacing/>
              <w:rPr>
                <w:rFonts w:hint="eastAsia" w:ascii="Arial" w:hAnsi="Arial" w:cs="Arial"/>
                <w:sz w:val="22"/>
                <w:szCs w:val="22"/>
                <w:lang w:val="en-US" w:eastAsia="zh-CN"/>
              </w:rPr>
            </w:pPr>
            <w:r>
              <w:rPr>
                <w:rFonts w:hint="eastAsia" w:ascii="Arial" w:hAnsi="Arial" w:cs="Arial"/>
                <w:sz w:val="22"/>
                <w:szCs w:val="22"/>
                <w:lang w:val="en-US" w:eastAsia="zh-CN"/>
              </w:rPr>
              <w:t>Conclusion</w:t>
            </w:r>
          </w:p>
          <w:p w14:paraId="342049E3">
            <w:pPr>
              <w:pStyle w:val="27"/>
              <w:numPr>
                <w:ilvl w:val="0"/>
                <w:numId w:val="0"/>
              </w:numPr>
              <w:autoSpaceDE w:val="0"/>
              <w:autoSpaceDN w:val="0"/>
              <w:adjustRightInd w:val="0"/>
              <w:contextualSpacing/>
              <w:rPr>
                <w:rFonts w:hint="eastAsia" w:ascii="Arial" w:hAnsi="Arial" w:cs="Arial"/>
                <w:sz w:val="22"/>
                <w:szCs w:val="22"/>
                <w:lang w:val="en-US" w:eastAsia="zh-CN"/>
              </w:rPr>
            </w:pPr>
          </w:p>
          <w:p w14:paraId="436763A3">
            <w:pPr>
              <w:pStyle w:val="27"/>
              <w:numPr>
                <w:ilvl w:val="0"/>
                <w:numId w:val="0"/>
              </w:numPr>
              <w:autoSpaceDE w:val="0"/>
              <w:autoSpaceDN w:val="0"/>
              <w:adjustRightInd w:val="0"/>
              <w:contextualSpacing/>
              <w:rPr>
                <w:rFonts w:hint="eastAsia" w:cs="Arial"/>
                <w:sz w:val="22"/>
                <w:szCs w:val="22"/>
              </w:rPr>
            </w:pPr>
            <w:r>
              <w:rPr>
                <w:rFonts w:hint="eastAsia" w:ascii="Arial" w:hAnsi="Arial" w:cs="Arial"/>
                <w:sz w:val="22"/>
                <w:szCs w:val="22"/>
                <w:lang w:val="en-US" w:eastAsia="zh-CN"/>
              </w:rPr>
              <w:t>In sum, this research develops and tests a prototype of “Peking Opera × Beijing Landmarks × AR” within an interdisciplinary framework of art design and empirical inquiry. By combining literature review, prototype design, field testing, surveys, interviews, focus groups, and gameplay data analysis, the study will systematically assess the effectiveness of AR in the dissemination of intangible heritage. It will also reveal the mechanisms by which different game elements foster cultural experience and identity. The outcomes will not only provide a new digital path for the transmission of Peking Opera but also contribute a practical model to the interdisciplinary study of cultural branding and intangible heritage communication.</w:t>
            </w:r>
          </w:p>
          <w:p w14:paraId="38E5C560">
            <w:pPr>
              <w:rPr>
                <w:rFonts w:cs="Arial"/>
                <w:sz w:val="22"/>
                <w:szCs w:val="22"/>
              </w:rPr>
            </w:pPr>
          </w:p>
        </w:tc>
      </w:tr>
      <w:tr w14:paraId="2B343844">
        <w:trPr>
          <w:trHeight w:val="397" w:hRule="atLeast"/>
        </w:trPr>
        <w:tc>
          <w:tcPr>
            <w:tcW w:w="9781" w:type="dxa"/>
            <w:shd w:val="clear" w:color="auto" w:fill="F1F1F1" w:themeFill="background1" w:themeFillShade="F2"/>
            <w:vAlign w:val="center"/>
          </w:tcPr>
          <w:p w14:paraId="458C1CA8">
            <w:pPr>
              <w:rPr>
                <w:rFonts w:cs="Arial"/>
                <w:sz w:val="22"/>
                <w:szCs w:val="22"/>
              </w:rPr>
            </w:pPr>
            <w:r>
              <w:rPr>
                <w:rFonts w:cs="Arial"/>
                <w:sz w:val="22"/>
                <w:szCs w:val="22"/>
              </w:rPr>
              <w:t>Introductory bibliography:</w:t>
            </w:r>
          </w:p>
        </w:tc>
      </w:tr>
      <w:tr w14:paraId="0CF23B26">
        <w:trPr>
          <w:trHeight w:val="397" w:hRule="atLeast"/>
        </w:trPr>
        <w:tc>
          <w:tcPr>
            <w:tcW w:w="9781" w:type="dxa"/>
            <w:vAlign w:val="center"/>
          </w:tcPr>
          <w:p w14:paraId="0D5F5D60">
            <w:pPr>
              <w:rPr>
                <w:rFonts w:cs="Arial"/>
                <w:sz w:val="22"/>
                <w:szCs w:val="22"/>
              </w:rPr>
            </w:pPr>
            <w:r>
              <w:rPr>
                <w:rFonts w:cs="Arial"/>
                <w:sz w:val="22"/>
                <w:szCs w:val="22"/>
              </w:rPr>
              <w:t xml:space="preserve">In this section you should list a minimum of 30 titles that are relevant to your research. </w:t>
            </w:r>
          </w:p>
          <w:p w14:paraId="1E8DE918">
            <w:pPr>
              <w:rPr>
                <w:rFonts w:cs="Arial"/>
                <w:sz w:val="22"/>
                <w:szCs w:val="22"/>
              </w:rPr>
            </w:pPr>
            <w:r>
              <w:rPr>
                <w:rFonts w:cs="Arial"/>
                <w:sz w:val="22"/>
                <w:szCs w:val="22"/>
              </w:rPr>
              <w:t xml:space="preserve">You should include all works cited in this form. </w:t>
            </w:r>
          </w:p>
          <w:p w14:paraId="4534008E">
            <w:pPr>
              <w:rPr>
                <w:rFonts w:cs="Arial"/>
                <w:sz w:val="22"/>
                <w:szCs w:val="22"/>
              </w:rPr>
            </w:pPr>
            <w:r>
              <w:rPr>
                <w:rFonts w:cs="Arial"/>
                <w:sz w:val="22"/>
                <w:szCs w:val="22"/>
              </w:rPr>
              <w:t>The list should be alphabetical using the referencing system appropriate to your discipline.</w:t>
            </w:r>
          </w:p>
          <w:p w14:paraId="77062252">
            <w:pPr>
              <w:rPr>
                <w:rFonts w:cs="Arial"/>
                <w:sz w:val="22"/>
                <w:szCs w:val="22"/>
              </w:rPr>
            </w:pPr>
          </w:p>
          <w:p w14:paraId="664AC715">
            <w:pPr>
              <w:rPr>
                <w:rFonts w:cs="Arial"/>
                <w:sz w:val="22"/>
                <w:szCs w:val="22"/>
                <w:lang w:val="en-US" w:eastAsia="zh-CN"/>
              </w:rPr>
            </w:pPr>
            <w:r>
              <w:rPr>
                <w:rFonts w:cs="Arial"/>
                <w:sz w:val="22"/>
                <w:szCs w:val="22"/>
                <w:lang w:val="en-US" w:eastAsia="zh-CN"/>
              </w:rPr>
              <w:t>Anderson, E. F., McLoughlin, L., Liarokapis, F., Peters, C., Petridis, P., &amp; De Freitas, S. (2010). Developing serious games for cultural heritage: a state-of-the-art review. Virtual reality, 14, 255-275.</w:t>
            </w:r>
          </w:p>
          <w:p w14:paraId="31B4E80E">
            <w:pPr>
              <w:numPr>
                <w:numId w:val="0"/>
              </w:numPr>
              <w:ind w:leftChars="0"/>
              <w:jc w:val="left"/>
              <w:rPr>
                <w:rFonts w:cs="Arial"/>
                <w:sz w:val="22"/>
                <w:szCs w:val="22"/>
              </w:rPr>
            </w:pPr>
          </w:p>
          <w:p w14:paraId="2E4293EF">
            <w:pPr>
              <w:numPr>
                <w:ilvl w:val="0"/>
                <w:numId w:val="2"/>
              </w:numPr>
              <w:ind w:left="425" w:leftChars="0" w:hanging="425" w:firstLineChars="0"/>
              <w:jc w:val="left"/>
              <w:rPr>
                <w:rFonts w:hint="eastAsia" w:cs="Arial"/>
                <w:sz w:val="22"/>
                <w:szCs w:val="22"/>
              </w:rPr>
            </w:pPr>
            <w:r>
              <w:rPr>
                <w:rFonts w:hint="eastAsia" w:cs="Arial"/>
                <w:sz w:val="22"/>
                <w:szCs w:val="22"/>
              </w:rPr>
              <w:t>Arboleda, P., 2016. Heritage views through urban exploration: the case of ‘Abandoned Berlin’.</w:t>
            </w:r>
            <w:r>
              <w:rPr>
                <w:rFonts w:hint="eastAsia" w:eastAsia="宋体" w:cs="Arial"/>
                <w:sz w:val="22"/>
                <w:szCs w:val="22"/>
                <w:lang w:val="en-US" w:eastAsia="zh-CN"/>
              </w:rPr>
              <w:t xml:space="preserve"> </w:t>
            </w:r>
            <w:r>
              <w:rPr>
                <w:rFonts w:hint="eastAsia" w:cs="Arial"/>
                <w:sz w:val="22"/>
                <w:szCs w:val="22"/>
              </w:rPr>
              <w:t>International Journal of Heritage Studies, 22(5), pp.368–381.</w:t>
            </w:r>
          </w:p>
          <w:p w14:paraId="24B47202">
            <w:pPr>
              <w:numPr>
                <w:ilvl w:val="0"/>
                <w:numId w:val="2"/>
              </w:numPr>
              <w:ind w:left="425" w:leftChars="0" w:hanging="425" w:firstLineChars="0"/>
              <w:jc w:val="left"/>
              <w:rPr>
                <w:rFonts w:hint="eastAsia" w:cs="Arial"/>
                <w:sz w:val="22"/>
                <w:szCs w:val="22"/>
              </w:rPr>
            </w:pPr>
            <w:r>
              <w:rPr>
                <w:rFonts w:hint="eastAsia" w:cs="Arial"/>
                <w:sz w:val="22"/>
                <w:szCs w:val="22"/>
              </w:rPr>
              <w:t>Bonacini, E. and Giaccone, S.C., 2022. Gamification and cultural institutions in cultural heritage promotion: a successful example from Italy. Cultural Trends, 31(1), pp.3–22.</w:t>
            </w:r>
          </w:p>
          <w:p w14:paraId="6BAAED79">
            <w:pPr>
              <w:numPr>
                <w:ilvl w:val="0"/>
                <w:numId w:val="2"/>
              </w:numPr>
              <w:ind w:left="425" w:leftChars="0" w:hanging="425" w:firstLineChars="0"/>
              <w:jc w:val="left"/>
              <w:rPr>
                <w:rFonts w:hint="eastAsia" w:cs="Arial"/>
                <w:sz w:val="22"/>
                <w:szCs w:val="22"/>
              </w:rPr>
            </w:pPr>
            <w:r>
              <w:rPr>
                <w:rFonts w:hint="eastAsia" w:cs="Arial"/>
                <w:sz w:val="22"/>
                <w:szCs w:val="22"/>
              </w:rPr>
              <w:t>Bresler, M., 2023. RETRACTED: Specifics of perception of historical and cultural heritage by generation Z in the conditions of network existence. In E3S Web of Conferences (Vol. 420, p. 06018). EDP Sciences.</w:t>
            </w:r>
          </w:p>
          <w:p w14:paraId="1B52BDDB">
            <w:pPr>
              <w:numPr>
                <w:ilvl w:val="0"/>
                <w:numId w:val="2"/>
              </w:numPr>
              <w:ind w:left="425" w:leftChars="0" w:hanging="425" w:firstLineChars="0"/>
              <w:jc w:val="left"/>
              <w:rPr>
                <w:rFonts w:hint="eastAsia" w:cs="Arial"/>
                <w:sz w:val="22"/>
                <w:szCs w:val="22"/>
              </w:rPr>
            </w:pPr>
            <w:r>
              <w:rPr>
                <w:rFonts w:hint="eastAsia" w:cs="Arial"/>
                <w:sz w:val="22"/>
                <w:szCs w:val="22"/>
              </w:rPr>
              <w:t>Chen, S., 2014. Research on Animation-Based Transmission and Communication of Intangible Cultural Heritage [Doctoral dissertation]. Shandong University.</w:t>
            </w:r>
          </w:p>
          <w:p w14:paraId="61D1121D">
            <w:pPr>
              <w:numPr>
                <w:ilvl w:val="0"/>
                <w:numId w:val="2"/>
              </w:numPr>
              <w:ind w:left="425" w:leftChars="0" w:hanging="425" w:firstLineChars="0"/>
              <w:jc w:val="left"/>
              <w:rPr>
                <w:rFonts w:hint="eastAsia" w:cs="Arial"/>
                <w:sz w:val="22"/>
                <w:szCs w:val="22"/>
              </w:rPr>
            </w:pPr>
            <w:r>
              <w:rPr>
                <w:rFonts w:hint="eastAsia" w:cs="Arial"/>
                <w:sz w:val="22"/>
                <w:szCs w:val="22"/>
              </w:rPr>
              <w:t>Chen, Z., 2016. Research on Opera Communication in the Perspective of New Media Represented by Mobile Terminals in China [Doctoral dissertation]. Nanjing Normal University.</w:t>
            </w:r>
          </w:p>
          <w:p w14:paraId="01C23FF2">
            <w:pPr>
              <w:numPr>
                <w:ilvl w:val="0"/>
                <w:numId w:val="2"/>
              </w:numPr>
              <w:ind w:left="425" w:leftChars="0" w:hanging="425" w:firstLineChars="0"/>
              <w:jc w:val="left"/>
              <w:rPr>
                <w:rFonts w:hint="eastAsia" w:cs="Arial"/>
                <w:sz w:val="22"/>
                <w:szCs w:val="22"/>
              </w:rPr>
            </w:pPr>
            <w:r>
              <w:rPr>
                <w:rFonts w:hint="eastAsia" w:cs="Arial"/>
                <w:sz w:val="22"/>
                <w:szCs w:val="22"/>
              </w:rPr>
              <w:t>Chung, N., Lee, H., Kim, J.Y. and Koo, C., 2018. The role of augmented reality for experience-influenced environments: The case of cultural heritage tourism in Korea. Journal of Travel Research, 57(5), pp.627–643.</w:t>
            </w:r>
          </w:p>
          <w:p w14:paraId="59A6EEEF">
            <w:pPr>
              <w:numPr>
                <w:ilvl w:val="0"/>
                <w:numId w:val="2"/>
              </w:numPr>
              <w:ind w:left="425" w:leftChars="0" w:hanging="425" w:firstLineChars="0"/>
              <w:jc w:val="left"/>
              <w:rPr>
                <w:rFonts w:hint="eastAsia" w:cs="Arial"/>
                <w:sz w:val="22"/>
                <w:szCs w:val="22"/>
              </w:rPr>
            </w:pPr>
            <w:r>
              <w:rPr>
                <w:rFonts w:hint="eastAsia" w:cs="Arial"/>
                <w:sz w:val="22"/>
                <w:szCs w:val="22"/>
              </w:rPr>
              <w:t>Clarizia, F., Colace, F., De Santo, M., Lorusso, A., Marongiu, F. and Santaniello, D., 2022, September. Augmented reality and gamification technics for visit enhancement in archaeological parks. In 2022 IEEE 2nd IoT Vertical and Topical Summit for Tourism (IoTT) (pp.1–4). IEEE.</w:t>
            </w:r>
          </w:p>
          <w:p w14:paraId="7BA9FE46">
            <w:pPr>
              <w:numPr>
                <w:ilvl w:val="0"/>
                <w:numId w:val="2"/>
              </w:numPr>
              <w:ind w:left="425" w:leftChars="0" w:hanging="425" w:firstLineChars="0"/>
              <w:jc w:val="left"/>
              <w:rPr>
                <w:rFonts w:hint="eastAsia" w:cs="Arial"/>
                <w:sz w:val="22"/>
                <w:szCs w:val="22"/>
              </w:rPr>
            </w:pPr>
            <w:r>
              <w:rPr>
                <w:rFonts w:hint="eastAsia" w:cs="Arial"/>
                <w:sz w:val="22"/>
                <w:szCs w:val="22"/>
              </w:rPr>
              <w:t>Colley, A., Thebault-Spieker, J., Lin, A.Y., Degraen, D., Fischman, B., Häkkilä, J., Kuehl, K., Nisi, V., Nunes, N.J., Wenig, N. and Wenig, D., 2017, May. The geography of Pokémon GO: beneficial and problematic effects on places and movement. In Proceedings of the 2017 CHI Conference on Human Factors in Computing Systems (pp.1179–1192).</w:t>
            </w:r>
          </w:p>
          <w:p w14:paraId="35AD9BB6">
            <w:pPr>
              <w:numPr>
                <w:ilvl w:val="0"/>
                <w:numId w:val="2"/>
              </w:numPr>
              <w:ind w:left="425" w:leftChars="0" w:hanging="425" w:firstLineChars="0"/>
              <w:jc w:val="left"/>
              <w:rPr>
                <w:rFonts w:hint="eastAsia" w:cs="Arial"/>
                <w:sz w:val="22"/>
                <w:szCs w:val="22"/>
              </w:rPr>
            </w:pPr>
            <w:r>
              <w:rPr>
                <w:rFonts w:hint="eastAsia" w:cs="Arial"/>
                <w:sz w:val="22"/>
                <w:szCs w:val="22"/>
              </w:rPr>
              <w:t>Cordeiro, P.A.N., Sousa, J.P. and Carvalho, A., 2021, June. Digitization and gamification in cultural heritage: The Portuguese context in the framework of national and international policies and some practical examples. In 2021 16th Iberian Conference on Information Systems and Technologies (CISTI) (pp.1–7). IEEE.</w:t>
            </w:r>
          </w:p>
          <w:p w14:paraId="05C4F443">
            <w:pPr>
              <w:numPr>
                <w:ilvl w:val="0"/>
                <w:numId w:val="2"/>
              </w:numPr>
              <w:ind w:left="425" w:leftChars="0" w:hanging="425" w:firstLineChars="0"/>
              <w:jc w:val="left"/>
              <w:rPr>
                <w:rFonts w:hint="eastAsia" w:cs="Arial"/>
                <w:sz w:val="22"/>
                <w:szCs w:val="22"/>
              </w:rPr>
            </w:pPr>
            <w:r>
              <w:rPr>
                <w:rFonts w:hint="eastAsia" w:cs="Arial"/>
                <w:sz w:val="22"/>
                <w:szCs w:val="22"/>
              </w:rPr>
              <w:t>Cranmer, E.E., Tom Dieck, M.C. and Jung, T., 2023. The role of augmented reality for sustainable development: Evidence from cultural heritage tourism. Tourism Management Perspectives, 49, p.101196.</w:t>
            </w:r>
          </w:p>
          <w:p w14:paraId="7B288A34">
            <w:pPr>
              <w:numPr>
                <w:ilvl w:val="0"/>
                <w:numId w:val="2"/>
              </w:numPr>
              <w:ind w:left="425" w:leftChars="0" w:hanging="425" w:firstLineChars="0"/>
              <w:jc w:val="left"/>
              <w:rPr>
                <w:rFonts w:hint="eastAsia" w:cs="Arial"/>
                <w:sz w:val="22"/>
                <w:szCs w:val="22"/>
              </w:rPr>
            </w:pPr>
            <w:r>
              <w:rPr>
                <w:rFonts w:hint="eastAsia" w:cs="Arial"/>
                <w:sz w:val="22"/>
                <w:szCs w:val="22"/>
              </w:rPr>
              <w:t>DaCosta, B. and Kinsell, C., 2022. Serious games in cultural heritage: A review of practices and considerations in the design of location-based games. Education Sciences, 13(1), p.47.</w:t>
            </w:r>
          </w:p>
          <w:p w14:paraId="0A2AE609">
            <w:pPr>
              <w:numPr>
                <w:ilvl w:val="0"/>
                <w:numId w:val="2"/>
              </w:numPr>
              <w:ind w:left="425" w:leftChars="0" w:hanging="425" w:firstLineChars="0"/>
              <w:jc w:val="left"/>
              <w:rPr>
                <w:rFonts w:hint="eastAsia" w:cs="Arial"/>
                <w:sz w:val="22"/>
                <w:szCs w:val="22"/>
              </w:rPr>
            </w:pPr>
            <w:r>
              <w:rPr>
                <w:rFonts w:hint="eastAsia" w:cs="Arial"/>
                <w:sz w:val="22"/>
                <w:szCs w:val="22"/>
              </w:rPr>
              <w:t>Flavián, C., Ibáñez-Sánchez, S., Orús, C. and Barta, S., 2024. The dark side of the metaverse: The role of gamification in event virtualization. International Journal of Information Management, 75, p.102726.</w:t>
            </w:r>
          </w:p>
          <w:p w14:paraId="33B1E883">
            <w:pPr>
              <w:numPr>
                <w:ilvl w:val="0"/>
                <w:numId w:val="2"/>
              </w:numPr>
              <w:ind w:left="425" w:leftChars="0" w:hanging="425" w:firstLineChars="0"/>
              <w:jc w:val="left"/>
              <w:rPr>
                <w:rFonts w:hint="eastAsia" w:eastAsia="宋体" w:cs="Arial"/>
                <w:sz w:val="22"/>
                <w:szCs w:val="22"/>
                <w:lang w:eastAsia="zh-CN"/>
              </w:rPr>
            </w:pPr>
            <w:r>
              <w:rPr>
                <w:rFonts w:hint="eastAsia" w:cs="Arial"/>
                <w:sz w:val="22"/>
                <w:szCs w:val="22"/>
              </w:rPr>
              <w:t>Garrett, B.L., 2010. Urban explorers: Quests for myth, mystery and meaning. Geography Compass, 4(10), pp.1448–1461.</w:t>
            </w:r>
          </w:p>
          <w:p w14:paraId="0B0FD5F4">
            <w:pPr>
              <w:numPr>
                <w:ilvl w:val="0"/>
                <w:numId w:val="2"/>
              </w:numPr>
              <w:ind w:left="425" w:leftChars="0" w:hanging="425" w:firstLineChars="0"/>
              <w:jc w:val="left"/>
              <w:rPr>
                <w:rFonts w:hint="eastAsia" w:cs="Arial"/>
                <w:sz w:val="22"/>
                <w:szCs w:val="22"/>
              </w:rPr>
            </w:pPr>
            <w:r>
              <w:rPr>
                <w:rFonts w:hint="eastAsia" w:cs="Arial"/>
                <w:sz w:val="22"/>
                <w:szCs w:val="22"/>
              </w:rPr>
              <w:t>Guo, J. and Pan, Y., 2023. What factors impact visitors’ intentions to use location-based AR games? An empirical study from Chinese cultural heritage sites. Sustainability, 15(19), p.14328.</w:t>
            </w:r>
          </w:p>
          <w:p w14:paraId="36C0B516">
            <w:pPr>
              <w:numPr>
                <w:ilvl w:val="0"/>
                <w:numId w:val="2"/>
              </w:numPr>
              <w:ind w:left="425" w:leftChars="0" w:hanging="425" w:firstLineChars="0"/>
              <w:jc w:val="left"/>
              <w:rPr>
                <w:rFonts w:hint="eastAsia" w:cs="Arial"/>
                <w:sz w:val="22"/>
                <w:szCs w:val="22"/>
              </w:rPr>
            </w:pPr>
            <w:r>
              <w:rPr>
                <w:rFonts w:hint="eastAsia" w:cs="Arial"/>
                <w:sz w:val="22"/>
                <w:szCs w:val="22"/>
              </w:rPr>
              <w:t>Guo, J., Xu, J. and Pan, Y., 2024. How do location-based AR games enhance value co-creation experiences at cultural heritage sites? A process perspective analysis. Applied Sciences, 14(15), p.6812.</w:t>
            </w:r>
          </w:p>
          <w:p w14:paraId="7635DC75">
            <w:pPr>
              <w:numPr>
                <w:ilvl w:val="0"/>
                <w:numId w:val="2"/>
              </w:numPr>
              <w:ind w:left="425" w:leftChars="0" w:hanging="425" w:firstLineChars="0"/>
              <w:jc w:val="left"/>
              <w:rPr>
                <w:rFonts w:hint="eastAsia" w:cs="Arial"/>
                <w:sz w:val="22"/>
                <w:szCs w:val="22"/>
              </w:rPr>
            </w:pPr>
            <w:r>
              <w:rPr>
                <w:rFonts w:hint="eastAsia" w:cs="Arial"/>
                <w:sz w:val="22"/>
                <w:szCs w:val="22"/>
              </w:rPr>
              <w:t>Han, Y., 2020. Research on the Contemporary Communication Media of Peking Opera [Doctoral dissertation]. National Academy of Chinese Theatre Arts. doi:10.27647/d.cnki.gzgxc.2020.000021.</w:t>
            </w:r>
          </w:p>
          <w:p w14:paraId="659996F2">
            <w:pPr>
              <w:numPr>
                <w:ilvl w:val="0"/>
                <w:numId w:val="2"/>
              </w:numPr>
              <w:ind w:left="425" w:leftChars="0" w:hanging="425" w:firstLineChars="0"/>
              <w:jc w:val="left"/>
              <w:rPr>
                <w:rFonts w:hint="eastAsia" w:cs="Arial"/>
                <w:sz w:val="22"/>
                <w:szCs w:val="22"/>
              </w:rPr>
            </w:pPr>
            <w:r>
              <w:rPr>
                <w:rFonts w:hint="eastAsia" w:cs="Arial"/>
                <w:sz w:val="22"/>
                <w:szCs w:val="22"/>
              </w:rPr>
              <w:t>Huang, G. and Mao, X., 2024. Research on interactive design of Huawei Hetu AR in intangible cultural heritage communication: A case study of the Nine-Colored Deer of Dunhuang. Beauty and Times (Art and Design), (01), pp.124–127. doi:10.16129/j.cnki.mysds.2024.01.027.</w:t>
            </w:r>
          </w:p>
          <w:p w14:paraId="5FAA6847">
            <w:pPr>
              <w:numPr>
                <w:ilvl w:val="0"/>
                <w:numId w:val="2"/>
              </w:numPr>
              <w:ind w:left="425" w:leftChars="0" w:hanging="425" w:firstLineChars="0"/>
              <w:jc w:val="left"/>
              <w:rPr>
                <w:rFonts w:hint="eastAsia" w:cs="Arial"/>
                <w:sz w:val="22"/>
                <w:szCs w:val="22"/>
              </w:rPr>
            </w:pPr>
            <w:r>
              <w:rPr>
                <w:rFonts w:hint="eastAsia" w:cs="Arial"/>
                <w:sz w:val="22"/>
                <w:szCs w:val="22"/>
              </w:rPr>
              <w:t>Jeon, M.M., Kang, M. and Desmarais, E., 2016. Residents’ perceived quality of life in a cultural-heritage tourism destination. Applied Research in Quality of Life, 11(1), pp.105–123.</w:t>
            </w:r>
          </w:p>
          <w:p w14:paraId="1FE78F79">
            <w:pPr>
              <w:numPr>
                <w:ilvl w:val="0"/>
                <w:numId w:val="2"/>
              </w:numPr>
              <w:ind w:left="425" w:leftChars="0" w:hanging="425" w:firstLineChars="0"/>
              <w:jc w:val="left"/>
              <w:rPr>
                <w:rFonts w:hint="eastAsia" w:cs="Arial"/>
                <w:sz w:val="22"/>
                <w:szCs w:val="22"/>
              </w:rPr>
            </w:pPr>
            <w:r>
              <w:rPr>
                <w:rFonts w:hint="eastAsia" w:cs="Arial"/>
                <w:sz w:val="22"/>
                <w:szCs w:val="22"/>
              </w:rPr>
              <w:t>Klausen, M., 2017. The urban exploration imaginary: Mediatization, commodification, and affect. Space and Culture, 20(4), pp.372–384.</w:t>
            </w:r>
          </w:p>
          <w:p w14:paraId="181DAE2C">
            <w:pPr>
              <w:numPr>
                <w:ilvl w:val="0"/>
                <w:numId w:val="2"/>
              </w:numPr>
              <w:ind w:left="425" w:leftChars="0" w:hanging="425" w:firstLineChars="0"/>
              <w:jc w:val="left"/>
              <w:rPr>
                <w:rFonts w:hint="eastAsia" w:cs="Arial"/>
                <w:sz w:val="22"/>
                <w:szCs w:val="22"/>
              </w:rPr>
            </w:pPr>
            <w:r>
              <w:rPr>
                <w:rFonts w:hint="eastAsia" w:cs="Arial"/>
                <w:sz w:val="22"/>
                <w:szCs w:val="22"/>
              </w:rPr>
              <w:t>Kleftodimos, A., Moustaka, M. and Evagelou, A., 2023. Location-based augmented reality for cultural heritage education: Creating educational, gamified location-based AR applications for the prehistoric lake settlement of Dispilio. Digital, 3(1), pp.18–45.</w:t>
            </w:r>
          </w:p>
          <w:p w14:paraId="6538279F">
            <w:pPr>
              <w:numPr>
                <w:ilvl w:val="0"/>
                <w:numId w:val="2"/>
              </w:numPr>
              <w:ind w:left="425" w:leftChars="0" w:hanging="425" w:firstLineChars="0"/>
              <w:jc w:val="left"/>
              <w:rPr>
                <w:rFonts w:hint="eastAsia" w:cs="Arial"/>
                <w:sz w:val="22"/>
                <w:szCs w:val="22"/>
              </w:rPr>
            </w:pPr>
            <w:r>
              <w:rPr>
                <w:rFonts w:hint="eastAsia" w:cs="Arial"/>
                <w:sz w:val="22"/>
                <w:szCs w:val="22"/>
              </w:rPr>
              <w:t>Kotsopoulos, K.I., Chourdaki, P., Tsolis, D., Antoniadis, R., Pavlidis, G. and Assimakopoulos, N., 2024. An authoring platform for developing smart apps which elevate cultural heritage experiences: A system dynamics approach in gamification. Journal of Ambient Intelligence and Humanized Computing, 15(2), pp.1679–1695.</w:t>
            </w:r>
          </w:p>
          <w:p w14:paraId="51BC7C4A">
            <w:pPr>
              <w:numPr>
                <w:ilvl w:val="0"/>
                <w:numId w:val="2"/>
              </w:numPr>
              <w:ind w:left="425" w:leftChars="0" w:hanging="425" w:firstLineChars="0"/>
              <w:jc w:val="left"/>
              <w:rPr>
                <w:rFonts w:hint="eastAsia" w:cs="Arial"/>
                <w:sz w:val="22"/>
                <w:szCs w:val="22"/>
              </w:rPr>
            </w:pPr>
            <w:r>
              <w:rPr>
                <w:rFonts w:hint="eastAsia" w:cs="Arial"/>
                <w:sz w:val="22"/>
                <w:szCs w:val="22"/>
              </w:rPr>
              <w:t>Kumar, A., 2017. Cultural and heritage tourism: A tool for sustainable development. Global Journal of Commerce &amp; Management Perspective, 6(6), pp.56–59.</w:t>
            </w:r>
          </w:p>
          <w:p w14:paraId="5D6F0790">
            <w:pPr>
              <w:numPr>
                <w:ilvl w:val="0"/>
                <w:numId w:val="2"/>
              </w:numPr>
              <w:ind w:left="425" w:leftChars="0" w:hanging="425" w:firstLineChars="0"/>
              <w:jc w:val="left"/>
              <w:rPr>
                <w:rFonts w:hint="eastAsia" w:cs="Arial"/>
                <w:sz w:val="22"/>
                <w:szCs w:val="22"/>
              </w:rPr>
            </w:pPr>
            <w:r>
              <w:rPr>
                <w:rFonts w:hint="eastAsia" w:cs="Arial"/>
                <w:sz w:val="22"/>
                <w:szCs w:val="22"/>
              </w:rPr>
              <w:t>Laato, S., Inaba, N. and Hamari, J., 2021. Convergence between the real and the augmented: Experiences and perceptions in location-based games. Telematics and Informatics, 65, p.101716.</w:t>
            </w:r>
          </w:p>
          <w:p w14:paraId="76604B68">
            <w:pPr>
              <w:numPr>
                <w:ilvl w:val="0"/>
                <w:numId w:val="2"/>
              </w:numPr>
              <w:ind w:left="425" w:leftChars="0" w:hanging="425" w:firstLineChars="0"/>
              <w:jc w:val="left"/>
              <w:rPr>
                <w:rFonts w:hint="eastAsia" w:cs="Arial"/>
                <w:sz w:val="22"/>
                <w:szCs w:val="22"/>
              </w:rPr>
            </w:pPr>
            <w:r>
              <w:rPr>
                <w:rFonts w:hint="eastAsia" w:cs="Arial"/>
                <w:sz w:val="22"/>
                <w:szCs w:val="22"/>
              </w:rPr>
              <w:t>Lee, C.H., Chiang, H.S. and Hsiao, K.L., 2018. What drives stickiness in location-based AR games? An examination of flow and satisfaction. Telematics and Informatics, 35(7), pp.1958–1970.</w:t>
            </w:r>
          </w:p>
          <w:p w14:paraId="6A197DA3">
            <w:pPr>
              <w:numPr>
                <w:ilvl w:val="0"/>
                <w:numId w:val="2"/>
              </w:numPr>
              <w:ind w:left="425" w:leftChars="0" w:hanging="425" w:firstLineChars="0"/>
              <w:jc w:val="left"/>
              <w:rPr>
                <w:rFonts w:hint="eastAsia" w:cs="Arial"/>
                <w:sz w:val="22"/>
                <w:szCs w:val="22"/>
              </w:rPr>
            </w:pPr>
            <w:r>
              <w:rPr>
                <w:rFonts w:hint="eastAsia" w:cs="Arial"/>
                <w:sz w:val="22"/>
                <w:szCs w:val="22"/>
              </w:rPr>
              <w:t>Lee, Y.J., 2023. Gamification and the festival experience: The case of Taiwan. Current Issues in Tourism, 26(8), pp.1311–1326.</w:t>
            </w:r>
          </w:p>
          <w:p w14:paraId="2E8C47F4">
            <w:pPr>
              <w:numPr>
                <w:ilvl w:val="0"/>
                <w:numId w:val="2"/>
              </w:numPr>
              <w:ind w:left="425" w:leftChars="0" w:hanging="425" w:firstLineChars="0"/>
              <w:jc w:val="left"/>
              <w:rPr>
                <w:rFonts w:hint="eastAsia" w:cs="Arial"/>
                <w:sz w:val="22"/>
                <w:szCs w:val="22"/>
              </w:rPr>
            </w:pPr>
            <w:r>
              <w:rPr>
                <w:rFonts w:hint="eastAsia" w:cs="Arial"/>
                <w:sz w:val="22"/>
                <w:szCs w:val="22"/>
              </w:rPr>
              <w:t>Lei, Q., 2022. Research on the Innovative Framework of China’s Intangible Cultural Heritage Industry under the New Consumption Context [Doctoral dissertation]. Xi’an Academy of Fine Arts. doi:10.27399/d.cnki.gxamx.2022.000103.</w:t>
            </w:r>
          </w:p>
          <w:p w14:paraId="108EF823">
            <w:pPr>
              <w:numPr>
                <w:ilvl w:val="0"/>
                <w:numId w:val="2"/>
              </w:numPr>
              <w:ind w:left="425" w:leftChars="0" w:hanging="425" w:firstLineChars="0"/>
              <w:jc w:val="left"/>
              <w:rPr>
                <w:rFonts w:hint="eastAsia" w:cs="Arial"/>
                <w:sz w:val="22"/>
                <w:szCs w:val="22"/>
              </w:rPr>
            </w:pPr>
            <w:r>
              <w:rPr>
                <w:rFonts w:hint="eastAsia" w:cs="Arial"/>
                <w:sz w:val="22"/>
                <w:szCs w:val="22"/>
              </w:rPr>
              <w:t>Marto, A. and Gonçalves, A., 2022. Augmented reality games and presence: A systematic review. Journal of Imaging, 8(4), p.91.</w:t>
            </w:r>
          </w:p>
          <w:p w14:paraId="0E8B2C03">
            <w:pPr>
              <w:numPr>
                <w:ilvl w:val="0"/>
                <w:numId w:val="2"/>
              </w:numPr>
              <w:ind w:left="425" w:leftChars="0" w:hanging="425" w:firstLineChars="0"/>
              <w:jc w:val="left"/>
              <w:rPr>
                <w:rFonts w:hint="eastAsia" w:cs="Arial"/>
                <w:sz w:val="22"/>
                <w:szCs w:val="22"/>
              </w:rPr>
            </w:pPr>
            <w:r>
              <w:rPr>
                <w:rFonts w:hint="eastAsia" w:cs="Arial"/>
                <w:sz w:val="22"/>
                <w:szCs w:val="22"/>
              </w:rPr>
              <w:t>Mäyrä, F., 2017. Pokémon GO: Entering the ludic society. Mobile Media &amp; Communication, 5(1), pp.47–50.</w:t>
            </w:r>
          </w:p>
          <w:p w14:paraId="5BAC4E5B">
            <w:pPr>
              <w:numPr>
                <w:ilvl w:val="0"/>
                <w:numId w:val="2"/>
              </w:numPr>
              <w:ind w:left="425" w:leftChars="0" w:hanging="425" w:firstLineChars="0"/>
              <w:jc w:val="left"/>
              <w:rPr>
                <w:rFonts w:hint="eastAsia" w:cs="Arial"/>
                <w:sz w:val="22"/>
                <w:szCs w:val="22"/>
              </w:rPr>
            </w:pPr>
            <w:r>
              <w:rPr>
                <w:rFonts w:hint="eastAsia" w:cs="Arial"/>
                <w:sz w:val="22"/>
                <w:szCs w:val="22"/>
              </w:rPr>
              <w:t>Pan, K. and Liu, Y., 2023. Integration and drift: Changes in the media forms of Peking Opera art. Art Communication Studies, (1), pp.23–35.</w:t>
            </w:r>
          </w:p>
          <w:p w14:paraId="3AA69E04">
            <w:pPr>
              <w:numPr>
                <w:ilvl w:val="0"/>
                <w:numId w:val="2"/>
              </w:numPr>
              <w:ind w:left="425" w:leftChars="0" w:hanging="425" w:firstLineChars="0"/>
              <w:jc w:val="left"/>
              <w:rPr>
                <w:rFonts w:hint="eastAsia" w:cs="Arial"/>
                <w:sz w:val="22"/>
                <w:szCs w:val="22"/>
              </w:rPr>
            </w:pPr>
            <w:r>
              <w:rPr>
                <w:rFonts w:hint="eastAsia" w:cs="Arial"/>
                <w:sz w:val="22"/>
                <w:szCs w:val="22"/>
              </w:rPr>
              <w:t>Paavilainen, J., Korhonen, H., Alha, K., Stenros, J., Koskinen, E. and Mäyrä, F., 2017, May. The Pokémon GO experience: A location-based augmented reality mobile game goes mainstream. In Proceedings of the 2017 CHI Conference on Human Factors in Computing Systems (pp.2493–2498).</w:t>
            </w:r>
          </w:p>
          <w:p w14:paraId="4C3C7204">
            <w:pPr>
              <w:numPr>
                <w:ilvl w:val="0"/>
                <w:numId w:val="2"/>
              </w:numPr>
              <w:ind w:left="425" w:leftChars="0" w:hanging="425" w:firstLineChars="0"/>
              <w:jc w:val="left"/>
              <w:rPr>
                <w:rFonts w:hint="eastAsia" w:cs="Arial"/>
                <w:sz w:val="22"/>
                <w:szCs w:val="22"/>
              </w:rPr>
            </w:pPr>
            <w:r>
              <w:rPr>
                <w:rFonts w:hint="eastAsia" w:cs="Arial"/>
                <w:sz w:val="22"/>
                <w:szCs w:val="22"/>
              </w:rPr>
              <w:t>Qin, F., 2017. Research on the Digital Survival and Development of Intangible Cultural Heritage [Doctoral dissertation]. University of Science and Technology of China.</w:t>
            </w:r>
          </w:p>
          <w:p w14:paraId="009794C3">
            <w:pPr>
              <w:numPr>
                <w:ilvl w:val="0"/>
                <w:numId w:val="2"/>
              </w:numPr>
              <w:ind w:left="425" w:leftChars="0" w:hanging="425" w:firstLineChars="0"/>
              <w:jc w:val="left"/>
              <w:rPr>
                <w:rFonts w:hint="eastAsia" w:cs="Arial"/>
                <w:sz w:val="22"/>
                <w:szCs w:val="22"/>
              </w:rPr>
            </w:pPr>
            <w:r>
              <w:rPr>
                <w:rFonts w:hint="eastAsia" w:cs="Arial"/>
                <w:sz w:val="22"/>
                <w:szCs w:val="22"/>
              </w:rPr>
              <w:t>Rasche, P., Schlomann, A. and Mertens, A., 2017. Who is still playing Pokémon Go? A web-based survey. JMIR Serious Games, 5(2), p.e7197.</w:t>
            </w:r>
          </w:p>
          <w:p w14:paraId="4AA365DF">
            <w:pPr>
              <w:numPr>
                <w:ilvl w:val="0"/>
                <w:numId w:val="2"/>
              </w:numPr>
              <w:ind w:left="425" w:leftChars="0" w:hanging="425" w:firstLineChars="0"/>
              <w:jc w:val="left"/>
              <w:rPr>
                <w:rFonts w:hint="eastAsia" w:cs="Arial"/>
                <w:sz w:val="22"/>
                <w:szCs w:val="22"/>
              </w:rPr>
            </w:pPr>
            <w:r>
              <w:rPr>
                <w:rFonts w:hint="eastAsia" w:cs="Arial"/>
                <w:sz w:val="22"/>
                <w:szCs w:val="22"/>
              </w:rPr>
              <w:t>Rauschnabel, P.A., Rossmann, A. and tom Dieck, M.C., 2017. An adoption framework for mobile augmented reality games: The case of Pokémon Go. Computers in Human Behavior, 76, pp.276–286.</w:t>
            </w:r>
          </w:p>
          <w:p w14:paraId="47E04869">
            <w:pPr>
              <w:numPr>
                <w:ilvl w:val="0"/>
                <w:numId w:val="2"/>
              </w:numPr>
              <w:ind w:left="425" w:leftChars="0" w:hanging="425" w:firstLineChars="0"/>
              <w:jc w:val="left"/>
              <w:rPr>
                <w:rFonts w:hint="eastAsia" w:cs="Arial"/>
                <w:sz w:val="22"/>
                <w:szCs w:val="22"/>
              </w:rPr>
            </w:pPr>
            <w:r>
              <w:rPr>
                <w:rFonts w:hint="eastAsia" w:cs="Arial"/>
                <w:sz w:val="22"/>
                <w:szCs w:val="22"/>
              </w:rPr>
              <w:t>Stienmetz, J.L., Ferrer-Rosell, B. and Massimo, D., 2022. Information and Communication Technologies in Tourism 2022: Proceedings of the ENTER 2022 eTourism Conference, January 11-14, 2022. Springer Nature.</w:t>
            </w:r>
          </w:p>
          <w:p w14:paraId="638969A3">
            <w:pPr>
              <w:numPr>
                <w:ilvl w:val="0"/>
                <w:numId w:val="2"/>
              </w:numPr>
              <w:ind w:left="425" w:leftChars="0" w:hanging="425" w:firstLineChars="0"/>
              <w:jc w:val="left"/>
              <w:rPr>
                <w:rFonts w:hint="eastAsia" w:cs="Arial"/>
                <w:sz w:val="22"/>
                <w:szCs w:val="22"/>
              </w:rPr>
            </w:pPr>
            <w:r>
              <w:rPr>
                <w:rFonts w:hint="eastAsia" w:cs="Arial"/>
                <w:sz w:val="22"/>
                <w:szCs w:val="22"/>
              </w:rPr>
              <w:t>Timothy, D.J., 2014. Contemporary cultural heritage and tourism: Development issues and emerging trends. Public Archaeology, 13(1-3), pp.30–47.</w:t>
            </w:r>
          </w:p>
          <w:p w14:paraId="3ACC04AA">
            <w:pPr>
              <w:numPr>
                <w:ilvl w:val="0"/>
                <w:numId w:val="2"/>
              </w:numPr>
              <w:ind w:left="425" w:leftChars="0" w:hanging="425" w:firstLineChars="0"/>
              <w:jc w:val="left"/>
              <w:rPr>
                <w:rFonts w:hint="eastAsia" w:cs="Arial"/>
                <w:sz w:val="22"/>
                <w:szCs w:val="22"/>
              </w:rPr>
            </w:pPr>
            <w:r>
              <w:rPr>
                <w:rFonts w:hint="eastAsia" w:cs="Arial"/>
                <w:sz w:val="22"/>
                <w:szCs w:val="22"/>
              </w:rPr>
              <w:t>Wang, H., Gao, Z., Zhang, X., Du, J., Xu, Y. and Wang, Z., 2024. Gamifying cultural heritage: Exploring the potential of immersive virtual exhibitions. Telematics and Informatics Reports, 15, p.100150.</w:t>
            </w:r>
          </w:p>
          <w:p w14:paraId="284A1FBD">
            <w:pPr>
              <w:numPr>
                <w:ilvl w:val="0"/>
                <w:numId w:val="2"/>
              </w:numPr>
              <w:ind w:left="425" w:leftChars="0" w:hanging="425" w:firstLineChars="0"/>
              <w:jc w:val="left"/>
              <w:rPr>
                <w:rFonts w:hint="eastAsia" w:cs="Arial"/>
                <w:sz w:val="22"/>
                <w:szCs w:val="22"/>
              </w:rPr>
            </w:pPr>
            <w:r>
              <w:rPr>
                <w:rFonts w:hint="eastAsia" w:cs="Arial"/>
                <w:sz w:val="22"/>
                <w:szCs w:val="22"/>
              </w:rPr>
              <w:t>Wang, S.M. and Vu, L.H., 2023. The integration of digital twin and serious game framework for new normal virtual urban exploration and social interaction. Journal of Urban Management, 12(2), pp.168–181.</w:t>
            </w:r>
          </w:p>
          <w:p w14:paraId="17DE1E97">
            <w:pPr>
              <w:numPr>
                <w:ilvl w:val="0"/>
                <w:numId w:val="2"/>
              </w:numPr>
              <w:ind w:left="425" w:leftChars="0" w:hanging="425" w:firstLineChars="0"/>
              <w:jc w:val="left"/>
              <w:rPr>
                <w:rFonts w:hint="eastAsia" w:cs="Arial"/>
                <w:sz w:val="22"/>
                <w:szCs w:val="22"/>
              </w:rPr>
            </w:pPr>
            <w:r>
              <w:rPr>
                <w:rFonts w:hint="eastAsia" w:cs="Arial"/>
                <w:sz w:val="22"/>
                <w:szCs w:val="22"/>
              </w:rPr>
              <w:t>Wang, T., 2006. Two levels of opera communication: On intrinsic and extended dissemination. Hundred Schools in Arts, (4), pp.40–43.</w:t>
            </w:r>
          </w:p>
          <w:p w14:paraId="006632C4">
            <w:pPr>
              <w:numPr>
                <w:ilvl w:val="0"/>
                <w:numId w:val="2"/>
              </w:numPr>
              <w:ind w:left="425" w:leftChars="0" w:hanging="425" w:firstLineChars="0"/>
              <w:jc w:val="left"/>
              <w:rPr>
                <w:rFonts w:hint="eastAsia" w:cs="Arial"/>
                <w:sz w:val="22"/>
                <w:szCs w:val="22"/>
              </w:rPr>
            </w:pPr>
            <w:r>
              <w:rPr>
                <w:rFonts w:hint="eastAsia" w:cs="Arial"/>
                <w:sz w:val="22"/>
                <w:szCs w:val="22"/>
              </w:rPr>
              <w:t>Wu, C.H., Chao, Y.L., Xiong, J.T. and Luh, D.B., 2022. Gamification of culture: A strategy for cultural preservation and local sustainable development. Sustainability, 15(1), p.650.</w:t>
            </w:r>
          </w:p>
          <w:p w14:paraId="5C1FD183">
            <w:pPr>
              <w:numPr>
                <w:ilvl w:val="0"/>
                <w:numId w:val="2"/>
              </w:numPr>
              <w:ind w:left="425" w:leftChars="0" w:hanging="425" w:firstLineChars="0"/>
              <w:jc w:val="left"/>
              <w:rPr>
                <w:rFonts w:hint="eastAsia" w:cs="Arial"/>
                <w:sz w:val="22"/>
                <w:szCs w:val="22"/>
              </w:rPr>
            </w:pPr>
            <w:r>
              <w:rPr>
                <w:rFonts w:hint="eastAsia" w:cs="Arial"/>
                <w:sz w:val="22"/>
                <w:szCs w:val="22"/>
              </w:rPr>
              <w:t>Yang, Y., Wang, Z., Shen, H. and Jiang, N., 2023. The impact of emotional experience on tourists’ cultural identity and behavior in the cultural heritage tourism context: An empirical study on Dunhuang Mogao Grottoes. Sustainability, 15(11), p.8823.</w:t>
            </w:r>
          </w:p>
          <w:p w14:paraId="647DC934">
            <w:pPr>
              <w:numPr>
                <w:ilvl w:val="0"/>
                <w:numId w:val="2"/>
              </w:numPr>
              <w:ind w:left="425" w:leftChars="0" w:hanging="425" w:firstLineChars="0"/>
              <w:jc w:val="left"/>
              <w:rPr>
                <w:rFonts w:hint="eastAsia" w:cs="Arial"/>
                <w:sz w:val="22"/>
                <w:szCs w:val="22"/>
              </w:rPr>
            </w:pPr>
            <w:r>
              <w:rPr>
                <w:rFonts w:hint="eastAsia" w:cs="Arial"/>
                <w:sz w:val="22"/>
                <w:szCs w:val="22"/>
              </w:rPr>
              <w:t>Zhang, S., 2022. The dilemmas and development of Peking Opera inheritance in the new era. Drama Home, (31), pp.9–11.</w:t>
            </w:r>
          </w:p>
          <w:p w14:paraId="41706ACC">
            <w:pPr>
              <w:numPr>
                <w:ilvl w:val="0"/>
                <w:numId w:val="2"/>
              </w:numPr>
              <w:ind w:left="425" w:leftChars="0" w:hanging="425" w:firstLineChars="0"/>
              <w:jc w:val="left"/>
              <w:rPr>
                <w:rFonts w:hint="eastAsia" w:cs="Arial"/>
                <w:sz w:val="22"/>
                <w:szCs w:val="22"/>
              </w:rPr>
            </w:pPr>
            <w:r>
              <w:rPr>
                <w:rFonts w:hint="eastAsia" w:cs="Arial"/>
                <w:sz w:val="22"/>
                <w:szCs w:val="22"/>
              </w:rPr>
              <w:t>Zhao, J., 2014. Research on Contemporary Tourism Space in Beijing [Doctoral dissertation]. Tsinghua University.</w:t>
            </w:r>
          </w:p>
          <w:p w14:paraId="736DF681">
            <w:pPr>
              <w:numPr>
                <w:ilvl w:val="0"/>
                <w:numId w:val="2"/>
              </w:numPr>
              <w:ind w:left="425" w:leftChars="0" w:hanging="425" w:firstLineChars="0"/>
              <w:jc w:val="left"/>
              <w:rPr>
                <w:rFonts w:hint="eastAsia" w:cs="Arial"/>
                <w:sz w:val="22"/>
                <w:szCs w:val="22"/>
              </w:rPr>
            </w:pPr>
            <w:r>
              <w:rPr>
                <w:rFonts w:hint="eastAsia" w:cs="Arial"/>
                <w:sz w:val="22"/>
                <w:szCs w:val="22"/>
              </w:rPr>
              <w:t>Zhao, S., Bao, Y. and Pan, S., 2017. Protection and development of intangible cultural heritage based on AR technology: A case study of Daoqing shadow puppetry in Huan County, Gansu. Journal of Lanzhou University of Arts and Science (Natural Science Edition), 31(6), pp.89–92. doi:10.13804/j.cnki.2095-6991.2017.06.018.</w:t>
            </w:r>
          </w:p>
          <w:p w14:paraId="07BFC6C4">
            <w:pPr>
              <w:numPr>
                <w:ilvl w:val="0"/>
                <w:numId w:val="2"/>
              </w:numPr>
              <w:ind w:left="425" w:leftChars="0" w:hanging="425" w:firstLineChars="0"/>
              <w:jc w:val="left"/>
              <w:rPr>
                <w:rFonts w:hint="eastAsia" w:cs="Arial"/>
                <w:sz w:val="22"/>
                <w:szCs w:val="22"/>
              </w:rPr>
            </w:pPr>
            <w:r>
              <w:rPr>
                <w:rFonts w:hint="eastAsia" w:cs="Arial"/>
                <w:sz w:val="22"/>
                <w:szCs w:val="22"/>
              </w:rPr>
              <w:t>Zheng, Z., 2022. Observations and reflections on the development of Peking Opera in the self-media network ecology. Drama Literature, (11), pp.119–123. doi:10.14043/j.cnki.xjwx.2022.11.021.</w:t>
            </w:r>
          </w:p>
          <w:p w14:paraId="2D8360F7">
            <w:pPr>
              <w:numPr>
                <w:ilvl w:val="0"/>
                <w:numId w:val="2"/>
              </w:numPr>
              <w:ind w:left="425" w:leftChars="0" w:hanging="425" w:firstLineChars="0"/>
              <w:jc w:val="left"/>
              <w:rPr>
                <w:rFonts w:cs="Arial"/>
                <w:sz w:val="22"/>
                <w:szCs w:val="22"/>
              </w:rPr>
            </w:pPr>
            <w:r>
              <w:rPr>
                <w:rFonts w:hint="eastAsia" w:cs="Arial"/>
                <w:sz w:val="22"/>
                <w:szCs w:val="22"/>
              </w:rPr>
              <w:t>Zhou, H., 2017. “Mirror Opera” in film and the internet: A case study of Peking Opera and Kunqu Opera. Hundred Schools in Arts, 33(1), pp.51–55+87.</w:t>
            </w:r>
          </w:p>
          <w:p w14:paraId="0E1A87F8">
            <w:pPr>
              <w:rPr>
                <w:rFonts w:cs="Arial"/>
                <w:sz w:val="22"/>
                <w:szCs w:val="22"/>
              </w:rPr>
            </w:pPr>
          </w:p>
        </w:tc>
      </w:tr>
      <w:tr w14:paraId="2F728C1E">
        <w:trPr>
          <w:trHeight w:val="397" w:hRule="atLeast"/>
        </w:trPr>
        <w:tc>
          <w:tcPr>
            <w:tcW w:w="9781" w:type="dxa"/>
            <w:shd w:val="clear" w:color="auto" w:fill="F1F1F1" w:themeFill="background1" w:themeFillShade="F2"/>
            <w:vAlign w:val="center"/>
          </w:tcPr>
          <w:p w14:paraId="43D3CD2A">
            <w:pPr>
              <w:rPr>
                <w:rFonts w:cs="Arial"/>
                <w:sz w:val="22"/>
                <w:szCs w:val="22"/>
              </w:rPr>
            </w:pPr>
            <w:r>
              <w:rPr>
                <w:rFonts w:cs="Arial"/>
                <w:sz w:val="22"/>
                <w:szCs w:val="22"/>
              </w:rPr>
              <w:t>Facilities and resources available for the investigation: please indicate if you expect to need any special resources</w:t>
            </w:r>
          </w:p>
        </w:tc>
      </w:tr>
      <w:tr w14:paraId="37B7ACC9">
        <w:trPr>
          <w:trHeight w:val="397" w:hRule="atLeast"/>
        </w:trPr>
        <w:tc>
          <w:tcPr>
            <w:tcW w:w="9781" w:type="dxa"/>
            <w:vAlign w:val="center"/>
          </w:tcPr>
          <w:p w14:paraId="1C649C6B">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I will draw on a wide range of research resources, including museums, libraries, archives, and various technical facilities. These will include AR/VR development engines such as Unity and/or Unreal Engine, programming and coding for functional modules, mobile platforms to adapt the game for devices, cloud services, user interaction design tools, and software for music and soundscape production. I have secured the necessary permissions to use these resources, ensuring that data collection and analysis can proceed smoothly.</w:t>
            </w:r>
          </w:p>
          <w:p w14:paraId="4022CB9A">
            <w:pPr>
              <w:pStyle w:val="27"/>
              <w:numPr>
                <w:ilvl w:val="0"/>
                <w:numId w:val="0"/>
              </w:numPr>
              <w:autoSpaceDE w:val="0"/>
              <w:autoSpaceDN w:val="0"/>
              <w:adjustRightInd w:val="0"/>
              <w:contextualSpacing/>
              <w:rPr>
                <w:rFonts w:ascii="Arial" w:hAnsi="Arial" w:cs="Arial"/>
                <w:sz w:val="22"/>
                <w:szCs w:val="22"/>
                <w:lang w:val="en-US" w:eastAsia="zh-CN"/>
              </w:rPr>
            </w:pPr>
          </w:p>
          <w:p w14:paraId="6F6ED9AD">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The research will require fieldwork in Beijing, focusing on key landmarks such as Qianmen, Dashilan, the Zhengyici Theatre, and the Temple of Heaven. The field investigation and testing phase is expected to last about 12 months, which will be crucial for acquiring first-hand insights and a deeper understanding of the research context. Travel and related expenses will be self-funded.</w:t>
            </w:r>
          </w:p>
          <w:p w14:paraId="215885B1">
            <w:pPr>
              <w:pStyle w:val="27"/>
              <w:numPr>
                <w:ilvl w:val="0"/>
                <w:numId w:val="0"/>
              </w:numPr>
              <w:autoSpaceDE w:val="0"/>
              <w:autoSpaceDN w:val="0"/>
              <w:adjustRightInd w:val="0"/>
              <w:contextualSpacing/>
              <w:rPr>
                <w:rFonts w:ascii="Arial" w:hAnsi="Arial" w:cs="Arial"/>
                <w:sz w:val="22"/>
                <w:szCs w:val="22"/>
                <w:lang w:val="en-US" w:eastAsia="zh-CN"/>
              </w:rPr>
            </w:pPr>
          </w:p>
          <w:p w14:paraId="211EDAAC">
            <w:pPr>
              <w:pStyle w:val="27"/>
              <w:numPr>
                <w:ilvl w:val="0"/>
                <w:numId w:val="0"/>
              </w:numPr>
              <w:autoSpaceDE w:val="0"/>
              <w:autoSpaceDN w:val="0"/>
              <w:adjustRightInd w:val="0"/>
              <w:contextualSpacing/>
              <w:rPr>
                <w:rFonts w:ascii="Arial" w:hAnsi="Arial" w:cs="Arial"/>
                <w:sz w:val="22"/>
                <w:szCs w:val="22"/>
                <w:lang w:val="en-US" w:eastAsia="zh-CN"/>
              </w:rPr>
            </w:pPr>
            <w:r>
              <w:rPr>
                <w:rFonts w:ascii="Arial" w:hAnsi="Arial" w:cs="Arial"/>
                <w:sz w:val="22"/>
                <w:szCs w:val="22"/>
                <w:lang w:val="en-US" w:eastAsia="zh-CN"/>
              </w:rPr>
              <w:t>Fieldwork will form a core part of this study, involving on-site observation and interaction at the landmarks. In addition, interviews will be conducted to gather qualitative data. All participants will be required to sign informed consent forms, and data collection and handling will strictly comply with the university’s ethical guidelines to ensure privacy and security. A formal ethics application has also been prepared.</w:t>
            </w:r>
          </w:p>
          <w:p w14:paraId="04669C93">
            <w:pPr>
              <w:pStyle w:val="27"/>
              <w:numPr>
                <w:ilvl w:val="0"/>
                <w:numId w:val="0"/>
              </w:numPr>
              <w:autoSpaceDE w:val="0"/>
              <w:autoSpaceDN w:val="0"/>
              <w:adjustRightInd w:val="0"/>
              <w:contextualSpacing/>
              <w:rPr>
                <w:rFonts w:ascii="Arial" w:hAnsi="Arial" w:cs="Arial"/>
                <w:sz w:val="22"/>
                <w:szCs w:val="22"/>
                <w:lang w:val="en-US" w:eastAsia="zh-CN"/>
              </w:rPr>
            </w:pPr>
            <w:bookmarkStart w:id="0" w:name="_GoBack"/>
            <w:bookmarkEnd w:id="0"/>
          </w:p>
        </w:tc>
      </w:tr>
    </w:tbl>
    <w:p w14:paraId="1C6C6C9E">
      <w:pPr>
        <w:rPr>
          <w:rFonts w:cs="Arial"/>
          <w:sz w:val="22"/>
          <w:szCs w:val="22"/>
        </w:rPr>
      </w:pPr>
    </w:p>
    <w:p w14:paraId="068FBBD3">
      <w:pPr>
        <w:rPr>
          <w:rFonts w:cs="Arial"/>
          <w:sz w:val="22"/>
          <w:szCs w:val="22"/>
        </w:rPr>
      </w:pPr>
    </w:p>
    <w:p w14:paraId="532539A2">
      <w:pPr>
        <w:rPr>
          <w:rFonts w:cs="Arial"/>
          <w:sz w:val="22"/>
          <w:szCs w:val="22"/>
        </w:rPr>
      </w:pPr>
    </w:p>
    <w:p w14:paraId="5620ED97">
      <w:pPr>
        <w:rPr>
          <w:rFonts w:cs="Arial"/>
          <w:b/>
          <w:sz w:val="22"/>
          <w:szCs w:val="22"/>
        </w:rPr>
      </w:pPr>
      <w:r>
        <w:rPr>
          <w:rFonts w:cs="Arial"/>
          <w:b/>
          <w:sz w:val="22"/>
          <w:szCs w:val="22"/>
        </w:rPr>
        <w:t>Intellectual Property IP</w:t>
      </w:r>
    </w:p>
    <w:p w14:paraId="4847AFB8">
      <w:pPr>
        <w:rPr>
          <w:rFonts w:cs="Arial"/>
          <w:b/>
          <w:sz w:val="22"/>
          <w:szCs w:val="22"/>
        </w:rPr>
      </w:pPr>
      <w:r>
        <w:rPr>
          <w:sz w:val="22"/>
        </w:rPr>
        <w:t>It is anticipated that Intellectual Property (IP) will be produced as a result of this research.</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14:paraId="34BEA0BE">
        <w:trPr>
          <w:trHeight w:val="427" w:hRule="atLeast"/>
        </w:trPr>
        <w:tc>
          <w:tcPr>
            <w:tcW w:w="9781" w:type="dxa"/>
            <w:gridSpan w:val="3"/>
            <w:tcBorders>
              <w:top w:val="nil"/>
              <w:left w:val="nil"/>
              <w:bottom w:val="nil"/>
              <w:right w:val="nil"/>
            </w:tcBorders>
            <w:shd w:val="clear" w:color="auto" w:fill="auto"/>
          </w:tcPr>
          <w:p w14:paraId="012CF4F9">
            <w:pPr>
              <w:jc w:val="right"/>
              <w:rPr>
                <w:rFonts w:cs="Arial"/>
                <w:b/>
              </w:rPr>
            </w:pPr>
            <w:r>
              <w:rPr>
                <w:rFonts w:cs="Arial"/>
                <w:b/>
              </w:rPr>
              <w:t xml:space="preserve">Tick </w:t>
            </w:r>
            <w:r>
              <w:rPr>
                <w:rFonts w:ascii="Agency FB" w:hAnsi="Agency FB" w:cs="Arial"/>
                <w:b/>
              </w:rPr>
              <w:t>√</w:t>
            </w:r>
          </w:p>
        </w:tc>
      </w:tr>
      <w:tr w14:paraId="65D44C9C">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102959EA">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14:paraId="1D6B3087">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343163F4">
            <w:pPr>
              <w:rPr>
                <w:rFonts w:cs="Arial"/>
                <w:sz w:val="22"/>
                <w:szCs w:val="22"/>
              </w:rPr>
            </w:pPr>
            <w:r>
              <w:rPr>
                <w:rFonts w:cs="Arial"/>
                <w:sz w:val="22"/>
                <w:szCs w:val="22"/>
              </w:rPr>
              <w:t>NO</w:t>
            </w:r>
          </w:p>
        </w:tc>
      </w:tr>
      <w:tr w14:paraId="2BF949CC">
        <w:trPr>
          <w:trHeight w:val="427" w:hRule="atLeast"/>
        </w:trPr>
        <w:tc>
          <w:tcPr>
            <w:tcW w:w="6946" w:type="dxa"/>
            <w:tcBorders>
              <w:top w:val="single" w:color="auto" w:sz="4" w:space="0"/>
            </w:tcBorders>
            <w:shd w:val="clear" w:color="auto" w:fill="F1F1F1" w:themeFill="background1" w:themeFillShade="F2"/>
          </w:tcPr>
          <w:p w14:paraId="1C8BF160">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shd w:val="clear" w:color="auto" w:fill="auto"/>
              </w:tcPr>
              <w:p w14:paraId="3FB7B2F0">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shd w:val="clear" w:color="auto" w:fill="auto"/>
              </w:tcPr>
              <w:p w14:paraId="05586A79">
                <w:pPr>
                  <w:jc w:val="center"/>
                  <w:rPr>
                    <w:rFonts w:cs="Arial"/>
                    <w:sz w:val="22"/>
                    <w:szCs w:val="22"/>
                  </w:rPr>
                </w:pPr>
                <w:r>
                  <w:rPr>
                    <w:rFonts w:ascii="MS Gothic" w:hAnsi="MS Gothic" w:eastAsia="MS Gothic" w:cs="Arial"/>
                    <w:sz w:val="22"/>
                    <w:szCs w:val="22"/>
                    <w:lang w:val="en-GB" w:eastAsia="en-GB" w:bidi="ar-SA"/>
                  </w:rPr>
                  <w:t>☒</w:t>
                </w:r>
              </w:p>
            </w:tc>
          </w:sdtContent>
        </w:sdt>
      </w:tr>
      <w:tr w14:paraId="08BAAA83">
        <w:trPr>
          <w:trHeight w:val="572" w:hRule="atLeast"/>
        </w:trPr>
        <w:tc>
          <w:tcPr>
            <w:tcW w:w="6946" w:type="dxa"/>
            <w:shd w:val="clear" w:color="auto" w:fill="F1F1F1" w:themeFill="background1" w:themeFillShade="F2"/>
          </w:tcPr>
          <w:p w14:paraId="1590E689">
            <w:pPr>
              <w:rPr>
                <w:sz w:val="22"/>
              </w:rPr>
            </w:pPr>
            <w:r>
              <w:rPr>
                <w:sz w:val="22"/>
              </w:rPr>
              <w:t xml:space="preserve">Is the research dependent upon background IP owned by: </w:t>
            </w:r>
          </w:p>
          <w:p w14:paraId="72E8DDEC">
            <w:pPr>
              <w:rPr>
                <w:rFonts w:cs="Arial"/>
                <w:sz w:val="22"/>
                <w:szCs w:val="22"/>
              </w:rPr>
            </w:pPr>
            <w:r>
              <w:rPr>
                <w:sz w:val="22"/>
              </w:rPr>
              <w:t>If so, please provide details below</w:t>
            </w:r>
          </w:p>
        </w:tc>
        <w:tc>
          <w:tcPr>
            <w:tcW w:w="1418" w:type="dxa"/>
            <w:shd w:val="clear" w:color="auto" w:fill="auto"/>
          </w:tcPr>
          <w:p w14:paraId="6A96A3DD">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rPr>
                <w:rFonts w:cs="Arial"/>
                <w:sz w:val="22"/>
                <w:szCs w:val="22"/>
              </w:rPr>
            </w:sdtEndPr>
            <w:sdtContent>
              <w:p w14:paraId="30193C2A">
                <w:pPr>
                  <w:jc w:val="center"/>
                  <w:rPr>
                    <w:rFonts w:cs="Arial"/>
                    <w:sz w:val="22"/>
                    <w:szCs w:val="22"/>
                  </w:rPr>
                </w:pPr>
                <w:r>
                  <w:rPr>
                    <w:rFonts w:ascii="MS Gothic" w:hAnsi="MS Gothic" w:eastAsia="MS Gothic" w:cs="Arial"/>
                    <w:sz w:val="22"/>
                    <w:szCs w:val="22"/>
                    <w:lang w:val="en-GB" w:eastAsia="en-GB" w:bidi="ar-SA"/>
                  </w:rPr>
                  <w:t>☒</w:t>
                </w:r>
              </w:p>
            </w:sdtContent>
          </w:sdt>
        </w:tc>
        <w:tc>
          <w:tcPr>
            <w:tcW w:w="1417" w:type="dxa"/>
            <w:shd w:val="clear" w:color="auto" w:fill="auto"/>
          </w:tcPr>
          <w:p w14:paraId="5325D9CB">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14:paraId="6E2125F9">
                <w:pPr>
                  <w:jc w:val="center"/>
                  <w:rPr>
                    <w:rFonts w:cs="Arial"/>
                    <w:sz w:val="22"/>
                    <w:szCs w:val="22"/>
                  </w:rPr>
                </w:pPr>
                <w:r>
                  <w:rPr>
                    <w:rFonts w:ascii="MS Gothic" w:hAnsi="MS Gothic" w:eastAsia="MS Gothic" w:cs="Arial"/>
                    <w:sz w:val="22"/>
                    <w:szCs w:val="22"/>
                  </w:rPr>
                  <w:t>☐</w:t>
                </w:r>
              </w:p>
            </w:sdtContent>
          </w:sdt>
        </w:tc>
      </w:tr>
      <w:tr w14:paraId="3EE8985F">
        <w:trPr>
          <w:trHeight w:val="572" w:hRule="atLeast"/>
        </w:trPr>
        <w:tc>
          <w:tcPr>
            <w:tcW w:w="9781" w:type="dxa"/>
            <w:gridSpan w:val="3"/>
            <w:shd w:val="clear" w:color="auto" w:fill="auto"/>
          </w:tcPr>
          <w:p w14:paraId="7C2C0A06">
            <w:pPr>
              <w:rPr>
                <w:i/>
                <w:sz w:val="18"/>
                <w:szCs w:val="18"/>
              </w:rPr>
            </w:pPr>
            <w:r>
              <w:rPr>
                <w:i/>
                <w:sz w:val="18"/>
                <w:szCs w:val="18"/>
              </w:rPr>
              <w:t>Text box will expand</w:t>
            </w:r>
          </w:p>
          <w:p w14:paraId="40898F5A">
            <w:pPr>
              <w:rPr>
                <w:sz w:val="18"/>
                <w:szCs w:val="18"/>
              </w:rPr>
            </w:pPr>
          </w:p>
          <w:p w14:paraId="784D3D3E">
            <w:pPr>
              <w:rPr>
                <w:sz w:val="18"/>
                <w:szCs w:val="18"/>
              </w:rPr>
            </w:pPr>
          </w:p>
          <w:p w14:paraId="463373A7">
            <w:pPr>
              <w:rPr>
                <w:sz w:val="18"/>
                <w:szCs w:val="18"/>
              </w:rPr>
            </w:pPr>
          </w:p>
        </w:tc>
      </w:tr>
      <w:tr w14:paraId="7E997E07">
        <w:trPr>
          <w:trHeight w:val="427" w:hRule="atLeast"/>
        </w:trPr>
        <w:tc>
          <w:tcPr>
            <w:tcW w:w="9781" w:type="dxa"/>
            <w:gridSpan w:val="3"/>
            <w:tcBorders>
              <w:top w:val="nil"/>
              <w:left w:val="nil"/>
              <w:bottom w:val="nil"/>
              <w:right w:val="nil"/>
            </w:tcBorders>
            <w:shd w:val="clear" w:color="auto" w:fill="auto"/>
          </w:tcPr>
          <w:p w14:paraId="7C2A5205">
            <w:pPr>
              <w:jc w:val="right"/>
              <w:rPr>
                <w:rFonts w:cs="Arial"/>
                <w:b/>
              </w:rPr>
            </w:pPr>
            <w:r>
              <w:rPr>
                <w:rFonts w:cs="Arial"/>
                <w:b/>
              </w:rPr>
              <w:t xml:space="preserve">Tick </w:t>
            </w:r>
            <w:r>
              <w:rPr>
                <w:rFonts w:ascii="Agency FB" w:hAnsi="Agency FB" w:cs="Arial"/>
                <w:b/>
              </w:rPr>
              <w:t>√</w:t>
            </w:r>
          </w:p>
        </w:tc>
      </w:tr>
      <w:tr w14:paraId="4A621ED5">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6184C841">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14:paraId="3E034D3D">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1FB6FF05">
            <w:pPr>
              <w:rPr>
                <w:rFonts w:cs="Arial"/>
                <w:sz w:val="22"/>
                <w:szCs w:val="22"/>
              </w:rPr>
            </w:pPr>
            <w:r>
              <w:rPr>
                <w:rFonts w:cs="Arial"/>
                <w:sz w:val="22"/>
                <w:szCs w:val="22"/>
              </w:rPr>
              <w:t>NO</w:t>
            </w:r>
          </w:p>
        </w:tc>
      </w:tr>
      <w:tr w14:paraId="320D77C6">
        <w:trPr>
          <w:trHeight w:val="399" w:hRule="atLeast"/>
        </w:trPr>
        <w:tc>
          <w:tcPr>
            <w:tcW w:w="6946" w:type="dxa"/>
            <w:shd w:val="clear" w:color="auto" w:fill="F1F1F1" w:themeFill="background1" w:themeFillShade="F2"/>
          </w:tcPr>
          <w:p w14:paraId="3145BE2D">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5B9D944B">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rPr>
              <w:rFonts w:cs="Arial"/>
              <w:sz w:val="22"/>
              <w:szCs w:val="22"/>
            </w:rPr>
          </w:sdtEndPr>
          <w:sdtContent>
            <w:tc>
              <w:tcPr>
                <w:tcW w:w="1418" w:type="dxa"/>
                <w:shd w:val="clear" w:color="auto" w:fill="auto"/>
              </w:tcPr>
              <w:p w14:paraId="474EFA2E">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178201402"/>
            <w14:checkbox>
              <w14:checked w14:val="0"/>
              <w14:checkedState w14:val="2612" w14:font="MS Gothic"/>
              <w14:uncheckedState w14:val="2610" w14:font="MS Gothic"/>
            </w14:checkbox>
          </w:sdtPr>
          <w:sdtEndPr>
            <w:rPr>
              <w:rFonts w:cs="Arial"/>
              <w:sz w:val="22"/>
              <w:szCs w:val="22"/>
            </w:rPr>
          </w:sdtEndPr>
          <w:sdtContent>
            <w:tc>
              <w:tcPr>
                <w:tcW w:w="1417" w:type="dxa"/>
                <w:shd w:val="clear" w:color="auto" w:fill="auto"/>
              </w:tcPr>
              <w:p w14:paraId="3BE096FF">
                <w:pPr>
                  <w:jc w:val="center"/>
                  <w:rPr>
                    <w:rFonts w:cs="Arial"/>
                    <w:sz w:val="22"/>
                    <w:szCs w:val="22"/>
                  </w:rPr>
                </w:pPr>
                <w:r>
                  <w:rPr>
                    <w:rFonts w:ascii="MS Gothic" w:hAnsi="MS Gothic" w:eastAsia="MS Gothic" w:cs="Arial"/>
                    <w:sz w:val="22"/>
                    <w:szCs w:val="22"/>
                  </w:rPr>
                  <w:t>☐</w:t>
                </w:r>
              </w:p>
            </w:tc>
          </w:sdtContent>
        </w:sdt>
      </w:tr>
      <w:tr w14:paraId="486D434C">
        <w:trPr>
          <w:trHeight w:val="536" w:hRule="atLeast"/>
        </w:trPr>
        <w:tc>
          <w:tcPr>
            <w:tcW w:w="6946" w:type="dxa"/>
            <w:shd w:val="clear" w:color="auto" w:fill="F1F1F1" w:themeFill="background1" w:themeFillShade="F2"/>
          </w:tcPr>
          <w:p w14:paraId="49B8B72D">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19"/>
              </w:rPr>
              <w:t>https://www.uwtsd.ac.uk/iiced/protecting-innovation-and-creativity---intellectual-property/</w:t>
            </w:r>
            <w:r>
              <w:rPr>
                <w:rStyle w:val="19"/>
              </w:rPr>
              <w:fldChar w:fldCharType="end"/>
            </w:r>
          </w:p>
          <w:p w14:paraId="4E5827CB">
            <w:pPr>
              <w:rPr>
                <w:rFonts w:ascii="Calibri" w:hAnsi="Calibri"/>
              </w:rPr>
            </w:pPr>
          </w:p>
        </w:tc>
        <w:tc>
          <w:tcPr>
            <w:tcW w:w="1418" w:type="dxa"/>
            <w:shd w:val="clear" w:color="auto" w:fill="auto"/>
          </w:tcPr>
          <w:p w14:paraId="26FB668C">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c>
          <w:tcPr>
            <w:tcW w:w="1417" w:type="dxa"/>
            <w:shd w:val="clear" w:color="auto" w:fill="auto"/>
          </w:tcPr>
          <w:p w14:paraId="1599CD7F">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p w14:paraId="22BBA35C">
      <w:pPr>
        <w:rPr>
          <w:rFonts w:cs="Arial"/>
          <w:sz w:val="22"/>
          <w:szCs w:val="22"/>
        </w:rPr>
      </w:pPr>
    </w:p>
    <w:tbl>
      <w:tblPr>
        <w:tblStyle w:val="14"/>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747"/>
      </w:tblGrid>
      <w:tr w14:paraId="535FDB52">
        <w:tc>
          <w:tcPr>
            <w:tcW w:w="9747" w:type="dxa"/>
          </w:tcPr>
          <w:p w14:paraId="1376D7B7">
            <w:pPr>
              <w:rPr>
                <w:rFonts w:cs="Arial"/>
                <w:sz w:val="22"/>
                <w:szCs w:val="22"/>
              </w:rPr>
            </w:pPr>
          </w:p>
          <w:p w14:paraId="513E5268">
            <w:pPr>
              <w:rPr>
                <w:rFonts w:cs="Arial"/>
                <w:b/>
                <w:sz w:val="22"/>
                <w:szCs w:val="22"/>
              </w:rPr>
            </w:pPr>
            <w:r>
              <w:rPr>
                <w:rFonts w:cs="Arial"/>
                <w:b/>
                <w:sz w:val="22"/>
                <w:szCs w:val="22"/>
              </w:rPr>
              <w:t>Student Signature</w:t>
            </w:r>
          </w:p>
          <w:p w14:paraId="5EEC5232">
            <w:pPr>
              <w:rPr>
                <w:rFonts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92"/>
              <w:gridCol w:w="5686"/>
              <w:gridCol w:w="1843"/>
            </w:tblGrid>
            <w:tr w14:paraId="35E70B70">
              <w:tc>
                <w:tcPr>
                  <w:tcW w:w="2094" w:type="dxa"/>
                  <w:shd w:val="clear" w:color="auto" w:fill="F1F1F1" w:themeFill="background1" w:themeFillShade="F2"/>
                </w:tcPr>
                <w:p w14:paraId="2B1A3004">
                  <w:pPr>
                    <w:rPr>
                      <w:rFonts w:cs="Arial"/>
                      <w:sz w:val="22"/>
                      <w:szCs w:val="22"/>
                    </w:rPr>
                  </w:pPr>
                </w:p>
                <w:p w14:paraId="26B0D9DA">
                  <w:pPr>
                    <w:rPr>
                      <w:rFonts w:cs="Arial"/>
                      <w:sz w:val="22"/>
                      <w:szCs w:val="22"/>
                    </w:rPr>
                  </w:pPr>
                  <w:r>
                    <w:rPr>
                      <w:rFonts w:cs="Arial"/>
                      <w:sz w:val="22"/>
                      <w:szCs w:val="22"/>
                    </w:rPr>
                    <w:t>Signature or Print Name:</w:t>
                  </w:r>
                </w:p>
                <w:p w14:paraId="69A25636">
                  <w:pPr>
                    <w:rPr>
                      <w:rFonts w:cs="Arial"/>
                      <w:sz w:val="22"/>
                      <w:szCs w:val="22"/>
                    </w:rPr>
                  </w:pPr>
                </w:p>
              </w:tc>
              <w:tc>
                <w:tcPr>
                  <w:tcW w:w="6265" w:type="dxa"/>
                </w:tcPr>
                <w:p w14:paraId="13D2438A">
                  <w:pPr>
                    <w:rPr>
                      <w:rFonts w:hint="default" w:eastAsia="宋体" w:cs="Arial"/>
                      <w:sz w:val="22"/>
                      <w:szCs w:val="22"/>
                      <w:lang w:val="en-US" w:eastAsia="zh-CN"/>
                    </w:rPr>
                  </w:pPr>
                  <w:r>
                    <w:rPr>
                      <w:rFonts w:hint="default" w:cs="Arial"/>
                      <w:sz w:val="22"/>
                      <w:szCs w:val="22"/>
                      <w:lang w:val="en-US"/>
                    </w:rPr>
                    <w:t>K</w:t>
                  </w:r>
                  <w:r>
                    <w:rPr>
                      <w:rFonts w:hint="eastAsia" w:eastAsia="宋体" w:cs="Arial"/>
                      <w:sz w:val="22"/>
                      <w:szCs w:val="22"/>
                      <w:lang w:val="en-US" w:eastAsia="zh-CN"/>
                    </w:rPr>
                    <w:t xml:space="preserve">aining </w:t>
                  </w:r>
                  <w:r>
                    <w:rPr>
                      <w:rFonts w:hint="default" w:eastAsia="宋体" w:cs="Arial"/>
                      <w:sz w:val="22"/>
                      <w:szCs w:val="22"/>
                      <w:lang w:val="en-US" w:eastAsia="zh-CN"/>
                    </w:rPr>
                    <w:t>Z</w:t>
                  </w:r>
                  <w:r>
                    <w:rPr>
                      <w:rFonts w:hint="eastAsia" w:eastAsia="宋体" w:cs="Arial"/>
                      <w:sz w:val="22"/>
                      <w:szCs w:val="22"/>
                      <w:lang w:val="en-US" w:eastAsia="zh-CN"/>
                    </w:rPr>
                    <w:t>hou</w:t>
                  </w:r>
                </w:p>
              </w:tc>
              <w:tc>
                <w:tcPr>
                  <w:tcW w:w="1417" w:type="dxa"/>
                </w:tcPr>
                <w:p w14:paraId="0475CA85">
                  <w:pPr>
                    <w:rPr>
                      <w:rFonts w:hint="eastAsia" w:eastAsia="宋体" w:cs="Arial"/>
                      <w:sz w:val="22"/>
                      <w:szCs w:val="22"/>
                      <w:lang w:val="en-US" w:eastAsia="zh-CN"/>
                    </w:rPr>
                  </w:pPr>
                  <w:r>
                    <w:rPr>
                      <w:rFonts w:cs="Arial"/>
                      <w:sz w:val="22"/>
                      <w:szCs w:val="22"/>
                    </w:rPr>
                    <w:t>Date:</w:t>
                  </w:r>
                  <w:r>
                    <w:rPr>
                      <w:rFonts w:hint="eastAsia" w:eastAsia="宋体" w:cs="Arial"/>
                      <w:sz w:val="22"/>
                      <w:szCs w:val="22"/>
                      <w:lang w:val="en-US" w:eastAsia="zh-CN"/>
                    </w:rPr>
                    <w:t>05</w:t>
                  </w:r>
                  <w:r>
                    <w:rPr>
                      <w:rFonts w:cs="Arial"/>
                      <w:sz w:val="22"/>
                      <w:szCs w:val="22"/>
                      <w:lang w:val="en-US"/>
                    </w:rPr>
                    <w:t>/0</w:t>
                  </w:r>
                  <w:r>
                    <w:rPr>
                      <w:rFonts w:hint="eastAsia" w:eastAsia="宋体" w:cs="Arial"/>
                      <w:sz w:val="22"/>
                      <w:szCs w:val="22"/>
                      <w:lang w:val="en-US" w:eastAsia="zh-CN"/>
                    </w:rPr>
                    <w:t>9</w:t>
                  </w:r>
                  <w:r>
                    <w:rPr>
                      <w:rFonts w:cs="Arial"/>
                      <w:sz w:val="22"/>
                      <w:szCs w:val="22"/>
                      <w:lang w:val="en-US"/>
                    </w:rPr>
                    <w:t>/202</w:t>
                  </w:r>
                  <w:r>
                    <w:rPr>
                      <w:rFonts w:hint="eastAsia" w:eastAsia="宋体" w:cs="Arial"/>
                      <w:sz w:val="22"/>
                      <w:szCs w:val="22"/>
                      <w:lang w:val="en-US" w:eastAsia="zh-CN"/>
                    </w:rPr>
                    <w:t>5</w:t>
                  </w:r>
                </w:p>
              </w:tc>
            </w:tr>
          </w:tbl>
          <w:p w14:paraId="7BAE8739">
            <w:pPr>
              <w:rPr>
                <w:rFonts w:cs="Arial"/>
                <w:sz w:val="22"/>
                <w:szCs w:val="22"/>
              </w:rPr>
            </w:pPr>
          </w:p>
          <w:p w14:paraId="7186971B">
            <w:pPr>
              <w:rPr>
                <w:rFonts w:cs="Arial"/>
                <w:sz w:val="22"/>
                <w:szCs w:val="22"/>
              </w:rPr>
            </w:pPr>
          </w:p>
        </w:tc>
      </w:tr>
    </w:tbl>
    <w:p w14:paraId="51057E28">
      <w:pPr>
        <w:rPr>
          <w:rFonts w:cs="Arial"/>
          <w:sz w:val="22"/>
          <w:szCs w:val="22"/>
        </w:rPr>
      </w:pPr>
      <w:r>
        <w:rPr>
          <w:rFonts w:cs="Arial"/>
          <w:sz w:val="22"/>
          <w:szCs w:val="22"/>
        </w:rPr>
        <w:br w:type="page"/>
      </w:r>
    </w:p>
    <w:p w14:paraId="5AC5A0EB">
      <w:pPr>
        <w:rPr>
          <w:rFonts w:cs="Arial"/>
          <w:sz w:val="22"/>
          <w:szCs w:val="22"/>
        </w:rPr>
      </w:pPr>
    </w:p>
    <w:p w14:paraId="6ABB2FC9">
      <w:pPr>
        <w:rPr>
          <w:rFonts w:cs="Arial"/>
          <w:sz w:val="22"/>
          <w:szCs w:val="22"/>
        </w:rPr>
      </w:pPr>
    </w:p>
    <w:p w14:paraId="2A2518BF">
      <w:pPr>
        <w:ind w:left="-142"/>
        <w:rPr>
          <w:rFonts w:cs="Arial"/>
          <w:sz w:val="22"/>
          <w:szCs w:val="22"/>
        </w:rPr>
      </w:pPr>
      <w:r>
        <w:rPr>
          <w:rFonts w:cs="Arial"/>
          <w:b/>
          <w:bCs/>
          <w:sz w:val="22"/>
          <w:szCs w:val="22"/>
        </w:rPr>
        <w:t>Supervisory Team</w:t>
      </w:r>
    </w:p>
    <w:p w14:paraId="6C333259">
      <w:pPr>
        <w:rPr>
          <w:rFonts w:cs="Arial"/>
          <w:sz w:val="22"/>
          <w:szCs w:val="22"/>
        </w:rPr>
      </w:pPr>
    </w:p>
    <w:p w14:paraId="031F6DCE">
      <w:pPr>
        <w:ind w:left="180"/>
        <w:rPr>
          <w:rFonts w:cs="Arial"/>
          <w:b/>
          <w:sz w:val="22"/>
          <w:szCs w:val="22"/>
        </w:rPr>
      </w:pPr>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47"/>
      </w:tblGrid>
      <w:tr w14:paraId="6DEC14A5">
        <w:tc>
          <w:tcPr>
            <w:tcW w:w="9747" w:type="dxa"/>
            <w:shd w:val="clear" w:color="auto" w:fill="F1F1F1" w:themeFill="background1" w:themeFillShade="F2"/>
          </w:tcPr>
          <w:p w14:paraId="67C439D8">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14:paraId="2A58274E">
        <w:tc>
          <w:tcPr>
            <w:tcW w:w="9747" w:type="dxa"/>
          </w:tcPr>
          <w:p w14:paraId="14E0F47B">
            <w:pPr>
              <w:rPr>
                <w:rFonts w:cs="Arial"/>
                <w:b/>
                <w:sz w:val="22"/>
                <w:szCs w:val="22"/>
              </w:rPr>
            </w:pPr>
          </w:p>
          <w:p w14:paraId="150FD3CD">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lang w:val="en-GB" w:eastAsia="en-GB" w:bidi="ar-SA"/>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14:paraId="1B3D0D08">
            <w:pPr>
              <w:rPr>
                <w:rFonts w:cs="Arial"/>
                <w:b/>
                <w:sz w:val="22"/>
                <w:szCs w:val="22"/>
              </w:rPr>
            </w:pPr>
          </w:p>
          <w:p w14:paraId="1029B02B">
            <w:pPr>
              <w:rPr>
                <w:rFonts w:cs="Arial"/>
                <w:b/>
                <w:sz w:val="22"/>
                <w:szCs w:val="22"/>
              </w:rPr>
            </w:pPr>
          </w:p>
        </w:tc>
      </w:tr>
    </w:tbl>
    <w:p w14:paraId="12E8B255">
      <w:pPr>
        <w:rPr>
          <w:rFonts w:cs="Arial"/>
          <w:sz w:val="22"/>
          <w:szCs w:val="22"/>
        </w:rPr>
      </w:pPr>
    </w:p>
    <w:p w14:paraId="040E15F0">
      <w:pPr>
        <w:rPr>
          <w:rFonts w:cs="Arial"/>
          <w:b/>
          <w:sz w:val="22"/>
          <w:szCs w:val="22"/>
        </w:rPr>
      </w:pPr>
      <w:r>
        <w:rPr>
          <w:rFonts w:cs="Arial"/>
          <w:b/>
          <w:sz w:val="22"/>
          <w:szCs w:val="22"/>
        </w:rPr>
        <w:t>Authorisation</w:t>
      </w:r>
    </w:p>
    <w:p w14:paraId="2B6C4E5D">
      <w:pPr>
        <w:rPr>
          <w:rFonts w:cs="Arial"/>
          <w:sz w:val="22"/>
          <w:szCs w:val="22"/>
        </w:rPr>
      </w:pP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2"/>
        <w:gridCol w:w="5387"/>
        <w:gridCol w:w="1842"/>
      </w:tblGrid>
      <w:tr w14:paraId="790100F3">
        <w:tc>
          <w:tcPr>
            <w:tcW w:w="2552" w:type="dxa"/>
            <w:shd w:val="clear" w:color="auto" w:fill="F1F1F1" w:themeFill="background1" w:themeFillShade="F2"/>
          </w:tcPr>
          <w:p w14:paraId="750705C5">
            <w:pPr>
              <w:rPr>
                <w:rFonts w:cs="Arial"/>
                <w:sz w:val="22"/>
                <w:szCs w:val="22"/>
              </w:rPr>
            </w:pPr>
            <w:r>
              <w:rPr>
                <w:rFonts w:cs="Arial"/>
                <w:sz w:val="22"/>
                <w:szCs w:val="22"/>
              </w:rPr>
              <w:t>Director of Studies</w:t>
            </w:r>
          </w:p>
        </w:tc>
        <w:tc>
          <w:tcPr>
            <w:tcW w:w="5387" w:type="dxa"/>
          </w:tcPr>
          <w:p w14:paraId="29755B6A">
            <w:pPr>
              <w:rPr>
                <w:rFonts w:cs="Arial"/>
                <w:sz w:val="22"/>
                <w:szCs w:val="22"/>
              </w:rPr>
            </w:pPr>
            <w:r>
              <w:rPr>
                <w:rFonts w:cs="Arial"/>
                <w:sz w:val="22"/>
                <w:szCs w:val="22"/>
              </w:rPr>
              <w:t>Signature or Print Name:</w:t>
            </w:r>
          </w:p>
          <w:p w14:paraId="1640CD4C">
            <w:pPr>
              <w:rPr>
                <w:rFonts w:cs="Arial"/>
                <w:sz w:val="22"/>
                <w:szCs w:val="22"/>
              </w:rPr>
            </w:pPr>
          </w:p>
          <w:p w14:paraId="4F10A3A4">
            <w:pPr>
              <w:rPr>
                <w:rFonts w:cs="Arial"/>
                <w:sz w:val="22"/>
                <w:szCs w:val="22"/>
              </w:rPr>
            </w:pPr>
          </w:p>
          <w:p w14:paraId="4C62ABE9">
            <w:pPr>
              <w:rPr>
                <w:rFonts w:cs="Arial"/>
                <w:sz w:val="22"/>
                <w:szCs w:val="22"/>
              </w:rPr>
            </w:pPr>
          </w:p>
        </w:tc>
        <w:tc>
          <w:tcPr>
            <w:tcW w:w="1842" w:type="dxa"/>
          </w:tcPr>
          <w:p w14:paraId="0069E19D">
            <w:pPr>
              <w:rPr>
                <w:rFonts w:cs="Arial"/>
                <w:sz w:val="22"/>
                <w:szCs w:val="22"/>
              </w:rPr>
            </w:pPr>
            <w:r>
              <w:rPr>
                <w:rFonts w:cs="Arial"/>
                <w:sz w:val="22"/>
                <w:szCs w:val="22"/>
              </w:rPr>
              <w:t>Date:</w:t>
            </w:r>
          </w:p>
        </w:tc>
      </w:tr>
      <w:tr w14:paraId="0F512DFF">
        <w:tc>
          <w:tcPr>
            <w:tcW w:w="2552" w:type="dxa"/>
            <w:shd w:val="clear" w:color="auto" w:fill="F1F1F1" w:themeFill="background1" w:themeFillShade="F2"/>
          </w:tcPr>
          <w:p w14:paraId="368E5DF8">
            <w:pPr>
              <w:rPr>
                <w:rFonts w:cs="Arial"/>
                <w:sz w:val="22"/>
                <w:szCs w:val="22"/>
              </w:rPr>
            </w:pPr>
            <w:r>
              <w:rPr>
                <w:rFonts w:cs="Arial"/>
                <w:sz w:val="22"/>
                <w:szCs w:val="22"/>
              </w:rPr>
              <w:t>Institute Manager of Research Degrees</w:t>
            </w:r>
          </w:p>
          <w:p w14:paraId="0EB7C658">
            <w:pPr>
              <w:rPr>
                <w:rFonts w:cs="Arial"/>
                <w:sz w:val="22"/>
                <w:szCs w:val="22"/>
              </w:rPr>
            </w:pPr>
          </w:p>
        </w:tc>
        <w:tc>
          <w:tcPr>
            <w:tcW w:w="5387" w:type="dxa"/>
          </w:tcPr>
          <w:p w14:paraId="3B40C9E1">
            <w:pPr>
              <w:rPr>
                <w:rFonts w:cs="Arial"/>
                <w:sz w:val="22"/>
                <w:szCs w:val="22"/>
              </w:rPr>
            </w:pPr>
            <w:r>
              <w:rPr>
                <w:rFonts w:cs="Arial"/>
                <w:sz w:val="22"/>
                <w:szCs w:val="22"/>
              </w:rPr>
              <w:t>Signature or Print Name:</w:t>
            </w:r>
          </w:p>
          <w:p w14:paraId="3F8D8126">
            <w:pPr>
              <w:rPr>
                <w:rFonts w:cs="Arial"/>
                <w:sz w:val="22"/>
                <w:szCs w:val="22"/>
              </w:rPr>
            </w:pPr>
          </w:p>
          <w:p w14:paraId="32A0626D">
            <w:pPr>
              <w:rPr>
                <w:rFonts w:cs="Arial"/>
                <w:sz w:val="22"/>
                <w:szCs w:val="22"/>
              </w:rPr>
            </w:pPr>
          </w:p>
          <w:p w14:paraId="4DECBE59">
            <w:pPr>
              <w:rPr>
                <w:rFonts w:cs="Arial"/>
                <w:sz w:val="22"/>
                <w:szCs w:val="22"/>
              </w:rPr>
            </w:pPr>
          </w:p>
        </w:tc>
        <w:tc>
          <w:tcPr>
            <w:tcW w:w="1842" w:type="dxa"/>
          </w:tcPr>
          <w:p w14:paraId="0E4F3281">
            <w:pPr>
              <w:rPr>
                <w:rFonts w:cs="Arial"/>
                <w:sz w:val="22"/>
                <w:szCs w:val="22"/>
              </w:rPr>
            </w:pPr>
            <w:r>
              <w:rPr>
                <w:rFonts w:cs="Arial"/>
                <w:sz w:val="22"/>
                <w:szCs w:val="22"/>
              </w:rPr>
              <w:t>Date:</w:t>
            </w:r>
          </w:p>
        </w:tc>
      </w:tr>
    </w:tbl>
    <w:p w14:paraId="385E4CC7">
      <w:pPr>
        <w:rPr>
          <w:rFonts w:cs="Arial"/>
          <w:sz w:val="22"/>
          <w:szCs w:val="22"/>
        </w:rPr>
      </w:pPr>
    </w:p>
    <w:sectPr>
      <w:headerReference r:id="rId3" w:type="default"/>
      <w:footerReference r:id="rId4" w:type="default"/>
      <w:pgSz w:w="11906" w:h="16838"/>
      <w:pgMar w:top="1440"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6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微软雅黑">
    <w:altName w:val="汉仪旗黑"/>
    <w:panose1 w:val="020B0503020204020204"/>
    <w:charset w:val="86"/>
    <w:family w:val="swiss"/>
    <w:pitch w:val="default"/>
    <w:sig w:usb0="00000000" w:usb1="00000000" w:usb2="00000016" w:usb3="00000000" w:csb0="0004001F" w:csb1="00000000"/>
  </w:font>
  <w:font w:name="Agency FB">
    <w:altName w:val="苹方-简"/>
    <w:panose1 w:val="020B0503020202020204"/>
    <w:charset w:val="00"/>
    <w:family w:val="swiss"/>
    <w:pitch w:val="default"/>
    <w:sig w:usb0="00000000" w:usb1="00000000" w:usb2="00000000" w:usb3="00000000" w:csb0="00000001" w:csb1="0000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宋体-简">
    <w:panose1 w:val="02010800040101010101"/>
    <w:charset w:val="86"/>
    <w:family w:val="auto"/>
    <w:pitch w:val="default"/>
    <w:sig w:usb0="00000001" w:usb1="080F0000" w:usb2="00000000" w:usb3="00000000" w:csb0="00040000"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PingFang SC">
    <w:panose1 w:val="020B0400000000000000"/>
    <w:charset w:val="86"/>
    <w:family w:val="auto"/>
    <w:pitch w:val="default"/>
    <w:sig w:usb0="A00002FF" w:usb1="7ACFFDFB" w:usb2="00000017" w:usb3="00000000" w:csb0="00040001" w:csb1="00000000"/>
  </w:font>
  <w:font w:name="MS Gothic">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Courier New">
    <w:panose1 w:val="02070409020205090404"/>
    <w:charset w:val="00"/>
    <w:family w:val="auto"/>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1110303"/>
      <w:placeholder>
        <w:docPart w:val="DefaultPlaceholder_1081868574"/>
      </w:placeholder>
    </w:sdtPr>
    <w:sdtContent>
      <w:p w14:paraId="352D1556">
        <w:pPr>
          <w:pStyle w:val="8"/>
          <w:jc w:val="center"/>
        </w:pPr>
        <w:r>
          <w:fldChar w:fldCharType="begin"/>
        </w:r>
        <w:r>
          <w:instrText xml:space="preserve"> PAGE   \* MERGEFORMAT </w:instrText>
        </w:r>
        <w:r>
          <w:fldChar w:fldCharType="separate"/>
        </w:r>
        <w:r>
          <w:t>1</w:t>
        </w:r>
        <w:r>
          <w:fldChar w:fldCharType="end"/>
        </w:r>
      </w:p>
    </w:sdtContent>
  </w:sdt>
  <w:p w14:paraId="1D984B47">
    <w:pPr>
      <w:pStyle w:val="8"/>
      <w:tabs>
        <w:tab w:val="center" w:pos="4536"/>
        <w:tab w:val="left" w:pos="7371"/>
        <w:tab w:val="clear" w:pos="4320"/>
      </w:tabs>
      <w:ind w:right="-755"/>
    </w:pPr>
    <w:r>
      <w:t>November 2020                                                                                                  PG1 Full Research Proposal</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ABF5B29">
    <w:pPr>
      <w:pStyle w:val="9"/>
    </w:pPr>
    <w: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pPr>
      <w:pStyle w:val="9"/>
      <w:jc w:val="right"/>
    </w:pPr>
    <w:r>
      <w:tab/>
    </w:r>
    <w:r>
      <w:tab/>
    </w:r>
    <w:r>
      <w:tab/>
    </w:r>
    <w:r>
      <w:tab/>
    </w:r>
    <w:r>
      <w:t>Appendix PG1</w:t>
    </w:r>
  </w:p>
  <w:p w14:paraId="43B41778">
    <w:pPr>
      <w:pStyle w:val="9"/>
    </w:pPr>
  </w:p>
  <w:p w14:paraId="6EF539CC">
    <w:pPr>
      <w:pStyle w:val="9"/>
    </w:pPr>
  </w:p>
  <w:p w14:paraId="50B733D4">
    <w:pPr>
      <w:pStyle w:val="9"/>
    </w:pPr>
  </w:p>
  <w:p w14:paraId="1F4C3B70">
    <w:pPr>
      <w:pStyle w:val="9"/>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CFFC9D0"/>
    <w:multiLevelType w:val="singleLevel"/>
    <w:tmpl w:val="FCFFC9D0"/>
    <w:lvl w:ilvl="0" w:tentative="0">
      <w:start w:val="1"/>
      <w:numFmt w:val="decimal"/>
      <w:lvlText w:val="%1."/>
      <w:lvlJc w:val="left"/>
      <w:pPr>
        <w:ind w:left="425" w:hanging="425"/>
      </w:pPr>
      <w:rPr>
        <w:rFonts w:hint="default"/>
      </w:rPr>
    </w:lvl>
  </w:abstractNum>
  <w:abstractNum w:abstractNumId="1">
    <w:nsid w:val="FDBE9157"/>
    <w:multiLevelType w:val="singleLevel"/>
    <w:tmpl w:val="FDBE9157"/>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embedSystemFonts/>
  <w:bordersDoNotSurroundHeader w:val="0"/>
  <w:bordersDoNotSurroundFooter w:val="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33173"/>
    <w:rsid w:val="00E60894"/>
    <w:rsid w:val="00E800B4"/>
    <w:rsid w:val="00E90E39"/>
    <w:rsid w:val="00E90FFB"/>
    <w:rsid w:val="00EA4DDB"/>
    <w:rsid w:val="00EB0AB9"/>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064B56B6"/>
    <w:rsid w:val="0803999E"/>
    <w:rsid w:val="08504931"/>
    <w:rsid w:val="0A3781F5"/>
    <w:rsid w:val="10A18646"/>
    <w:rsid w:val="14C6F300"/>
    <w:rsid w:val="1BB06698"/>
    <w:rsid w:val="2A2FEF0D"/>
    <w:rsid w:val="37FBDFBA"/>
    <w:rsid w:val="3A13BD2A"/>
    <w:rsid w:val="3AFF2909"/>
    <w:rsid w:val="3FFF0FD4"/>
    <w:rsid w:val="4E94F672"/>
    <w:rsid w:val="554DFFE6"/>
    <w:rsid w:val="6249D3FD"/>
    <w:rsid w:val="6871958B"/>
    <w:rsid w:val="6B9A58BC"/>
    <w:rsid w:val="7448FD10"/>
    <w:rsid w:val="7930396C"/>
    <w:rsid w:val="7F211F44"/>
    <w:rsid w:val="7F5D63F7"/>
    <w:rsid w:val="7FD3B393"/>
    <w:rsid w:val="B659B108"/>
    <w:rsid w:val="BBBA7291"/>
    <w:rsid w:val="C9FE2857"/>
    <w:rsid w:val="DBB7BEC5"/>
    <w:rsid w:val="F2DC2FD3"/>
    <w:rsid w:val="F7F7F1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nhideWhenUsed="0" w:uiPriority="0" w:name="footnote text"/>
    <w:lsdException w:uiPriority="99" w:semiHidden="0" w:name="annotation text"/>
    <w:lsdException w:unhideWhenUsed="0" w:uiPriority="0"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nhideWhenUsed="0" w:uiPriority="0" w:name="footnote reference"/>
    <w:lsdException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0"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4"/>
    <w:unhideWhenUsed/>
    <w:uiPriority w:val="99"/>
    <w:rPr>
      <w:lang w:val="zh-CN" w:eastAsia="zh-CN"/>
    </w:rPr>
  </w:style>
  <w:style w:type="paragraph" w:styleId="5">
    <w:name w:val="Body Text"/>
    <w:basedOn w:val="1"/>
    <w:uiPriority w:val="0"/>
    <w:pPr>
      <w:jc w:val="both"/>
    </w:pPr>
    <w:rPr>
      <w:b/>
    </w:rPr>
  </w:style>
  <w:style w:type="paragraph" w:styleId="6">
    <w:name w:val="Block Text"/>
    <w:basedOn w:val="1"/>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uiPriority w:val="0"/>
    <w:rPr>
      <w:rFonts w:ascii="Tahoma" w:hAnsi="Tahoma" w:cs="Tahoma"/>
      <w:sz w:val="16"/>
      <w:szCs w:val="16"/>
    </w:rPr>
  </w:style>
  <w:style w:type="paragraph" w:styleId="8">
    <w:name w:val="footer"/>
    <w:basedOn w:val="1"/>
    <w:link w:val="26"/>
    <w:uiPriority w:val="99"/>
    <w:pPr>
      <w:tabs>
        <w:tab w:val="center" w:pos="4320"/>
        <w:tab w:val="right" w:pos="8640"/>
      </w:tabs>
    </w:pPr>
  </w:style>
  <w:style w:type="paragraph" w:styleId="9">
    <w:name w:val="header"/>
    <w:basedOn w:val="1"/>
    <w:uiPriority w:val="0"/>
    <w:pPr>
      <w:tabs>
        <w:tab w:val="center" w:pos="4320"/>
        <w:tab w:val="right" w:pos="8640"/>
      </w:tabs>
    </w:pPr>
  </w:style>
  <w:style w:type="paragraph" w:styleId="10">
    <w:name w:val="footnote text"/>
    <w:basedOn w:val="1"/>
    <w:semiHidden/>
    <w:uiPriority w:val="0"/>
  </w:style>
  <w:style w:type="paragraph" w:styleId="11">
    <w:name w:val="Normal (Web)"/>
    <w:basedOn w:val="1"/>
    <w:unhideWhenUsed/>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5"/>
    <w:unhideWhenUsed/>
    <w:uiPriority w:val="99"/>
    <w:rPr>
      <w:b/>
      <w:bCs/>
    </w:rPr>
  </w:style>
  <w:style w:type="table" w:styleId="14">
    <w:name w:val="Table Grid"/>
    <w:basedOn w:val="13"/>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22"/>
    <w:rPr>
      <w:b/>
      <w:bCs/>
    </w:rPr>
  </w:style>
  <w:style w:type="character" w:styleId="17">
    <w:name w:val="FollowedHyperlink"/>
    <w:uiPriority w:val="0"/>
    <w:rPr>
      <w:color w:val="800080"/>
      <w:u w:val="single"/>
    </w:rPr>
  </w:style>
  <w:style w:type="character" w:styleId="18">
    <w:name w:val="Emphasis"/>
    <w:basedOn w:val="15"/>
    <w:qFormat/>
    <w:uiPriority w:val="0"/>
    <w:rPr>
      <w:i/>
    </w:rPr>
  </w:style>
  <w:style w:type="character" w:styleId="19">
    <w:name w:val="Hyperlink"/>
    <w:uiPriority w:val="0"/>
    <w:rPr>
      <w:color w:val="0000FF"/>
      <w:u w:val="single"/>
    </w:rPr>
  </w:style>
  <w:style w:type="character" w:styleId="20">
    <w:name w:val="annotation reference"/>
    <w:unhideWhenUsed/>
    <w:uiPriority w:val="99"/>
    <w:rPr>
      <w:sz w:val="16"/>
      <w:szCs w:val="16"/>
    </w:rPr>
  </w:style>
  <w:style w:type="character" w:styleId="21">
    <w:name w:val="footnote reference"/>
    <w:semiHidden/>
    <w:uiPriority w:val="0"/>
    <w:rPr>
      <w:vertAlign w:val="superscript"/>
    </w:rPr>
  </w:style>
  <w:style w:type="paragraph" w:customStyle="1" w:styleId="22">
    <w:name w:val="Heading Erasmod"/>
    <w:basedOn w:val="3"/>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3">
    <w:name w:val="Medium List 2 - Accent 21"/>
    <w:hidden/>
    <w:semiHidden/>
    <w:uiPriority w:val="99"/>
    <w:rPr>
      <w:rFonts w:ascii="Arial" w:hAnsi="Arial" w:eastAsia="Times New Roman" w:cs="Times New Roman"/>
      <w:lang w:val="en-GB" w:eastAsia="en-GB" w:bidi="ar-SA"/>
    </w:rPr>
  </w:style>
  <w:style w:type="character" w:customStyle="1" w:styleId="24">
    <w:name w:val="Comment Text Char"/>
    <w:link w:val="4"/>
    <w:semiHidden/>
    <w:uiPriority w:val="99"/>
    <w:rPr>
      <w:rFonts w:ascii="Arial" w:hAnsi="Arial"/>
    </w:rPr>
  </w:style>
  <w:style w:type="character" w:customStyle="1" w:styleId="25">
    <w:name w:val="Comment Subject Char"/>
    <w:link w:val="12"/>
    <w:semiHidden/>
    <w:uiPriority w:val="99"/>
    <w:rPr>
      <w:rFonts w:ascii="Arial" w:hAnsi="Arial"/>
      <w:b/>
      <w:bCs/>
    </w:rPr>
  </w:style>
  <w:style w:type="character" w:customStyle="1" w:styleId="26">
    <w:name w:val="Footer Char"/>
    <w:link w:val="8"/>
    <w:uiPriority w:val="99"/>
    <w:rPr>
      <w:rFonts w:ascii="Arial" w:hAnsi="Arial"/>
    </w:rPr>
  </w:style>
  <w:style w:type="paragraph" w:customStyle="1" w:styleId="27">
    <w:name w:val="List Paragraph1"/>
    <w:basedOn w:val="1"/>
    <w:qFormat/>
    <w:uiPriority w:val="99"/>
    <w:pPr>
      <w:ind w:left="720"/>
    </w:pPr>
  </w:style>
  <w:style w:type="paragraph" w:customStyle="1" w:styleId="28">
    <w:name w:val="Revision1"/>
    <w:hidden/>
    <w:semiHidden/>
    <w:uiPriority w:val="99"/>
    <w:rPr>
      <w:rFonts w:ascii="Arial" w:hAnsi="Arial" w:eastAsia="Times New Roman" w:cs="Times New Roman"/>
      <w:lang w:val="en-GB" w:eastAsia="en-GB" w:bidi="ar-SA"/>
    </w:rPr>
  </w:style>
  <w:style w:type="paragraph" w:customStyle="1" w:styleId="29">
    <w:name w:val="No Spacing1"/>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30">
    <w:name w:val="Unresolved Mention1"/>
    <w:basedOn w:val="15"/>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contentTypeName="Document" ma:contentTypeID="0x010100332978FBD0EAF74FACDB1C5A1673B1C8" ma:contentTypeScope="" ma:versionID="85a611fa57ea1b9f0c8073eae1de46ff" ma:_="" ma:contentTypeDescription="Create a new document." ma:contentTypeVersion="14">
  <xsd:schema xmlns:ns3="224cecc8-5b1a-4f4b-aa1d-4508502f11c0" xmlns:xsd="http://www.w3.org/2001/XMLSchema" xmlns:p="http://schemas.microsoft.com/office/2006/metadata/properties" xmlns:ns2="1684eeaa-63d5-4a8a-805f-2a73dd5a7c6a" xmlns:xs="http://www.w3.org/2001/XMLSchema" targetNamespace="http://schemas.microsoft.com/office/2006/metadata/properties" ma:fieldsID="33db67e8631fa9cd3ba1280f32437731" ns3:_="" ns2:_="" ma:root="true">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dms="http://schemas.microsoft.com/office/2006/documentManagement/types" xmlns:pc="http://schemas.microsoft.com/office/infopath/2007/PartnerControls" xmlns:xs="http://www.w3.org/2001/XMLSchema" targetNamespace="1684eeaa-63d5-4a8a-805f-2a73dd5a7c6a" elementFormDefault="qualified">
    <xsd:import namespace="http://schemas.microsoft.com/office/2006/documentManagement/types"/>
    <xsd:import namespace="http://schemas.microsoft.com/office/infopath/2007/PartnerControls"/>
    <xsd:element ma:hidden="true" name="MediaServiceMetadata" ma:index="8" ma:displayName="MediaServiceMetadata" nillable="true" ma:readOnly="true" ma:internalName="MediaServiceMetadata">
      <xsd:simpleType>
        <xsd:restriction base="dms:Note"/>
      </xsd:simpleType>
    </xsd:element>
    <xsd:element ma:hidden="true" name="MediaServiceFastMetadata" ma:index="9" ma:displayName="MediaServiceFastMetadata" nillable="true" ma:readOnly="true" ma:internalName="MediaServiceFastMetadata">
      <xsd:simpleType>
        <xsd:restriction base="dms:Note"/>
      </xsd:simpleType>
    </xsd:element>
    <xsd:element ma:hidden="true" name="MediaServiceSearchProperties" ma:index="10" ma:displayName="MediaServiceSearchProperties" nillable="true" ma:readOnly="true" ma:internalName="MediaServiceSearchProperties">
      <xsd:simpleType>
        <xsd:restriction base="dms:Note"/>
      </xsd:simpleType>
    </xsd:element>
    <xsd:element ma:hidden="true" name="MediaServiceObjectDetectorVersions" ma:index="11" ma:displayName="MediaServiceObjectDetectorVersions" ma:indexed="true" nillable="true" ma:readOnly="true" ma:internalName="MediaServiceObjectDetectorVersions">
      <xsd:simpleType>
        <xsd:restriction base="dms:Text"/>
      </xsd:simpleType>
    </xsd:element>
    <xsd:element ma:hidden="true" name="MediaServiceDateTaken" ma:index="12" ma:displayName="MediaServiceDateTaken" ma:indexed="true" nillable="true" ma:readOnly="true" ma:internalName="MediaServiceDateTaken">
      <xsd:simpleType>
        <xsd:restriction base="dms:Text"/>
      </xsd:simpleType>
    </xsd:element>
    <xsd:element ma:hidden="true" name="MediaServiceGenerationTime" ma:index="13" ma:displayName="MediaServiceGenerationTime" nillable="true" ma:readOnly="true" ma:internalName="MediaServiceGenerationTime">
      <xsd:simpleType>
        <xsd:restriction base="dms:Text"/>
      </xsd:simpleType>
    </xsd:element>
    <xsd:element ma:hidden="true" name="MediaServiceEventHashCode" ma:index="14" ma:displayName="MediaServiceEventHashCode" nillable="true" ma:readOnly="true" ma:internalName="MediaServiceEventHashCode">
      <xsd:simpleType>
        <xsd:restriction base="dms:Text"/>
      </xsd:simpleType>
    </xsd:element>
    <xsd:element ma:hidden="true" name="MediaLengthInSeconds" ma:index="15" ma:displayName="MediaLengthInSeconds" nillable="true" ma:readOnly="true" ma:internalName="MediaLengthInSeconds">
      <xsd:simpleType>
        <xsd:restriction base="dms:Unknown"/>
      </xsd:simpleType>
    </xsd:element>
    <xsd:element name="lcf76f155ced4ddcb4097134ff3c332f" ma:taxonomy="true" ma:anchorId="fba54fb3-c3e1-fe81-a776-ca4b69148c4d" ma:index="17" ma:displayName="Image Tags" ma:sspId="e570377e-a101-46e2-9596-058a9a36ea24" ma:taxonomyFieldName="MediaServiceImageTags" ma:open="true" nillable="true" ma:readOnly="false" ma:termSetId="09814cd3-568e-fe90-9814-8d621ff8fb84" ma:internalName="lcf76f155ced4ddcb4097134ff3c332f" ma:fieldId="{5cf76f15-5ced-4ddc-b409-7134ff3c332f}" ma:taxonomyMulti="true" ma:isKeyword="false">
      <xsd:complexType>
        <xsd:sequence>
          <xsd:element maxOccurs="1" ref="pc:Terms" minOccurs="0"/>
        </xsd:sequence>
      </xsd:complexType>
    </xsd:element>
    <xsd:element name="MediaServiceOCR" ma:index="19" ma:displayName="Extracted Text" nillable="true" ma:readOnly="true" ma:internalName="MediaServiceOCR">
      <xsd:simpleType>
        <xsd:restriction base="dms:Note">
          <xsd:maxLength value="255"/>
        </xsd:restriction>
      </xsd:simpleType>
    </xsd:element>
    <xsd:element ma:hidden="true" name="MediaServiceBillingMetadata" ma:index="20" ma:displayName="MediaServiceBillingMetadata" nillable="true" ma:readOnly="true" ma:internalName="MediaServiceBillingMetadata">
      <xsd:simpleType>
        <xsd:restriction base="dms:Note"/>
      </xsd:simpleType>
    </xsd:element>
    <xsd:element name="MediaServiceLocation" ma:index="21" ma:displayName="Location" ma:indexed="true" nillable="true" ma:readOnly="true" ma:internalName="MediaServiceLocation">
      <xsd:simpleType>
        <xsd:restriction base="dms:Text"/>
      </xsd:simpleType>
    </xsd:element>
  </xsd:schema>
  <xsd:schema xmlns:xsd="http://www.w3.org/2001/XMLSchema" xmlns:dms="http://schemas.microsoft.com/office/2006/documentManagement/types" xmlns:pc="http://schemas.microsoft.com/office/infopath/2007/PartnerControls" xmlns:xs="http://www.w3.org/2001/XMLSchema" targetNamespace="224cecc8-5b1a-4f4b-aa1d-4508502f11c0" elementFormDefault="qualified">
    <xsd:import namespace="http://schemas.microsoft.com/office/2006/documentManagement/types"/>
    <xsd:import namespace="http://schemas.microsoft.com/office/infopath/2007/PartnerControls"/>
    <xsd:element ma:hidden="true" ma:list="{0c2955ea-34b0-4c7c-88d1-473c32bc07c5}" ma:web="224cecc8-5b1a-4f4b-aa1d-4508502f11c0" name="TaxCatchAll" ma:showField="CatchAllData" ma:index="18" ma:displayName="Taxonomy Catch All Column" nillable="true" ma:internalName="TaxCatchAll">
      <xsd:complexType>
        <xsd:complexContent>
          <xsd:extension base="dms:MultiChoiceLookup">
            <xsd:sequence>
              <xsd:element maxOccurs="unbounded" name="Value" type="dms:Lookup" nillable="true" minOccurs="0"/>
            </xsd:sequence>
          </xsd:extension>
        </xsd:complexContent>
      </xsd:complexType>
    </xsd:element>
  </xsd:schema>
  <xsd:schema xmlns:odoc="http://schemas.microsoft.com/internal/obd" xmlns:xsd="http://www.w3.org/2001/XMLSchema" xmlns:dc="http://purl.org/dc/elements/1.1/" xmlns="http://schemas.openxmlformats.org/package/2006/metadata/core-properties" xmlns:xsi="http://www.w3.org/2001/XMLSchema-instance" xmlns:dcterms="http://purl.org/dc/terms/" targetNamespace="http://schemas.openxmlformats.org/package/2006/metadata/core-properties" attributeFormDefault="unqualified" blockDefault="#all" elementFormDefault="qualified">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maxOccurs="1" ref="dc:creator" minOccurs="0"/>
        <xsd:element maxOccurs="1" ref="dcterms:created" minOccurs="0"/>
        <xsd:element maxOccurs="1" ref="dc:identifier" minOccurs="0"/>
        <xsd:element maxOccurs="1" name="contentType" ma:index="0" ma:displayName="Content Type" type="xsd:string" minOccurs="0"/>
        <xsd:element maxOccurs="1" ma:index="4" ma:displayName="Title" ref="dc:title" minOccurs="0"/>
        <xsd:element maxOccurs="1" ref="dc:subject" minOccurs="0"/>
        <xsd:element maxOccurs="1" ref="dc:description" minOccurs="0"/>
        <xsd:element maxOccurs="1" name="keywords" type="xsd:string" minOccurs="0"/>
        <xsd:element maxOccurs="1" ref="dc:language" minOccurs="0"/>
        <xsd:element maxOccurs="1" name="category" type="xsd:string" minOccurs="0"/>
        <xsd:element maxOccurs="1" name="version" type="xsd:string" minOccurs="0"/>
        <xsd:element maxOccurs="1" name="revision" type="xsd:string" minOccurs="0">
          <xsd:annotation>
            <xsd:documentation>
                        This value indicates the number of saves or revisions. The application is responsible for updating this value after each revision.
                    </xsd:documentation>
          </xsd:annotation>
        </xsd:element>
        <xsd:element maxOccurs="1" name="lastModifiedBy" type="xsd:string" minOccurs="0"/>
        <xsd:element maxOccurs="1" ref="dcterms:modified" minOccurs="0"/>
        <xsd:element maxOccurs="1" name="contentStatus" type="xsd:string" minOccurs="0"/>
      </xsd:all>
    </xsd:complexType>
  </xsd:schema>
  <xs:schema xmlns:pc="http://schemas.microsoft.com/office/infopath/2007/PartnerControls" xmlns:xs="http://www.w3.org/2001/XMLSchema" targetNamespace="http://schemas.microsoft.com/office/infopath/2007/PartnerControls" attributeFormDefault="unqualified" elementFormDefault="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maxOccurs="unbounded" ref="pc:BDCEntity" minOccurs="0"/>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maxOccurs="unbounded" ref="pc:TermInfo" minOccurs="0"/>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pc="http://schemas.microsoft.com/office/infopath/2007/PartnerControls" xmlns:xsi="http://www.w3.org/2001/XMLSchema-instance">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741DE03D-6025-493D-9279-8EFE34D2063A}">
  <ds:schemaRefs/>
</ds:datastoreItem>
</file>

<file path=customXml/itemProps2.xml><?xml version="1.0" encoding="utf-8"?>
<ds:datastoreItem xmlns:ds="http://schemas.openxmlformats.org/officeDocument/2006/customXml" ds:itemID="{4C5EDF58-EDEC-42C8-98E3-BED852C9BBF5}">
  <ds:schemaRefs/>
</ds:datastoreItem>
</file>

<file path=customXml/itemProps3.xml><?xml version="1.0" encoding="utf-8"?>
<ds:datastoreItem xmlns:ds="http://schemas.openxmlformats.org/officeDocument/2006/customXml" ds:itemID="{C35DFCF7-1A56-4B37-B8CC-2B3560E45F8C}">
  <ds:schemaRefs/>
</ds:datastoreItem>
</file>

<file path=docProps/app.xml><?xml version="1.0" encoding="utf-8"?>
<Properties xmlns="http://schemas.openxmlformats.org/officeDocument/2006/extended-properties" xmlns:vt="http://schemas.openxmlformats.org/officeDocument/2006/docPropsVTypes">
  <Template>Normal.dotm</Template>
  <Company>UWTSD</Company>
  <Pages>10</Pages>
  <Words>859</Words>
  <Characters>3812</Characters>
  <TotalTime>23</TotalTime>
  <ScaleCrop>false</ScaleCrop>
  <LinksUpToDate>false</LinksUpToDate>
  <CharactersWithSpaces>4502</CharactersWithSpaces>
  <Application>WPS Office_7.5.1.8994_F1E327BC-269C-435d-A152-05C5408002CA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2025-09-05T02:59:04Z</dcterms:created>
  <dc:creator>Academic Office</dc:creator>
  <cp:lastModifiedBy>WPS_1528077351</cp:lastModifiedBy>
  <dcterms:modified xsi:type="dcterms:W3CDTF">2025-09-05T22:58:24Z</dcterms:modified>
  <dc:title>PG1</dc:title>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2052-7.5.1.8994</vt:lpwstr>
  </property>
  <property fmtid="{D5CDD505-2E9C-101B-9397-08002B2CF9AE}" pid="7" name="MediaServiceImageTags">
    <vt:lpwstr/>
  </property>
  <property fmtid="{D5CDD505-2E9C-101B-9397-08002B2CF9AE}" pid="8" name="ICV">
    <vt:lpwstr>DEDA36634F65E2DAC4DFB968B0044E88_43</vt:lpwstr>
  </property>
</Properties>
</file>