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34A" w:rsidRDefault="002D5237" w:rsidP="00D609DE">
      <w:pPr>
        <w:rPr>
          <w:rFonts w:ascii="Times New Roman" w:hAnsi="Times New Roman" w:cs="Times New Roman"/>
          <w:sz w:val="24"/>
          <w:szCs w:val="24"/>
        </w:rPr>
      </w:pPr>
      <w:bookmarkStart w:id="0" w:name="_GoBack"/>
      <w:bookmarkEnd w:id="0"/>
      <w:r>
        <w:rPr>
          <w:rFonts w:ascii="Times New Roman" w:hAnsi="Times New Roman" w:cs="Times New Roman"/>
          <w:sz w:val="24"/>
          <w:szCs w:val="24"/>
        </w:rPr>
        <w:t>Students will select one of four Roman social values that we study in class and, through close reading and analysis of a primary source will make the claim that the chosen social value is supported or subverted within the text, using evidence from the text and secondary sources to support this claim.</w:t>
      </w:r>
    </w:p>
    <w:p w:rsidR="00D609DE" w:rsidRPr="00D609DE" w:rsidRDefault="00D609DE">
      <w:pPr>
        <w:rPr>
          <w:rFonts w:ascii="Times New Roman" w:hAnsi="Times New Roman" w:cs="Times New Roman"/>
          <w:b/>
          <w:sz w:val="24"/>
          <w:szCs w:val="24"/>
          <w:u w:val="single"/>
        </w:rPr>
      </w:pPr>
      <w:r w:rsidRPr="00D609DE">
        <w:rPr>
          <w:rFonts w:ascii="Times New Roman" w:hAnsi="Times New Roman" w:cs="Times New Roman"/>
          <w:b/>
          <w:sz w:val="24"/>
          <w:szCs w:val="24"/>
          <w:u w:val="single"/>
        </w:rPr>
        <w:t xml:space="preserve">Thesis: </w:t>
      </w:r>
    </w:p>
    <w:p w:rsidR="00A525DF" w:rsidRPr="00C9034A" w:rsidRDefault="00A525DF">
      <w:pPr>
        <w:rPr>
          <w:rFonts w:ascii="Times New Roman" w:hAnsi="Times New Roman" w:cs="Times New Roman"/>
          <w:sz w:val="24"/>
          <w:szCs w:val="24"/>
        </w:rPr>
      </w:pPr>
      <w:r>
        <w:rPr>
          <w:rFonts w:ascii="Times New Roman" w:hAnsi="Times New Roman" w:cs="Times New Roman"/>
          <w:sz w:val="24"/>
          <w:szCs w:val="24"/>
          <w:u w:val="single"/>
        </w:rPr>
        <w:t xml:space="preserve">Through close analysis of the apocryphal </w:t>
      </w:r>
      <w:r w:rsidRPr="00CB0FCC">
        <w:rPr>
          <w:rFonts w:ascii="Times New Roman" w:hAnsi="Times New Roman" w:cs="Times New Roman"/>
          <w:i/>
          <w:sz w:val="24"/>
          <w:szCs w:val="24"/>
          <w:u w:val="single"/>
        </w:rPr>
        <w:t xml:space="preserve">Act of </w:t>
      </w:r>
      <w:proofErr w:type="spellStart"/>
      <w:r w:rsidRPr="00CB0FCC">
        <w:rPr>
          <w:rFonts w:ascii="Times New Roman" w:hAnsi="Times New Roman" w:cs="Times New Roman"/>
          <w:i/>
          <w:sz w:val="24"/>
          <w:szCs w:val="24"/>
          <w:u w:val="single"/>
        </w:rPr>
        <w:t>Thecla</w:t>
      </w:r>
      <w:proofErr w:type="spellEnd"/>
      <w:r w:rsidRPr="00CB0FCC">
        <w:rPr>
          <w:rFonts w:ascii="Times New Roman" w:hAnsi="Times New Roman" w:cs="Times New Roman"/>
          <w:i/>
          <w:sz w:val="24"/>
          <w:szCs w:val="24"/>
          <w:u w:val="single"/>
        </w:rPr>
        <w:t>,</w:t>
      </w:r>
      <w:r>
        <w:rPr>
          <w:rFonts w:ascii="Times New Roman" w:hAnsi="Times New Roman" w:cs="Times New Roman"/>
          <w:sz w:val="24"/>
          <w:szCs w:val="24"/>
          <w:u w:val="single"/>
        </w:rPr>
        <w:t xml:space="preserve"> I </w:t>
      </w:r>
      <w:r w:rsidR="00CB0FCC">
        <w:rPr>
          <w:rFonts w:ascii="Times New Roman" w:hAnsi="Times New Roman" w:cs="Times New Roman"/>
          <w:sz w:val="24"/>
          <w:szCs w:val="24"/>
          <w:u w:val="single"/>
        </w:rPr>
        <w:t xml:space="preserve">will identify </w:t>
      </w:r>
      <w:r w:rsidR="00C9034A">
        <w:rPr>
          <w:rFonts w:ascii="Times New Roman" w:hAnsi="Times New Roman" w:cs="Times New Roman"/>
          <w:sz w:val="24"/>
          <w:szCs w:val="24"/>
          <w:u w:val="single"/>
        </w:rPr>
        <w:t xml:space="preserve">different </w:t>
      </w:r>
      <w:r>
        <w:rPr>
          <w:rFonts w:ascii="Times New Roman" w:hAnsi="Times New Roman" w:cs="Times New Roman"/>
          <w:sz w:val="24"/>
          <w:szCs w:val="24"/>
          <w:u w:val="single"/>
        </w:rPr>
        <w:t>ways in which the</w:t>
      </w:r>
      <w:r w:rsidR="00AC39D7">
        <w:rPr>
          <w:rFonts w:ascii="Times New Roman" w:hAnsi="Times New Roman" w:cs="Times New Roman"/>
          <w:sz w:val="24"/>
          <w:szCs w:val="24"/>
          <w:u w:val="single"/>
        </w:rPr>
        <w:t xml:space="preserve"> text has attempted to </w:t>
      </w:r>
      <w:r>
        <w:rPr>
          <w:rFonts w:ascii="Times New Roman" w:hAnsi="Times New Roman" w:cs="Times New Roman"/>
          <w:sz w:val="24"/>
          <w:szCs w:val="24"/>
          <w:u w:val="single"/>
        </w:rPr>
        <w:t xml:space="preserve">subvert the highly regarded Roman social values of honour and shame </w:t>
      </w:r>
      <w:r w:rsidR="00CB0FCC">
        <w:rPr>
          <w:rFonts w:ascii="Times New Roman" w:hAnsi="Times New Roman" w:cs="Times New Roman"/>
          <w:sz w:val="24"/>
          <w:szCs w:val="24"/>
          <w:u w:val="single"/>
        </w:rPr>
        <w:t xml:space="preserve">through gender </w:t>
      </w:r>
      <w:r>
        <w:rPr>
          <w:rFonts w:ascii="Times New Roman" w:hAnsi="Times New Roman" w:cs="Times New Roman"/>
          <w:sz w:val="24"/>
          <w:szCs w:val="24"/>
          <w:u w:val="single"/>
        </w:rPr>
        <w:t xml:space="preserve">during the emergence of early Christianity. </w:t>
      </w:r>
      <w:r w:rsidR="00CB0FCC">
        <w:rPr>
          <w:rFonts w:ascii="Times New Roman" w:hAnsi="Times New Roman" w:cs="Times New Roman"/>
          <w:sz w:val="24"/>
          <w:szCs w:val="24"/>
          <w:u w:val="single"/>
        </w:rPr>
        <w:t xml:space="preserve">I will also analyse the </w:t>
      </w:r>
      <w:r w:rsidR="00CB0FCC" w:rsidRPr="00CB0FCC">
        <w:rPr>
          <w:rFonts w:ascii="Times New Roman" w:hAnsi="Times New Roman" w:cs="Times New Roman"/>
          <w:i/>
          <w:sz w:val="24"/>
          <w:szCs w:val="24"/>
          <w:u w:val="single"/>
        </w:rPr>
        <w:t xml:space="preserve">Act of </w:t>
      </w:r>
      <w:proofErr w:type="spellStart"/>
      <w:r w:rsidR="00CB0FCC" w:rsidRPr="00CB0FCC">
        <w:rPr>
          <w:rFonts w:ascii="Times New Roman" w:hAnsi="Times New Roman" w:cs="Times New Roman"/>
          <w:i/>
          <w:sz w:val="24"/>
          <w:szCs w:val="24"/>
          <w:u w:val="single"/>
        </w:rPr>
        <w:t>Thecla</w:t>
      </w:r>
      <w:proofErr w:type="spellEnd"/>
      <w:r w:rsidR="00CB0FCC">
        <w:rPr>
          <w:rFonts w:ascii="Times New Roman" w:hAnsi="Times New Roman" w:cs="Times New Roman"/>
          <w:sz w:val="24"/>
          <w:szCs w:val="24"/>
          <w:u w:val="single"/>
        </w:rPr>
        <w:t xml:space="preserve"> while looking closely at the </w:t>
      </w:r>
      <w:r w:rsidR="00CB0FCC" w:rsidRPr="00AC39D7">
        <w:rPr>
          <w:rFonts w:ascii="Times New Roman" w:hAnsi="Times New Roman" w:cs="Times New Roman"/>
          <w:i/>
          <w:sz w:val="24"/>
          <w:szCs w:val="24"/>
          <w:u w:val="single"/>
        </w:rPr>
        <w:t>Honour, Shame and Social Status</w:t>
      </w:r>
      <w:r w:rsidR="00AC39D7">
        <w:rPr>
          <w:rFonts w:ascii="Times New Roman" w:hAnsi="Times New Roman" w:cs="Times New Roman"/>
          <w:sz w:val="24"/>
          <w:szCs w:val="24"/>
          <w:u w:val="single"/>
        </w:rPr>
        <w:t xml:space="preserve"> article, by </w:t>
      </w:r>
      <w:proofErr w:type="spellStart"/>
      <w:r w:rsidR="00AC39D7">
        <w:rPr>
          <w:rFonts w:ascii="Times New Roman" w:hAnsi="Times New Roman" w:cs="Times New Roman"/>
          <w:sz w:val="24"/>
          <w:szCs w:val="24"/>
          <w:u w:val="single"/>
        </w:rPr>
        <w:t>Zeba</w:t>
      </w:r>
      <w:proofErr w:type="spellEnd"/>
      <w:r w:rsidR="00AC39D7">
        <w:rPr>
          <w:rFonts w:ascii="Times New Roman" w:hAnsi="Times New Roman" w:cs="Times New Roman"/>
          <w:sz w:val="24"/>
          <w:szCs w:val="24"/>
          <w:u w:val="single"/>
        </w:rPr>
        <w:t xml:space="preserve"> Crook, </w:t>
      </w:r>
      <w:r w:rsidR="00CB0FCC">
        <w:rPr>
          <w:rFonts w:ascii="Times New Roman" w:hAnsi="Times New Roman" w:cs="Times New Roman"/>
          <w:sz w:val="24"/>
          <w:szCs w:val="24"/>
          <w:u w:val="single"/>
        </w:rPr>
        <w:t xml:space="preserve">to demonstrate further how gender affected the status in which the Roman social value would be applied. </w:t>
      </w:r>
      <w:r w:rsidR="006D4F8C">
        <w:rPr>
          <w:rFonts w:ascii="Times New Roman" w:hAnsi="Times New Roman" w:cs="Times New Roman"/>
          <w:sz w:val="24"/>
          <w:szCs w:val="24"/>
          <w:u w:val="single"/>
        </w:rPr>
        <w:t xml:space="preserve">With analysis also of the </w:t>
      </w:r>
      <w:r w:rsidR="00CB0FCC">
        <w:rPr>
          <w:rFonts w:ascii="Times New Roman" w:hAnsi="Times New Roman" w:cs="Times New Roman"/>
          <w:sz w:val="24"/>
          <w:szCs w:val="24"/>
          <w:u w:val="single"/>
        </w:rPr>
        <w:t xml:space="preserve">article </w:t>
      </w:r>
      <w:r w:rsidR="00CB0FCC" w:rsidRPr="00CB0FCC">
        <w:rPr>
          <w:rFonts w:ascii="Times New Roman" w:hAnsi="Times New Roman" w:cs="Times New Roman"/>
          <w:i/>
          <w:sz w:val="24"/>
          <w:szCs w:val="24"/>
          <w:u w:val="single"/>
        </w:rPr>
        <w:t>Woman’s role in New Testament Household Code</w:t>
      </w:r>
      <w:r w:rsidR="00AC39D7">
        <w:rPr>
          <w:rFonts w:ascii="Times New Roman" w:hAnsi="Times New Roman" w:cs="Times New Roman"/>
          <w:i/>
          <w:sz w:val="24"/>
          <w:szCs w:val="24"/>
          <w:u w:val="single"/>
        </w:rPr>
        <w:t xml:space="preserve">s, </w:t>
      </w:r>
      <w:r w:rsidR="00AC39D7" w:rsidRPr="00AC39D7">
        <w:rPr>
          <w:rFonts w:ascii="Times New Roman" w:hAnsi="Times New Roman" w:cs="Times New Roman"/>
          <w:sz w:val="24"/>
          <w:szCs w:val="24"/>
          <w:u w:val="single"/>
        </w:rPr>
        <w:t xml:space="preserve">written by Shi-Min Lu, </w:t>
      </w:r>
      <w:r w:rsidR="006D4F8C" w:rsidRPr="00AC39D7">
        <w:rPr>
          <w:rFonts w:ascii="Times New Roman" w:hAnsi="Times New Roman" w:cs="Times New Roman"/>
          <w:sz w:val="24"/>
          <w:szCs w:val="24"/>
          <w:u w:val="single"/>
        </w:rPr>
        <w:t>it clearly</w:t>
      </w:r>
      <w:r w:rsidR="006D4F8C">
        <w:rPr>
          <w:rFonts w:ascii="Times New Roman" w:hAnsi="Times New Roman" w:cs="Times New Roman"/>
          <w:sz w:val="24"/>
          <w:szCs w:val="24"/>
          <w:u w:val="single"/>
        </w:rPr>
        <w:t xml:space="preserve"> </w:t>
      </w:r>
      <w:r w:rsidR="00CB0FCC">
        <w:rPr>
          <w:rFonts w:ascii="Times New Roman" w:hAnsi="Times New Roman" w:cs="Times New Roman"/>
          <w:sz w:val="24"/>
          <w:szCs w:val="24"/>
          <w:u w:val="single"/>
        </w:rPr>
        <w:t>dem</w:t>
      </w:r>
      <w:r w:rsidR="006D4F8C">
        <w:rPr>
          <w:rFonts w:ascii="Times New Roman" w:hAnsi="Times New Roman" w:cs="Times New Roman"/>
          <w:sz w:val="24"/>
          <w:szCs w:val="24"/>
          <w:u w:val="single"/>
        </w:rPr>
        <w:t xml:space="preserve">onstrates the Roman social value through which the woman must be obedient to within this time. </w:t>
      </w:r>
      <w:r w:rsidR="00AC39D7">
        <w:rPr>
          <w:rFonts w:ascii="Times New Roman" w:hAnsi="Times New Roman" w:cs="Times New Roman"/>
          <w:sz w:val="24"/>
          <w:szCs w:val="24"/>
          <w:u w:val="single"/>
        </w:rPr>
        <w:t xml:space="preserve">With this further, the Apocryphal Act of </w:t>
      </w:r>
      <w:proofErr w:type="spellStart"/>
      <w:r w:rsidR="00AC39D7">
        <w:rPr>
          <w:rFonts w:ascii="Times New Roman" w:hAnsi="Times New Roman" w:cs="Times New Roman"/>
          <w:sz w:val="24"/>
          <w:szCs w:val="24"/>
          <w:u w:val="single"/>
        </w:rPr>
        <w:t>Thecla</w:t>
      </w:r>
      <w:proofErr w:type="spellEnd"/>
      <w:r w:rsidR="00AC39D7">
        <w:rPr>
          <w:rFonts w:ascii="Times New Roman" w:hAnsi="Times New Roman" w:cs="Times New Roman"/>
          <w:sz w:val="24"/>
          <w:szCs w:val="24"/>
          <w:u w:val="single"/>
        </w:rPr>
        <w:t xml:space="preserve"> does subvert in many ways the social status and how it did contribute greatly to the lives of many women under the strict rules of the Roman Empire.</w:t>
      </w:r>
      <w:r w:rsidR="00C9034A">
        <w:rPr>
          <w:rFonts w:ascii="Times New Roman" w:hAnsi="Times New Roman" w:cs="Times New Roman"/>
          <w:sz w:val="24"/>
          <w:szCs w:val="24"/>
          <w:u w:val="single"/>
        </w:rPr>
        <w:t xml:space="preserve"> David </w:t>
      </w:r>
      <w:proofErr w:type="spellStart"/>
      <w:r w:rsidR="00C9034A">
        <w:rPr>
          <w:rFonts w:ascii="Times New Roman" w:hAnsi="Times New Roman" w:cs="Times New Roman"/>
          <w:sz w:val="24"/>
          <w:szCs w:val="24"/>
          <w:u w:val="single"/>
        </w:rPr>
        <w:t>DeSilva’s</w:t>
      </w:r>
      <w:proofErr w:type="spellEnd"/>
      <w:r w:rsidR="00C9034A">
        <w:rPr>
          <w:rFonts w:ascii="Times New Roman" w:hAnsi="Times New Roman" w:cs="Times New Roman"/>
          <w:sz w:val="24"/>
          <w:szCs w:val="24"/>
          <w:u w:val="single"/>
        </w:rPr>
        <w:t xml:space="preserve"> chapter </w:t>
      </w:r>
      <w:r w:rsidR="00C9034A">
        <w:rPr>
          <w:rFonts w:ascii="Times New Roman" w:hAnsi="Times New Roman" w:cs="Times New Roman"/>
          <w:i/>
          <w:sz w:val="24"/>
          <w:szCs w:val="24"/>
          <w:u w:val="single"/>
        </w:rPr>
        <w:t xml:space="preserve">The Cultural and Social World of the Early Church </w:t>
      </w:r>
      <w:r w:rsidR="00AC39D7">
        <w:rPr>
          <w:rFonts w:ascii="Times New Roman" w:hAnsi="Times New Roman" w:cs="Times New Roman"/>
          <w:sz w:val="24"/>
          <w:szCs w:val="24"/>
          <w:u w:val="single"/>
        </w:rPr>
        <w:t>also offers an insight into the understanding of honour and shame</w:t>
      </w:r>
      <w:r w:rsidR="00C9034A">
        <w:rPr>
          <w:rFonts w:ascii="Times New Roman" w:hAnsi="Times New Roman" w:cs="Times New Roman"/>
          <w:sz w:val="24"/>
          <w:szCs w:val="24"/>
          <w:u w:val="single"/>
        </w:rPr>
        <w:t xml:space="preserve"> and how it can affect people in numerous ways, depending on their individual circumstances. This is also an aspect to be explored throughout this essay.</w:t>
      </w:r>
      <w:r w:rsidR="00AC39D7">
        <w:rPr>
          <w:rFonts w:ascii="Times New Roman" w:hAnsi="Times New Roman" w:cs="Times New Roman"/>
          <w:sz w:val="24"/>
          <w:szCs w:val="24"/>
          <w:u w:val="single"/>
        </w:rPr>
        <w:t xml:space="preserve"> </w:t>
      </w:r>
    </w:p>
    <w:p w:rsidR="00D609DE" w:rsidRDefault="00A62FC7">
      <w:pPr>
        <w:rPr>
          <w:rFonts w:ascii="Times New Roman" w:hAnsi="Times New Roman" w:cs="Times New Roman"/>
          <w:b/>
          <w:sz w:val="24"/>
          <w:szCs w:val="24"/>
          <w:u w:val="single"/>
        </w:rPr>
      </w:pPr>
      <w:r w:rsidRPr="00A62FC7">
        <w:rPr>
          <w:rFonts w:ascii="Times New Roman" w:hAnsi="Times New Roman" w:cs="Times New Roman"/>
          <w:b/>
          <w:sz w:val="24"/>
          <w:szCs w:val="24"/>
          <w:u w:val="single"/>
        </w:rPr>
        <w:t>Historical Context:</w:t>
      </w:r>
    </w:p>
    <w:p w:rsidR="00AC355B" w:rsidRDefault="00A62FC7">
      <w:pPr>
        <w:rPr>
          <w:rFonts w:ascii="Times New Roman" w:hAnsi="Times New Roman" w:cs="Times New Roman"/>
          <w:sz w:val="24"/>
          <w:szCs w:val="24"/>
        </w:rPr>
      </w:pPr>
      <w:r>
        <w:rPr>
          <w:rFonts w:ascii="Times New Roman" w:hAnsi="Times New Roman" w:cs="Times New Roman"/>
          <w:sz w:val="24"/>
          <w:szCs w:val="24"/>
        </w:rPr>
        <w:t xml:space="preserve"> </w:t>
      </w:r>
      <w:r w:rsidR="00CB0FCC">
        <w:rPr>
          <w:rFonts w:ascii="Times New Roman" w:hAnsi="Times New Roman" w:cs="Times New Roman"/>
          <w:sz w:val="24"/>
          <w:szCs w:val="24"/>
        </w:rPr>
        <w:t xml:space="preserve">It is unclear who the author of this apocryphal act is, however there is the clarification that the act was in circulation towards the end of the second century. This act is an apocryphal act within the Acts of Paul and </w:t>
      </w:r>
      <w:proofErr w:type="spellStart"/>
      <w:r w:rsidR="00CB0FCC">
        <w:rPr>
          <w:rFonts w:ascii="Times New Roman" w:hAnsi="Times New Roman" w:cs="Times New Roman"/>
          <w:sz w:val="24"/>
          <w:szCs w:val="24"/>
        </w:rPr>
        <w:t>Thecla</w:t>
      </w:r>
      <w:proofErr w:type="spellEnd"/>
      <w:r w:rsidR="00CB0FCC">
        <w:rPr>
          <w:rFonts w:ascii="Times New Roman" w:hAnsi="Times New Roman" w:cs="Times New Roman"/>
          <w:sz w:val="24"/>
          <w:szCs w:val="24"/>
        </w:rPr>
        <w:t xml:space="preserve"> </w:t>
      </w:r>
      <w:r w:rsidR="00796750">
        <w:rPr>
          <w:rFonts w:ascii="Times New Roman" w:hAnsi="Times New Roman" w:cs="Times New Roman"/>
          <w:sz w:val="24"/>
          <w:szCs w:val="24"/>
        </w:rPr>
        <w:t xml:space="preserve">which further shows how this could have been written as </w:t>
      </w:r>
      <w:proofErr w:type="spellStart"/>
      <w:r w:rsidR="00796750">
        <w:rPr>
          <w:rFonts w:ascii="Times New Roman" w:hAnsi="Times New Roman" w:cs="Times New Roman"/>
          <w:sz w:val="24"/>
          <w:szCs w:val="24"/>
        </w:rPr>
        <w:t>Thecla</w:t>
      </w:r>
      <w:proofErr w:type="spellEnd"/>
      <w:r w:rsidR="00796750">
        <w:rPr>
          <w:rFonts w:ascii="Times New Roman" w:hAnsi="Times New Roman" w:cs="Times New Roman"/>
          <w:sz w:val="24"/>
          <w:szCs w:val="24"/>
        </w:rPr>
        <w:t xml:space="preserve"> is the ideal Christian woman during this period.</w:t>
      </w:r>
      <w:r w:rsidR="001E032E">
        <w:rPr>
          <w:rFonts w:ascii="Times New Roman" w:hAnsi="Times New Roman" w:cs="Times New Roman"/>
          <w:sz w:val="24"/>
          <w:szCs w:val="24"/>
        </w:rPr>
        <w:t xml:space="preserve"> This text, as mentioned previously, is an apocryphal text which highlights further the importance of this text as not only an historical text but also as a text for Christians to look at in order to understand the role of women in Roman culture. This also shows further how women were allowed more rights through becoming Christians as </w:t>
      </w:r>
      <w:proofErr w:type="spellStart"/>
      <w:r w:rsidR="001E032E">
        <w:rPr>
          <w:rFonts w:ascii="Times New Roman" w:hAnsi="Times New Roman" w:cs="Times New Roman"/>
          <w:sz w:val="24"/>
          <w:szCs w:val="24"/>
        </w:rPr>
        <w:t>Thecla</w:t>
      </w:r>
      <w:proofErr w:type="spellEnd"/>
      <w:r w:rsidR="001E032E">
        <w:rPr>
          <w:rFonts w:ascii="Times New Roman" w:hAnsi="Times New Roman" w:cs="Times New Roman"/>
          <w:sz w:val="24"/>
          <w:szCs w:val="24"/>
        </w:rPr>
        <w:t xml:space="preserve"> even went to preach to others. This text was written during a time when</w:t>
      </w:r>
      <w:r w:rsidR="005F2E08">
        <w:rPr>
          <w:rFonts w:ascii="Times New Roman" w:hAnsi="Times New Roman" w:cs="Times New Roman"/>
          <w:sz w:val="24"/>
          <w:szCs w:val="24"/>
        </w:rPr>
        <w:t xml:space="preserve"> </w:t>
      </w:r>
      <w:r w:rsidR="001E032E">
        <w:rPr>
          <w:rFonts w:ascii="Times New Roman" w:hAnsi="Times New Roman" w:cs="Times New Roman"/>
          <w:sz w:val="24"/>
          <w:szCs w:val="24"/>
        </w:rPr>
        <w:t>many women</w:t>
      </w:r>
      <w:r w:rsidR="005F2E08">
        <w:rPr>
          <w:rFonts w:ascii="Times New Roman" w:hAnsi="Times New Roman" w:cs="Times New Roman"/>
          <w:sz w:val="24"/>
          <w:szCs w:val="24"/>
        </w:rPr>
        <w:t>,</w:t>
      </w:r>
      <w:r w:rsidR="001E032E">
        <w:rPr>
          <w:rFonts w:ascii="Times New Roman" w:hAnsi="Times New Roman" w:cs="Times New Roman"/>
          <w:sz w:val="24"/>
          <w:szCs w:val="24"/>
        </w:rPr>
        <w:t xml:space="preserve"> who wanted to be accepted in societ</w:t>
      </w:r>
      <w:r w:rsidR="005F2E08">
        <w:rPr>
          <w:rFonts w:ascii="Times New Roman" w:hAnsi="Times New Roman" w:cs="Times New Roman"/>
          <w:sz w:val="24"/>
          <w:szCs w:val="24"/>
        </w:rPr>
        <w:t xml:space="preserve">y, </w:t>
      </w:r>
      <w:r w:rsidR="001E032E">
        <w:rPr>
          <w:rFonts w:ascii="Times New Roman" w:hAnsi="Times New Roman" w:cs="Times New Roman"/>
          <w:sz w:val="24"/>
          <w:szCs w:val="24"/>
        </w:rPr>
        <w:t xml:space="preserve">in a greater way than what they were within the </w:t>
      </w:r>
      <w:r w:rsidR="005F2E08">
        <w:rPr>
          <w:rFonts w:ascii="Times New Roman" w:hAnsi="Times New Roman" w:cs="Times New Roman"/>
          <w:sz w:val="24"/>
          <w:szCs w:val="24"/>
        </w:rPr>
        <w:t xml:space="preserve">current </w:t>
      </w:r>
      <w:r w:rsidR="001E032E">
        <w:rPr>
          <w:rFonts w:ascii="Times New Roman" w:hAnsi="Times New Roman" w:cs="Times New Roman"/>
          <w:sz w:val="24"/>
          <w:szCs w:val="24"/>
        </w:rPr>
        <w:t xml:space="preserve">Roman society. With this, women were </w:t>
      </w:r>
      <w:r w:rsidR="005F2E08">
        <w:rPr>
          <w:rFonts w:ascii="Times New Roman" w:hAnsi="Times New Roman" w:cs="Times New Roman"/>
          <w:sz w:val="24"/>
          <w:szCs w:val="24"/>
        </w:rPr>
        <w:t xml:space="preserve">more inclined to accept Christianity as essentially freedom from their restricted lives as Romans. This further, similarly to </w:t>
      </w:r>
      <w:proofErr w:type="spellStart"/>
      <w:r w:rsidR="005F2E08">
        <w:rPr>
          <w:rFonts w:ascii="Times New Roman" w:hAnsi="Times New Roman" w:cs="Times New Roman"/>
          <w:sz w:val="24"/>
          <w:szCs w:val="24"/>
        </w:rPr>
        <w:t>Thecla</w:t>
      </w:r>
      <w:proofErr w:type="spellEnd"/>
      <w:r w:rsidR="005F2E08">
        <w:rPr>
          <w:rFonts w:ascii="Times New Roman" w:hAnsi="Times New Roman" w:cs="Times New Roman"/>
          <w:sz w:val="24"/>
          <w:szCs w:val="24"/>
        </w:rPr>
        <w:t xml:space="preserve">, allowed for women to lead a higher-status life, even with its difficulties as experienced by </w:t>
      </w:r>
      <w:proofErr w:type="spellStart"/>
      <w:r w:rsidR="005F2E08">
        <w:rPr>
          <w:rFonts w:ascii="Times New Roman" w:hAnsi="Times New Roman" w:cs="Times New Roman"/>
          <w:sz w:val="24"/>
          <w:szCs w:val="24"/>
        </w:rPr>
        <w:t>Thecla</w:t>
      </w:r>
      <w:proofErr w:type="spellEnd"/>
      <w:r w:rsidR="005F2E08">
        <w:rPr>
          <w:rFonts w:ascii="Times New Roman" w:hAnsi="Times New Roman" w:cs="Times New Roman"/>
          <w:sz w:val="24"/>
          <w:szCs w:val="24"/>
        </w:rPr>
        <w:t xml:space="preserve">. With this text also comes the historical circumstance, in which the text was composed and also received. The text was composed </w:t>
      </w:r>
      <w:r w:rsidR="00342CDE">
        <w:rPr>
          <w:rFonts w:ascii="Times New Roman" w:hAnsi="Times New Roman" w:cs="Times New Roman"/>
          <w:sz w:val="24"/>
          <w:szCs w:val="24"/>
        </w:rPr>
        <w:t xml:space="preserve">during the Roman Empire, where there were many social values that must be adhered to very strictly. With this, the way that the text is further received has an impact on the recipient and also the people of the time. This further demonstrates the different ways that people now and of the time the text was written to understand the meaning of the text and also the social impact of this text on those who interpret it in different ways. </w:t>
      </w:r>
    </w:p>
    <w:p w:rsidR="008B7047" w:rsidRDefault="008B7047">
      <w:pPr>
        <w:rPr>
          <w:rFonts w:ascii="Times New Roman" w:hAnsi="Times New Roman" w:cs="Times New Roman"/>
          <w:b/>
          <w:sz w:val="24"/>
          <w:szCs w:val="24"/>
          <w:u w:val="single"/>
        </w:rPr>
      </w:pPr>
    </w:p>
    <w:p w:rsidR="008B7047" w:rsidRDefault="008B7047">
      <w:pPr>
        <w:rPr>
          <w:rFonts w:ascii="Times New Roman" w:hAnsi="Times New Roman" w:cs="Times New Roman"/>
          <w:b/>
          <w:sz w:val="24"/>
          <w:szCs w:val="24"/>
          <w:u w:val="single"/>
        </w:rPr>
      </w:pPr>
    </w:p>
    <w:p w:rsidR="00A62FC7" w:rsidRDefault="00A62FC7">
      <w:pPr>
        <w:rPr>
          <w:rFonts w:ascii="Times New Roman" w:hAnsi="Times New Roman" w:cs="Times New Roman"/>
          <w:b/>
          <w:sz w:val="24"/>
          <w:szCs w:val="24"/>
          <w:u w:val="single"/>
        </w:rPr>
      </w:pPr>
      <w:r w:rsidRPr="00A62FC7">
        <w:rPr>
          <w:rFonts w:ascii="Times New Roman" w:hAnsi="Times New Roman" w:cs="Times New Roman"/>
          <w:b/>
          <w:sz w:val="24"/>
          <w:szCs w:val="24"/>
          <w:u w:val="single"/>
        </w:rPr>
        <w:t>Application of the Social value:</w:t>
      </w:r>
    </w:p>
    <w:p w:rsidR="00342CDE" w:rsidRDefault="00323F38">
      <w:pPr>
        <w:rPr>
          <w:rFonts w:ascii="Times New Roman" w:hAnsi="Times New Roman" w:cs="Times New Roman"/>
          <w:sz w:val="24"/>
          <w:szCs w:val="24"/>
        </w:rPr>
      </w:pPr>
      <w:r>
        <w:rPr>
          <w:rFonts w:ascii="Times New Roman" w:hAnsi="Times New Roman" w:cs="Times New Roman"/>
          <w:sz w:val="24"/>
          <w:szCs w:val="24"/>
        </w:rPr>
        <w:t xml:space="preserve">The understanding of the social value can be found in the reading of David </w:t>
      </w:r>
      <w:proofErr w:type="spellStart"/>
      <w:r>
        <w:rPr>
          <w:rFonts w:ascii="Times New Roman" w:hAnsi="Times New Roman" w:cs="Times New Roman"/>
          <w:sz w:val="24"/>
          <w:szCs w:val="24"/>
        </w:rPr>
        <w:t>DeSilva’s</w:t>
      </w:r>
      <w:proofErr w:type="spellEnd"/>
      <w:r>
        <w:rPr>
          <w:rFonts w:ascii="Times New Roman" w:hAnsi="Times New Roman" w:cs="Times New Roman"/>
          <w:sz w:val="24"/>
          <w:szCs w:val="24"/>
        </w:rPr>
        <w:t xml:space="preserve"> chapter 3, which clearly highlights the idea that “some of these attributes are ascribed and are frequently beyond the individual’s control,”</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which is clearly seen within the Acts of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w:t>
      </w:r>
      <w:r w:rsidR="00AC39D7">
        <w:rPr>
          <w:rFonts w:ascii="Times New Roman" w:hAnsi="Times New Roman" w:cs="Times New Roman"/>
          <w:sz w:val="24"/>
          <w:szCs w:val="24"/>
        </w:rPr>
        <w:t xml:space="preserve">Throughout the </w:t>
      </w:r>
      <w:r w:rsidR="008B7047">
        <w:rPr>
          <w:rFonts w:ascii="Times New Roman" w:hAnsi="Times New Roman" w:cs="Times New Roman"/>
          <w:sz w:val="24"/>
          <w:szCs w:val="24"/>
        </w:rPr>
        <w:t>Act</w:t>
      </w:r>
      <w:r w:rsidR="009514B0">
        <w:rPr>
          <w:rFonts w:ascii="Times New Roman" w:hAnsi="Times New Roman" w:cs="Times New Roman"/>
          <w:sz w:val="24"/>
          <w:szCs w:val="24"/>
        </w:rPr>
        <w:t>s</w:t>
      </w:r>
      <w:r w:rsidR="008B7047">
        <w:rPr>
          <w:rFonts w:ascii="Times New Roman" w:hAnsi="Times New Roman" w:cs="Times New Roman"/>
          <w:sz w:val="24"/>
          <w:szCs w:val="24"/>
        </w:rPr>
        <w:t xml:space="preserve"> of </w:t>
      </w:r>
      <w:proofErr w:type="spellStart"/>
      <w:r w:rsidR="008B7047">
        <w:rPr>
          <w:rFonts w:ascii="Times New Roman" w:hAnsi="Times New Roman" w:cs="Times New Roman"/>
          <w:sz w:val="24"/>
          <w:szCs w:val="24"/>
        </w:rPr>
        <w:t>Thelca</w:t>
      </w:r>
      <w:proofErr w:type="spellEnd"/>
      <w:r w:rsidR="008B7047">
        <w:rPr>
          <w:rFonts w:ascii="Times New Roman" w:hAnsi="Times New Roman" w:cs="Times New Roman"/>
          <w:sz w:val="24"/>
          <w:szCs w:val="24"/>
        </w:rPr>
        <w:t xml:space="preserve">, there are many ways in which the Roman social value of honour and shame are undermined within this text. The most clearly seen example of this can be seen at the beginning of the act. With this, we understand that </w:t>
      </w:r>
      <w:proofErr w:type="spellStart"/>
      <w:r w:rsidR="008B7047">
        <w:rPr>
          <w:rFonts w:ascii="Times New Roman" w:hAnsi="Times New Roman" w:cs="Times New Roman"/>
          <w:sz w:val="24"/>
          <w:szCs w:val="24"/>
        </w:rPr>
        <w:t>Thecla</w:t>
      </w:r>
      <w:proofErr w:type="spellEnd"/>
      <w:r w:rsidR="008B7047">
        <w:rPr>
          <w:rFonts w:ascii="Times New Roman" w:hAnsi="Times New Roman" w:cs="Times New Roman"/>
          <w:sz w:val="24"/>
          <w:szCs w:val="24"/>
        </w:rPr>
        <w:t xml:space="preserve"> is to marry a man, </w:t>
      </w:r>
      <w:proofErr w:type="spellStart"/>
      <w:r w:rsidR="008B7047">
        <w:rPr>
          <w:rFonts w:ascii="Times New Roman" w:hAnsi="Times New Roman" w:cs="Times New Roman"/>
          <w:sz w:val="24"/>
          <w:szCs w:val="24"/>
        </w:rPr>
        <w:t>Thamyris</w:t>
      </w:r>
      <w:proofErr w:type="spellEnd"/>
      <w:r w:rsidR="008B7047">
        <w:rPr>
          <w:rFonts w:ascii="Times New Roman" w:hAnsi="Times New Roman" w:cs="Times New Roman"/>
          <w:sz w:val="24"/>
          <w:szCs w:val="24"/>
        </w:rPr>
        <w:t xml:space="preserve">. </w:t>
      </w:r>
      <w:r w:rsidR="009514B0">
        <w:rPr>
          <w:rFonts w:ascii="Times New Roman" w:hAnsi="Times New Roman" w:cs="Times New Roman"/>
          <w:sz w:val="24"/>
          <w:szCs w:val="24"/>
        </w:rPr>
        <w:t xml:space="preserve">Within the act, </w:t>
      </w:r>
      <w:proofErr w:type="spellStart"/>
      <w:r w:rsidR="009514B0">
        <w:rPr>
          <w:rFonts w:ascii="Times New Roman" w:hAnsi="Times New Roman" w:cs="Times New Roman"/>
          <w:sz w:val="24"/>
          <w:szCs w:val="24"/>
        </w:rPr>
        <w:t>Thecla</w:t>
      </w:r>
      <w:proofErr w:type="spellEnd"/>
      <w:r w:rsidR="009514B0">
        <w:rPr>
          <w:rFonts w:ascii="Times New Roman" w:hAnsi="Times New Roman" w:cs="Times New Roman"/>
          <w:sz w:val="24"/>
          <w:szCs w:val="24"/>
        </w:rPr>
        <w:t xml:space="preserve"> follows and listens to the words of Paul preaching to other women on chastity and devotion to One God, which interests </w:t>
      </w:r>
      <w:proofErr w:type="spellStart"/>
      <w:r w:rsidR="009514B0">
        <w:rPr>
          <w:rFonts w:ascii="Times New Roman" w:hAnsi="Times New Roman" w:cs="Times New Roman"/>
          <w:sz w:val="24"/>
          <w:szCs w:val="24"/>
        </w:rPr>
        <w:t>Thecla</w:t>
      </w:r>
      <w:proofErr w:type="spellEnd"/>
      <w:r w:rsidR="009514B0">
        <w:rPr>
          <w:rFonts w:ascii="Times New Roman" w:hAnsi="Times New Roman" w:cs="Times New Roman"/>
          <w:sz w:val="24"/>
          <w:szCs w:val="24"/>
        </w:rPr>
        <w:t xml:space="preserve"> greatly in the </w:t>
      </w:r>
      <w:proofErr w:type="gramStart"/>
      <w:r w:rsidR="009514B0">
        <w:rPr>
          <w:rFonts w:ascii="Times New Roman" w:hAnsi="Times New Roman" w:cs="Times New Roman"/>
          <w:sz w:val="24"/>
          <w:szCs w:val="24"/>
        </w:rPr>
        <w:t>way</w:t>
      </w:r>
      <w:proofErr w:type="gramEnd"/>
      <w:r w:rsidR="009514B0">
        <w:rPr>
          <w:rFonts w:ascii="Times New Roman" w:hAnsi="Times New Roman" w:cs="Times New Roman"/>
          <w:sz w:val="24"/>
          <w:szCs w:val="24"/>
        </w:rPr>
        <w:t xml:space="preserve"> that she wants to follow this belief. As written, </w:t>
      </w:r>
      <w:proofErr w:type="spellStart"/>
      <w:r w:rsidR="009514B0">
        <w:rPr>
          <w:rFonts w:ascii="Times New Roman" w:hAnsi="Times New Roman" w:cs="Times New Roman"/>
          <w:sz w:val="24"/>
          <w:szCs w:val="24"/>
        </w:rPr>
        <w:t>Thecla’s</w:t>
      </w:r>
      <w:proofErr w:type="spellEnd"/>
      <w:r w:rsidR="009514B0">
        <w:rPr>
          <w:rFonts w:ascii="Times New Roman" w:hAnsi="Times New Roman" w:cs="Times New Roman"/>
          <w:sz w:val="24"/>
          <w:szCs w:val="24"/>
        </w:rPr>
        <w:t xml:space="preserve"> mother watches her do this and speaks to </w:t>
      </w:r>
      <w:proofErr w:type="spellStart"/>
      <w:r w:rsidR="009514B0">
        <w:rPr>
          <w:rFonts w:ascii="Times New Roman" w:hAnsi="Times New Roman" w:cs="Times New Roman"/>
          <w:sz w:val="24"/>
          <w:szCs w:val="24"/>
        </w:rPr>
        <w:t>Thamyris</w:t>
      </w:r>
      <w:proofErr w:type="spellEnd"/>
      <w:r w:rsidR="009514B0">
        <w:rPr>
          <w:rFonts w:ascii="Times New Roman" w:hAnsi="Times New Roman" w:cs="Times New Roman"/>
          <w:sz w:val="24"/>
          <w:szCs w:val="24"/>
        </w:rPr>
        <w:t>, claiming that “she is devoted to a foreigner teaching deceitful and artful discourses.”</w:t>
      </w:r>
      <w:r w:rsidR="009514B0">
        <w:rPr>
          <w:rStyle w:val="FootnoteReference"/>
          <w:rFonts w:ascii="Times New Roman" w:hAnsi="Times New Roman" w:cs="Times New Roman"/>
          <w:sz w:val="24"/>
          <w:szCs w:val="24"/>
        </w:rPr>
        <w:footnoteReference w:id="3"/>
      </w:r>
      <w:r w:rsidR="009514B0">
        <w:rPr>
          <w:rFonts w:ascii="Times New Roman" w:hAnsi="Times New Roman" w:cs="Times New Roman"/>
          <w:sz w:val="24"/>
          <w:szCs w:val="24"/>
        </w:rPr>
        <w:t xml:space="preserve"> This further illustrates how </w:t>
      </w:r>
      <w:proofErr w:type="spellStart"/>
      <w:r w:rsidR="009514B0">
        <w:rPr>
          <w:rFonts w:ascii="Times New Roman" w:hAnsi="Times New Roman" w:cs="Times New Roman"/>
          <w:sz w:val="24"/>
          <w:szCs w:val="24"/>
        </w:rPr>
        <w:t>Thecla’s</w:t>
      </w:r>
      <w:proofErr w:type="spellEnd"/>
      <w:r w:rsidR="009514B0">
        <w:rPr>
          <w:rFonts w:ascii="Times New Roman" w:hAnsi="Times New Roman" w:cs="Times New Roman"/>
          <w:sz w:val="24"/>
          <w:szCs w:val="24"/>
        </w:rPr>
        <w:t xml:space="preserve"> mother dislikes the way that her daughter follows Paul, as he is a stranger to them and that she is more interested in him than her own duties as a potential wife and mother of a Pagan family. To further undermine the social value of honour and shame, </w:t>
      </w:r>
      <w:proofErr w:type="spellStart"/>
      <w:r w:rsidR="009514B0">
        <w:rPr>
          <w:rFonts w:ascii="Times New Roman" w:hAnsi="Times New Roman" w:cs="Times New Roman"/>
          <w:sz w:val="24"/>
          <w:szCs w:val="24"/>
        </w:rPr>
        <w:t>Theoclia</w:t>
      </w:r>
      <w:proofErr w:type="spellEnd"/>
      <w:r w:rsidR="009514B0">
        <w:rPr>
          <w:rFonts w:ascii="Times New Roman" w:hAnsi="Times New Roman" w:cs="Times New Roman"/>
          <w:sz w:val="24"/>
          <w:szCs w:val="24"/>
        </w:rPr>
        <w:t xml:space="preserve">, the mother of </w:t>
      </w:r>
      <w:proofErr w:type="spellStart"/>
      <w:r w:rsidR="009514B0">
        <w:rPr>
          <w:rFonts w:ascii="Times New Roman" w:hAnsi="Times New Roman" w:cs="Times New Roman"/>
          <w:sz w:val="24"/>
          <w:szCs w:val="24"/>
        </w:rPr>
        <w:t>Thecla</w:t>
      </w:r>
      <w:proofErr w:type="spellEnd"/>
      <w:r w:rsidR="009514B0">
        <w:rPr>
          <w:rFonts w:ascii="Times New Roman" w:hAnsi="Times New Roman" w:cs="Times New Roman"/>
          <w:sz w:val="24"/>
          <w:szCs w:val="24"/>
        </w:rPr>
        <w:t>, also adds that “[Paul] says one must fear only one God and live in chastity,”</w:t>
      </w:r>
      <w:r w:rsidR="009514B0">
        <w:rPr>
          <w:rStyle w:val="FootnoteReference"/>
          <w:rFonts w:ascii="Times New Roman" w:hAnsi="Times New Roman" w:cs="Times New Roman"/>
          <w:sz w:val="24"/>
          <w:szCs w:val="24"/>
        </w:rPr>
        <w:footnoteReference w:id="4"/>
      </w:r>
      <w:r w:rsidR="00D609DE">
        <w:rPr>
          <w:rFonts w:ascii="Times New Roman" w:hAnsi="Times New Roman" w:cs="Times New Roman"/>
          <w:sz w:val="24"/>
          <w:szCs w:val="24"/>
        </w:rPr>
        <w:t xml:space="preserve"> which shows how </w:t>
      </w:r>
      <w:proofErr w:type="spellStart"/>
      <w:r w:rsidR="00D609DE">
        <w:rPr>
          <w:rFonts w:ascii="Times New Roman" w:hAnsi="Times New Roman" w:cs="Times New Roman"/>
          <w:sz w:val="24"/>
          <w:szCs w:val="24"/>
        </w:rPr>
        <w:t>Thecla</w:t>
      </w:r>
      <w:proofErr w:type="spellEnd"/>
      <w:r w:rsidR="00D609DE">
        <w:rPr>
          <w:rFonts w:ascii="Times New Roman" w:hAnsi="Times New Roman" w:cs="Times New Roman"/>
          <w:sz w:val="24"/>
          <w:szCs w:val="24"/>
        </w:rPr>
        <w:t xml:space="preserve"> is disobeying the Roman social value through firstly, being told to be subservient to one God, the Christian God, and secondly to live a life of chastity. </w:t>
      </w:r>
      <w:r w:rsidR="00D45159">
        <w:rPr>
          <w:rFonts w:ascii="Times New Roman" w:hAnsi="Times New Roman" w:cs="Times New Roman"/>
          <w:sz w:val="24"/>
          <w:szCs w:val="24"/>
        </w:rPr>
        <w:t xml:space="preserve">As also mentioned by Virginia </w:t>
      </w:r>
      <w:proofErr w:type="spellStart"/>
      <w:r w:rsidR="00D45159">
        <w:rPr>
          <w:rFonts w:ascii="Times New Roman" w:hAnsi="Times New Roman" w:cs="Times New Roman"/>
          <w:sz w:val="24"/>
          <w:szCs w:val="24"/>
        </w:rPr>
        <w:t>Burrus</w:t>
      </w:r>
      <w:proofErr w:type="spellEnd"/>
      <w:r w:rsidR="00D45159">
        <w:rPr>
          <w:rFonts w:ascii="Times New Roman" w:hAnsi="Times New Roman" w:cs="Times New Roman"/>
          <w:sz w:val="24"/>
          <w:szCs w:val="24"/>
        </w:rPr>
        <w:t>, it is “always the woman who immediately ‘falls in love’ with the apostle,”</w:t>
      </w:r>
      <w:r w:rsidR="00D45159">
        <w:rPr>
          <w:rStyle w:val="FootnoteReference"/>
          <w:rFonts w:ascii="Times New Roman" w:hAnsi="Times New Roman" w:cs="Times New Roman"/>
          <w:sz w:val="24"/>
          <w:szCs w:val="24"/>
        </w:rPr>
        <w:footnoteReference w:id="5"/>
      </w:r>
      <w:r w:rsidR="00375456">
        <w:rPr>
          <w:rFonts w:ascii="Times New Roman" w:hAnsi="Times New Roman" w:cs="Times New Roman"/>
          <w:sz w:val="24"/>
          <w:szCs w:val="24"/>
        </w:rPr>
        <w:t xml:space="preserve"> this further shows that although </w:t>
      </w:r>
      <w:proofErr w:type="spellStart"/>
      <w:r w:rsidR="00375456">
        <w:rPr>
          <w:rFonts w:ascii="Times New Roman" w:hAnsi="Times New Roman" w:cs="Times New Roman"/>
          <w:sz w:val="24"/>
          <w:szCs w:val="24"/>
        </w:rPr>
        <w:t>Thecla</w:t>
      </w:r>
      <w:proofErr w:type="spellEnd"/>
      <w:r w:rsidR="00375456">
        <w:rPr>
          <w:rFonts w:ascii="Times New Roman" w:hAnsi="Times New Roman" w:cs="Times New Roman"/>
          <w:sz w:val="24"/>
          <w:szCs w:val="24"/>
        </w:rPr>
        <w:t xml:space="preserve"> is betrothed to </w:t>
      </w:r>
      <w:proofErr w:type="spellStart"/>
      <w:r w:rsidR="00375456">
        <w:rPr>
          <w:rFonts w:ascii="Times New Roman" w:hAnsi="Times New Roman" w:cs="Times New Roman"/>
          <w:sz w:val="24"/>
          <w:szCs w:val="24"/>
        </w:rPr>
        <w:t>Thamyris</w:t>
      </w:r>
      <w:proofErr w:type="spellEnd"/>
      <w:r w:rsidR="00375456">
        <w:rPr>
          <w:rFonts w:ascii="Times New Roman" w:hAnsi="Times New Roman" w:cs="Times New Roman"/>
          <w:sz w:val="24"/>
          <w:szCs w:val="24"/>
        </w:rPr>
        <w:t xml:space="preserve">, she has ‘fallen in love’ with the apostle Paul and the ways of the Christian community rather than obeying her Roman social value of honour. This, therefore, shows greatly how </w:t>
      </w:r>
      <w:proofErr w:type="spellStart"/>
      <w:r w:rsidR="00375456">
        <w:rPr>
          <w:rFonts w:ascii="Times New Roman" w:hAnsi="Times New Roman" w:cs="Times New Roman"/>
          <w:sz w:val="24"/>
          <w:szCs w:val="24"/>
        </w:rPr>
        <w:t>Thecla</w:t>
      </w:r>
      <w:proofErr w:type="spellEnd"/>
      <w:r w:rsidR="00375456">
        <w:rPr>
          <w:rFonts w:ascii="Times New Roman" w:hAnsi="Times New Roman" w:cs="Times New Roman"/>
          <w:sz w:val="24"/>
          <w:szCs w:val="24"/>
        </w:rPr>
        <w:t xml:space="preserve"> has disobeyed the social value of marriage to follow and practice in the teachings of Paul rather than her own family.</w:t>
      </w:r>
      <w:r w:rsidR="0075540C">
        <w:rPr>
          <w:rFonts w:ascii="Times New Roman" w:hAnsi="Times New Roman" w:cs="Times New Roman"/>
          <w:sz w:val="24"/>
          <w:szCs w:val="24"/>
        </w:rPr>
        <w:t xml:space="preserve"> Also, </w:t>
      </w:r>
      <w:proofErr w:type="spellStart"/>
      <w:r w:rsidR="0075540C">
        <w:rPr>
          <w:rFonts w:ascii="Times New Roman" w:hAnsi="Times New Roman" w:cs="Times New Roman"/>
          <w:sz w:val="24"/>
          <w:szCs w:val="24"/>
        </w:rPr>
        <w:t>Burrus</w:t>
      </w:r>
      <w:proofErr w:type="spellEnd"/>
      <w:r w:rsidR="0075540C">
        <w:rPr>
          <w:rFonts w:ascii="Times New Roman" w:hAnsi="Times New Roman" w:cs="Times New Roman"/>
          <w:sz w:val="24"/>
          <w:szCs w:val="24"/>
        </w:rPr>
        <w:t xml:space="preserve"> comments on how the Acts of </w:t>
      </w:r>
      <w:proofErr w:type="spellStart"/>
      <w:r w:rsidR="0075540C">
        <w:rPr>
          <w:rFonts w:ascii="Times New Roman" w:hAnsi="Times New Roman" w:cs="Times New Roman"/>
          <w:sz w:val="24"/>
          <w:szCs w:val="24"/>
        </w:rPr>
        <w:t>Thecla</w:t>
      </w:r>
      <w:proofErr w:type="spellEnd"/>
      <w:r w:rsidR="0075540C">
        <w:rPr>
          <w:rFonts w:ascii="Times New Roman" w:hAnsi="Times New Roman" w:cs="Times New Roman"/>
          <w:sz w:val="24"/>
          <w:szCs w:val="24"/>
        </w:rPr>
        <w:t xml:space="preserve"> “begins with a ‘marriage’ (</w:t>
      </w:r>
      <w:proofErr w:type="spellStart"/>
      <w:r w:rsidR="0075540C">
        <w:rPr>
          <w:rFonts w:ascii="Times New Roman" w:hAnsi="Times New Roman" w:cs="Times New Roman"/>
          <w:sz w:val="24"/>
          <w:szCs w:val="24"/>
        </w:rPr>
        <w:t>Thecla’s</w:t>
      </w:r>
      <w:proofErr w:type="spellEnd"/>
      <w:r w:rsidR="0075540C">
        <w:rPr>
          <w:rFonts w:ascii="Times New Roman" w:hAnsi="Times New Roman" w:cs="Times New Roman"/>
          <w:sz w:val="24"/>
          <w:szCs w:val="24"/>
        </w:rPr>
        <w:t xml:space="preserve"> vow to Christ/ Paul).”</w:t>
      </w:r>
      <w:r w:rsidR="0075540C">
        <w:rPr>
          <w:rStyle w:val="FootnoteReference"/>
          <w:rFonts w:ascii="Times New Roman" w:hAnsi="Times New Roman" w:cs="Times New Roman"/>
          <w:sz w:val="24"/>
          <w:szCs w:val="24"/>
        </w:rPr>
        <w:footnoteReference w:id="6"/>
      </w:r>
      <w:r w:rsidR="0075540C">
        <w:rPr>
          <w:rFonts w:ascii="Times New Roman" w:hAnsi="Times New Roman" w:cs="Times New Roman"/>
          <w:sz w:val="24"/>
          <w:szCs w:val="24"/>
        </w:rPr>
        <w:t xml:space="preserve"> With this, it shows that even though </w:t>
      </w:r>
      <w:proofErr w:type="spellStart"/>
      <w:r w:rsidR="0075540C">
        <w:rPr>
          <w:rFonts w:ascii="Times New Roman" w:hAnsi="Times New Roman" w:cs="Times New Roman"/>
          <w:sz w:val="24"/>
          <w:szCs w:val="24"/>
        </w:rPr>
        <w:t>Thecla</w:t>
      </w:r>
      <w:proofErr w:type="spellEnd"/>
      <w:r w:rsidR="0075540C">
        <w:rPr>
          <w:rFonts w:ascii="Times New Roman" w:hAnsi="Times New Roman" w:cs="Times New Roman"/>
          <w:sz w:val="24"/>
          <w:szCs w:val="24"/>
        </w:rPr>
        <w:t xml:space="preserve"> is bringing shame onto both families, that of </w:t>
      </w:r>
      <w:proofErr w:type="spellStart"/>
      <w:r w:rsidR="0075540C">
        <w:rPr>
          <w:rFonts w:ascii="Times New Roman" w:hAnsi="Times New Roman" w:cs="Times New Roman"/>
          <w:sz w:val="24"/>
          <w:szCs w:val="24"/>
        </w:rPr>
        <w:t>Thamyris</w:t>
      </w:r>
      <w:proofErr w:type="spellEnd"/>
      <w:r w:rsidR="0075540C">
        <w:rPr>
          <w:rFonts w:ascii="Times New Roman" w:hAnsi="Times New Roman" w:cs="Times New Roman"/>
          <w:sz w:val="24"/>
          <w:szCs w:val="24"/>
        </w:rPr>
        <w:t xml:space="preserve"> and her own, she is instead replacing that of a marriage she does not want or that she chooses herself to one that she can choose herself through obeying </w:t>
      </w:r>
      <w:r w:rsidR="00DA2C5B">
        <w:rPr>
          <w:rFonts w:ascii="Times New Roman" w:hAnsi="Times New Roman" w:cs="Times New Roman"/>
          <w:sz w:val="24"/>
          <w:szCs w:val="24"/>
        </w:rPr>
        <w:t xml:space="preserve">Paul and his teachings. </w:t>
      </w:r>
    </w:p>
    <w:p w:rsidR="00375456" w:rsidRPr="00342CDE" w:rsidRDefault="00115166">
      <w:pPr>
        <w:rPr>
          <w:rFonts w:ascii="Times New Roman" w:hAnsi="Times New Roman" w:cs="Times New Roman"/>
          <w:sz w:val="24"/>
          <w:szCs w:val="24"/>
        </w:rPr>
      </w:pPr>
      <w:r>
        <w:rPr>
          <w:rFonts w:ascii="Times New Roman" w:hAnsi="Times New Roman" w:cs="Times New Roman"/>
          <w:sz w:val="24"/>
          <w:szCs w:val="24"/>
        </w:rPr>
        <w:t xml:space="preserve">Also,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was sent to be burned for not obeying the laws of the </w:t>
      </w:r>
      <w:proofErr w:type="spellStart"/>
      <w:r>
        <w:rPr>
          <w:rFonts w:ascii="Times New Roman" w:hAnsi="Times New Roman" w:cs="Times New Roman"/>
          <w:sz w:val="24"/>
          <w:szCs w:val="24"/>
        </w:rPr>
        <w:t>Iconians</w:t>
      </w:r>
      <w:proofErr w:type="spellEnd"/>
      <w:r>
        <w:rPr>
          <w:rFonts w:ascii="Times New Roman" w:hAnsi="Times New Roman" w:cs="Times New Roman"/>
          <w:sz w:val="24"/>
          <w:szCs w:val="24"/>
        </w:rPr>
        <w:t xml:space="preserve">, which was to marry </w:t>
      </w:r>
      <w:proofErr w:type="spellStart"/>
      <w:r>
        <w:rPr>
          <w:rFonts w:ascii="Times New Roman" w:hAnsi="Times New Roman" w:cs="Times New Roman"/>
          <w:sz w:val="24"/>
          <w:szCs w:val="24"/>
        </w:rPr>
        <w:t>Thamyris</w:t>
      </w:r>
      <w:proofErr w:type="spellEnd"/>
      <w:r>
        <w:rPr>
          <w:rFonts w:ascii="Times New Roman" w:hAnsi="Times New Roman" w:cs="Times New Roman"/>
          <w:sz w:val="24"/>
          <w:szCs w:val="24"/>
        </w:rPr>
        <w:t xml:space="preserve"> and she refused to do this, as to not bring any more shame onto the family, </w:t>
      </w:r>
      <w:proofErr w:type="spellStart"/>
      <w:r>
        <w:rPr>
          <w:rFonts w:ascii="Times New Roman" w:hAnsi="Times New Roman" w:cs="Times New Roman"/>
          <w:sz w:val="24"/>
          <w:szCs w:val="24"/>
        </w:rPr>
        <w:t>Theoclia</w:t>
      </w:r>
      <w:proofErr w:type="spellEnd"/>
      <w:r>
        <w:rPr>
          <w:rFonts w:ascii="Times New Roman" w:hAnsi="Times New Roman" w:cs="Times New Roman"/>
          <w:sz w:val="24"/>
          <w:szCs w:val="24"/>
        </w:rPr>
        <w:t xml:space="preserve"> shouted; “Burn the wicked one: burn her who will not marry in the midst of the theatre, that all women who have been taught by this man be afraid.”</w:t>
      </w:r>
      <w:r>
        <w:rPr>
          <w:rStyle w:val="FootnoteReference"/>
          <w:rFonts w:ascii="Times New Roman" w:hAnsi="Times New Roman" w:cs="Times New Roman"/>
          <w:sz w:val="24"/>
          <w:szCs w:val="24"/>
        </w:rPr>
        <w:footnoteReference w:id="7"/>
      </w:r>
      <w:r w:rsidR="0075540C">
        <w:rPr>
          <w:rFonts w:ascii="Times New Roman" w:hAnsi="Times New Roman" w:cs="Times New Roman"/>
          <w:sz w:val="24"/>
          <w:szCs w:val="24"/>
        </w:rPr>
        <w:t xml:space="preserve"> This further expresses </w:t>
      </w:r>
      <w:r w:rsidR="0075540C">
        <w:rPr>
          <w:rFonts w:ascii="Times New Roman" w:hAnsi="Times New Roman" w:cs="Times New Roman"/>
          <w:sz w:val="24"/>
          <w:szCs w:val="24"/>
        </w:rPr>
        <w:lastRenderedPageBreak/>
        <w:t xml:space="preserve">the way that even </w:t>
      </w:r>
      <w:proofErr w:type="spellStart"/>
      <w:r w:rsidR="0075540C">
        <w:rPr>
          <w:rFonts w:ascii="Times New Roman" w:hAnsi="Times New Roman" w:cs="Times New Roman"/>
          <w:sz w:val="24"/>
          <w:szCs w:val="24"/>
        </w:rPr>
        <w:t>Thecla’s</w:t>
      </w:r>
      <w:proofErr w:type="spellEnd"/>
      <w:r w:rsidR="0075540C">
        <w:rPr>
          <w:rFonts w:ascii="Times New Roman" w:hAnsi="Times New Roman" w:cs="Times New Roman"/>
          <w:sz w:val="24"/>
          <w:szCs w:val="24"/>
        </w:rPr>
        <w:t xml:space="preserve"> own mother wanted her daughter to be punished for not obeying the Roman social values that must be done by all women. This is then used to teach other young women that disobeying this can not only bring dishonour to the family but also that the consequences will not be worth it. </w:t>
      </w:r>
      <w:r w:rsidR="00DA2C5B">
        <w:rPr>
          <w:rFonts w:ascii="Times New Roman" w:hAnsi="Times New Roman" w:cs="Times New Roman"/>
          <w:sz w:val="24"/>
          <w:szCs w:val="24"/>
        </w:rPr>
        <w:t xml:space="preserve">However, as </w:t>
      </w:r>
      <w:proofErr w:type="spellStart"/>
      <w:r w:rsidR="00DA2C5B">
        <w:rPr>
          <w:rFonts w:ascii="Times New Roman" w:hAnsi="Times New Roman" w:cs="Times New Roman"/>
          <w:sz w:val="24"/>
          <w:szCs w:val="24"/>
        </w:rPr>
        <w:t>Burrus</w:t>
      </w:r>
      <w:proofErr w:type="spellEnd"/>
      <w:r w:rsidR="00DA2C5B">
        <w:rPr>
          <w:rFonts w:ascii="Times New Roman" w:hAnsi="Times New Roman" w:cs="Times New Roman"/>
          <w:sz w:val="24"/>
          <w:szCs w:val="24"/>
        </w:rPr>
        <w:t xml:space="preserve"> goes on to mention, “women who had separated from their families would have found new ‘families’ in communities of single Christian women,”</w:t>
      </w:r>
      <w:r w:rsidR="00DA2C5B">
        <w:rPr>
          <w:rStyle w:val="FootnoteReference"/>
          <w:rFonts w:ascii="Times New Roman" w:hAnsi="Times New Roman" w:cs="Times New Roman"/>
          <w:sz w:val="24"/>
          <w:szCs w:val="24"/>
        </w:rPr>
        <w:footnoteReference w:id="8"/>
      </w:r>
      <w:r w:rsidR="00DA2C5B">
        <w:rPr>
          <w:rFonts w:ascii="Times New Roman" w:hAnsi="Times New Roman" w:cs="Times New Roman"/>
          <w:sz w:val="24"/>
          <w:szCs w:val="24"/>
        </w:rPr>
        <w:t xml:space="preserve"> which further demonstrates that even though </w:t>
      </w:r>
      <w:proofErr w:type="spellStart"/>
      <w:r w:rsidR="00DA2C5B">
        <w:rPr>
          <w:rFonts w:ascii="Times New Roman" w:hAnsi="Times New Roman" w:cs="Times New Roman"/>
          <w:sz w:val="24"/>
          <w:szCs w:val="24"/>
        </w:rPr>
        <w:t>Thecla</w:t>
      </w:r>
      <w:proofErr w:type="spellEnd"/>
      <w:r w:rsidR="00DA2C5B">
        <w:rPr>
          <w:rFonts w:ascii="Times New Roman" w:hAnsi="Times New Roman" w:cs="Times New Roman"/>
          <w:sz w:val="24"/>
          <w:szCs w:val="24"/>
        </w:rPr>
        <w:t xml:space="preserve"> has brought shame onto herself and her family, she and other women can be accepted into the communities of Christians</w:t>
      </w:r>
      <w:r w:rsidR="00B65000">
        <w:rPr>
          <w:rFonts w:ascii="Times New Roman" w:hAnsi="Times New Roman" w:cs="Times New Roman"/>
          <w:sz w:val="24"/>
          <w:szCs w:val="24"/>
        </w:rPr>
        <w:t xml:space="preserve">. With this, it allows for women to ‘break away’ from the strict Roman social values that must be upheld depending on their social circumstances at all times. </w:t>
      </w:r>
      <w:proofErr w:type="spellStart"/>
      <w:r w:rsidR="00B65000">
        <w:rPr>
          <w:rFonts w:ascii="Times New Roman" w:hAnsi="Times New Roman" w:cs="Times New Roman"/>
          <w:sz w:val="24"/>
          <w:szCs w:val="24"/>
        </w:rPr>
        <w:t>Thecla</w:t>
      </w:r>
      <w:proofErr w:type="spellEnd"/>
      <w:r w:rsidR="00B65000">
        <w:rPr>
          <w:rFonts w:ascii="Times New Roman" w:hAnsi="Times New Roman" w:cs="Times New Roman"/>
          <w:sz w:val="24"/>
          <w:szCs w:val="24"/>
        </w:rPr>
        <w:t xml:space="preserve"> had a vision of Jesus in the image of Paul before she was burned, which ultimately saved her from the fire. As mentioned in the Acts of </w:t>
      </w:r>
      <w:proofErr w:type="spellStart"/>
      <w:r w:rsidR="00B65000">
        <w:rPr>
          <w:rFonts w:ascii="Times New Roman" w:hAnsi="Times New Roman" w:cs="Times New Roman"/>
          <w:sz w:val="24"/>
          <w:szCs w:val="24"/>
        </w:rPr>
        <w:t>Thecla</w:t>
      </w:r>
      <w:proofErr w:type="spellEnd"/>
      <w:r w:rsidR="00B65000">
        <w:rPr>
          <w:rFonts w:ascii="Times New Roman" w:hAnsi="Times New Roman" w:cs="Times New Roman"/>
          <w:sz w:val="24"/>
          <w:szCs w:val="24"/>
        </w:rPr>
        <w:t xml:space="preserve">, “… </w:t>
      </w:r>
      <w:proofErr w:type="gramStart"/>
      <w:r w:rsidR="00B65000">
        <w:rPr>
          <w:rFonts w:ascii="Times New Roman" w:hAnsi="Times New Roman" w:cs="Times New Roman"/>
          <w:sz w:val="24"/>
          <w:szCs w:val="24"/>
        </w:rPr>
        <w:t xml:space="preserve">For God, having compassion upon her, a cloud full of water overshadowed the </w:t>
      </w:r>
      <w:proofErr w:type="spellStart"/>
      <w:r w:rsidR="00B65000">
        <w:rPr>
          <w:rFonts w:ascii="Times New Roman" w:hAnsi="Times New Roman" w:cs="Times New Roman"/>
          <w:sz w:val="24"/>
          <w:szCs w:val="24"/>
        </w:rPr>
        <w:t>theater</w:t>
      </w:r>
      <w:proofErr w:type="spellEnd"/>
      <w:r w:rsidR="00B65000">
        <w:rPr>
          <w:rFonts w:ascii="Times New Roman" w:hAnsi="Times New Roman" w:cs="Times New Roman"/>
          <w:sz w:val="24"/>
          <w:szCs w:val="24"/>
        </w:rPr>
        <w:t>,”</w:t>
      </w:r>
      <w:r w:rsidR="00B65000">
        <w:rPr>
          <w:rStyle w:val="FootnoteReference"/>
          <w:rFonts w:ascii="Times New Roman" w:hAnsi="Times New Roman" w:cs="Times New Roman"/>
          <w:sz w:val="24"/>
          <w:szCs w:val="24"/>
        </w:rPr>
        <w:footnoteReference w:id="9"/>
      </w:r>
      <w:r w:rsidR="00B65000">
        <w:rPr>
          <w:rFonts w:ascii="Times New Roman" w:hAnsi="Times New Roman" w:cs="Times New Roman"/>
          <w:sz w:val="24"/>
          <w:szCs w:val="24"/>
        </w:rPr>
        <w:t xml:space="preserve"> which saved </w:t>
      </w:r>
      <w:proofErr w:type="spellStart"/>
      <w:r w:rsidR="00B65000">
        <w:rPr>
          <w:rFonts w:ascii="Times New Roman" w:hAnsi="Times New Roman" w:cs="Times New Roman"/>
          <w:sz w:val="24"/>
          <w:szCs w:val="24"/>
        </w:rPr>
        <w:t>Thecla</w:t>
      </w:r>
      <w:proofErr w:type="spellEnd"/>
      <w:r w:rsidR="00B65000">
        <w:rPr>
          <w:rFonts w:ascii="Times New Roman" w:hAnsi="Times New Roman" w:cs="Times New Roman"/>
          <w:sz w:val="24"/>
          <w:szCs w:val="24"/>
        </w:rPr>
        <w:t xml:space="preserve"> from being burned alive.</w:t>
      </w:r>
      <w:proofErr w:type="gramEnd"/>
      <w:r w:rsidR="00B65000">
        <w:rPr>
          <w:rFonts w:ascii="Times New Roman" w:hAnsi="Times New Roman" w:cs="Times New Roman"/>
          <w:sz w:val="24"/>
          <w:szCs w:val="24"/>
        </w:rPr>
        <w:t xml:space="preserve"> With this, she felt honoured to have had her life spared by God, as she proved her religious commitment in a remarkable way; potential death. Also mentioned further by </w:t>
      </w:r>
      <w:proofErr w:type="spellStart"/>
      <w:r w:rsidR="00B65000">
        <w:rPr>
          <w:rFonts w:ascii="Times New Roman" w:hAnsi="Times New Roman" w:cs="Times New Roman"/>
          <w:sz w:val="24"/>
          <w:szCs w:val="24"/>
        </w:rPr>
        <w:t>Burrus</w:t>
      </w:r>
      <w:proofErr w:type="spellEnd"/>
      <w:r w:rsidR="00B65000">
        <w:rPr>
          <w:rFonts w:ascii="Times New Roman" w:hAnsi="Times New Roman" w:cs="Times New Roman"/>
          <w:sz w:val="24"/>
          <w:szCs w:val="24"/>
        </w:rPr>
        <w:t xml:space="preserve">, after this event, the “woman and the Apostles are ‘reunited’ only in the sense that the woman reaches a point of sureness and security in her chastity </w:t>
      </w:r>
      <w:r w:rsidR="00DF2618">
        <w:rPr>
          <w:rFonts w:ascii="Times New Roman" w:hAnsi="Times New Roman" w:cs="Times New Roman"/>
          <w:sz w:val="24"/>
          <w:szCs w:val="24"/>
        </w:rPr>
        <w:t>which unites them ‘spiritually’.”</w:t>
      </w:r>
      <w:r w:rsidR="00DF2618">
        <w:rPr>
          <w:rStyle w:val="FootnoteReference"/>
          <w:rFonts w:ascii="Times New Roman" w:hAnsi="Times New Roman" w:cs="Times New Roman"/>
          <w:sz w:val="24"/>
          <w:szCs w:val="24"/>
        </w:rPr>
        <w:footnoteReference w:id="10"/>
      </w:r>
      <w:r w:rsidR="00DF2618">
        <w:rPr>
          <w:rFonts w:ascii="Times New Roman" w:hAnsi="Times New Roman" w:cs="Times New Roman"/>
          <w:sz w:val="24"/>
          <w:szCs w:val="24"/>
        </w:rPr>
        <w:t xml:space="preserve"> This further illustrates </w:t>
      </w:r>
      <w:r w:rsidR="00FB6879">
        <w:rPr>
          <w:rFonts w:ascii="Times New Roman" w:hAnsi="Times New Roman" w:cs="Times New Roman"/>
          <w:sz w:val="24"/>
          <w:szCs w:val="24"/>
        </w:rPr>
        <w:t xml:space="preserve">how even though </w:t>
      </w:r>
      <w:proofErr w:type="spellStart"/>
      <w:r w:rsidR="00FB6879">
        <w:rPr>
          <w:rFonts w:ascii="Times New Roman" w:hAnsi="Times New Roman" w:cs="Times New Roman"/>
          <w:sz w:val="24"/>
          <w:szCs w:val="24"/>
        </w:rPr>
        <w:t>Thecla</w:t>
      </w:r>
      <w:proofErr w:type="spellEnd"/>
      <w:r w:rsidR="00FB6879">
        <w:rPr>
          <w:rFonts w:ascii="Times New Roman" w:hAnsi="Times New Roman" w:cs="Times New Roman"/>
          <w:sz w:val="24"/>
          <w:szCs w:val="24"/>
        </w:rPr>
        <w:t xml:space="preserve"> has brought shame onto the family through her actions of disobeying the marriage and also following Christianity over the Pagan religion of her family, she is accepted in the Christian community and follows a life of chastity and preaching to others on the ways of the Christian community. </w:t>
      </w:r>
    </w:p>
    <w:p w:rsidR="00A62FC7" w:rsidRDefault="00A62FC7">
      <w:pPr>
        <w:rPr>
          <w:rFonts w:ascii="Times New Roman" w:hAnsi="Times New Roman" w:cs="Times New Roman"/>
          <w:b/>
          <w:sz w:val="24"/>
          <w:szCs w:val="24"/>
          <w:u w:val="single"/>
        </w:rPr>
      </w:pPr>
      <w:r>
        <w:rPr>
          <w:rFonts w:ascii="Times New Roman" w:hAnsi="Times New Roman" w:cs="Times New Roman"/>
          <w:b/>
          <w:sz w:val="24"/>
          <w:szCs w:val="24"/>
          <w:u w:val="single"/>
        </w:rPr>
        <w:t>Personal Analysis/ Argumentation:</w:t>
      </w:r>
    </w:p>
    <w:p w:rsidR="00936E90" w:rsidRDefault="00936E90">
      <w:pPr>
        <w:rPr>
          <w:rFonts w:ascii="Times New Roman" w:hAnsi="Times New Roman" w:cs="Times New Roman"/>
          <w:sz w:val="24"/>
          <w:szCs w:val="24"/>
        </w:rPr>
      </w:pPr>
      <w:r>
        <w:rPr>
          <w:rFonts w:ascii="Times New Roman" w:hAnsi="Times New Roman" w:cs="Times New Roman"/>
          <w:sz w:val="24"/>
          <w:szCs w:val="24"/>
        </w:rPr>
        <w:t xml:space="preserve">With this, understanding the reasons as to why reading the text, The Acts of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through the social value </w:t>
      </w:r>
      <w:proofErr w:type="spellStart"/>
      <w:r>
        <w:rPr>
          <w:rFonts w:ascii="Times New Roman" w:hAnsi="Times New Roman" w:cs="Times New Roman"/>
          <w:sz w:val="24"/>
          <w:szCs w:val="24"/>
        </w:rPr>
        <w:t>lense</w:t>
      </w:r>
      <w:proofErr w:type="spellEnd"/>
      <w:r>
        <w:rPr>
          <w:rFonts w:ascii="Times New Roman" w:hAnsi="Times New Roman" w:cs="Times New Roman"/>
          <w:sz w:val="24"/>
          <w:szCs w:val="24"/>
        </w:rPr>
        <w:t xml:space="preserve">, further enables us to understand more about the time of the production of the text and also how our opinions are shaped around the way we read the text. As mentioned by </w:t>
      </w:r>
      <w:proofErr w:type="spellStart"/>
      <w:r>
        <w:rPr>
          <w:rFonts w:ascii="Times New Roman" w:hAnsi="Times New Roman" w:cs="Times New Roman"/>
          <w:sz w:val="24"/>
          <w:szCs w:val="24"/>
        </w:rPr>
        <w:t>Zeba</w:t>
      </w:r>
      <w:proofErr w:type="spellEnd"/>
      <w:r>
        <w:rPr>
          <w:rFonts w:ascii="Times New Roman" w:hAnsi="Times New Roman" w:cs="Times New Roman"/>
          <w:sz w:val="24"/>
          <w:szCs w:val="24"/>
        </w:rPr>
        <w:t xml:space="preserve"> Crook, her understanding of the use of honour and shame is that the “value of a person in his or her own eyes (that is, one’s claim to worth) plus that person’s value in the eyes of his or her social group.”</w:t>
      </w:r>
      <w:r>
        <w:rPr>
          <w:rStyle w:val="FootnoteReference"/>
          <w:rFonts w:ascii="Times New Roman" w:hAnsi="Times New Roman" w:cs="Times New Roman"/>
          <w:sz w:val="24"/>
          <w:szCs w:val="24"/>
        </w:rPr>
        <w:footnoteReference w:id="11"/>
      </w:r>
      <w:r w:rsidR="00F7555D">
        <w:rPr>
          <w:rFonts w:ascii="Times New Roman" w:hAnsi="Times New Roman" w:cs="Times New Roman"/>
          <w:sz w:val="24"/>
          <w:szCs w:val="24"/>
        </w:rPr>
        <w:t xml:space="preserve"> This shows, in the case of </w:t>
      </w:r>
      <w:proofErr w:type="spellStart"/>
      <w:r w:rsidR="00F7555D">
        <w:rPr>
          <w:rFonts w:ascii="Times New Roman" w:hAnsi="Times New Roman" w:cs="Times New Roman"/>
          <w:sz w:val="24"/>
          <w:szCs w:val="24"/>
        </w:rPr>
        <w:t>Thecla</w:t>
      </w:r>
      <w:proofErr w:type="spellEnd"/>
      <w:r w:rsidR="00F7555D">
        <w:rPr>
          <w:rFonts w:ascii="Times New Roman" w:hAnsi="Times New Roman" w:cs="Times New Roman"/>
          <w:sz w:val="24"/>
          <w:szCs w:val="24"/>
        </w:rPr>
        <w:t xml:space="preserve">, that she had a different vision of her value within society compared to that of her family. This shows further the significance of how the Roman social value of honour and shame is undermined within the Acts of </w:t>
      </w:r>
      <w:proofErr w:type="spellStart"/>
      <w:r w:rsidR="00F7555D">
        <w:rPr>
          <w:rFonts w:ascii="Times New Roman" w:hAnsi="Times New Roman" w:cs="Times New Roman"/>
          <w:sz w:val="24"/>
          <w:szCs w:val="24"/>
        </w:rPr>
        <w:t>Thecla</w:t>
      </w:r>
      <w:proofErr w:type="spellEnd"/>
      <w:r w:rsidR="00F7555D">
        <w:rPr>
          <w:rFonts w:ascii="Times New Roman" w:hAnsi="Times New Roman" w:cs="Times New Roman"/>
          <w:sz w:val="24"/>
          <w:szCs w:val="24"/>
        </w:rPr>
        <w:t xml:space="preserve"> as not only did she have a complete disregard for her own family religion and beliefs but also refused to cooperate with the laws of the </w:t>
      </w:r>
      <w:proofErr w:type="spellStart"/>
      <w:r w:rsidR="00F7555D">
        <w:rPr>
          <w:rFonts w:ascii="Times New Roman" w:hAnsi="Times New Roman" w:cs="Times New Roman"/>
          <w:sz w:val="24"/>
          <w:szCs w:val="24"/>
        </w:rPr>
        <w:t>Icononians</w:t>
      </w:r>
      <w:proofErr w:type="spellEnd"/>
      <w:r w:rsidR="00F7555D">
        <w:rPr>
          <w:rFonts w:ascii="Times New Roman" w:hAnsi="Times New Roman" w:cs="Times New Roman"/>
          <w:sz w:val="24"/>
          <w:szCs w:val="24"/>
        </w:rPr>
        <w:t xml:space="preserve">: which was marriage. As to the value </w:t>
      </w:r>
      <w:proofErr w:type="spellStart"/>
      <w:r w:rsidR="00F7555D">
        <w:rPr>
          <w:rFonts w:ascii="Times New Roman" w:hAnsi="Times New Roman" w:cs="Times New Roman"/>
          <w:sz w:val="24"/>
          <w:szCs w:val="24"/>
        </w:rPr>
        <w:t>Thecla</w:t>
      </w:r>
      <w:proofErr w:type="spellEnd"/>
      <w:r w:rsidR="00F7555D">
        <w:rPr>
          <w:rFonts w:ascii="Times New Roman" w:hAnsi="Times New Roman" w:cs="Times New Roman"/>
          <w:sz w:val="24"/>
          <w:szCs w:val="24"/>
        </w:rPr>
        <w:t xml:space="preserve"> had within her social group, she was abandoned by the family and the empire, as even her own mother wanted her to be burned alive. This further denotes the way the Roman social value of honour and shame is seen through the Acts of </w:t>
      </w:r>
      <w:proofErr w:type="spellStart"/>
      <w:r w:rsidR="00F7555D">
        <w:rPr>
          <w:rFonts w:ascii="Times New Roman" w:hAnsi="Times New Roman" w:cs="Times New Roman"/>
          <w:sz w:val="24"/>
          <w:szCs w:val="24"/>
        </w:rPr>
        <w:t>Thecla</w:t>
      </w:r>
      <w:proofErr w:type="spellEnd"/>
      <w:r w:rsidR="00F7555D">
        <w:rPr>
          <w:rFonts w:ascii="Times New Roman" w:hAnsi="Times New Roman" w:cs="Times New Roman"/>
          <w:sz w:val="24"/>
          <w:szCs w:val="24"/>
        </w:rPr>
        <w:t xml:space="preserve"> and how they are undermined. </w:t>
      </w:r>
    </w:p>
    <w:p w:rsidR="00F7555D" w:rsidRPr="00936E90" w:rsidRDefault="00F7555D">
      <w:pPr>
        <w:rPr>
          <w:rFonts w:ascii="Times New Roman" w:hAnsi="Times New Roman" w:cs="Times New Roman"/>
          <w:sz w:val="24"/>
          <w:szCs w:val="24"/>
        </w:rPr>
      </w:pPr>
      <w:r>
        <w:rPr>
          <w:rFonts w:ascii="Times New Roman" w:hAnsi="Times New Roman" w:cs="Times New Roman"/>
          <w:sz w:val="24"/>
          <w:szCs w:val="24"/>
        </w:rPr>
        <w:lastRenderedPageBreak/>
        <w:t>Crook goes on to mention further how gender plays a great role in the ascription of honour onto a person or a group of people. She mentions that “the question of gender is related to the question of status, since women do not compete for honour in the same way as do men.”</w:t>
      </w:r>
      <w:r>
        <w:rPr>
          <w:rStyle w:val="FootnoteReference"/>
          <w:rFonts w:ascii="Times New Roman" w:hAnsi="Times New Roman" w:cs="Times New Roman"/>
          <w:sz w:val="24"/>
          <w:szCs w:val="24"/>
        </w:rPr>
        <w:footnoteReference w:id="12"/>
      </w:r>
      <w:r w:rsidR="003F394A">
        <w:rPr>
          <w:rFonts w:ascii="Times New Roman" w:hAnsi="Times New Roman" w:cs="Times New Roman"/>
          <w:sz w:val="24"/>
          <w:szCs w:val="24"/>
        </w:rPr>
        <w:t xml:space="preserve"> To further add to the understanding of the social value by reading the text, this allows for us to understand the way of life for those living in the Roman Empire, either living as Pagans or even Pagans who want to convert to Christianity such as that of </w:t>
      </w:r>
      <w:proofErr w:type="spellStart"/>
      <w:r w:rsidR="003F394A">
        <w:rPr>
          <w:rFonts w:ascii="Times New Roman" w:hAnsi="Times New Roman" w:cs="Times New Roman"/>
          <w:sz w:val="24"/>
          <w:szCs w:val="24"/>
        </w:rPr>
        <w:t>Thecla</w:t>
      </w:r>
      <w:proofErr w:type="spellEnd"/>
      <w:r w:rsidR="003F394A">
        <w:rPr>
          <w:rFonts w:ascii="Times New Roman" w:hAnsi="Times New Roman" w:cs="Times New Roman"/>
          <w:sz w:val="24"/>
          <w:szCs w:val="24"/>
        </w:rPr>
        <w:t xml:space="preserve">. </w:t>
      </w:r>
      <w:proofErr w:type="spellStart"/>
      <w:r w:rsidR="00323F38">
        <w:rPr>
          <w:rFonts w:ascii="Times New Roman" w:hAnsi="Times New Roman" w:cs="Times New Roman"/>
          <w:sz w:val="24"/>
          <w:szCs w:val="24"/>
        </w:rPr>
        <w:t>DeSilva</w:t>
      </w:r>
      <w:proofErr w:type="spellEnd"/>
      <w:r w:rsidR="00323F38">
        <w:rPr>
          <w:rFonts w:ascii="Times New Roman" w:hAnsi="Times New Roman" w:cs="Times New Roman"/>
          <w:sz w:val="24"/>
          <w:szCs w:val="24"/>
        </w:rPr>
        <w:t xml:space="preserve"> also comments on how “male honour and female honour ten to be defined differently according to the double standards of antiquity,”</w:t>
      </w:r>
      <w:r w:rsidR="00323F38">
        <w:rPr>
          <w:rStyle w:val="FootnoteReference"/>
          <w:rFonts w:ascii="Times New Roman" w:hAnsi="Times New Roman" w:cs="Times New Roman"/>
          <w:sz w:val="24"/>
          <w:szCs w:val="24"/>
        </w:rPr>
        <w:footnoteReference w:id="13"/>
      </w:r>
      <w:r w:rsidR="00323F38">
        <w:rPr>
          <w:rFonts w:ascii="Times New Roman" w:hAnsi="Times New Roman" w:cs="Times New Roman"/>
          <w:sz w:val="24"/>
          <w:szCs w:val="24"/>
        </w:rPr>
        <w:t xml:space="preserve"> further highlighting how even the difference for men and women can impact the way honour can be received. </w:t>
      </w:r>
      <w:r w:rsidR="003F394A">
        <w:rPr>
          <w:rFonts w:ascii="Times New Roman" w:hAnsi="Times New Roman" w:cs="Times New Roman"/>
          <w:sz w:val="24"/>
          <w:szCs w:val="24"/>
        </w:rPr>
        <w:t xml:space="preserve">Also with this, it clearly shows how we can understand why </w:t>
      </w:r>
      <w:proofErr w:type="spellStart"/>
      <w:r w:rsidR="003F394A">
        <w:rPr>
          <w:rFonts w:ascii="Times New Roman" w:hAnsi="Times New Roman" w:cs="Times New Roman"/>
          <w:sz w:val="24"/>
          <w:szCs w:val="24"/>
        </w:rPr>
        <w:t>Thecla</w:t>
      </w:r>
      <w:proofErr w:type="spellEnd"/>
      <w:r w:rsidR="003F394A">
        <w:rPr>
          <w:rFonts w:ascii="Times New Roman" w:hAnsi="Times New Roman" w:cs="Times New Roman"/>
          <w:sz w:val="24"/>
          <w:szCs w:val="24"/>
        </w:rPr>
        <w:t xml:space="preserve"> had to marry </w:t>
      </w:r>
      <w:proofErr w:type="spellStart"/>
      <w:r w:rsidR="003F394A">
        <w:rPr>
          <w:rFonts w:ascii="Times New Roman" w:hAnsi="Times New Roman" w:cs="Times New Roman"/>
          <w:sz w:val="24"/>
          <w:szCs w:val="24"/>
        </w:rPr>
        <w:t>Thamyris</w:t>
      </w:r>
      <w:proofErr w:type="spellEnd"/>
      <w:r w:rsidR="003F394A">
        <w:rPr>
          <w:rFonts w:ascii="Times New Roman" w:hAnsi="Times New Roman" w:cs="Times New Roman"/>
          <w:sz w:val="24"/>
          <w:szCs w:val="24"/>
        </w:rPr>
        <w:t xml:space="preserve"> within the text. The application of the Roman social value, honour and shame, was to earn both </w:t>
      </w:r>
      <w:proofErr w:type="spellStart"/>
      <w:r w:rsidR="003F394A">
        <w:rPr>
          <w:rFonts w:ascii="Times New Roman" w:hAnsi="Times New Roman" w:cs="Times New Roman"/>
          <w:sz w:val="24"/>
          <w:szCs w:val="24"/>
        </w:rPr>
        <w:t>Thecla</w:t>
      </w:r>
      <w:proofErr w:type="spellEnd"/>
      <w:r w:rsidR="003F394A">
        <w:rPr>
          <w:rFonts w:ascii="Times New Roman" w:hAnsi="Times New Roman" w:cs="Times New Roman"/>
          <w:sz w:val="24"/>
          <w:szCs w:val="24"/>
        </w:rPr>
        <w:t xml:space="preserve"> and </w:t>
      </w:r>
      <w:proofErr w:type="spellStart"/>
      <w:r w:rsidR="003F394A">
        <w:rPr>
          <w:rFonts w:ascii="Times New Roman" w:hAnsi="Times New Roman" w:cs="Times New Roman"/>
          <w:sz w:val="24"/>
          <w:szCs w:val="24"/>
        </w:rPr>
        <w:t>Thamyris</w:t>
      </w:r>
      <w:proofErr w:type="spellEnd"/>
      <w:r w:rsidR="003F394A">
        <w:rPr>
          <w:rFonts w:ascii="Times New Roman" w:hAnsi="Times New Roman" w:cs="Times New Roman"/>
          <w:sz w:val="24"/>
          <w:szCs w:val="24"/>
        </w:rPr>
        <w:t xml:space="preserve"> honour within the eyes of their community. Not only was this for their community but also for their family. This further adds the aspect of </w:t>
      </w:r>
      <w:proofErr w:type="spellStart"/>
      <w:r w:rsidR="003F394A">
        <w:rPr>
          <w:rFonts w:ascii="Times New Roman" w:hAnsi="Times New Roman" w:cs="Times New Roman"/>
          <w:sz w:val="24"/>
          <w:szCs w:val="24"/>
        </w:rPr>
        <w:t>Thecla</w:t>
      </w:r>
      <w:proofErr w:type="spellEnd"/>
      <w:r w:rsidR="003F394A">
        <w:rPr>
          <w:rFonts w:ascii="Times New Roman" w:hAnsi="Times New Roman" w:cs="Times New Roman"/>
          <w:sz w:val="24"/>
          <w:szCs w:val="24"/>
        </w:rPr>
        <w:t xml:space="preserve"> not having a father/ male role within the household, which also illustrates the importance of the marriage of the young Pagans. </w:t>
      </w:r>
      <w:r w:rsidR="00D13F1C">
        <w:rPr>
          <w:rFonts w:ascii="Times New Roman" w:hAnsi="Times New Roman" w:cs="Times New Roman"/>
          <w:sz w:val="24"/>
          <w:szCs w:val="24"/>
        </w:rPr>
        <w:t>Further highlighting the way that we can understand how the text was written and why the Roman social values were highly regarded through this time.</w:t>
      </w:r>
    </w:p>
    <w:p w:rsidR="00A62FC7" w:rsidRPr="00A62FC7" w:rsidRDefault="00A62FC7">
      <w:pPr>
        <w:rPr>
          <w:rFonts w:ascii="Times New Roman" w:hAnsi="Times New Roman" w:cs="Times New Roman"/>
          <w:b/>
          <w:sz w:val="24"/>
          <w:szCs w:val="24"/>
          <w:u w:val="single"/>
        </w:rPr>
      </w:pPr>
      <w:r>
        <w:rPr>
          <w:rFonts w:ascii="Times New Roman" w:hAnsi="Times New Roman" w:cs="Times New Roman"/>
          <w:b/>
          <w:sz w:val="24"/>
          <w:szCs w:val="24"/>
          <w:u w:val="single"/>
        </w:rPr>
        <w:t>Conclusion:</w:t>
      </w:r>
    </w:p>
    <w:p w:rsidR="00AC355B" w:rsidRDefault="00E64AE0">
      <w:pPr>
        <w:rPr>
          <w:rFonts w:ascii="Times New Roman" w:hAnsi="Times New Roman" w:cs="Times New Roman"/>
          <w:sz w:val="24"/>
          <w:szCs w:val="24"/>
        </w:rPr>
      </w:pPr>
      <w:r>
        <w:rPr>
          <w:rFonts w:ascii="Times New Roman" w:hAnsi="Times New Roman" w:cs="Times New Roman"/>
          <w:sz w:val="24"/>
          <w:szCs w:val="24"/>
        </w:rPr>
        <w:t xml:space="preserve">The application of the Roman social value of honour and shame is, as previously mentioned, undermined within The Acts of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text in some aspects more than others. With this, if further shows the understanding of how the text is read and understood in different ways through this social value and how it does affect the lives of not only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but also other women of this time. With my points being discussed,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should have married </w:t>
      </w:r>
      <w:proofErr w:type="spellStart"/>
      <w:r>
        <w:rPr>
          <w:rFonts w:ascii="Times New Roman" w:hAnsi="Times New Roman" w:cs="Times New Roman"/>
          <w:sz w:val="24"/>
          <w:szCs w:val="24"/>
        </w:rPr>
        <w:t>Thamyris</w:t>
      </w:r>
      <w:proofErr w:type="spellEnd"/>
      <w:r>
        <w:rPr>
          <w:rFonts w:ascii="Times New Roman" w:hAnsi="Times New Roman" w:cs="Times New Roman"/>
          <w:sz w:val="24"/>
          <w:szCs w:val="24"/>
        </w:rPr>
        <w:t xml:space="preserve"> within the text, she should have died in the flames and </w:t>
      </w:r>
      <w:proofErr w:type="spellStart"/>
      <w:r>
        <w:rPr>
          <w:rFonts w:ascii="Times New Roman" w:hAnsi="Times New Roman" w:cs="Times New Roman"/>
          <w:sz w:val="24"/>
          <w:szCs w:val="24"/>
        </w:rPr>
        <w:t>Thecla</w:t>
      </w:r>
      <w:proofErr w:type="spellEnd"/>
      <w:r>
        <w:rPr>
          <w:rFonts w:ascii="Times New Roman" w:hAnsi="Times New Roman" w:cs="Times New Roman"/>
          <w:sz w:val="24"/>
          <w:szCs w:val="24"/>
        </w:rPr>
        <w:t xml:space="preserve">, ultimately, would not have achieved what she did achieve if she hadn’t have fought against the Roman social values. This shows further how she did fight against this and was rewarded greatly, not by her own family or social group but by joining the growing community of Christians during this time. The greatest change through thinking this way about the Roman social values </w:t>
      </w:r>
      <w:r w:rsidR="0022750C">
        <w:rPr>
          <w:rFonts w:ascii="Times New Roman" w:hAnsi="Times New Roman" w:cs="Times New Roman"/>
          <w:sz w:val="24"/>
          <w:szCs w:val="24"/>
        </w:rPr>
        <w:t>does not undermine the way the Roman Empire had strict values on women during this time but there are examples of women and men attempting to break out of this strict demand and opting for a more lenient and rewarding way of living through becoming Christians. Although this did have its consequences, over time they began to be accepted within the Empire and soon became the religion of the empire, not the Pagan religion that it has been.</w:t>
      </w:r>
    </w:p>
    <w:p w:rsidR="00AC355B" w:rsidRDefault="00AC355B">
      <w:pPr>
        <w:rPr>
          <w:rFonts w:ascii="Times New Roman" w:hAnsi="Times New Roman" w:cs="Times New Roman"/>
          <w:sz w:val="24"/>
          <w:szCs w:val="24"/>
        </w:rPr>
      </w:pPr>
    </w:p>
    <w:p w:rsidR="00AC355B" w:rsidRDefault="00AC355B">
      <w:pPr>
        <w:rPr>
          <w:rFonts w:ascii="Times New Roman" w:hAnsi="Times New Roman" w:cs="Times New Roman"/>
          <w:sz w:val="24"/>
          <w:szCs w:val="24"/>
        </w:rPr>
      </w:pPr>
    </w:p>
    <w:p w:rsidR="00AC355B" w:rsidRDefault="00AC355B">
      <w:pPr>
        <w:rPr>
          <w:rFonts w:ascii="Times New Roman" w:hAnsi="Times New Roman" w:cs="Times New Roman"/>
          <w:sz w:val="24"/>
          <w:szCs w:val="24"/>
        </w:rPr>
      </w:pPr>
    </w:p>
    <w:p w:rsidR="00AC355B" w:rsidRDefault="00AC355B">
      <w:pPr>
        <w:rPr>
          <w:rFonts w:ascii="Times New Roman" w:hAnsi="Times New Roman" w:cs="Times New Roman"/>
          <w:sz w:val="24"/>
          <w:szCs w:val="24"/>
        </w:rPr>
      </w:pPr>
    </w:p>
    <w:p w:rsidR="00AC355B" w:rsidRDefault="00AC355B" w:rsidP="00F03E93">
      <w:pPr>
        <w:jc w:val="center"/>
        <w:rPr>
          <w:rFonts w:ascii="Times New Roman" w:hAnsi="Times New Roman" w:cs="Times New Roman"/>
          <w:b/>
          <w:sz w:val="24"/>
          <w:szCs w:val="24"/>
        </w:rPr>
      </w:pPr>
      <w:r w:rsidRPr="00AC355B">
        <w:rPr>
          <w:rFonts w:ascii="Times New Roman" w:hAnsi="Times New Roman" w:cs="Times New Roman"/>
          <w:b/>
          <w:sz w:val="24"/>
          <w:szCs w:val="24"/>
        </w:rPr>
        <w:lastRenderedPageBreak/>
        <w:t>Bibliography</w:t>
      </w:r>
    </w:p>
    <w:p w:rsidR="00F03E93" w:rsidRDefault="00F03E93">
      <w:pPr>
        <w:rPr>
          <w:rFonts w:ascii="Times New Roman" w:hAnsi="Times New Roman" w:cs="Times New Roman"/>
          <w:sz w:val="24"/>
          <w:szCs w:val="24"/>
        </w:rPr>
      </w:pPr>
    </w:p>
    <w:p w:rsidR="0022750C" w:rsidRDefault="0022750C">
      <w:pPr>
        <w:rPr>
          <w:rFonts w:ascii="Times New Roman" w:hAnsi="Times New Roman" w:cs="Times New Roman"/>
          <w:sz w:val="24"/>
          <w:szCs w:val="24"/>
        </w:rPr>
      </w:pPr>
      <w:proofErr w:type="spellStart"/>
      <w:r>
        <w:rPr>
          <w:rFonts w:ascii="Times New Roman" w:hAnsi="Times New Roman" w:cs="Times New Roman"/>
          <w:sz w:val="24"/>
          <w:szCs w:val="24"/>
        </w:rPr>
        <w:t>Burrus</w:t>
      </w:r>
      <w:proofErr w:type="spellEnd"/>
      <w:r>
        <w:rPr>
          <w:rFonts w:ascii="Times New Roman" w:hAnsi="Times New Roman" w:cs="Times New Roman"/>
          <w:sz w:val="24"/>
          <w:szCs w:val="24"/>
        </w:rPr>
        <w:t xml:space="preserve">, Virginia, </w:t>
      </w:r>
      <w:r w:rsidR="00F03E93">
        <w:rPr>
          <w:rFonts w:ascii="Times New Roman" w:hAnsi="Times New Roman" w:cs="Times New Roman"/>
          <w:sz w:val="24"/>
          <w:szCs w:val="24"/>
        </w:rPr>
        <w:t>“</w:t>
      </w:r>
      <w:r w:rsidRPr="009C5D7B">
        <w:rPr>
          <w:rFonts w:ascii="Times New Roman" w:hAnsi="Times New Roman" w:cs="Times New Roman"/>
          <w:i/>
          <w:sz w:val="24"/>
          <w:szCs w:val="24"/>
        </w:rPr>
        <w:t>Chastity as Autonomy</w:t>
      </w:r>
      <w:r w:rsidR="00F03E93">
        <w:rPr>
          <w:rFonts w:ascii="Times New Roman" w:hAnsi="Times New Roman" w:cs="Times New Roman"/>
          <w:i/>
          <w:sz w:val="24"/>
          <w:szCs w:val="24"/>
        </w:rPr>
        <w:t>”</w:t>
      </w:r>
      <w:r>
        <w:rPr>
          <w:rFonts w:ascii="Times New Roman" w:hAnsi="Times New Roman" w:cs="Times New Roman"/>
          <w:sz w:val="24"/>
          <w:szCs w:val="24"/>
        </w:rPr>
        <w:t xml:space="preserve"> (Lewiston, N.Y. [etc.]: The Edwin </w:t>
      </w:r>
      <w:proofErr w:type="spellStart"/>
      <w:r>
        <w:rPr>
          <w:rFonts w:ascii="Times New Roman" w:hAnsi="Times New Roman" w:cs="Times New Roman"/>
          <w:sz w:val="24"/>
          <w:szCs w:val="24"/>
        </w:rPr>
        <w:t>Mellen</w:t>
      </w:r>
      <w:proofErr w:type="spellEnd"/>
      <w:r>
        <w:rPr>
          <w:rFonts w:ascii="Times New Roman" w:hAnsi="Times New Roman" w:cs="Times New Roman"/>
          <w:sz w:val="24"/>
          <w:szCs w:val="24"/>
        </w:rPr>
        <w:t xml:space="preserve"> Press, 1987)</w:t>
      </w:r>
    </w:p>
    <w:p w:rsidR="0022750C" w:rsidRDefault="0022750C">
      <w:pPr>
        <w:rPr>
          <w:rFonts w:ascii="Times New Roman" w:hAnsi="Times New Roman" w:cs="Times New Roman"/>
          <w:sz w:val="24"/>
          <w:szCs w:val="24"/>
        </w:rPr>
      </w:pPr>
      <w:r>
        <w:rPr>
          <w:rFonts w:ascii="Times New Roman" w:hAnsi="Times New Roman" w:cs="Times New Roman"/>
          <w:sz w:val="24"/>
          <w:szCs w:val="24"/>
        </w:rPr>
        <w:t xml:space="preserve">Crook, </w:t>
      </w:r>
      <w:proofErr w:type="spellStart"/>
      <w:r>
        <w:rPr>
          <w:rFonts w:ascii="Times New Roman" w:hAnsi="Times New Roman" w:cs="Times New Roman"/>
          <w:sz w:val="24"/>
          <w:szCs w:val="24"/>
        </w:rPr>
        <w:t>Zeba</w:t>
      </w:r>
      <w:proofErr w:type="spellEnd"/>
      <w:r>
        <w:rPr>
          <w:rFonts w:ascii="Times New Roman" w:hAnsi="Times New Roman" w:cs="Times New Roman"/>
          <w:sz w:val="24"/>
          <w:szCs w:val="24"/>
        </w:rPr>
        <w:t xml:space="preserve">, </w:t>
      </w:r>
      <w:r w:rsidRPr="00711D00">
        <w:rPr>
          <w:rFonts w:ascii="Times New Roman" w:hAnsi="Times New Roman" w:cs="Times New Roman"/>
          <w:i/>
          <w:sz w:val="24"/>
          <w:szCs w:val="24"/>
        </w:rPr>
        <w:t>“</w:t>
      </w:r>
      <w:proofErr w:type="spellStart"/>
      <w:r w:rsidRPr="00711D00">
        <w:rPr>
          <w:rFonts w:ascii="Times New Roman" w:hAnsi="Times New Roman" w:cs="Times New Roman"/>
          <w:i/>
          <w:sz w:val="24"/>
          <w:szCs w:val="24"/>
        </w:rPr>
        <w:t>Honor</w:t>
      </w:r>
      <w:proofErr w:type="spellEnd"/>
      <w:r w:rsidRPr="00711D00">
        <w:rPr>
          <w:rFonts w:ascii="Times New Roman" w:hAnsi="Times New Roman" w:cs="Times New Roman"/>
          <w:i/>
          <w:sz w:val="24"/>
          <w:szCs w:val="24"/>
        </w:rPr>
        <w:t xml:space="preserve">, Shame, </w:t>
      </w:r>
      <w:proofErr w:type="gramStart"/>
      <w:r w:rsidRPr="00711D00">
        <w:rPr>
          <w:rFonts w:ascii="Times New Roman" w:hAnsi="Times New Roman" w:cs="Times New Roman"/>
          <w:i/>
          <w:sz w:val="24"/>
          <w:szCs w:val="24"/>
        </w:rPr>
        <w:t>And</w:t>
      </w:r>
      <w:proofErr w:type="gramEnd"/>
      <w:r w:rsidRPr="00711D00">
        <w:rPr>
          <w:rFonts w:ascii="Times New Roman" w:hAnsi="Times New Roman" w:cs="Times New Roman"/>
          <w:i/>
          <w:sz w:val="24"/>
          <w:szCs w:val="24"/>
        </w:rPr>
        <w:t xml:space="preserve"> Social Status Revisited”,</w:t>
      </w:r>
      <w:r>
        <w:rPr>
          <w:rFonts w:ascii="Times New Roman" w:hAnsi="Times New Roman" w:cs="Times New Roman"/>
          <w:sz w:val="24"/>
          <w:szCs w:val="24"/>
        </w:rPr>
        <w:t xml:space="preserve"> Journal of Biblical Literature, 128.3, (2009)</w:t>
      </w:r>
    </w:p>
    <w:p w:rsidR="00F03E93" w:rsidRDefault="00F03E93">
      <w:pPr>
        <w:rPr>
          <w:rFonts w:ascii="Times New Roman" w:hAnsi="Times New Roman" w:cs="Times New Roman"/>
          <w:sz w:val="24"/>
          <w:szCs w:val="24"/>
        </w:rPr>
      </w:pPr>
      <w:proofErr w:type="spellStart"/>
      <w:r>
        <w:rPr>
          <w:rFonts w:ascii="Times New Roman" w:hAnsi="Times New Roman" w:cs="Times New Roman"/>
          <w:sz w:val="24"/>
          <w:szCs w:val="24"/>
        </w:rPr>
        <w:t>DeSilva</w:t>
      </w:r>
      <w:proofErr w:type="spellEnd"/>
      <w:r>
        <w:rPr>
          <w:rFonts w:ascii="Times New Roman" w:hAnsi="Times New Roman" w:cs="Times New Roman"/>
          <w:sz w:val="24"/>
          <w:szCs w:val="24"/>
        </w:rPr>
        <w:t>, David A, “</w:t>
      </w:r>
      <w:r w:rsidRPr="00F03E93">
        <w:rPr>
          <w:rFonts w:ascii="Times New Roman" w:hAnsi="Times New Roman" w:cs="Times New Roman"/>
          <w:i/>
          <w:sz w:val="24"/>
          <w:szCs w:val="24"/>
        </w:rPr>
        <w:t xml:space="preserve">An Introduction </w:t>
      </w:r>
      <w:proofErr w:type="gramStart"/>
      <w:r w:rsidRPr="00F03E93">
        <w:rPr>
          <w:rFonts w:ascii="Times New Roman" w:hAnsi="Times New Roman" w:cs="Times New Roman"/>
          <w:i/>
          <w:sz w:val="24"/>
          <w:szCs w:val="24"/>
        </w:rPr>
        <w:t>To</w:t>
      </w:r>
      <w:proofErr w:type="gramEnd"/>
      <w:r w:rsidRPr="00F03E93">
        <w:rPr>
          <w:rFonts w:ascii="Times New Roman" w:hAnsi="Times New Roman" w:cs="Times New Roman"/>
          <w:i/>
          <w:sz w:val="24"/>
          <w:szCs w:val="24"/>
        </w:rPr>
        <w:t xml:space="preserve"> The New Testament: Contexts, Methods &amp; Ministry Formation”</w:t>
      </w:r>
      <w:r>
        <w:rPr>
          <w:rFonts w:ascii="Times New Roman" w:hAnsi="Times New Roman" w:cs="Times New Roman"/>
          <w:sz w:val="24"/>
          <w:szCs w:val="24"/>
        </w:rPr>
        <w:t xml:space="preserve"> (Leicester: </w:t>
      </w:r>
      <w:proofErr w:type="spellStart"/>
      <w:r>
        <w:rPr>
          <w:rFonts w:ascii="Times New Roman" w:hAnsi="Times New Roman" w:cs="Times New Roman"/>
          <w:sz w:val="24"/>
          <w:szCs w:val="24"/>
        </w:rPr>
        <w:t>InterVarsity</w:t>
      </w:r>
      <w:proofErr w:type="spellEnd"/>
      <w:r>
        <w:rPr>
          <w:rFonts w:ascii="Times New Roman" w:hAnsi="Times New Roman" w:cs="Times New Roman"/>
          <w:sz w:val="24"/>
          <w:szCs w:val="24"/>
        </w:rPr>
        <w:t xml:space="preserve"> Press, 2004)</w:t>
      </w:r>
    </w:p>
    <w:p w:rsidR="0022750C" w:rsidRDefault="0022750C">
      <w:pPr>
        <w:rPr>
          <w:rFonts w:ascii="Times New Roman" w:hAnsi="Times New Roman" w:cs="Times New Roman"/>
          <w:sz w:val="24"/>
          <w:szCs w:val="24"/>
        </w:rPr>
      </w:pPr>
      <w:proofErr w:type="spellStart"/>
      <w:r>
        <w:rPr>
          <w:rFonts w:ascii="Times New Roman" w:hAnsi="Times New Roman" w:cs="Times New Roman"/>
          <w:sz w:val="24"/>
          <w:szCs w:val="24"/>
        </w:rPr>
        <w:t>Ehrman</w:t>
      </w:r>
      <w:proofErr w:type="spellEnd"/>
      <w:r>
        <w:rPr>
          <w:rFonts w:ascii="Times New Roman" w:hAnsi="Times New Roman" w:cs="Times New Roman"/>
          <w:sz w:val="24"/>
          <w:szCs w:val="24"/>
        </w:rPr>
        <w:t xml:space="preserve">, </w:t>
      </w:r>
      <w:r w:rsidR="00F03E93">
        <w:rPr>
          <w:rFonts w:ascii="Times New Roman" w:hAnsi="Times New Roman" w:cs="Times New Roman"/>
          <w:sz w:val="24"/>
          <w:szCs w:val="24"/>
        </w:rPr>
        <w:t>“</w:t>
      </w:r>
      <w:r w:rsidRPr="009C5D7B">
        <w:rPr>
          <w:rFonts w:ascii="Times New Roman" w:hAnsi="Times New Roman" w:cs="Times New Roman"/>
          <w:i/>
          <w:sz w:val="24"/>
          <w:szCs w:val="24"/>
        </w:rPr>
        <w:t>After the New Testament: A Reader in Early Christianity</w:t>
      </w:r>
      <w:r w:rsidR="00F03E93">
        <w:rPr>
          <w:rFonts w:ascii="Times New Roman" w:hAnsi="Times New Roman" w:cs="Times New Roman"/>
          <w:i/>
          <w:sz w:val="24"/>
          <w:szCs w:val="24"/>
        </w:rPr>
        <w:t>,”</w:t>
      </w:r>
      <w:r>
        <w:rPr>
          <w:rFonts w:ascii="Times New Roman" w:hAnsi="Times New Roman" w:cs="Times New Roman"/>
          <w:sz w:val="24"/>
          <w:szCs w:val="24"/>
        </w:rPr>
        <w:t xml:space="preserve"> (Oxford: Oxford University Press, 1999)</w:t>
      </w:r>
    </w:p>
    <w:p w:rsidR="0022750C" w:rsidRDefault="0022750C">
      <w:pPr>
        <w:rPr>
          <w:rFonts w:ascii="Times New Roman" w:hAnsi="Times New Roman" w:cs="Times New Roman"/>
          <w:sz w:val="24"/>
          <w:szCs w:val="24"/>
        </w:rPr>
      </w:pPr>
      <w:r>
        <w:rPr>
          <w:rFonts w:ascii="Times New Roman" w:hAnsi="Times New Roman" w:cs="Times New Roman"/>
          <w:sz w:val="24"/>
          <w:szCs w:val="24"/>
        </w:rPr>
        <w:t xml:space="preserve">Lu, Shi-Min, </w:t>
      </w:r>
      <w:r w:rsidRPr="00DB4607">
        <w:rPr>
          <w:rFonts w:ascii="Times New Roman" w:hAnsi="Times New Roman" w:cs="Times New Roman"/>
          <w:i/>
          <w:sz w:val="24"/>
          <w:szCs w:val="24"/>
        </w:rPr>
        <w:t xml:space="preserve">“Woman’s Role </w:t>
      </w:r>
      <w:proofErr w:type="gramStart"/>
      <w:r w:rsidRPr="00DB4607">
        <w:rPr>
          <w:rFonts w:ascii="Times New Roman" w:hAnsi="Times New Roman" w:cs="Times New Roman"/>
          <w:i/>
          <w:sz w:val="24"/>
          <w:szCs w:val="24"/>
        </w:rPr>
        <w:t>In</w:t>
      </w:r>
      <w:proofErr w:type="gramEnd"/>
      <w:r w:rsidRPr="00DB4607">
        <w:rPr>
          <w:rFonts w:ascii="Times New Roman" w:hAnsi="Times New Roman" w:cs="Times New Roman"/>
          <w:i/>
          <w:sz w:val="24"/>
          <w:szCs w:val="24"/>
        </w:rPr>
        <w:t xml:space="preserve"> New Testament Household Codes: Transforming First-Century Roman Culture”,</w:t>
      </w:r>
      <w:r>
        <w:rPr>
          <w:rFonts w:ascii="Times New Roman" w:hAnsi="Times New Roman" w:cs="Times New Roman"/>
          <w:sz w:val="24"/>
          <w:szCs w:val="24"/>
        </w:rPr>
        <w:t xml:space="preserve"> Priscilla Papers, 30.1 (2016)</w:t>
      </w:r>
    </w:p>
    <w:p w:rsidR="00F03E93" w:rsidRDefault="00F03E93">
      <w:pPr>
        <w:rPr>
          <w:rFonts w:ascii="Arial" w:hAnsi="Arial" w:cs="Arial"/>
          <w:color w:val="666666"/>
          <w:sz w:val="20"/>
          <w:szCs w:val="20"/>
          <w:shd w:val="clear" w:color="auto" w:fill="FFF5AA"/>
        </w:rPr>
      </w:pPr>
    </w:p>
    <w:p w:rsidR="009C5D7B" w:rsidRDefault="009C5D7B">
      <w:pPr>
        <w:rPr>
          <w:rFonts w:ascii="Times New Roman" w:hAnsi="Times New Roman" w:cs="Times New Roman"/>
          <w:sz w:val="24"/>
          <w:szCs w:val="24"/>
        </w:rPr>
      </w:pPr>
    </w:p>
    <w:p w:rsidR="00AC355B" w:rsidRPr="00AC355B" w:rsidRDefault="00AC355B">
      <w:pPr>
        <w:rPr>
          <w:rFonts w:ascii="Times New Roman" w:hAnsi="Times New Roman" w:cs="Times New Roman"/>
          <w:sz w:val="24"/>
          <w:szCs w:val="24"/>
        </w:rPr>
      </w:pPr>
    </w:p>
    <w:p w:rsidR="00AC355B" w:rsidRDefault="00AC355B" w:rsidP="00AC355B">
      <w:pPr>
        <w:pStyle w:val="NormalWeb"/>
        <w:shd w:val="clear" w:color="auto" w:fill="FFFFFF"/>
        <w:spacing w:before="0" w:beforeAutospacing="0" w:after="0" w:afterAutospacing="0" w:line="360" w:lineRule="atLeast"/>
        <w:ind w:hanging="134"/>
        <w:rPr>
          <w:rStyle w:val="Strong"/>
          <w:rFonts w:ascii="Arial" w:hAnsi="Arial" w:cs="Arial"/>
          <w:color w:val="666666"/>
          <w:sz w:val="22"/>
          <w:szCs w:val="22"/>
        </w:rPr>
      </w:pPr>
    </w:p>
    <w:p w:rsidR="00AC355B" w:rsidRPr="00AC355B" w:rsidRDefault="00AC355B">
      <w:pPr>
        <w:rPr>
          <w:rFonts w:ascii="Times New Roman" w:hAnsi="Times New Roman" w:cs="Times New Roman"/>
          <w:sz w:val="24"/>
          <w:szCs w:val="24"/>
        </w:rPr>
      </w:pPr>
    </w:p>
    <w:p w:rsidR="00AC355B" w:rsidRPr="00413073" w:rsidRDefault="00AC355B">
      <w:pPr>
        <w:rPr>
          <w:rFonts w:ascii="Times New Roman" w:hAnsi="Times New Roman" w:cs="Times New Roman"/>
          <w:sz w:val="24"/>
          <w:szCs w:val="24"/>
        </w:rPr>
      </w:pPr>
    </w:p>
    <w:sectPr w:rsidR="00AC355B" w:rsidRPr="00413073" w:rsidSect="00430EED">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073" w:rsidRDefault="00413073" w:rsidP="00413073">
      <w:pPr>
        <w:spacing w:after="0" w:line="240" w:lineRule="auto"/>
      </w:pPr>
      <w:r>
        <w:separator/>
      </w:r>
    </w:p>
  </w:endnote>
  <w:endnote w:type="continuationSeparator" w:id="1">
    <w:p w:rsidR="00413073" w:rsidRDefault="00413073" w:rsidP="004130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073" w:rsidRDefault="00413073" w:rsidP="00413073">
      <w:pPr>
        <w:spacing w:after="0" w:line="240" w:lineRule="auto"/>
      </w:pPr>
      <w:r>
        <w:separator/>
      </w:r>
    </w:p>
  </w:footnote>
  <w:footnote w:type="continuationSeparator" w:id="1">
    <w:p w:rsidR="00413073" w:rsidRDefault="00413073" w:rsidP="00413073">
      <w:pPr>
        <w:spacing w:after="0" w:line="240" w:lineRule="auto"/>
      </w:pPr>
      <w:r>
        <w:continuationSeparator/>
      </w:r>
    </w:p>
  </w:footnote>
  <w:footnote w:id="2">
    <w:p w:rsidR="00323F38" w:rsidRDefault="00323F38">
      <w:pPr>
        <w:pStyle w:val="FootnoteText"/>
      </w:pPr>
      <w:r>
        <w:rPr>
          <w:rStyle w:val="FootnoteReference"/>
        </w:rPr>
        <w:footnoteRef/>
      </w:r>
      <w:r w:rsidR="00F03E93">
        <w:t xml:space="preserve"> David A </w:t>
      </w:r>
      <w:proofErr w:type="spellStart"/>
      <w:r w:rsidR="00F03E93">
        <w:t>DeSilva</w:t>
      </w:r>
      <w:proofErr w:type="spellEnd"/>
      <w:r w:rsidR="00F03E93">
        <w:t xml:space="preserve">, </w:t>
      </w:r>
      <w:r w:rsidR="00F03E93" w:rsidRPr="00F03E93">
        <w:rPr>
          <w:i/>
        </w:rPr>
        <w:t xml:space="preserve">“An Introduction to </w:t>
      </w:r>
      <w:proofErr w:type="gramStart"/>
      <w:r w:rsidR="00F03E93" w:rsidRPr="00F03E93">
        <w:rPr>
          <w:i/>
        </w:rPr>
        <w:t>The</w:t>
      </w:r>
      <w:proofErr w:type="gramEnd"/>
      <w:r w:rsidR="00F03E93" w:rsidRPr="00F03E93">
        <w:rPr>
          <w:i/>
        </w:rPr>
        <w:t xml:space="preserve"> New Testament: Contexts, Methods and Ministry Formation”</w:t>
      </w:r>
      <w:r w:rsidR="00F03E93">
        <w:t xml:space="preserve"> (Leicester: </w:t>
      </w:r>
      <w:proofErr w:type="spellStart"/>
      <w:r w:rsidR="00F03E93">
        <w:t>InterVarsity</w:t>
      </w:r>
      <w:proofErr w:type="spellEnd"/>
      <w:r w:rsidR="00F03E93">
        <w:t xml:space="preserve"> Press, 2004).</w:t>
      </w:r>
      <w:r>
        <w:t>p.125.</w:t>
      </w:r>
    </w:p>
  </w:footnote>
  <w:footnote w:id="3">
    <w:p w:rsidR="009514B0" w:rsidRPr="003F394A" w:rsidRDefault="009514B0">
      <w:pPr>
        <w:pStyle w:val="FootnoteText"/>
        <w:rPr>
          <w:rFonts w:cstheme="minorHAnsi"/>
        </w:rPr>
      </w:pPr>
      <w:r w:rsidRPr="003F394A">
        <w:rPr>
          <w:rStyle w:val="FootnoteReference"/>
        </w:rPr>
        <w:footnoteRef/>
      </w:r>
      <w:r w:rsidRPr="003F394A">
        <w:t xml:space="preserve"> </w:t>
      </w:r>
      <w:r w:rsidRPr="003F394A">
        <w:rPr>
          <w:rFonts w:cstheme="minorHAnsi"/>
        </w:rPr>
        <w:t xml:space="preserve">Bart D </w:t>
      </w:r>
      <w:proofErr w:type="spellStart"/>
      <w:r w:rsidRPr="003F394A">
        <w:rPr>
          <w:rFonts w:cstheme="minorHAnsi"/>
        </w:rPr>
        <w:t>Ehrman</w:t>
      </w:r>
      <w:proofErr w:type="spellEnd"/>
      <w:r w:rsidRPr="003F394A">
        <w:rPr>
          <w:rFonts w:cstheme="minorHAnsi"/>
        </w:rPr>
        <w:t xml:space="preserve">, </w:t>
      </w:r>
      <w:r w:rsidR="00F03E93">
        <w:rPr>
          <w:rFonts w:cstheme="minorHAnsi"/>
        </w:rPr>
        <w:t>“</w:t>
      </w:r>
      <w:r w:rsidRPr="003F394A">
        <w:rPr>
          <w:rFonts w:cstheme="minorHAnsi"/>
          <w:i/>
        </w:rPr>
        <w:t>After the New Testament:</w:t>
      </w:r>
      <w:r w:rsidR="00F03E93">
        <w:rPr>
          <w:rFonts w:cstheme="minorHAnsi"/>
          <w:i/>
        </w:rPr>
        <w:t xml:space="preserve"> A Reader in Early Christianity,”</w:t>
      </w:r>
      <w:r w:rsidRPr="003F394A">
        <w:rPr>
          <w:rFonts w:cstheme="minorHAnsi"/>
        </w:rPr>
        <w:t xml:space="preserve"> (Oxford: Oxford University Press, 1999).p.279.</w:t>
      </w:r>
    </w:p>
  </w:footnote>
  <w:footnote w:id="4">
    <w:p w:rsidR="009514B0" w:rsidRPr="003F394A" w:rsidRDefault="009514B0">
      <w:pPr>
        <w:pStyle w:val="FootnoteText"/>
        <w:rPr>
          <w:rFonts w:cstheme="minorHAnsi"/>
        </w:rPr>
      </w:pPr>
      <w:r w:rsidRPr="003F394A">
        <w:rPr>
          <w:rStyle w:val="FootnoteReference"/>
          <w:rFonts w:cstheme="minorHAnsi"/>
        </w:rPr>
        <w:footnoteRef/>
      </w:r>
      <w:r w:rsidRPr="003F394A">
        <w:rPr>
          <w:rFonts w:cstheme="minorHAnsi"/>
        </w:rPr>
        <w:t xml:space="preserve"> Bart D </w:t>
      </w:r>
      <w:proofErr w:type="spellStart"/>
      <w:r w:rsidRPr="003F394A">
        <w:rPr>
          <w:rFonts w:cstheme="minorHAnsi"/>
        </w:rPr>
        <w:t>Ehrman</w:t>
      </w:r>
      <w:proofErr w:type="spellEnd"/>
      <w:r w:rsidRPr="003F394A">
        <w:rPr>
          <w:rFonts w:cstheme="minorHAnsi"/>
        </w:rPr>
        <w:t xml:space="preserve">, </w:t>
      </w:r>
      <w:r w:rsidR="00F03E93">
        <w:rPr>
          <w:rFonts w:cstheme="minorHAnsi"/>
        </w:rPr>
        <w:t>“</w:t>
      </w:r>
      <w:r w:rsidRPr="003F394A">
        <w:rPr>
          <w:rFonts w:cstheme="minorHAnsi"/>
          <w:i/>
        </w:rPr>
        <w:t>After the New Testament: A Reader in Early Christianity,</w:t>
      </w:r>
      <w:r w:rsidR="00F03E93">
        <w:rPr>
          <w:rFonts w:cstheme="minorHAnsi"/>
          <w:i/>
        </w:rPr>
        <w:t>”</w:t>
      </w:r>
      <w:r w:rsidR="0075540C" w:rsidRPr="003F394A">
        <w:rPr>
          <w:rFonts w:cstheme="minorHAnsi"/>
        </w:rPr>
        <w:t xml:space="preserve"> </w:t>
      </w:r>
      <w:r w:rsidRPr="003F394A">
        <w:rPr>
          <w:rFonts w:cstheme="minorHAnsi"/>
        </w:rPr>
        <w:t>(Oxford: Oxford University Press, 1999).</w:t>
      </w:r>
      <w:r w:rsidR="00D609DE" w:rsidRPr="003F394A">
        <w:rPr>
          <w:rFonts w:cstheme="minorHAnsi"/>
        </w:rPr>
        <w:t>p.279.</w:t>
      </w:r>
    </w:p>
  </w:footnote>
  <w:footnote w:id="5">
    <w:p w:rsidR="00D45159" w:rsidRPr="003F394A" w:rsidRDefault="00D45159">
      <w:pPr>
        <w:pStyle w:val="FootnoteText"/>
        <w:rPr>
          <w:rFonts w:cstheme="minorHAnsi"/>
        </w:rPr>
      </w:pPr>
      <w:r w:rsidRPr="003F394A">
        <w:rPr>
          <w:rStyle w:val="FootnoteReference"/>
          <w:rFonts w:cstheme="minorHAnsi"/>
        </w:rPr>
        <w:footnoteRef/>
      </w:r>
      <w:r w:rsidRPr="003F394A">
        <w:rPr>
          <w:rFonts w:cstheme="minorHAnsi"/>
        </w:rPr>
        <w:t xml:space="preserve"> </w:t>
      </w:r>
      <w:proofErr w:type="gramStart"/>
      <w:r w:rsidR="00375456" w:rsidRPr="003F394A">
        <w:rPr>
          <w:rFonts w:cstheme="minorHAnsi"/>
        </w:rPr>
        <w:t xml:space="preserve">Virginia, </w:t>
      </w:r>
      <w:proofErr w:type="spellStart"/>
      <w:r w:rsidR="00375456" w:rsidRPr="003F394A">
        <w:rPr>
          <w:rFonts w:cstheme="minorHAnsi"/>
        </w:rPr>
        <w:t>Burrus</w:t>
      </w:r>
      <w:proofErr w:type="spellEnd"/>
      <w:r w:rsidR="00375456" w:rsidRPr="003F394A">
        <w:rPr>
          <w:rFonts w:cstheme="minorHAnsi"/>
        </w:rPr>
        <w:t xml:space="preserve">, </w:t>
      </w:r>
      <w:r w:rsidR="00F03E93">
        <w:rPr>
          <w:rFonts w:cstheme="minorHAnsi"/>
        </w:rPr>
        <w:t>“</w:t>
      </w:r>
      <w:r w:rsidR="00375456" w:rsidRPr="003F394A">
        <w:rPr>
          <w:rFonts w:cstheme="minorHAnsi"/>
          <w:i/>
        </w:rPr>
        <w:t>Chastity as Autonomy</w:t>
      </w:r>
      <w:r w:rsidR="00F03E93">
        <w:rPr>
          <w:rFonts w:cstheme="minorHAnsi"/>
          <w:i/>
        </w:rPr>
        <w:t>”</w:t>
      </w:r>
      <w:r w:rsidR="00375456" w:rsidRPr="003F394A">
        <w:rPr>
          <w:rFonts w:cstheme="minorHAnsi"/>
        </w:rPr>
        <w:t xml:space="preserve"> (Lewiston, N.Y. [etc.]: The Edwin </w:t>
      </w:r>
      <w:proofErr w:type="spellStart"/>
      <w:r w:rsidR="00375456" w:rsidRPr="003F394A">
        <w:rPr>
          <w:rFonts w:cstheme="minorHAnsi"/>
        </w:rPr>
        <w:t>Mellen</w:t>
      </w:r>
      <w:proofErr w:type="spellEnd"/>
      <w:r w:rsidR="00375456" w:rsidRPr="003F394A">
        <w:rPr>
          <w:rFonts w:cstheme="minorHAnsi"/>
        </w:rPr>
        <w:t xml:space="preserve"> Press, 1987).p.48.</w:t>
      </w:r>
      <w:proofErr w:type="gramEnd"/>
    </w:p>
  </w:footnote>
  <w:footnote w:id="6">
    <w:p w:rsidR="0075540C" w:rsidRPr="003F394A" w:rsidRDefault="0075540C">
      <w:pPr>
        <w:pStyle w:val="FootnoteText"/>
      </w:pPr>
      <w:r w:rsidRPr="003F394A">
        <w:rPr>
          <w:rStyle w:val="FootnoteReference"/>
        </w:rPr>
        <w:footnoteRef/>
      </w:r>
      <w:r w:rsidRPr="003F394A">
        <w:t xml:space="preserve"> </w:t>
      </w:r>
      <w:proofErr w:type="gramStart"/>
      <w:r w:rsidRPr="003F394A">
        <w:t xml:space="preserve">Virginia, </w:t>
      </w:r>
      <w:proofErr w:type="spellStart"/>
      <w:r w:rsidRPr="003F394A">
        <w:t>Burrus</w:t>
      </w:r>
      <w:proofErr w:type="spellEnd"/>
      <w:r w:rsidRPr="003F394A">
        <w:t xml:space="preserve">, </w:t>
      </w:r>
      <w:r w:rsidR="00F03E93">
        <w:t>“</w:t>
      </w:r>
      <w:r w:rsidRPr="003F394A">
        <w:t>Chastity as Autonomy</w:t>
      </w:r>
      <w:r w:rsidR="00F03E93">
        <w:t>”</w:t>
      </w:r>
      <w:r w:rsidRPr="003F394A">
        <w:t xml:space="preserve"> (Lewiston, N.Y. [etc.]: The Edwin </w:t>
      </w:r>
      <w:proofErr w:type="spellStart"/>
      <w:r w:rsidRPr="003F394A">
        <w:t>Mellen</w:t>
      </w:r>
      <w:proofErr w:type="spellEnd"/>
      <w:r w:rsidRPr="003F394A">
        <w:t xml:space="preserve"> Press, 1987).p.56.</w:t>
      </w:r>
      <w:proofErr w:type="gramEnd"/>
    </w:p>
  </w:footnote>
  <w:footnote w:id="7">
    <w:p w:rsidR="00115166" w:rsidRPr="00115166" w:rsidRDefault="00115166">
      <w:pPr>
        <w:pStyle w:val="FootnoteText"/>
        <w:rPr>
          <w:sz w:val="22"/>
          <w:szCs w:val="22"/>
        </w:rPr>
      </w:pPr>
      <w:r w:rsidRPr="003F394A">
        <w:rPr>
          <w:rStyle w:val="FootnoteReference"/>
          <w:rFonts w:cstheme="minorHAnsi"/>
        </w:rPr>
        <w:footnoteRef/>
      </w:r>
      <w:r w:rsidRPr="003F394A">
        <w:rPr>
          <w:rFonts w:cstheme="minorHAnsi"/>
        </w:rPr>
        <w:t xml:space="preserve"> Bart D </w:t>
      </w:r>
      <w:proofErr w:type="spellStart"/>
      <w:r w:rsidRPr="003F394A">
        <w:rPr>
          <w:rFonts w:cstheme="minorHAnsi"/>
        </w:rPr>
        <w:t>Ehrman</w:t>
      </w:r>
      <w:proofErr w:type="spellEnd"/>
      <w:r w:rsidRPr="003F394A">
        <w:rPr>
          <w:rFonts w:cstheme="minorHAnsi"/>
        </w:rPr>
        <w:t xml:space="preserve">, </w:t>
      </w:r>
      <w:r w:rsidR="00F03E93">
        <w:rPr>
          <w:rFonts w:cstheme="minorHAnsi"/>
        </w:rPr>
        <w:t>“</w:t>
      </w:r>
      <w:r w:rsidRPr="003F394A">
        <w:rPr>
          <w:rFonts w:cstheme="minorHAnsi"/>
          <w:i/>
        </w:rPr>
        <w:t>After the New Testament: A Reader in Early Christianity,</w:t>
      </w:r>
      <w:r w:rsidR="00F03E93">
        <w:rPr>
          <w:rFonts w:cstheme="minorHAnsi"/>
          <w:i/>
        </w:rPr>
        <w:t>”</w:t>
      </w:r>
      <w:r w:rsidRPr="003F394A">
        <w:rPr>
          <w:rFonts w:cstheme="minorHAnsi"/>
        </w:rPr>
        <w:t xml:space="preserve"> (Oxford: Oxford </w:t>
      </w:r>
      <w:proofErr w:type="spellStart"/>
      <w:r w:rsidRPr="003F394A">
        <w:rPr>
          <w:rFonts w:cstheme="minorHAnsi"/>
        </w:rPr>
        <w:t>Univeristy</w:t>
      </w:r>
      <w:proofErr w:type="spellEnd"/>
      <w:r w:rsidRPr="003F394A">
        <w:rPr>
          <w:rFonts w:cstheme="minorHAnsi"/>
        </w:rPr>
        <w:t xml:space="preserve"> Press, 1999).p.281.</w:t>
      </w:r>
    </w:p>
  </w:footnote>
  <w:footnote w:id="8">
    <w:p w:rsidR="00DA2C5B" w:rsidRPr="003F394A" w:rsidRDefault="00DA2C5B">
      <w:pPr>
        <w:pStyle w:val="FootnoteText"/>
      </w:pPr>
      <w:r w:rsidRPr="003F394A">
        <w:rPr>
          <w:rStyle w:val="FootnoteReference"/>
        </w:rPr>
        <w:footnoteRef/>
      </w:r>
      <w:r w:rsidRPr="003F394A">
        <w:t xml:space="preserve"> </w:t>
      </w:r>
      <w:proofErr w:type="gramStart"/>
      <w:r w:rsidRPr="003F394A">
        <w:rPr>
          <w:rFonts w:cstheme="minorHAnsi"/>
        </w:rPr>
        <w:t xml:space="preserve">Virginia, </w:t>
      </w:r>
      <w:proofErr w:type="spellStart"/>
      <w:r w:rsidRPr="003F394A">
        <w:rPr>
          <w:rFonts w:cstheme="minorHAnsi"/>
        </w:rPr>
        <w:t>Burrus</w:t>
      </w:r>
      <w:proofErr w:type="spellEnd"/>
      <w:r w:rsidRPr="003F394A">
        <w:rPr>
          <w:rFonts w:cstheme="minorHAnsi"/>
        </w:rPr>
        <w:t xml:space="preserve">, </w:t>
      </w:r>
      <w:r w:rsidR="00F03E93">
        <w:rPr>
          <w:rFonts w:cstheme="minorHAnsi"/>
        </w:rPr>
        <w:t>“</w:t>
      </w:r>
      <w:r w:rsidR="00F03E93">
        <w:rPr>
          <w:rFonts w:cstheme="minorHAnsi"/>
          <w:i/>
        </w:rPr>
        <w:t>Chastity as Autonomy”</w:t>
      </w:r>
      <w:r w:rsidRPr="003F394A">
        <w:rPr>
          <w:rFonts w:cstheme="minorHAnsi"/>
        </w:rPr>
        <w:t xml:space="preserve"> (Lewiston, N.Y. [etc.]: The Edwin </w:t>
      </w:r>
      <w:proofErr w:type="spellStart"/>
      <w:r w:rsidRPr="003F394A">
        <w:rPr>
          <w:rFonts w:cstheme="minorHAnsi"/>
        </w:rPr>
        <w:t>Mellen</w:t>
      </w:r>
      <w:proofErr w:type="spellEnd"/>
      <w:r w:rsidRPr="003F394A">
        <w:rPr>
          <w:rFonts w:cstheme="minorHAnsi"/>
        </w:rPr>
        <w:t xml:space="preserve"> Press, 1987).p.102.</w:t>
      </w:r>
      <w:proofErr w:type="gramEnd"/>
    </w:p>
  </w:footnote>
  <w:footnote w:id="9">
    <w:p w:rsidR="00B65000" w:rsidRPr="003F394A" w:rsidRDefault="00B65000">
      <w:pPr>
        <w:pStyle w:val="FootnoteText"/>
      </w:pPr>
      <w:r w:rsidRPr="003F394A">
        <w:rPr>
          <w:rStyle w:val="FootnoteReference"/>
        </w:rPr>
        <w:footnoteRef/>
      </w:r>
      <w:r w:rsidRPr="003F394A">
        <w:t xml:space="preserve"> </w:t>
      </w:r>
      <w:r w:rsidRPr="003F394A">
        <w:rPr>
          <w:rFonts w:cstheme="minorHAnsi"/>
        </w:rPr>
        <w:t xml:space="preserve">Bart D </w:t>
      </w:r>
      <w:proofErr w:type="spellStart"/>
      <w:r w:rsidRPr="003F394A">
        <w:rPr>
          <w:rFonts w:cstheme="minorHAnsi"/>
        </w:rPr>
        <w:t>Ehrman</w:t>
      </w:r>
      <w:proofErr w:type="spellEnd"/>
      <w:r w:rsidRPr="003F394A">
        <w:rPr>
          <w:rFonts w:cstheme="minorHAnsi"/>
        </w:rPr>
        <w:t xml:space="preserve">, </w:t>
      </w:r>
      <w:r w:rsidR="00F03E93">
        <w:rPr>
          <w:rFonts w:cstheme="minorHAnsi"/>
        </w:rPr>
        <w:t>“</w:t>
      </w:r>
      <w:r w:rsidRPr="003F394A">
        <w:rPr>
          <w:rFonts w:cstheme="minorHAnsi"/>
          <w:i/>
        </w:rPr>
        <w:t>After the New Testament: A Reader in Early Christianity,</w:t>
      </w:r>
      <w:r w:rsidR="00F03E93">
        <w:rPr>
          <w:rFonts w:cstheme="minorHAnsi"/>
          <w:i/>
        </w:rPr>
        <w:t>”</w:t>
      </w:r>
      <w:r w:rsidRPr="003F394A">
        <w:rPr>
          <w:rFonts w:cstheme="minorHAnsi"/>
        </w:rPr>
        <w:t xml:space="preserve"> (Oxford: Oxford University Press, 1999).p.281.</w:t>
      </w:r>
    </w:p>
  </w:footnote>
  <w:footnote w:id="10">
    <w:p w:rsidR="00DF2618" w:rsidRPr="003F394A" w:rsidRDefault="00DF2618">
      <w:pPr>
        <w:pStyle w:val="FootnoteText"/>
      </w:pPr>
      <w:r w:rsidRPr="003F394A">
        <w:rPr>
          <w:rStyle w:val="FootnoteReference"/>
        </w:rPr>
        <w:footnoteRef/>
      </w:r>
      <w:r w:rsidRPr="003F394A">
        <w:t xml:space="preserve"> </w:t>
      </w:r>
      <w:proofErr w:type="gramStart"/>
      <w:r w:rsidRPr="003F394A">
        <w:t xml:space="preserve">Virginia, </w:t>
      </w:r>
      <w:proofErr w:type="spellStart"/>
      <w:r w:rsidRPr="003F394A">
        <w:t>Burrus</w:t>
      </w:r>
      <w:proofErr w:type="spellEnd"/>
      <w:r w:rsidRPr="003F394A">
        <w:t xml:space="preserve">, </w:t>
      </w:r>
      <w:r w:rsidR="00F03E93" w:rsidRPr="00F03E93">
        <w:rPr>
          <w:i/>
        </w:rPr>
        <w:t xml:space="preserve">“Chastity as </w:t>
      </w:r>
      <w:r w:rsidRPr="00F03E93">
        <w:rPr>
          <w:i/>
        </w:rPr>
        <w:t>Autonomy</w:t>
      </w:r>
      <w:r w:rsidR="00F03E93" w:rsidRPr="00F03E93">
        <w:rPr>
          <w:i/>
        </w:rPr>
        <w:t>”</w:t>
      </w:r>
      <w:r w:rsidRPr="003F394A">
        <w:t xml:space="preserve"> (Lewiston, N.Y. [etc.]: The Edwin </w:t>
      </w:r>
      <w:proofErr w:type="spellStart"/>
      <w:r w:rsidRPr="003F394A">
        <w:t>Mellen</w:t>
      </w:r>
      <w:proofErr w:type="spellEnd"/>
      <w:r w:rsidRPr="003F394A">
        <w:t xml:space="preserve"> Press, 1987).p.49.</w:t>
      </w:r>
      <w:proofErr w:type="gramEnd"/>
    </w:p>
  </w:footnote>
  <w:footnote w:id="11">
    <w:p w:rsidR="00936E90" w:rsidRDefault="00936E90">
      <w:pPr>
        <w:pStyle w:val="FootnoteText"/>
      </w:pPr>
      <w:r w:rsidRPr="003F394A">
        <w:rPr>
          <w:rStyle w:val="FootnoteReference"/>
        </w:rPr>
        <w:footnoteRef/>
      </w:r>
      <w:r w:rsidRPr="003F394A">
        <w:t xml:space="preserve"> </w:t>
      </w:r>
      <w:proofErr w:type="spellStart"/>
      <w:proofErr w:type="gramStart"/>
      <w:r w:rsidRPr="003F394A">
        <w:rPr>
          <w:rFonts w:cstheme="minorHAnsi"/>
        </w:rPr>
        <w:t>Zeba</w:t>
      </w:r>
      <w:proofErr w:type="spellEnd"/>
      <w:r w:rsidRPr="003F394A">
        <w:rPr>
          <w:rFonts w:cstheme="minorHAnsi"/>
        </w:rPr>
        <w:t xml:space="preserve"> Crook, </w:t>
      </w:r>
      <w:r w:rsidRPr="003F394A">
        <w:rPr>
          <w:rFonts w:cstheme="minorHAnsi"/>
          <w:i/>
        </w:rPr>
        <w:t>“</w:t>
      </w:r>
      <w:proofErr w:type="spellStart"/>
      <w:r w:rsidRPr="003F394A">
        <w:rPr>
          <w:rFonts w:cstheme="minorHAnsi"/>
          <w:i/>
        </w:rPr>
        <w:t>Honor</w:t>
      </w:r>
      <w:proofErr w:type="spellEnd"/>
      <w:r w:rsidRPr="003F394A">
        <w:rPr>
          <w:rFonts w:cstheme="minorHAnsi"/>
          <w:i/>
        </w:rPr>
        <w:t>, Shame, And Social Status Revisited”</w:t>
      </w:r>
      <w:r w:rsidRPr="003F394A">
        <w:rPr>
          <w:rFonts w:cstheme="minorHAnsi"/>
        </w:rPr>
        <w:t>, Journal of Biblical Literature, 128.3 (2009).p.</w:t>
      </w:r>
      <w:r w:rsidR="00F7555D" w:rsidRPr="003F394A">
        <w:rPr>
          <w:rFonts w:cstheme="minorHAnsi"/>
        </w:rPr>
        <w:t>p.592-593.</w:t>
      </w:r>
      <w:proofErr w:type="gramEnd"/>
    </w:p>
  </w:footnote>
  <w:footnote w:id="12">
    <w:p w:rsidR="00F7555D" w:rsidRDefault="00F7555D">
      <w:pPr>
        <w:pStyle w:val="FootnoteText"/>
      </w:pPr>
      <w:r>
        <w:rPr>
          <w:rStyle w:val="FootnoteReference"/>
        </w:rPr>
        <w:footnoteRef/>
      </w:r>
      <w:r>
        <w:t xml:space="preserve"> </w:t>
      </w:r>
      <w:proofErr w:type="spellStart"/>
      <w:proofErr w:type="gramStart"/>
      <w:r>
        <w:t>Zeba</w:t>
      </w:r>
      <w:proofErr w:type="spellEnd"/>
      <w:r>
        <w:t>, Crook, “Honour, Shame, And Social Status Revisited”, Journal of B</w:t>
      </w:r>
      <w:r w:rsidR="003F394A">
        <w:t>iblical Literature, 128.3 (2009).p.604.</w:t>
      </w:r>
      <w:proofErr w:type="gramEnd"/>
    </w:p>
  </w:footnote>
  <w:footnote w:id="13">
    <w:p w:rsidR="00323F38" w:rsidRPr="00F03E93" w:rsidRDefault="00323F38" w:rsidP="00F03E93">
      <w:pPr>
        <w:rPr>
          <w:rFonts w:ascii="Times New Roman" w:hAnsi="Times New Roman" w:cs="Times New Roman"/>
          <w:sz w:val="24"/>
          <w:szCs w:val="24"/>
        </w:rPr>
      </w:pPr>
      <w:r>
        <w:rPr>
          <w:rStyle w:val="FootnoteReference"/>
        </w:rPr>
        <w:footnoteRef/>
      </w:r>
      <w:r w:rsidR="00F03E93">
        <w:t xml:space="preserve"> </w:t>
      </w:r>
      <w:r>
        <w:t xml:space="preserve"> </w:t>
      </w:r>
      <w:r w:rsidR="00F03E93" w:rsidRPr="00F03E93">
        <w:rPr>
          <w:rFonts w:cstheme="minorHAnsi"/>
          <w:sz w:val="20"/>
          <w:szCs w:val="20"/>
        </w:rPr>
        <w:t xml:space="preserve">David A </w:t>
      </w:r>
      <w:proofErr w:type="spellStart"/>
      <w:r w:rsidR="00F03E93" w:rsidRPr="00F03E93">
        <w:rPr>
          <w:rFonts w:cstheme="minorHAnsi"/>
          <w:sz w:val="20"/>
          <w:szCs w:val="20"/>
        </w:rPr>
        <w:t>DeSilva</w:t>
      </w:r>
      <w:proofErr w:type="spellEnd"/>
      <w:r w:rsidR="00F03E93" w:rsidRPr="00F03E93">
        <w:rPr>
          <w:rFonts w:cstheme="minorHAnsi"/>
          <w:sz w:val="20"/>
          <w:szCs w:val="20"/>
        </w:rPr>
        <w:t>, “</w:t>
      </w:r>
      <w:r w:rsidR="00F03E93" w:rsidRPr="00F03E93">
        <w:rPr>
          <w:rFonts w:cstheme="minorHAnsi"/>
          <w:i/>
          <w:sz w:val="20"/>
          <w:szCs w:val="20"/>
        </w:rPr>
        <w:t xml:space="preserve">An Introduction </w:t>
      </w:r>
      <w:proofErr w:type="gramStart"/>
      <w:r w:rsidR="00F03E93" w:rsidRPr="00F03E93">
        <w:rPr>
          <w:rFonts w:cstheme="minorHAnsi"/>
          <w:i/>
          <w:sz w:val="20"/>
          <w:szCs w:val="20"/>
        </w:rPr>
        <w:t>To</w:t>
      </w:r>
      <w:proofErr w:type="gramEnd"/>
      <w:r w:rsidR="00F03E93" w:rsidRPr="00F03E93">
        <w:rPr>
          <w:rFonts w:cstheme="minorHAnsi"/>
          <w:i/>
          <w:sz w:val="20"/>
          <w:szCs w:val="20"/>
        </w:rPr>
        <w:t xml:space="preserve"> The New Testament: Contexts, Methods &amp; Ministry Formation” </w:t>
      </w:r>
      <w:r w:rsidR="00F03E93" w:rsidRPr="00F03E93">
        <w:rPr>
          <w:rFonts w:cstheme="minorHAnsi"/>
          <w:sz w:val="20"/>
          <w:szCs w:val="20"/>
        </w:rPr>
        <w:t xml:space="preserve">(Leicester: </w:t>
      </w:r>
      <w:proofErr w:type="spellStart"/>
      <w:r w:rsidR="00F03E93" w:rsidRPr="00F03E93">
        <w:rPr>
          <w:rFonts w:cstheme="minorHAnsi"/>
          <w:sz w:val="20"/>
          <w:szCs w:val="20"/>
        </w:rPr>
        <w:t>InterVarsity</w:t>
      </w:r>
      <w:proofErr w:type="spellEnd"/>
      <w:r w:rsidR="00F03E93" w:rsidRPr="00F03E93">
        <w:rPr>
          <w:rFonts w:cstheme="minorHAnsi"/>
          <w:sz w:val="20"/>
          <w:szCs w:val="20"/>
        </w:rPr>
        <w:t xml:space="preserve"> Press, 2004).</w:t>
      </w:r>
      <w:r w:rsidRPr="00F03E93">
        <w:rPr>
          <w:rFonts w:cstheme="minorHAnsi"/>
          <w:sz w:val="20"/>
          <w:szCs w:val="20"/>
        </w:rPr>
        <w:t>p.125.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073" w:rsidRDefault="00413073">
    <w:pPr>
      <w:pStyle w:val="Header"/>
    </w:pPr>
    <w:r>
      <w:t>Amy Seale</w:t>
    </w:r>
    <w:r>
      <w:tab/>
    </w:r>
    <w:r>
      <w:tab/>
      <w:t>HPTR4002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413073"/>
    <w:rsid w:val="000E01DD"/>
    <w:rsid w:val="00115166"/>
    <w:rsid w:val="001E032E"/>
    <w:rsid w:val="0022750C"/>
    <w:rsid w:val="002D5237"/>
    <w:rsid w:val="00323F38"/>
    <w:rsid w:val="00342CDE"/>
    <w:rsid w:val="003472C4"/>
    <w:rsid w:val="00375456"/>
    <w:rsid w:val="00396817"/>
    <w:rsid w:val="003F1932"/>
    <w:rsid w:val="003F394A"/>
    <w:rsid w:val="00413073"/>
    <w:rsid w:val="00430EED"/>
    <w:rsid w:val="004A66E9"/>
    <w:rsid w:val="00525A54"/>
    <w:rsid w:val="005936CF"/>
    <w:rsid w:val="005F2E08"/>
    <w:rsid w:val="006D4F8C"/>
    <w:rsid w:val="007067FE"/>
    <w:rsid w:val="00711D00"/>
    <w:rsid w:val="0075540C"/>
    <w:rsid w:val="00796750"/>
    <w:rsid w:val="0080285B"/>
    <w:rsid w:val="008B7047"/>
    <w:rsid w:val="00936E90"/>
    <w:rsid w:val="009514B0"/>
    <w:rsid w:val="00975C7E"/>
    <w:rsid w:val="009C5D7B"/>
    <w:rsid w:val="00A525DF"/>
    <w:rsid w:val="00A62FC7"/>
    <w:rsid w:val="00AC355B"/>
    <w:rsid w:val="00AC39D7"/>
    <w:rsid w:val="00AC4F5F"/>
    <w:rsid w:val="00B31D09"/>
    <w:rsid w:val="00B65000"/>
    <w:rsid w:val="00B779DA"/>
    <w:rsid w:val="00B81172"/>
    <w:rsid w:val="00C44196"/>
    <w:rsid w:val="00C60AA6"/>
    <w:rsid w:val="00C9034A"/>
    <w:rsid w:val="00CB0FCC"/>
    <w:rsid w:val="00CD2504"/>
    <w:rsid w:val="00D13F1C"/>
    <w:rsid w:val="00D45159"/>
    <w:rsid w:val="00D609DE"/>
    <w:rsid w:val="00DA2C5B"/>
    <w:rsid w:val="00DB4607"/>
    <w:rsid w:val="00DF2618"/>
    <w:rsid w:val="00E01816"/>
    <w:rsid w:val="00E60F5F"/>
    <w:rsid w:val="00E64AE0"/>
    <w:rsid w:val="00F03E93"/>
    <w:rsid w:val="00F353E2"/>
    <w:rsid w:val="00F7555D"/>
    <w:rsid w:val="00F779F1"/>
    <w:rsid w:val="00FB687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E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0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073"/>
  </w:style>
  <w:style w:type="paragraph" w:styleId="Footer">
    <w:name w:val="footer"/>
    <w:basedOn w:val="Normal"/>
    <w:link w:val="FooterChar"/>
    <w:uiPriority w:val="99"/>
    <w:unhideWhenUsed/>
    <w:rsid w:val="004130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073"/>
  </w:style>
  <w:style w:type="paragraph" w:styleId="NormalWeb">
    <w:name w:val="Normal (Web)"/>
    <w:basedOn w:val="Normal"/>
    <w:uiPriority w:val="99"/>
    <w:semiHidden/>
    <w:unhideWhenUsed/>
    <w:rsid w:val="00AC35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355B"/>
    <w:rPr>
      <w:b/>
      <w:bCs/>
    </w:rPr>
  </w:style>
  <w:style w:type="character" w:customStyle="1" w:styleId="selectable">
    <w:name w:val="selectable"/>
    <w:basedOn w:val="DefaultParagraphFont"/>
    <w:rsid w:val="00AC355B"/>
  </w:style>
  <w:style w:type="paragraph" w:styleId="FootnoteText">
    <w:name w:val="footnote text"/>
    <w:basedOn w:val="Normal"/>
    <w:link w:val="FootnoteTextChar"/>
    <w:uiPriority w:val="99"/>
    <w:semiHidden/>
    <w:unhideWhenUsed/>
    <w:rsid w:val="009514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14B0"/>
    <w:rPr>
      <w:sz w:val="20"/>
      <w:szCs w:val="20"/>
    </w:rPr>
  </w:style>
  <w:style w:type="character" w:styleId="FootnoteReference">
    <w:name w:val="footnote reference"/>
    <w:basedOn w:val="DefaultParagraphFont"/>
    <w:uiPriority w:val="99"/>
    <w:semiHidden/>
    <w:unhideWhenUsed/>
    <w:rsid w:val="009514B0"/>
    <w:rPr>
      <w:vertAlign w:val="superscript"/>
    </w:rPr>
  </w:style>
</w:styles>
</file>

<file path=word/webSettings.xml><?xml version="1.0" encoding="utf-8"?>
<w:webSettings xmlns:r="http://schemas.openxmlformats.org/officeDocument/2006/relationships" xmlns:w="http://schemas.openxmlformats.org/wordprocessingml/2006/main">
  <w:divs>
    <w:div w:id="80033940">
      <w:bodyDiv w:val="1"/>
      <w:marLeft w:val="0"/>
      <w:marRight w:val="0"/>
      <w:marTop w:val="0"/>
      <w:marBottom w:val="0"/>
      <w:divBdr>
        <w:top w:val="none" w:sz="0" w:space="0" w:color="auto"/>
        <w:left w:val="none" w:sz="0" w:space="0" w:color="auto"/>
        <w:bottom w:val="none" w:sz="0" w:space="0" w:color="auto"/>
        <w:right w:val="none" w:sz="0" w:space="0" w:color="auto"/>
      </w:divBdr>
    </w:div>
    <w:div w:id="552035734">
      <w:bodyDiv w:val="1"/>
      <w:marLeft w:val="0"/>
      <w:marRight w:val="0"/>
      <w:marTop w:val="0"/>
      <w:marBottom w:val="0"/>
      <w:divBdr>
        <w:top w:val="none" w:sz="0" w:space="0" w:color="auto"/>
        <w:left w:val="none" w:sz="0" w:space="0" w:color="auto"/>
        <w:bottom w:val="none" w:sz="0" w:space="0" w:color="auto"/>
        <w:right w:val="none" w:sz="0" w:space="0" w:color="auto"/>
      </w:divBdr>
    </w:div>
    <w:div w:id="564947707">
      <w:bodyDiv w:val="1"/>
      <w:marLeft w:val="0"/>
      <w:marRight w:val="0"/>
      <w:marTop w:val="0"/>
      <w:marBottom w:val="0"/>
      <w:divBdr>
        <w:top w:val="none" w:sz="0" w:space="0" w:color="auto"/>
        <w:left w:val="none" w:sz="0" w:space="0" w:color="auto"/>
        <w:bottom w:val="none" w:sz="0" w:space="0" w:color="auto"/>
        <w:right w:val="none" w:sz="0" w:space="0" w:color="auto"/>
      </w:divBdr>
    </w:div>
    <w:div w:id="1683438718">
      <w:bodyDiv w:val="1"/>
      <w:marLeft w:val="0"/>
      <w:marRight w:val="0"/>
      <w:marTop w:val="0"/>
      <w:marBottom w:val="0"/>
      <w:divBdr>
        <w:top w:val="none" w:sz="0" w:space="0" w:color="auto"/>
        <w:left w:val="none" w:sz="0" w:space="0" w:color="auto"/>
        <w:bottom w:val="none" w:sz="0" w:space="0" w:color="auto"/>
        <w:right w:val="none" w:sz="0" w:space="0" w:color="auto"/>
      </w:divBdr>
    </w:div>
    <w:div w:id="1734353188">
      <w:bodyDiv w:val="1"/>
      <w:marLeft w:val="0"/>
      <w:marRight w:val="0"/>
      <w:marTop w:val="0"/>
      <w:marBottom w:val="0"/>
      <w:divBdr>
        <w:top w:val="none" w:sz="0" w:space="0" w:color="auto"/>
        <w:left w:val="none" w:sz="0" w:space="0" w:color="auto"/>
        <w:bottom w:val="none" w:sz="0" w:space="0" w:color="auto"/>
        <w:right w:val="none" w:sz="0" w:space="0" w:color="auto"/>
      </w:divBdr>
    </w:div>
    <w:div w:id="173481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956F2-326A-4155-868D-A30B36EF3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2127</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2</cp:revision>
  <dcterms:created xsi:type="dcterms:W3CDTF">2018-05-22T08:25:00Z</dcterms:created>
  <dcterms:modified xsi:type="dcterms:W3CDTF">2018-05-22T08:25:00Z</dcterms:modified>
</cp:coreProperties>
</file>