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B6CFE" w14:textId="77777777" w:rsidR="002F3EC4" w:rsidRPr="004172E6" w:rsidRDefault="002F3EC4" w:rsidP="002F3EC4">
      <w:pPr>
        <w:jc w:val="center"/>
        <w:rPr>
          <w:rFonts w:ascii="Arial" w:hAnsi="Arial" w:cs="Arial"/>
          <w:b/>
          <w:bCs/>
          <w:sz w:val="22"/>
          <w:szCs w:val="22"/>
        </w:rPr>
      </w:pPr>
    </w:p>
    <w:p w14:paraId="37FEE03E" w14:textId="77777777" w:rsidR="002F3EC4" w:rsidRPr="004172E6" w:rsidRDefault="002F3EC4" w:rsidP="002F3EC4">
      <w:pPr>
        <w:jc w:val="center"/>
        <w:rPr>
          <w:rFonts w:ascii="Arial" w:hAnsi="Arial" w:cs="Arial"/>
          <w:b/>
          <w:bCs/>
          <w:sz w:val="22"/>
          <w:szCs w:val="22"/>
        </w:rPr>
      </w:pPr>
    </w:p>
    <w:p w14:paraId="7CF62139" w14:textId="77777777" w:rsidR="002F3EC4" w:rsidRPr="004172E6" w:rsidRDefault="002F3EC4" w:rsidP="002F3EC4">
      <w:pPr>
        <w:jc w:val="center"/>
        <w:rPr>
          <w:rFonts w:ascii="Arial" w:hAnsi="Arial" w:cs="Arial"/>
          <w:b/>
          <w:bCs/>
          <w:sz w:val="22"/>
          <w:szCs w:val="22"/>
        </w:rPr>
      </w:pPr>
    </w:p>
    <w:p w14:paraId="15BFF71E" w14:textId="77777777" w:rsidR="002F3EC4" w:rsidRPr="004172E6" w:rsidRDefault="002F3EC4" w:rsidP="002F3EC4">
      <w:pPr>
        <w:jc w:val="center"/>
        <w:rPr>
          <w:rFonts w:ascii="Arial" w:hAnsi="Arial" w:cs="Arial"/>
          <w:b/>
          <w:bCs/>
          <w:sz w:val="22"/>
          <w:szCs w:val="22"/>
        </w:rPr>
      </w:pPr>
    </w:p>
    <w:p w14:paraId="15DCD667" w14:textId="77777777" w:rsidR="002F3EC4" w:rsidRPr="004172E6" w:rsidRDefault="002F3EC4" w:rsidP="002F3EC4">
      <w:pPr>
        <w:jc w:val="center"/>
        <w:rPr>
          <w:rFonts w:ascii="Arial" w:hAnsi="Arial" w:cs="Arial"/>
          <w:b/>
          <w:bCs/>
          <w:sz w:val="22"/>
          <w:szCs w:val="22"/>
        </w:rPr>
      </w:pPr>
    </w:p>
    <w:p w14:paraId="7E73FE45" w14:textId="77777777" w:rsidR="002F3EC4" w:rsidRPr="004172E6" w:rsidRDefault="002F3EC4" w:rsidP="002F3EC4">
      <w:pPr>
        <w:jc w:val="center"/>
        <w:rPr>
          <w:rFonts w:ascii="Arial" w:hAnsi="Arial" w:cs="Arial"/>
          <w:b/>
          <w:bCs/>
          <w:sz w:val="22"/>
          <w:szCs w:val="22"/>
        </w:rPr>
      </w:pPr>
    </w:p>
    <w:p w14:paraId="34BC5C60" w14:textId="0E2ACACD" w:rsidR="002F3EC4" w:rsidRPr="004172E6" w:rsidRDefault="002F3EC4" w:rsidP="002F3EC4">
      <w:pPr>
        <w:jc w:val="center"/>
        <w:rPr>
          <w:rFonts w:ascii="Arial" w:hAnsi="Arial" w:cs="Arial"/>
          <w:b/>
          <w:bCs/>
          <w:sz w:val="22"/>
          <w:szCs w:val="22"/>
        </w:rPr>
      </w:pPr>
      <w:r w:rsidRPr="004172E6">
        <w:rPr>
          <w:rFonts w:ascii="Arial" w:hAnsi="Arial" w:cs="Arial"/>
          <w:b/>
          <w:bCs/>
          <w:sz w:val="22"/>
          <w:szCs w:val="22"/>
        </w:rPr>
        <w:t>5HR03 Reward for Performance and Contribution</w:t>
      </w:r>
    </w:p>
    <w:p w14:paraId="16A55C7B" w14:textId="21F45061" w:rsidR="002F3EC4" w:rsidRPr="002F3EC4" w:rsidRDefault="002F3EC4" w:rsidP="002F3EC4">
      <w:pPr>
        <w:jc w:val="center"/>
        <w:rPr>
          <w:rFonts w:ascii="Arial" w:hAnsi="Arial" w:cs="Arial"/>
          <w:b/>
          <w:bCs/>
          <w:sz w:val="22"/>
          <w:szCs w:val="22"/>
        </w:rPr>
      </w:pPr>
      <w:r w:rsidRPr="002F3EC4">
        <w:rPr>
          <w:rFonts w:ascii="Arial" w:hAnsi="Arial" w:cs="Arial"/>
          <w:b/>
          <w:bCs/>
          <w:sz w:val="22"/>
          <w:szCs w:val="22"/>
        </w:rPr>
        <w:t>by Keera Crabb (8936430)</w:t>
      </w:r>
    </w:p>
    <w:p w14:paraId="60D9A04A" w14:textId="3BEAC8C5" w:rsidR="002F3EC4" w:rsidRPr="002F3EC4" w:rsidRDefault="002F3EC4" w:rsidP="002F3EC4">
      <w:pPr>
        <w:jc w:val="center"/>
        <w:rPr>
          <w:rFonts w:ascii="Arial" w:hAnsi="Arial" w:cs="Arial"/>
          <w:sz w:val="22"/>
          <w:szCs w:val="22"/>
        </w:rPr>
      </w:pPr>
      <w:r w:rsidRPr="002F3EC4">
        <w:rPr>
          <w:rFonts w:ascii="Arial" w:hAnsi="Arial" w:cs="Arial"/>
          <w:sz w:val="22"/>
          <w:szCs w:val="22"/>
        </w:rPr>
        <w:t xml:space="preserve">Word count: </w:t>
      </w:r>
      <w:r w:rsidR="00F54928">
        <w:rPr>
          <w:rFonts w:ascii="Arial" w:hAnsi="Arial" w:cs="Arial"/>
          <w:sz w:val="22"/>
          <w:szCs w:val="22"/>
        </w:rPr>
        <w:t>4,2</w:t>
      </w:r>
      <w:r w:rsidR="00844FAE">
        <w:rPr>
          <w:rFonts w:ascii="Arial" w:hAnsi="Arial" w:cs="Arial"/>
          <w:sz w:val="22"/>
          <w:szCs w:val="22"/>
        </w:rPr>
        <w:t>45</w:t>
      </w:r>
    </w:p>
    <w:p w14:paraId="2B6293FF" w14:textId="77777777" w:rsidR="002F3EC4" w:rsidRPr="004172E6" w:rsidRDefault="002F3EC4">
      <w:pPr>
        <w:rPr>
          <w:rFonts w:ascii="Arial" w:hAnsi="Arial" w:cs="Arial"/>
          <w:sz w:val="22"/>
          <w:szCs w:val="22"/>
        </w:rPr>
      </w:pPr>
    </w:p>
    <w:p w14:paraId="068335EE" w14:textId="77777777" w:rsidR="00A66819" w:rsidRPr="004172E6" w:rsidRDefault="00A66819">
      <w:pPr>
        <w:rPr>
          <w:rFonts w:ascii="Arial" w:hAnsi="Arial" w:cs="Arial"/>
          <w:sz w:val="22"/>
          <w:szCs w:val="22"/>
        </w:rPr>
      </w:pPr>
    </w:p>
    <w:p w14:paraId="323A11E4" w14:textId="77777777" w:rsidR="00A66819" w:rsidRPr="004172E6" w:rsidRDefault="00A66819">
      <w:pPr>
        <w:rPr>
          <w:rFonts w:ascii="Arial" w:hAnsi="Arial" w:cs="Arial"/>
          <w:sz w:val="22"/>
          <w:szCs w:val="22"/>
        </w:rPr>
      </w:pPr>
    </w:p>
    <w:p w14:paraId="728FC372" w14:textId="77777777" w:rsidR="00A66819" w:rsidRPr="004172E6" w:rsidRDefault="00A66819">
      <w:pPr>
        <w:rPr>
          <w:rFonts w:ascii="Arial" w:hAnsi="Arial" w:cs="Arial"/>
          <w:sz w:val="22"/>
          <w:szCs w:val="22"/>
        </w:rPr>
      </w:pPr>
    </w:p>
    <w:p w14:paraId="7E384474" w14:textId="77777777" w:rsidR="00A66819" w:rsidRPr="004172E6" w:rsidRDefault="00A66819">
      <w:pPr>
        <w:rPr>
          <w:rFonts w:ascii="Arial" w:hAnsi="Arial" w:cs="Arial"/>
          <w:sz w:val="22"/>
          <w:szCs w:val="22"/>
        </w:rPr>
      </w:pPr>
    </w:p>
    <w:p w14:paraId="57842620" w14:textId="77777777" w:rsidR="00A66819" w:rsidRPr="004172E6" w:rsidRDefault="00A66819">
      <w:pPr>
        <w:rPr>
          <w:rFonts w:ascii="Arial" w:hAnsi="Arial" w:cs="Arial"/>
          <w:sz w:val="22"/>
          <w:szCs w:val="22"/>
        </w:rPr>
      </w:pPr>
    </w:p>
    <w:p w14:paraId="335EE52A" w14:textId="77777777" w:rsidR="00A66819" w:rsidRPr="004172E6" w:rsidRDefault="00A66819">
      <w:pPr>
        <w:rPr>
          <w:rFonts w:ascii="Arial" w:hAnsi="Arial" w:cs="Arial"/>
          <w:sz w:val="22"/>
          <w:szCs w:val="22"/>
        </w:rPr>
      </w:pPr>
    </w:p>
    <w:p w14:paraId="08F324CD" w14:textId="77777777" w:rsidR="00A66819" w:rsidRPr="004172E6" w:rsidRDefault="00A66819">
      <w:pPr>
        <w:rPr>
          <w:rFonts w:ascii="Arial" w:hAnsi="Arial" w:cs="Arial"/>
          <w:sz w:val="22"/>
          <w:szCs w:val="22"/>
        </w:rPr>
      </w:pPr>
    </w:p>
    <w:p w14:paraId="4EB391B3" w14:textId="77777777" w:rsidR="00A66819" w:rsidRPr="004172E6" w:rsidRDefault="00A66819">
      <w:pPr>
        <w:rPr>
          <w:rFonts w:ascii="Arial" w:hAnsi="Arial" w:cs="Arial"/>
          <w:sz w:val="22"/>
          <w:szCs w:val="22"/>
        </w:rPr>
      </w:pPr>
    </w:p>
    <w:p w14:paraId="6B6B05D0" w14:textId="77777777" w:rsidR="00A66819" w:rsidRPr="004172E6" w:rsidRDefault="00A66819">
      <w:pPr>
        <w:rPr>
          <w:rFonts w:ascii="Arial" w:hAnsi="Arial" w:cs="Arial"/>
          <w:sz w:val="22"/>
          <w:szCs w:val="22"/>
        </w:rPr>
      </w:pPr>
    </w:p>
    <w:p w14:paraId="1C5E47D1" w14:textId="77777777" w:rsidR="00A66819" w:rsidRPr="004172E6" w:rsidRDefault="00A66819">
      <w:pPr>
        <w:rPr>
          <w:rFonts w:ascii="Arial" w:hAnsi="Arial" w:cs="Arial"/>
          <w:sz w:val="22"/>
          <w:szCs w:val="22"/>
        </w:rPr>
      </w:pPr>
    </w:p>
    <w:p w14:paraId="5D656449" w14:textId="77777777" w:rsidR="00A66819" w:rsidRPr="004172E6" w:rsidRDefault="00A66819">
      <w:pPr>
        <w:rPr>
          <w:rFonts w:ascii="Arial" w:hAnsi="Arial" w:cs="Arial"/>
          <w:sz w:val="22"/>
          <w:szCs w:val="22"/>
        </w:rPr>
      </w:pPr>
    </w:p>
    <w:p w14:paraId="4832C9B0" w14:textId="77777777" w:rsidR="00A66819" w:rsidRPr="004172E6" w:rsidRDefault="00A66819">
      <w:pPr>
        <w:rPr>
          <w:rFonts w:ascii="Arial" w:hAnsi="Arial" w:cs="Arial"/>
          <w:sz w:val="22"/>
          <w:szCs w:val="22"/>
        </w:rPr>
      </w:pPr>
    </w:p>
    <w:p w14:paraId="6D876818" w14:textId="77777777" w:rsidR="00A66819" w:rsidRPr="004172E6" w:rsidRDefault="00A66819">
      <w:pPr>
        <w:rPr>
          <w:rFonts w:ascii="Arial" w:hAnsi="Arial" w:cs="Arial"/>
          <w:sz w:val="22"/>
          <w:szCs w:val="22"/>
        </w:rPr>
      </w:pPr>
    </w:p>
    <w:p w14:paraId="75F9EE3D" w14:textId="77777777" w:rsidR="00A66819" w:rsidRPr="004172E6" w:rsidRDefault="00A66819">
      <w:pPr>
        <w:rPr>
          <w:rFonts w:ascii="Arial" w:hAnsi="Arial" w:cs="Arial"/>
          <w:sz w:val="22"/>
          <w:szCs w:val="22"/>
        </w:rPr>
      </w:pPr>
    </w:p>
    <w:p w14:paraId="739231FA" w14:textId="77777777" w:rsidR="00A66819" w:rsidRPr="004172E6" w:rsidRDefault="00A66819">
      <w:pPr>
        <w:rPr>
          <w:rFonts w:ascii="Arial" w:hAnsi="Arial" w:cs="Arial"/>
          <w:sz w:val="22"/>
          <w:szCs w:val="22"/>
        </w:rPr>
      </w:pPr>
    </w:p>
    <w:p w14:paraId="345313E4" w14:textId="77777777" w:rsidR="00A66819" w:rsidRPr="004172E6" w:rsidRDefault="00A66819">
      <w:pPr>
        <w:rPr>
          <w:rFonts w:ascii="Arial" w:hAnsi="Arial" w:cs="Arial"/>
          <w:sz w:val="22"/>
          <w:szCs w:val="22"/>
        </w:rPr>
      </w:pPr>
    </w:p>
    <w:p w14:paraId="0C86F722" w14:textId="77777777" w:rsidR="00A66819" w:rsidRPr="004172E6" w:rsidRDefault="00A66819">
      <w:pPr>
        <w:rPr>
          <w:rFonts w:ascii="Arial" w:hAnsi="Arial" w:cs="Arial"/>
          <w:sz w:val="22"/>
          <w:szCs w:val="22"/>
        </w:rPr>
      </w:pPr>
    </w:p>
    <w:p w14:paraId="5569711B" w14:textId="77777777" w:rsidR="00A66819" w:rsidRPr="004172E6" w:rsidRDefault="00A66819">
      <w:pPr>
        <w:rPr>
          <w:rFonts w:ascii="Arial" w:hAnsi="Arial" w:cs="Arial"/>
          <w:sz w:val="22"/>
          <w:szCs w:val="22"/>
        </w:rPr>
      </w:pPr>
    </w:p>
    <w:p w14:paraId="4B5834BB" w14:textId="77777777" w:rsidR="00A66819" w:rsidRPr="004172E6" w:rsidRDefault="00A66819">
      <w:pPr>
        <w:rPr>
          <w:rFonts w:ascii="Arial" w:hAnsi="Arial" w:cs="Arial"/>
          <w:sz w:val="22"/>
          <w:szCs w:val="22"/>
        </w:rPr>
      </w:pPr>
    </w:p>
    <w:p w14:paraId="4FB581F2" w14:textId="77777777" w:rsidR="00A66819" w:rsidRPr="004172E6" w:rsidRDefault="00A66819">
      <w:pPr>
        <w:rPr>
          <w:rFonts w:ascii="Arial" w:hAnsi="Arial" w:cs="Arial"/>
          <w:sz w:val="22"/>
          <w:szCs w:val="22"/>
        </w:rPr>
      </w:pPr>
    </w:p>
    <w:p w14:paraId="1B7EAABE" w14:textId="77777777" w:rsidR="00A66819" w:rsidRPr="004172E6" w:rsidRDefault="00A66819">
      <w:pPr>
        <w:rPr>
          <w:rFonts w:ascii="Arial" w:hAnsi="Arial" w:cs="Arial"/>
          <w:sz w:val="22"/>
          <w:szCs w:val="22"/>
        </w:rPr>
      </w:pPr>
    </w:p>
    <w:p w14:paraId="0311F6D6" w14:textId="31A401E1" w:rsidR="00660B3F" w:rsidRPr="00660B3F" w:rsidRDefault="00A66819" w:rsidP="00660B3F">
      <w:pPr>
        <w:rPr>
          <w:rFonts w:ascii="Arial" w:hAnsi="Arial" w:cs="Arial"/>
          <w:sz w:val="22"/>
          <w:szCs w:val="22"/>
        </w:rPr>
      </w:pPr>
      <w:r w:rsidRPr="004172E6">
        <w:rPr>
          <w:rFonts w:ascii="Arial" w:hAnsi="Arial" w:cs="Arial"/>
          <w:b/>
          <w:bCs/>
          <w:sz w:val="22"/>
          <w:szCs w:val="22"/>
        </w:rPr>
        <w:lastRenderedPageBreak/>
        <w:t>AC 1.1</w:t>
      </w:r>
      <w:r w:rsidRPr="004172E6">
        <w:rPr>
          <w:rFonts w:ascii="Arial" w:hAnsi="Arial" w:cs="Arial"/>
          <w:sz w:val="22"/>
          <w:szCs w:val="22"/>
        </w:rPr>
        <w:t xml:space="preserve"> </w:t>
      </w:r>
      <w:r w:rsidR="00660B3F" w:rsidRPr="00660B3F">
        <w:rPr>
          <w:rFonts w:ascii="Arial" w:hAnsi="Arial" w:cs="Arial"/>
          <w:sz w:val="22"/>
          <w:szCs w:val="22"/>
        </w:rPr>
        <w:t>Reward refers to the financial and non-financial benefits employees receive as part of their employment and for the work that they do. The CIPD (2025a</w:t>
      </w:r>
      <w:r w:rsidR="001F2392">
        <w:rPr>
          <w:rFonts w:ascii="Arial" w:hAnsi="Arial" w:cs="Arial"/>
          <w:sz w:val="22"/>
          <w:szCs w:val="22"/>
        </w:rPr>
        <w:t>) describes reward using a</w:t>
      </w:r>
      <w:r w:rsidR="00660B3F" w:rsidRPr="00660B3F">
        <w:rPr>
          <w:rFonts w:ascii="Arial" w:hAnsi="Arial" w:cs="Arial"/>
          <w:sz w:val="22"/>
          <w:szCs w:val="22"/>
        </w:rPr>
        <w:t xml:space="preserve"> total reward approach, meaning reward is not limited to pay, but includes a wider range of elements such as recognition, development opportunities and meaningful work.</w:t>
      </w:r>
    </w:p>
    <w:p w14:paraId="63371D26" w14:textId="7A9F3EB7" w:rsidR="00660B3F" w:rsidRPr="00660B3F" w:rsidRDefault="00900BCE" w:rsidP="00660B3F">
      <w:pPr>
        <w:rPr>
          <w:rFonts w:ascii="Arial" w:hAnsi="Arial" w:cs="Arial"/>
          <w:sz w:val="22"/>
          <w:szCs w:val="22"/>
        </w:rPr>
      </w:pPr>
      <w:r w:rsidRPr="00900BCE">
        <w:rPr>
          <w:rFonts w:ascii="Arial" w:hAnsi="Arial" w:cs="Arial"/>
          <w:sz w:val="22"/>
          <w:szCs w:val="22"/>
        </w:rPr>
        <w:t>Key principles of reward include consistency of approach, clarity around reward decisions and proportional treatment across roles</w:t>
      </w:r>
      <w:r w:rsidR="00660B3F" w:rsidRPr="00660B3F">
        <w:rPr>
          <w:rFonts w:ascii="Arial" w:hAnsi="Arial" w:cs="Arial"/>
          <w:sz w:val="22"/>
          <w:szCs w:val="22"/>
        </w:rPr>
        <w:t xml:space="preserve">, as </w:t>
      </w:r>
      <w:proofErr w:type="gramStart"/>
      <w:r w:rsidR="00660B3F" w:rsidRPr="00660B3F">
        <w:rPr>
          <w:rFonts w:ascii="Arial" w:hAnsi="Arial" w:cs="Arial"/>
          <w:sz w:val="22"/>
          <w:szCs w:val="22"/>
        </w:rPr>
        <w:t>these help</w:t>
      </w:r>
      <w:proofErr w:type="gramEnd"/>
      <w:r w:rsidR="00660B3F" w:rsidRPr="00660B3F">
        <w:rPr>
          <w:rFonts w:ascii="Arial" w:hAnsi="Arial" w:cs="Arial"/>
          <w:sz w:val="22"/>
          <w:szCs w:val="22"/>
        </w:rPr>
        <w:t xml:space="preserve"> build trust in reward systems and ensure employees understand how reward decisions are made and what is expected of them (CIPD, 2025b). Reward should also balance intrinsic and extrinsic rewards. Extrinsic rewards include pay and financial incentives, while intrinsic rewards relate to recognition, achievement and development (Armstrong</w:t>
      </w:r>
      <w:r w:rsidR="00945BE9">
        <w:rPr>
          <w:rFonts w:ascii="Arial" w:hAnsi="Arial" w:cs="Arial"/>
          <w:sz w:val="22"/>
          <w:szCs w:val="22"/>
        </w:rPr>
        <w:t xml:space="preserve"> &amp; Taylor</w:t>
      </w:r>
      <w:r w:rsidR="00660B3F" w:rsidRPr="00660B3F">
        <w:rPr>
          <w:rFonts w:ascii="Arial" w:hAnsi="Arial" w:cs="Arial"/>
          <w:sz w:val="22"/>
          <w:szCs w:val="22"/>
        </w:rPr>
        <w:t>, 2023). Another important principle is alignment with business objectives, with reward strategies designed to encourage behaviours and performance that support organisational goals (CIPD, 2025a).</w:t>
      </w:r>
    </w:p>
    <w:p w14:paraId="19572825" w14:textId="072849C2" w:rsidR="004172E6" w:rsidRPr="004172E6" w:rsidRDefault="004172E6" w:rsidP="00660B3F">
      <w:pPr>
        <w:rPr>
          <w:rFonts w:ascii="Arial" w:hAnsi="Arial" w:cs="Arial"/>
          <w:sz w:val="22"/>
          <w:szCs w:val="22"/>
        </w:rPr>
      </w:pPr>
      <w:r w:rsidRPr="004172E6">
        <w:rPr>
          <w:rFonts w:ascii="Arial" w:hAnsi="Arial" w:cs="Arial"/>
          <w:sz w:val="22"/>
          <w:szCs w:val="22"/>
        </w:rPr>
        <w:t xml:space="preserve">Reward is important to organisational culture and performance management because it influences employee motivation, engagement and behaviour. Where </w:t>
      </w:r>
      <w:r w:rsidR="003614B0" w:rsidRPr="003614B0">
        <w:rPr>
          <w:rFonts w:ascii="Arial" w:hAnsi="Arial" w:cs="Arial"/>
          <w:sz w:val="22"/>
          <w:szCs w:val="22"/>
        </w:rPr>
        <w:t>reward is perceived as equitable and meaningful</w:t>
      </w:r>
      <w:r w:rsidRPr="004172E6">
        <w:rPr>
          <w:rFonts w:ascii="Arial" w:hAnsi="Arial" w:cs="Arial"/>
          <w:sz w:val="22"/>
          <w:szCs w:val="22"/>
        </w:rPr>
        <w:t>, it can encourage employees to perform well and meet expected standards. In contrast, where reward arrangements are limited or unclear, employees may be less motivated to exceed basic requirements. Reward can therefore be used to stimulate performance by recognising value created, rather than simply time spent at work, while also discouraging poor performance by reinforcing expectations</w:t>
      </w:r>
      <w:r w:rsidR="00945BE9">
        <w:rPr>
          <w:rFonts w:ascii="Arial" w:hAnsi="Arial" w:cs="Arial"/>
          <w:sz w:val="22"/>
          <w:szCs w:val="22"/>
        </w:rPr>
        <w:t xml:space="preserve"> (Armstrong &amp; Taylor, 2023)</w:t>
      </w:r>
      <w:r w:rsidRPr="004172E6">
        <w:rPr>
          <w:rFonts w:ascii="Arial" w:hAnsi="Arial" w:cs="Arial"/>
          <w:sz w:val="22"/>
          <w:szCs w:val="22"/>
        </w:rPr>
        <w:t>.</w:t>
      </w:r>
    </w:p>
    <w:p w14:paraId="3FABE14B" w14:textId="7B7341D3" w:rsidR="004172E6" w:rsidRPr="004172E6" w:rsidRDefault="004172E6" w:rsidP="004172E6">
      <w:pPr>
        <w:rPr>
          <w:rFonts w:ascii="Arial" w:hAnsi="Arial" w:cs="Arial"/>
          <w:sz w:val="22"/>
          <w:szCs w:val="22"/>
        </w:rPr>
      </w:pPr>
      <w:r w:rsidRPr="004172E6">
        <w:rPr>
          <w:rFonts w:ascii="Arial" w:hAnsi="Arial" w:cs="Arial"/>
          <w:sz w:val="22"/>
          <w:szCs w:val="22"/>
        </w:rPr>
        <w:t xml:space="preserve">Reward also plays an important role in supporting good work and shaping organisational culture. The CIPD </w:t>
      </w:r>
      <w:r w:rsidR="00B10E25">
        <w:rPr>
          <w:rFonts w:ascii="Arial" w:hAnsi="Arial" w:cs="Arial"/>
          <w:sz w:val="22"/>
          <w:szCs w:val="22"/>
        </w:rPr>
        <w:t xml:space="preserve">(2025b) </w:t>
      </w:r>
      <w:r w:rsidRPr="004172E6">
        <w:rPr>
          <w:rFonts w:ascii="Arial" w:hAnsi="Arial" w:cs="Arial"/>
          <w:sz w:val="22"/>
          <w:szCs w:val="22"/>
        </w:rPr>
        <w:t>notes that reward practices influence how employees feel about their work and their employer. Fair and transparent reward practices can promote trust, commitment and engagement, whereas perceived unfairness can weaken morale and damage workplace culture.</w:t>
      </w:r>
    </w:p>
    <w:p w14:paraId="3FEEC985" w14:textId="1A83D457" w:rsidR="004172E6" w:rsidRPr="004172E6" w:rsidRDefault="004172E6" w:rsidP="004172E6">
      <w:pPr>
        <w:rPr>
          <w:rFonts w:ascii="Arial" w:hAnsi="Arial" w:cs="Arial"/>
          <w:sz w:val="22"/>
          <w:szCs w:val="22"/>
        </w:rPr>
      </w:pPr>
      <w:r w:rsidRPr="004172E6">
        <w:rPr>
          <w:rFonts w:ascii="Arial" w:hAnsi="Arial" w:cs="Arial"/>
          <w:sz w:val="22"/>
          <w:szCs w:val="22"/>
        </w:rPr>
        <w:t xml:space="preserve">At </w:t>
      </w:r>
      <w:proofErr w:type="spellStart"/>
      <w:r w:rsidRPr="004172E6">
        <w:rPr>
          <w:rFonts w:ascii="Arial" w:hAnsi="Arial" w:cs="Arial"/>
          <w:sz w:val="22"/>
          <w:szCs w:val="22"/>
        </w:rPr>
        <w:t>GreenFriendlyEco</w:t>
      </w:r>
      <w:proofErr w:type="spellEnd"/>
      <w:r w:rsidRPr="004172E6">
        <w:rPr>
          <w:rFonts w:ascii="Arial" w:hAnsi="Arial" w:cs="Arial"/>
          <w:sz w:val="22"/>
          <w:szCs w:val="22"/>
        </w:rPr>
        <w:t>, reward is currently limited to basic pay, annual leave and pension provision, with no formal incentive or recognition schemes in place. It is also widely known that additional reward schemes operate for senior staff only, which may create perceptions of unfairness where performance expectations are similar across roles. The organisation relies on measured day work and standard times to manage performance, but without linking performance to reward. This narrow approach may discourage discretionary effort, reduce motivation and contribute to increased employee turnover</w:t>
      </w:r>
      <w:r w:rsidR="002E54AA">
        <w:rPr>
          <w:rFonts w:ascii="Arial" w:hAnsi="Arial" w:cs="Arial"/>
          <w:sz w:val="22"/>
          <w:szCs w:val="22"/>
        </w:rPr>
        <w:t xml:space="preserve"> (CIPD, 2022)</w:t>
      </w:r>
      <w:r w:rsidRPr="004172E6">
        <w:rPr>
          <w:rFonts w:ascii="Arial" w:hAnsi="Arial" w:cs="Arial"/>
          <w:sz w:val="22"/>
          <w:szCs w:val="22"/>
        </w:rPr>
        <w:t>.</w:t>
      </w:r>
    </w:p>
    <w:p w14:paraId="27FE4997" w14:textId="77777777" w:rsidR="0045370A" w:rsidRDefault="0045370A" w:rsidP="0080461A">
      <w:pPr>
        <w:rPr>
          <w:rFonts w:ascii="Arial" w:hAnsi="Arial" w:cs="Arial"/>
          <w:sz w:val="22"/>
          <w:szCs w:val="22"/>
        </w:rPr>
      </w:pPr>
      <w:r w:rsidRPr="0045370A">
        <w:rPr>
          <w:rFonts w:ascii="Arial" w:hAnsi="Arial" w:cs="Arial"/>
          <w:sz w:val="22"/>
          <w:szCs w:val="22"/>
        </w:rPr>
        <w:t xml:space="preserve">The existing reward approach at </w:t>
      </w:r>
      <w:proofErr w:type="spellStart"/>
      <w:r w:rsidRPr="0045370A">
        <w:rPr>
          <w:rFonts w:ascii="Arial" w:hAnsi="Arial" w:cs="Arial"/>
          <w:sz w:val="22"/>
          <w:szCs w:val="22"/>
        </w:rPr>
        <w:t>GreenFriendlyEco</w:t>
      </w:r>
      <w:proofErr w:type="spellEnd"/>
      <w:r w:rsidRPr="0045370A">
        <w:rPr>
          <w:rFonts w:ascii="Arial" w:hAnsi="Arial" w:cs="Arial"/>
          <w:sz w:val="22"/>
          <w:szCs w:val="22"/>
        </w:rPr>
        <w:t xml:space="preserve"> reflects a narrow interpretation of reward that is unlikely to support sustained performance or cultural improvement. Without clear links between reward and performance, employees may see little incentive to exceed basic requirements, particularly where reward is perceived as unevenly applied. By embedding key reward principles such as fairness, transparency and alignment with organisational objectives, reward could be used more effectively to reinforce expectations, shape behaviour and support improved performance management and employee engagement across the organisation.</w:t>
      </w:r>
    </w:p>
    <w:p w14:paraId="064F4F8F" w14:textId="0635330A" w:rsidR="0080461A" w:rsidRPr="0080461A" w:rsidRDefault="000F387F" w:rsidP="0080461A">
      <w:pPr>
        <w:rPr>
          <w:rFonts w:ascii="Arial" w:hAnsi="Arial" w:cs="Arial"/>
          <w:sz w:val="22"/>
          <w:szCs w:val="22"/>
        </w:rPr>
      </w:pPr>
      <w:r w:rsidRPr="0080461A">
        <w:rPr>
          <w:rFonts w:ascii="Arial" w:hAnsi="Arial" w:cs="Arial"/>
          <w:b/>
          <w:bCs/>
          <w:sz w:val="22"/>
          <w:szCs w:val="22"/>
        </w:rPr>
        <w:t>AC 1.</w:t>
      </w:r>
      <w:r w:rsidR="0085453D">
        <w:rPr>
          <w:rFonts w:ascii="Arial" w:hAnsi="Arial" w:cs="Arial"/>
          <w:b/>
          <w:bCs/>
          <w:sz w:val="22"/>
          <w:szCs w:val="22"/>
        </w:rPr>
        <w:t>2</w:t>
      </w:r>
      <w:r w:rsidR="00653884" w:rsidRPr="00653884">
        <w:t xml:space="preserve"> </w:t>
      </w:r>
      <w:r w:rsidR="00653884" w:rsidRPr="00653884">
        <w:rPr>
          <w:rFonts w:ascii="Arial" w:hAnsi="Arial" w:cs="Arial"/>
          <w:sz w:val="22"/>
          <w:szCs w:val="22"/>
        </w:rPr>
        <w:t xml:space="preserve">Building on the distinction between extrinsic </w:t>
      </w:r>
      <w:r w:rsidR="00B36FEF">
        <w:rPr>
          <w:rFonts w:ascii="Arial" w:hAnsi="Arial" w:cs="Arial"/>
          <w:sz w:val="22"/>
          <w:szCs w:val="22"/>
        </w:rPr>
        <w:t xml:space="preserve">and intrinsic </w:t>
      </w:r>
      <w:r w:rsidR="00653884" w:rsidRPr="00653884">
        <w:rPr>
          <w:rFonts w:ascii="Arial" w:hAnsi="Arial" w:cs="Arial"/>
          <w:sz w:val="22"/>
          <w:szCs w:val="22"/>
        </w:rPr>
        <w:t xml:space="preserve">rewards, both play an important role in improving employee contribution and organisational performance, although they influence motivation in different ways. </w:t>
      </w:r>
      <w:r w:rsidR="0080461A" w:rsidRPr="0080461A">
        <w:rPr>
          <w:rFonts w:ascii="Arial" w:hAnsi="Arial" w:cs="Arial"/>
          <w:sz w:val="22"/>
          <w:szCs w:val="22"/>
        </w:rPr>
        <w:t>Extrinsic rewards are tangible and measurable, such as pay, bonuses and financial incentives, while intrinsic rewards relate to recognition, achievement, development and meaningful work (Armstrong and Taylor, 2023).</w:t>
      </w:r>
    </w:p>
    <w:p w14:paraId="2BABCC1C" w14:textId="2A6823B2" w:rsidR="0080461A" w:rsidRPr="0080461A" w:rsidRDefault="0080461A" w:rsidP="0080461A">
      <w:pPr>
        <w:rPr>
          <w:rFonts w:ascii="Arial" w:hAnsi="Arial" w:cs="Arial"/>
          <w:sz w:val="22"/>
          <w:szCs w:val="22"/>
        </w:rPr>
      </w:pPr>
      <w:r w:rsidRPr="0080461A">
        <w:rPr>
          <w:rFonts w:ascii="Arial" w:hAnsi="Arial" w:cs="Arial"/>
          <w:sz w:val="22"/>
          <w:szCs w:val="22"/>
        </w:rPr>
        <w:lastRenderedPageBreak/>
        <w:t xml:space="preserve">Extrinsic rewards can positively influence employee contribution where there is a clear and transparent link between performance and reward. Expectancy theory suggests that employees are more likely to increase effort when they believe that performance will lead to valued outcomes (Taylor and Woodhams, 2022). In an organisation such as </w:t>
      </w:r>
      <w:proofErr w:type="spellStart"/>
      <w:r w:rsidRPr="0080461A">
        <w:rPr>
          <w:rFonts w:ascii="Arial" w:hAnsi="Arial" w:cs="Arial"/>
          <w:sz w:val="22"/>
          <w:szCs w:val="22"/>
        </w:rPr>
        <w:t>GreenFriendlyEco</w:t>
      </w:r>
      <w:proofErr w:type="spellEnd"/>
      <w:r w:rsidRPr="0080461A">
        <w:rPr>
          <w:rFonts w:ascii="Arial" w:hAnsi="Arial" w:cs="Arial"/>
          <w:sz w:val="22"/>
          <w:szCs w:val="22"/>
        </w:rPr>
        <w:t>, where performance is measured through output and standard times, performance-related incentives could encourage employees to meet or exceed expected standards. However, evidence indicates that extrinsic rewards are most effective in the short term and may have limited impact on sustained motivation if relied upon in isolation (CIPD, 2022). Research informed by self-determination theory also suggests that excessive reliance on external incentives can undermine intrinsic motivation if rewards are perceived as controlling rather than supportive (</w:t>
      </w:r>
      <w:proofErr w:type="spellStart"/>
      <w:r w:rsidRPr="0080461A">
        <w:rPr>
          <w:rFonts w:ascii="Arial" w:hAnsi="Arial" w:cs="Arial"/>
          <w:sz w:val="22"/>
          <w:szCs w:val="22"/>
        </w:rPr>
        <w:t>Grolnick</w:t>
      </w:r>
      <w:proofErr w:type="spellEnd"/>
      <w:r w:rsidRPr="0080461A">
        <w:rPr>
          <w:rFonts w:ascii="Arial" w:hAnsi="Arial" w:cs="Arial"/>
          <w:sz w:val="22"/>
          <w:szCs w:val="22"/>
        </w:rPr>
        <w:t xml:space="preserve">, 2023). </w:t>
      </w:r>
      <w:r w:rsidR="0008587B" w:rsidRPr="0008587B">
        <w:rPr>
          <w:rFonts w:ascii="Arial" w:hAnsi="Arial" w:cs="Arial"/>
          <w:sz w:val="22"/>
          <w:szCs w:val="22"/>
        </w:rPr>
        <w:t>This highlights the importance of proportional reward decisions, clear performance measures and consistent application</w:t>
      </w:r>
      <w:r w:rsidRPr="0080461A">
        <w:rPr>
          <w:rFonts w:ascii="Arial" w:hAnsi="Arial" w:cs="Arial"/>
          <w:sz w:val="22"/>
          <w:szCs w:val="22"/>
        </w:rPr>
        <w:t xml:space="preserve"> when linking rewards to performance.</w:t>
      </w:r>
    </w:p>
    <w:p w14:paraId="78C2199F" w14:textId="0E400D52" w:rsidR="0080461A" w:rsidRPr="0080461A" w:rsidRDefault="0080461A" w:rsidP="0080461A">
      <w:pPr>
        <w:rPr>
          <w:rFonts w:ascii="Arial" w:hAnsi="Arial" w:cs="Arial"/>
          <w:sz w:val="22"/>
          <w:szCs w:val="22"/>
        </w:rPr>
      </w:pPr>
      <w:r w:rsidRPr="0080461A">
        <w:rPr>
          <w:rFonts w:ascii="Arial" w:hAnsi="Arial" w:cs="Arial"/>
          <w:sz w:val="22"/>
          <w:szCs w:val="22"/>
        </w:rPr>
        <w:t xml:space="preserve">Intrinsic rewards make an important contribution to sustained organisational performance by supporting longer-term engagement and discretionary effort. Recognition, opportunities for development and a sense of achievement are closely linked to intrinsic motivation and are associated with higher levels of commitment and persistence over time (Armstrong and Taylor, 2023). Intrinsic rewards also support teamworking and positive behaviours that are not easily captured through financial measures alone. </w:t>
      </w:r>
      <w:r w:rsidR="002A606C">
        <w:rPr>
          <w:rFonts w:ascii="Arial" w:hAnsi="Arial" w:cs="Arial"/>
          <w:sz w:val="22"/>
          <w:szCs w:val="22"/>
        </w:rPr>
        <w:t>Recognition</w:t>
      </w:r>
      <w:r w:rsidRPr="0080461A">
        <w:rPr>
          <w:rFonts w:ascii="Arial" w:hAnsi="Arial" w:cs="Arial"/>
          <w:sz w:val="22"/>
          <w:szCs w:val="22"/>
        </w:rPr>
        <w:t xml:space="preserve"> and development play a key role in engaging employees and reinforcing organisational values (CIPD, 202</w:t>
      </w:r>
      <w:r w:rsidR="00E32E19">
        <w:rPr>
          <w:rFonts w:ascii="Arial" w:hAnsi="Arial" w:cs="Arial"/>
          <w:sz w:val="22"/>
          <w:szCs w:val="22"/>
        </w:rPr>
        <w:t>5b</w:t>
      </w:r>
      <w:r w:rsidRPr="0080461A">
        <w:rPr>
          <w:rFonts w:ascii="Arial" w:hAnsi="Arial" w:cs="Arial"/>
          <w:sz w:val="22"/>
          <w:szCs w:val="22"/>
        </w:rPr>
        <w:t>).</w:t>
      </w:r>
    </w:p>
    <w:p w14:paraId="495DE598" w14:textId="3CD981CD" w:rsidR="0080461A" w:rsidRPr="0080461A" w:rsidRDefault="0080461A" w:rsidP="0080461A">
      <w:pPr>
        <w:rPr>
          <w:rFonts w:ascii="Arial" w:hAnsi="Arial" w:cs="Arial"/>
          <w:sz w:val="22"/>
          <w:szCs w:val="22"/>
        </w:rPr>
      </w:pPr>
      <w:r w:rsidRPr="0080461A">
        <w:rPr>
          <w:rFonts w:ascii="Arial" w:hAnsi="Arial" w:cs="Arial"/>
          <w:sz w:val="22"/>
          <w:szCs w:val="22"/>
        </w:rPr>
        <w:t xml:space="preserve">Sustained organisational performance is most likely where extrinsic and intrinsic rewards are combined within a coherent reward strategy. Linking rewards directly to both achievement measures and desired behaviours helps reinforce performance expectations while maintaining motivation over time. </w:t>
      </w:r>
      <w:r w:rsidR="000741CD" w:rsidRPr="000741CD">
        <w:rPr>
          <w:rFonts w:ascii="Arial" w:hAnsi="Arial" w:cs="Arial"/>
          <w:sz w:val="22"/>
          <w:szCs w:val="22"/>
        </w:rPr>
        <w:t>Senior management support is important in embedding reward approaches, as leaders influence how reward strategies are applied in practice and how they are perceived by employees</w:t>
      </w:r>
      <w:r w:rsidRPr="0080461A">
        <w:rPr>
          <w:rFonts w:ascii="Arial" w:hAnsi="Arial" w:cs="Arial"/>
          <w:sz w:val="22"/>
          <w:szCs w:val="22"/>
        </w:rPr>
        <w:t xml:space="preserve"> (Cave, 2023).</w:t>
      </w:r>
    </w:p>
    <w:p w14:paraId="323DC35F" w14:textId="0DEA1543" w:rsidR="0080461A" w:rsidRPr="0080461A" w:rsidRDefault="0080461A" w:rsidP="0080461A">
      <w:pPr>
        <w:rPr>
          <w:rFonts w:ascii="Arial" w:hAnsi="Arial" w:cs="Arial"/>
          <w:sz w:val="22"/>
          <w:szCs w:val="22"/>
        </w:rPr>
      </w:pPr>
      <w:r>
        <w:rPr>
          <w:rFonts w:ascii="Arial" w:hAnsi="Arial" w:cs="Arial"/>
          <w:sz w:val="22"/>
          <w:szCs w:val="22"/>
        </w:rPr>
        <w:t>While</w:t>
      </w:r>
      <w:r w:rsidRPr="0080461A">
        <w:rPr>
          <w:rFonts w:ascii="Arial" w:hAnsi="Arial" w:cs="Arial"/>
          <w:sz w:val="22"/>
          <w:szCs w:val="22"/>
        </w:rPr>
        <w:t xml:space="preserve"> extrinsic rewards can stimulate employee contribution by reinforcing performance outcomes, intrinsic rewards are more effective in sustaining motivation and engagement. A balanced reward approach, aligned to organisational objectives and supported by senior management, is therefore most likely to improve long-term organisational performance at </w:t>
      </w:r>
      <w:proofErr w:type="spellStart"/>
      <w:r w:rsidRPr="0080461A">
        <w:rPr>
          <w:rFonts w:ascii="Arial" w:hAnsi="Arial" w:cs="Arial"/>
          <w:sz w:val="22"/>
          <w:szCs w:val="22"/>
        </w:rPr>
        <w:t>GreenFriendlyEco</w:t>
      </w:r>
      <w:proofErr w:type="spellEnd"/>
      <w:r w:rsidRPr="0080461A">
        <w:rPr>
          <w:rFonts w:ascii="Arial" w:hAnsi="Arial" w:cs="Arial"/>
          <w:sz w:val="22"/>
          <w:szCs w:val="22"/>
        </w:rPr>
        <w:t>.</w:t>
      </w:r>
    </w:p>
    <w:p w14:paraId="60060D37" w14:textId="0223024B" w:rsidR="003936ED" w:rsidRPr="003936ED" w:rsidRDefault="001267CE" w:rsidP="003936ED">
      <w:pPr>
        <w:rPr>
          <w:rFonts w:ascii="Arial" w:hAnsi="Arial" w:cs="Arial"/>
          <w:sz w:val="22"/>
          <w:szCs w:val="22"/>
        </w:rPr>
      </w:pPr>
      <w:r w:rsidRPr="000E1BD6">
        <w:rPr>
          <w:rFonts w:ascii="Arial" w:hAnsi="Arial" w:cs="Arial"/>
          <w:b/>
          <w:bCs/>
          <w:sz w:val="22"/>
          <w:szCs w:val="22"/>
        </w:rPr>
        <w:t xml:space="preserve">AC </w:t>
      </w:r>
      <w:r w:rsidR="00982B18" w:rsidRPr="000E1BD6">
        <w:rPr>
          <w:rFonts w:ascii="Arial" w:hAnsi="Arial" w:cs="Arial"/>
          <w:b/>
          <w:bCs/>
          <w:sz w:val="22"/>
          <w:szCs w:val="22"/>
        </w:rPr>
        <w:t>2.1</w:t>
      </w:r>
      <w:r w:rsidR="00982B18">
        <w:rPr>
          <w:rFonts w:ascii="Arial" w:hAnsi="Arial" w:cs="Arial"/>
          <w:sz w:val="22"/>
          <w:szCs w:val="22"/>
        </w:rPr>
        <w:t xml:space="preserve"> </w:t>
      </w:r>
      <w:r w:rsidR="003936ED" w:rsidRPr="003936ED">
        <w:rPr>
          <w:rFonts w:ascii="Arial" w:hAnsi="Arial" w:cs="Arial"/>
          <w:sz w:val="22"/>
          <w:szCs w:val="22"/>
        </w:rPr>
        <w:t xml:space="preserve">Grade and pay structures provide a framework for how jobs are organised and rewarded within an organisation. They help ensure pay decisions are consistent, </w:t>
      </w:r>
      <w:r w:rsidR="00A721E2" w:rsidRPr="003936ED">
        <w:rPr>
          <w:rFonts w:ascii="Arial" w:hAnsi="Arial" w:cs="Arial"/>
          <w:sz w:val="22"/>
          <w:szCs w:val="22"/>
        </w:rPr>
        <w:t>clear</w:t>
      </w:r>
      <w:r w:rsidR="003936ED" w:rsidRPr="003936ED">
        <w:rPr>
          <w:rFonts w:ascii="Arial" w:hAnsi="Arial" w:cs="Arial"/>
          <w:sz w:val="22"/>
          <w:szCs w:val="22"/>
        </w:rPr>
        <w:t xml:space="preserve"> and aligned to organisational needs (CIPD, 2025</w:t>
      </w:r>
      <w:r w:rsidR="00B5601C">
        <w:rPr>
          <w:rFonts w:ascii="Arial" w:hAnsi="Arial" w:cs="Arial"/>
          <w:sz w:val="22"/>
          <w:szCs w:val="22"/>
        </w:rPr>
        <w:t>c</w:t>
      </w:r>
      <w:r w:rsidR="003936ED" w:rsidRPr="003936ED">
        <w:rPr>
          <w:rFonts w:ascii="Arial" w:hAnsi="Arial" w:cs="Arial"/>
          <w:sz w:val="22"/>
          <w:szCs w:val="22"/>
        </w:rPr>
        <w:t xml:space="preserve">). </w:t>
      </w:r>
      <w:r w:rsidR="006E2BC6" w:rsidRPr="006E2BC6">
        <w:rPr>
          <w:rFonts w:ascii="Arial" w:hAnsi="Arial" w:cs="Arial"/>
          <w:sz w:val="22"/>
          <w:szCs w:val="22"/>
        </w:rPr>
        <w:t xml:space="preserve">Given its reliance on measured day work and standard times, introducing a clearer grade and pay structure at </w:t>
      </w:r>
      <w:proofErr w:type="spellStart"/>
      <w:r w:rsidR="006E2BC6" w:rsidRPr="006E2BC6">
        <w:rPr>
          <w:rFonts w:ascii="Arial" w:hAnsi="Arial" w:cs="Arial"/>
          <w:sz w:val="22"/>
          <w:szCs w:val="22"/>
        </w:rPr>
        <w:t>GreenFriendlyEco</w:t>
      </w:r>
      <w:proofErr w:type="spellEnd"/>
      <w:r w:rsidR="006E2BC6" w:rsidRPr="006E2BC6">
        <w:rPr>
          <w:rFonts w:ascii="Arial" w:hAnsi="Arial" w:cs="Arial"/>
          <w:sz w:val="22"/>
          <w:szCs w:val="22"/>
        </w:rPr>
        <w:t xml:space="preserve"> could help address concerns around motivation and employee turnover by improving clarity around pay decisions and consistency across roles.</w:t>
      </w:r>
    </w:p>
    <w:p w14:paraId="6335E306" w14:textId="77777777" w:rsidR="003936ED" w:rsidRPr="003936ED" w:rsidRDefault="003936ED" w:rsidP="003936ED">
      <w:pPr>
        <w:rPr>
          <w:rFonts w:ascii="Arial" w:hAnsi="Arial" w:cs="Arial"/>
          <w:sz w:val="22"/>
          <w:szCs w:val="22"/>
        </w:rPr>
      </w:pPr>
      <w:r w:rsidRPr="003936ED">
        <w:rPr>
          <w:rFonts w:ascii="Arial" w:hAnsi="Arial" w:cs="Arial"/>
          <w:sz w:val="22"/>
          <w:szCs w:val="22"/>
        </w:rPr>
        <w:t xml:space="preserve">Pay structures can broadly be divided into formal and informal arrangements. Formal grade and pay structures are systematic and clearly defined. A common example is a multi-graded structure, where roles are evaluated and placed into </w:t>
      </w:r>
      <w:proofErr w:type="gramStart"/>
      <w:r w:rsidRPr="003936ED">
        <w:rPr>
          <w:rFonts w:ascii="Arial" w:hAnsi="Arial" w:cs="Arial"/>
          <w:sz w:val="22"/>
          <w:szCs w:val="22"/>
        </w:rPr>
        <w:t>a number of</w:t>
      </w:r>
      <w:proofErr w:type="gramEnd"/>
      <w:r w:rsidRPr="003936ED">
        <w:rPr>
          <w:rFonts w:ascii="Arial" w:hAnsi="Arial" w:cs="Arial"/>
          <w:sz w:val="22"/>
          <w:szCs w:val="22"/>
        </w:rPr>
        <w:t xml:space="preserve"> grades, each with a defined pay range. Progression within grades is often linked to experience, length of service or performance (Armstrong and Taylor, 2023). This approach provides clarity and control, which could benefit </w:t>
      </w:r>
      <w:proofErr w:type="spellStart"/>
      <w:r w:rsidRPr="003936ED">
        <w:rPr>
          <w:rFonts w:ascii="Arial" w:hAnsi="Arial" w:cs="Arial"/>
          <w:sz w:val="22"/>
          <w:szCs w:val="22"/>
        </w:rPr>
        <w:t>GreenFriendlyEco’s</w:t>
      </w:r>
      <w:proofErr w:type="spellEnd"/>
      <w:r w:rsidRPr="003936ED">
        <w:rPr>
          <w:rFonts w:ascii="Arial" w:hAnsi="Arial" w:cs="Arial"/>
          <w:sz w:val="22"/>
          <w:szCs w:val="22"/>
        </w:rPr>
        <w:t xml:space="preserve"> mixed workforce of skilled and non-skilled roles, although narrow grades can sometimes limit flexibility.</w:t>
      </w:r>
    </w:p>
    <w:p w14:paraId="25535A89" w14:textId="2EC52497" w:rsidR="003936ED" w:rsidRPr="003936ED" w:rsidRDefault="003936ED" w:rsidP="003936ED">
      <w:pPr>
        <w:rPr>
          <w:rFonts w:ascii="Arial" w:hAnsi="Arial" w:cs="Arial"/>
          <w:sz w:val="22"/>
          <w:szCs w:val="22"/>
        </w:rPr>
      </w:pPr>
      <w:r w:rsidRPr="003936ED">
        <w:rPr>
          <w:rFonts w:ascii="Arial" w:hAnsi="Arial" w:cs="Arial"/>
          <w:sz w:val="22"/>
          <w:szCs w:val="22"/>
        </w:rPr>
        <w:lastRenderedPageBreak/>
        <w:t>Broad-graded structures reduce the number of grades and offer wider pay ranges, allowing greater flexibility in progression and role development (CIPD, 2025</w:t>
      </w:r>
      <w:r w:rsidR="00B5601C">
        <w:rPr>
          <w:rFonts w:ascii="Arial" w:hAnsi="Arial" w:cs="Arial"/>
          <w:sz w:val="22"/>
          <w:szCs w:val="22"/>
        </w:rPr>
        <w:t>c</w:t>
      </w:r>
      <w:r w:rsidRPr="003936ED">
        <w:rPr>
          <w:rFonts w:ascii="Arial" w:hAnsi="Arial" w:cs="Arial"/>
          <w:sz w:val="22"/>
          <w:szCs w:val="22"/>
        </w:rPr>
        <w:t xml:space="preserve">). Broad-banded structures go further by combining roles into very wide bands. While these approaches can support organisational change, they rely heavily on management judgement and require strong governance to </w:t>
      </w:r>
      <w:r w:rsidR="000347C3" w:rsidRPr="000347C3">
        <w:rPr>
          <w:rFonts w:ascii="Arial" w:hAnsi="Arial" w:cs="Arial"/>
          <w:sz w:val="22"/>
          <w:szCs w:val="22"/>
        </w:rPr>
        <w:t>avoid perceptions of inconsistency or bias</w:t>
      </w:r>
      <w:r w:rsidRPr="003936ED">
        <w:rPr>
          <w:rFonts w:ascii="Arial" w:hAnsi="Arial" w:cs="Arial"/>
          <w:sz w:val="22"/>
          <w:szCs w:val="22"/>
        </w:rPr>
        <w:t xml:space="preserve">. Given </w:t>
      </w:r>
      <w:proofErr w:type="spellStart"/>
      <w:r w:rsidRPr="003936ED">
        <w:rPr>
          <w:rFonts w:ascii="Arial" w:hAnsi="Arial" w:cs="Arial"/>
          <w:sz w:val="22"/>
          <w:szCs w:val="22"/>
        </w:rPr>
        <w:t>GreenFriendlyEco’s</w:t>
      </w:r>
      <w:proofErr w:type="spellEnd"/>
      <w:r w:rsidRPr="003936ED">
        <w:rPr>
          <w:rFonts w:ascii="Arial" w:hAnsi="Arial" w:cs="Arial"/>
          <w:sz w:val="22"/>
          <w:szCs w:val="22"/>
        </w:rPr>
        <w:t xml:space="preserve"> existing concerns around trust and reward equity, transparency would be essential if such structures were introduced.</w:t>
      </w:r>
    </w:p>
    <w:p w14:paraId="09C50F31" w14:textId="77777777" w:rsidR="003936ED" w:rsidRPr="003936ED" w:rsidRDefault="003936ED" w:rsidP="003936ED">
      <w:pPr>
        <w:rPr>
          <w:rFonts w:ascii="Arial" w:hAnsi="Arial" w:cs="Arial"/>
          <w:sz w:val="22"/>
          <w:szCs w:val="22"/>
        </w:rPr>
      </w:pPr>
      <w:r w:rsidRPr="003936ED">
        <w:rPr>
          <w:rFonts w:ascii="Arial" w:hAnsi="Arial" w:cs="Arial"/>
          <w:sz w:val="22"/>
          <w:szCs w:val="22"/>
        </w:rPr>
        <w:t xml:space="preserve">Job family structures group roles by function or profession, such as manufacturing, engineering or administration. Each family has its own grades and pay ranges, allowing organisations to reflect different external market rates while maintaining internal consistency (Taylor and Woodhams, 2022). This approach could be relevant for </w:t>
      </w:r>
      <w:proofErr w:type="spellStart"/>
      <w:r w:rsidRPr="003936ED">
        <w:rPr>
          <w:rFonts w:ascii="Arial" w:hAnsi="Arial" w:cs="Arial"/>
          <w:sz w:val="22"/>
          <w:szCs w:val="22"/>
        </w:rPr>
        <w:t>GreenFriendlyEco</w:t>
      </w:r>
      <w:proofErr w:type="spellEnd"/>
      <w:r w:rsidRPr="003936ED">
        <w:rPr>
          <w:rFonts w:ascii="Arial" w:hAnsi="Arial" w:cs="Arial"/>
          <w:sz w:val="22"/>
          <w:szCs w:val="22"/>
        </w:rPr>
        <w:t>, where labour market pressures may differ between skilled technical roles and operational positions.</w:t>
      </w:r>
    </w:p>
    <w:p w14:paraId="67E480F9" w14:textId="5CC3758F" w:rsidR="003936ED" w:rsidRPr="003936ED" w:rsidRDefault="003936ED" w:rsidP="003936ED">
      <w:pPr>
        <w:rPr>
          <w:rFonts w:ascii="Arial" w:hAnsi="Arial" w:cs="Arial"/>
          <w:sz w:val="22"/>
          <w:szCs w:val="22"/>
        </w:rPr>
      </w:pPr>
      <w:r w:rsidRPr="003936ED">
        <w:rPr>
          <w:rFonts w:ascii="Arial" w:hAnsi="Arial" w:cs="Arial"/>
          <w:sz w:val="22"/>
          <w:szCs w:val="22"/>
        </w:rPr>
        <w:t>In contrast, informal pay structures lack a defined grading framework. Spot rates involve paying a fixed rate for a role, often driven by market pressures rather than internal comparisons. While this offers flexibility and speed, it can lead to inconsistency and perceptions of unfairness if not managed carefully (CIPD, 2025</w:t>
      </w:r>
      <w:r w:rsidR="00D33C1C">
        <w:rPr>
          <w:rFonts w:ascii="Arial" w:hAnsi="Arial" w:cs="Arial"/>
          <w:sz w:val="22"/>
          <w:szCs w:val="22"/>
        </w:rPr>
        <w:t>d</w:t>
      </w:r>
      <w:r w:rsidRPr="003936ED">
        <w:rPr>
          <w:rFonts w:ascii="Arial" w:hAnsi="Arial" w:cs="Arial"/>
          <w:sz w:val="22"/>
          <w:szCs w:val="22"/>
        </w:rPr>
        <w:t xml:space="preserve">). The CIPD </w:t>
      </w:r>
      <w:r w:rsidR="0064313E">
        <w:rPr>
          <w:rFonts w:ascii="Arial" w:hAnsi="Arial" w:cs="Arial"/>
          <w:sz w:val="22"/>
          <w:szCs w:val="22"/>
        </w:rPr>
        <w:t xml:space="preserve">(2024) </w:t>
      </w:r>
      <w:r w:rsidRPr="003936ED">
        <w:rPr>
          <w:rFonts w:ascii="Arial" w:hAnsi="Arial" w:cs="Arial"/>
          <w:sz w:val="22"/>
          <w:szCs w:val="22"/>
        </w:rPr>
        <w:t>highlights that limited transparency in pay arrangements can negatively affect employee trust and engagement</w:t>
      </w:r>
      <w:r w:rsidR="005F2D4E">
        <w:rPr>
          <w:rFonts w:ascii="Arial" w:hAnsi="Arial" w:cs="Arial"/>
          <w:sz w:val="22"/>
          <w:szCs w:val="22"/>
        </w:rPr>
        <w:t>.</w:t>
      </w:r>
    </w:p>
    <w:p w14:paraId="0CA072D2" w14:textId="4A5ABBCF" w:rsidR="00D22482" w:rsidRDefault="00D22482" w:rsidP="00E274DC">
      <w:pPr>
        <w:rPr>
          <w:rFonts w:ascii="Arial" w:hAnsi="Arial" w:cs="Arial"/>
          <w:sz w:val="22"/>
          <w:szCs w:val="22"/>
        </w:rPr>
      </w:pPr>
      <w:r w:rsidRPr="00D22482">
        <w:rPr>
          <w:rFonts w:ascii="Arial" w:hAnsi="Arial" w:cs="Arial"/>
          <w:sz w:val="22"/>
          <w:szCs w:val="22"/>
        </w:rPr>
        <w:t xml:space="preserve">An example of a formal pay structure in practice can be seen within </w:t>
      </w:r>
      <w:r>
        <w:rPr>
          <w:rFonts w:ascii="Arial" w:hAnsi="Arial" w:cs="Arial"/>
          <w:sz w:val="22"/>
          <w:szCs w:val="22"/>
        </w:rPr>
        <w:t xml:space="preserve">a local authority, </w:t>
      </w:r>
      <w:r w:rsidRPr="00D22482">
        <w:rPr>
          <w:rFonts w:ascii="Arial" w:hAnsi="Arial" w:cs="Arial"/>
          <w:sz w:val="22"/>
          <w:szCs w:val="22"/>
        </w:rPr>
        <w:t xml:space="preserve">Carmarthenshire County Council (CCC), where a dedicated job evaluation team supports consistent and structured grading across the organisation. This approach promotes pay equity, consistency and employee confidence in reward decisions. Applying similar principles at </w:t>
      </w:r>
      <w:proofErr w:type="spellStart"/>
      <w:r w:rsidRPr="00D22482">
        <w:rPr>
          <w:rFonts w:ascii="Arial" w:hAnsi="Arial" w:cs="Arial"/>
          <w:sz w:val="22"/>
          <w:szCs w:val="22"/>
        </w:rPr>
        <w:t>GreenFriendlyEco</w:t>
      </w:r>
      <w:proofErr w:type="spellEnd"/>
      <w:r w:rsidRPr="00D22482">
        <w:rPr>
          <w:rFonts w:ascii="Arial" w:hAnsi="Arial" w:cs="Arial"/>
          <w:sz w:val="22"/>
          <w:szCs w:val="22"/>
        </w:rPr>
        <w:t>, aligned to market rates, could support clearer pay frameworks and help address current workforce challenges.</w:t>
      </w:r>
    </w:p>
    <w:p w14:paraId="4CBB43CA" w14:textId="2D0DFC9A" w:rsidR="00E274DC" w:rsidRPr="00E274DC" w:rsidRDefault="007A75FD" w:rsidP="00E274DC">
      <w:pPr>
        <w:rPr>
          <w:rFonts w:ascii="Arial" w:hAnsi="Arial" w:cs="Arial"/>
          <w:sz w:val="22"/>
          <w:szCs w:val="22"/>
        </w:rPr>
      </w:pPr>
      <w:r w:rsidRPr="0082248B">
        <w:rPr>
          <w:rFonts w:ascii="Arial" w:hAnsi="Arial" w:cs="Arial"/>
          <w:b/>
          <w:bCs/>
          <w:sz w:val="22"/>
          <w:szCs w:val="22"/>
        </w:rPr>
        <w:t xml:space="preserve">AC 2.2 </w:t>
      </w:r>
      <w:r w:rsidR="00E274DC" w:rsidRPr="00E274DC">
        <w:rPr>
          <w:rFonts w:ascii="Arial" w:hAnsi="Arial" w:cs="Arial"/>
          <w:sz w:val="22"/>
          <w:szCs w:val="22"/>
        </w:rPr>
        <w:t>Rewards that are contingent on performance, contribution or skill development are commonly used to influence employee behaviour and outcomes. These include performance-related pay, contribution-related pay, competency-based pay, skill-based pay and service-related pay (CIPD, 2025</w:t>
      </w:r>
      <w:r w:rsidR="009B5C1F">
        <w:rPr>
          <w:rFonts w:ascii="Arial" w:hAnsi="Arial" w:cs="Arial"/>
          <w:sz w:val="22"/>
          <w:szCs w:val="22"/>
        </w:rPr>
        <w:t>e</w:t>
      </w:r>
      <w:r w:rsidR="00E274DC" w:rsidRPr="00E274DC">
        <w:rPr>
          <w:rFonts w:ascii="Arial" w:hAnsi="Arial" w:cs="Arial"/>
          <w:sz w:val="22"/>
          <w:szCs w:val="22"/>
        </w:rPr>
        <w:t>). When designed appropriately, contingent rewards can impact performance at individual, team and organisational levels by reinforcing behaviours and results valued by the organisation.</w:t>
      </w:r>
    </w:p>
    <w:p w14:paraId="47248655" w14:textId="01941D1F" w:rsidR="00E274DC" w:rsidRPr="00E274DC" w:rsidRDefault="00E274DC" w:rsidP="00E274DC">
      <w:pPr>
        <w:rPr>
          <w:rFonts w:ascii="Arial" w:hAnsi="Arial" w:cs="Arial"/>
          <w:sz w:val="22"/>
          <w:szCs w:val="22"/>
        </w:rPr>
      </w:pPr>
      <w:r w:rsidRPr="00E274DC">
        <w:rPr>
          <w:rFonts w:ascii="Arial" w:hAnsi="Arial" w:cs="Arial"/>
          <w:sz w:val="22"/>
          <w:szCs w:val="22"/>
        </w:rPr>
        <w:t xml:space="preserve">Clear links between individual effort and reward can encourage higher levels of contribution. Performance-related pay (PRP), for example, is intended to motivate employees by rewarding the achievement of agreed objectives. Expectancy theory suggests that individuals are more likely to increase effort when they believe their performance will lead to valued rewards (Armstrong and Taylor, 2023). In an organisation such as </w:t>
      </w:r>
      <w:proofErr w:type="spellStart"/>
      <w:r w:rsidRPr="00E274DC">
        <w:rPr>
          <w:rFonts w:ascii="Arial" w:hAnsi="Arial" w:cs="Arial"/>
          <w:sz w:val="22"/>
          <w:szCs w:val="22"/>
        </w:rPr>
        <w:t>GreenFriendlyEco</w:t>
      </w:r>
      <w:proofErr w:type="spellEnd"/>
      <w:r w:rsidRPr="00E274DC">
        <w:rPr>
          <w:rFonts w:ascii="Arial" w:hAnsi="Arial" w:cs="Arial"/>
          <w:sz w:val="22"/>
          <w:szCs w:val="22"/>
        </w:rPr>
        <w:t>, where performance is currently managed through measured day work and standard times, PRP could help shift focus from meeting minimum output requirements to achieving higher levels of performance. Evidence also suggests that contingent rewards can increase employee responsiveness where rewards are clearly linked to performance outcomes, provided the approach is perceived as fair (Khan et al., 2020). Similar principles can be observed at CCC, where appraisal outcomes, incremental progression and acting up</w:t>
      </w:r>
      <w:r w:rsidR="00FA56B8">
        <w:rPr>
          <w:rFonts w:ascii="Arial" w:hAnsi="Arial" w:cs="Arial"/>
          <w:sz w:val="22"/>
          <w:szCs w:val="22"/>
        </w:rPr>
        <w:t xml:space="preserve"> </w:t>
      </w:r>
      <w:r w:rsidRPr="00E274DC">
        <w:rPr>
          <w:rFonts w:ascii="Arial" w:hAnsi="Arial" w:cs="Arial"/>
          <w:sz w:val="22"/>
          <w:szCs w:val="22"/>
        </w:rPr>
        <w:t>opportunities are contingent on demonstrated performance and capability.</w:t>
      </w:r>
    </w:p>
    <w:p w14:paraId="5F423E92" w14:textId="41EB24A3" w:rsidR="00E274DC" w:rsidRPr="00E274DC" w:rsidRDefault="00E274DC" w:rsidP="00E274DC">
      <w:pPr>
        <w:rPr>
          <w:rFonts w:ascii="Arial" w:hAnsi="Arial" w:cs="Arial"/>
          <w:sz w:val="22"/>
          <w:szCs w:val="22"/>
        </w:rPr>
      </w:pPr>
      <w:r w:rsidRPr="00E274DC">
        <w:rPr>
          <w:rFonts w:ascii="Arial" w:hAnsi="Arial" w:cs="Arial"/>
          <w:sz w:val="22"/>
          <w:szCs w:val="22"/>
        </w:rPr>
        <w:lastRenderedPageBreak/>
        <w:t>Where tasks and outputs are shared, contingent rewards can also influence team performance. Team-based or contribution-related rewards can encourage collaboration by linking reward to collective outcomes rather than individual competition. Research indicates that contingent rewards can enhance team performance when expectations are clear and rewards are applied consistently, although leadership behaviour plays a key role in shaping their effectiveness (Ghosh et al., 202</w:t>
      </w:r>
      <w:r w:rsidR="00962E15">
        <w:rPr>
          <w:rFonts w:ascii="Arial" w:hAnsi="Arial" w:cs="Arial"/>
          <w:sz w:val="22"/>
          <w:szCs w:val="22"/>
        </w:rPr>
        <w:t>4</w:t>
      </w:r>
      <w:r w:rsidRPr="00E274DC">
        <w:rPr>
          <w:rFonts w:ascii="Arial" w:hAnsi="Arial" w:cs="Arial"/>
          <w:sz w:val="22"/>
          <w:szCs w:val="22"/>
        </w:rPr>
        <w:t xml:space="preserve">). In </w:t>
      </w:r>
      <w:proofErr w:type="spellStart"/>
      <w:r w:rsidRPr="00E274DC">
        <w:rPr>
          <w:rFonts w:ascii="Arial" w:hAnsi="Arial" w:cs="Arial"/>
          <w:sz w:val="22"/>
          <w:szCs w:val="22"/>
        </w:rPr>
        <w:t>GreenFriendlyEco’s</w:t>
      </w:r>
      <w:proofErr w:type="spellEnd"/>
      <w:r w:rsidRPr="00E274DC">
        <w:rPr>
          <w:rFonts w:ascii="Arial" w:hAnsi="Arial" w:cs="Arial"/>
          <w:sz w:val="22"/>
          <w:szCs w:val="22"/>
        </w:rPr>
        <w:t xml:space="preserve"> manufacturing environment, team-based incentives linked to productivity, quality or safety outcomes could support cooperation across teams. In practice, CCC adopts a similar approach through service-level objectives and shared accountability, where recognition and performance outcomes are often considered at a team level.</w:t>
      </w:r>
    </w:p>
    <w:p w14:paraId="0B676320" w14:textId="77777777" w:rsidR="00E274DC" w:rsidRPr="00E274DC" w:rsidRDefault="00E274DC" w:rsidP="00E274DC">
      <w:pPr>
        <w:rPr>
          <w:rFonts w:ascii="Arial" w:hAnsi="Arial" w:cs="Arial"/>
          <w:sz w:val="22"/>
          <w:szCs w:val="22"/>
        </w:rPr>
      </w:pPr>
      <w:r w:rsidRPr="00E274DC">
        <w:rPr>
          <w:rFonts w:ascii="Arial" w:hAnsi="Arial" w:cs="Arial"/>
          <w:sz w:val="22"/>
          <w:szCs w:val="22"/>
        </w:rPr>
        <w:t xml:space="preserve">Longer-term organisational performance can be supported through contingent rewards linked to skills and competencies. Skill-based and competency-related pay encourage employees to develop additional capabilities, improving flexibility and reducing reliance on a small number of skilled individuals (CIPD, 2025b). At </w:t>
      </w:r>
      <w:proofErr w:type="spellStart"/>
      <w:r w:rsidRPr="00E274DC">
        <w:rPr>
          <w:rFonts w:ascii="Arial" w:hAnsi="Arial" w:cs="Arial"/>
          <w:sz w:val="22"/>
          <w:szCs w:val="22"/>
        </w:rPr>
        <w:t>GreenFriendlyEco</w:t>
      </w:r>
      <w:proofErr w:type="spellEnd"/>
      <w:r w:rsidRPr="00E274DC">
        <w:rPr>
          <w:rFonts w:ascii="Arial" w:hAnsi="Arial" w:cs="Arial"/>
          <w:sz w:val="22"/>
          <w:szCs w:val="22"/>
        </w:rPr>
        <w:t>, skill-based pay could support workforce resilience and retention by encouraging employees to develop a broader range of production skills. This reflects approaches used at CCC, where succession planning and development opportunities are used as contingent rewards to build organisational capability over time.</w:t>
      </w:r>
    </w:p>
    <w:p w14:paraId="18526E50" w14:textId="3E5AE30C" w:rsidR="00E274DC" w:rsidRDefault="00E274DC" w:rsidP="00E274DC">
      <w:pPr>
        <w:rPr>
          <w:rFonts w:ascii="Arial" w:hAnsi="Arial" w:cs="Arial"/>
          <w:sz w:val="22"/>
          <w:szCs w:val="22"/>
        </w:rPr>
      </w:pPr>
      <w:r w:rsidRPr="00E274DC">
        <w:rPr>
          <w:rFonts w:ascii="Arial" w:hAnsi="Arial" w:cs="Arial"/>
          <w:sz w:val="22"/>
          <w:szCs w:val="22"/>
        </w:rPr>
        <w:t xml:space="preserve">Taken together, contingent rewards can positively influence performance when aligned with organisational objectives and supported by transparent performance management processes. </w:t>
      </w:r>
      <w:r w:rsidR="00EA5237" w:rsidRPr="00EA5237">
        <w:rPr>
          <w:rFonts w:ascii="Arial" w:hAnsi="Arial" w:cs="Arial"/>
          <w:sz w:val="22"/>
          <w:szCs w:val="22"/>
        </w:rPr>
        <w:t xml:space="preserve">A balanced mix of individual, team and skill-based contingent rewards could help improve motivation, collaboration and sustained organisational performance at </w:t>
      </w:r>
      <w:proofErr w:type="spellStart"/>
      <w:r w:rsidR="00EA5237" w:rsidRPr="00EA5237">
        <w:rPr>
          <w:rFonts w:ascii="Arial" w:hAnsi="Arial" w:cs="Arial"/>
          <w:sz w:val="22"/>
          <w:szCs w:val="22"/>
        </w:rPr>
        <w:t>GreenFriendlyEco</w:t>
      </w:r>
      <w:proofErr w:type="spellEnd"/>
      <w:r w:rsidR="00EA5237" w:rsidRPr="00EA5237">
        <w:rPr>
          <w:rFonts w:ascii="Arial" w:hAnsi="Arial" w:cs="Arial"/>
          <w:sz w:val="22"/>
          <w:szCs w:val="22"/>
        </w:rPr>
        <w:t xml:space="preserve"> when aligned with organisational objectives.</w:t>
      </w:r>
    </w:p>
    <w:p w14:paraId="3C04B37C" w14:textId="5D5B289A" w:rsidR="00A94067" w:rsidRPr="00A94067" w:rsidRDefault="00304B28" w:rsidP="00A94067">
      <w:pPr>
        <w:rPr>
          <w:rFonts w:ascii="Arial" w:hAnsi="Arial" w:cs="Arial"/>
          <w:sz w:val="22"/>
          <w:szCs w:val="22"/>
        </w:rPr>
      </w:pPr>
      <w:r w:rsidRPr="00A94067">
        <w:rPr>
          <w:rFonts w:ascii="Arial" w:hAnsi="Arial" w:cs="Arial"/>
          <w:b/>
          <w:bCs/>
          <w:sz w:val="22"/>
          <w:szCs w:val="22"/>
        </w:rPr>
        <w:t>AC 2.3</w:t>
      </w:r>
      <w:r>
        <w:rPr>
          <w:rFonts w:ascii="Arial" w:hAnsi="Arial" w:cs="Arial"/>
          <w:sz w:val="22"/>
          <w:szCs w:val="22"/>
        </w:rPr>
        <w:t xml:space="preserve"> </w:t>
      </w:r>
      <w:r w:rsidR="00A94067" w:rsidRPr="00A94067">
        <w:rPr>
          <w:rFonts w:ascii="Arial" w:hAnsi="Arial" w:cs="Arial"/>
          <w:sz w:val="22"/>
          <w:szCs w:val="22"/>
        </w:rPr>
        <w:t>Employee benefits are a key component of the total reward package and play an important role in shaping employee attitudes, motivation and commitment</w:t>
      </w:r>
      <w:r w:rsidR="00756A85">
        <w:rPr>
          <w:rFonts w:ascii="Arial" w:hAnsi="Arial" w:cs="Arial"/>
          <w:sz w:val="22"/>
          <w:szCs w:val="22"/>
        </w:rPr>
        <w:t xml:space="preserve"> (CIPD, 2025f)</w:t>
      </w:r>
      <w:r w:rsidR="00A94067" w:rsidRPr="00A94067">
        <w:rPr>
          <w:rFonts w:ascii="Arial" w:hAnsi="Arial" w:cs="Arial"/>
          <w:sz w:val="22"/>
          <w:szCs w:val="22"/>
        </w:rPr>
        <w:t xml:space="preserve">. Armstrong and Taylor (2023) note that benefits can enhance the perceived value of employment beyond pay, particularly where organisations face constraints on base salary increases. </w:t>
      </w:r>
      <w:r w:rsidR="00E42354">
        <w:rPr>
          <w:rFonts w:ascii="Arial" w:hAnsi="Arial" w:cs="Arial"/>
          <w:sz w:val="22"/>
          <w:szCs w:val="22"/>
        </w:rPr>
        <w:t xml:space="preserve">For </w:t>
      </w:r>
      <w:proofErr w:type="spellStart"/>
      <w:r w:rsidR="00734894">
        <w:rPr>
          <w:rFonts w:ascii="Arial" w:hAnsi="Arial" w:cs="Arial"/>
          <w:sz w:val="22"/>
          <w:szCs w:val="22"/>
        </w:rPr>
        <w:t>G</w:t>
      </w:r>
      <w:r w:rsidR="00A94067" w:rsidRPr="00A94067">
        <w:rPr>
          <w:rFonts w:ascii="Arial" w:hAnsi="Arial" w:cs="Arial"/>
          <w:sz w:val="22"/>
          <w:szCs w:val="22"/>
        </w:rPr>
        <w:t>reenFriendlyEco</w:t>
      </w:r>
      <w:proofErr w:type="spellEnd"/>
      <w:r w:rsidR="00A94067" w:rsidRPr="00A94067">
        <w:rPr>
          <w:rFonts w:ascii="Arial" w:hAnsi="Arial" w:cs="Arial"/>
          <w:sz w:val="22"/>
          <w:szCs w:val="22"/>
        </w:rPr>
        <w:t>, which currently offers a limited benefits package, expanding the range of benefits available could support improvements in engagement and retention.</w:t>
      </w:r>
    </w:p>
    <w:p w14:paraId="1B667238" w14:textId="08AF6477" w:rsidR="00A94067" w:rsidRPr="00A94067" w:rsidRDefault="00A94067" w:rsidP="00A94067">
      <w:pPr>
        <w:rPr>
          <w:rFonts w:ascii="Arial" w:hAnsi="Arial" w:cs="Arial"/>
          <w:sz w:val="22"/>
          <w:szCs w:val="22"/>
        </w:rPr>
      </w:pPr>
      <w:r w:rsidRPr="00A94067">
        <w:rPr>
          <w:rFonts w:ascii="Arial" w:hAnsi="Arial" w:cs="Arial"/>
          <w:sz w:val="22"/>
          <w:szCs w:val="22"/>
        </w:rPr>
        <w:t>Pension provision is one of the most significant benefits offered by organisations and provides long-term financial security for employees</w:t>
      </w:r>
      <w:r w:rsidR="00211E42">
        <w:rPr>
          <w:rFonts w:ascii="Arial" w:hAnsi="Arial" w:cs="Arial"/>
          <w:sz w:val="22"/>
          <w:szCs w:val="22"/>
        </w:rPr>
        <w:t xml:space="preserve"> (CIPD, 2025f)</w:t>
      </w:r>
      <w:r w:rsidRPr="00A94067">
        <w:rPr>
          <w:rFonts w:ascii="Arial" w:hAnsi="Arial" w:cs="Arial"/>
          <w:sz w:val="22"/>
          <w:szCs w:val="22"/>
        </w:rPr>
        <w:t xml:space="preserve">. </w:t>
      </w:r>
      <w:r w:rsidR="00EE37C1">
        <w:rPr>
          <w:rFonts w:ascii="Arial" w:hAnsi="Arial" w:cs="Arial"/>
          <w:sz w:val="22"/>
          <w:szCs w:val="22"/>
        </w:rPr>
        <w:t xml:space="preserve">Taylor and </w:t>
      </w:r>
      <w:r w:rsidRPr="00A94067">
        <w:rPr>
          <w:rFonts w:ascii="Arial" w:hAnsi="Arial" w:cs="Arial"/>
          <w:sz w:val="22"/>
          <w:szCs w:val="22"/>
        </w:rPr>
        <w:t xml:space="preserve">Woodhams (2022) highlight that pensions are often viewed as a signal of organisational commitment and fairness, particularly when applied consistently across the workforce. While </w:t>
      </w:r>
      <w:proofErr w:type="spellStart"/>
      <w:r w:rsidRPr="00A94067">
        <w:rPr>
          <w:rFonts w:ascii="Arial" w:hAnsi="Arial" w:cs="Arial"/>
          <w:sz w:val="22"/>
          <w:szCs w:val="22"/>
        </w:rPr>
        <w:t>GreenFriendlyEco</w:t>
      </w:r>
      <w:proofErr w:type="spellEnd"/>
      <w:r w:rsidRPr="00A94067">
        <w:rPr>
          <w:rFonts w:ascii="Arial" w:hAnsi="Arial" w:cs="Arial"/>
          <w:sz w:val="22"/>
          <w:szCs w:val="22"/>
        </w:rPr>
        <w:t xml:space="preserve"> includes all employees in a non-contributory pension scheme, the existence of enhanced arrangements for senior staff may undermine perceptions of equity. Reviewing pension transparency or consistency could therefore strengthen trust and organisational culture.</w:t>
      </w:r>
    </w:p>
    <w:p w14:paraId="4A8147CF" w14:textId="5DB4671F" w:rsidR="008673AF" w:rsidRDefault="008673AF" w:rsidP="00A94067">
      <w:pPr>
        <w:rPr>
          <w:rFonts w:ascii="Arial" w:hAnsi="Arial" w:cs="Arial"/>
          <w:sz w:val="22"/>
          <w:szCs w:val="22"/>
        </w:rPr>
      </w:pPr>
      <w:r w:rsidRPr="008673AF">
        <w:rPr>
          <w:rFonts w:ascii="Arial" w:hAnsi="Arial" w:cs="Arial"/>
          <w:sz w:val="22"/>
          <w:szCs w:val="22"/>
        </w:rPr>
        <w:t xml:space="preserve">Health and wellbeing benefits, including occupational sick pay, healthcare provision and insurance cover, offer value to both employees and organisations by supporting attendance and sustained performance. Wellbeing-related benefits can help reduce absence and demonstrate organisational responsibility towards employee health (Armstrong and Taylor, 2023). In physically demanding environments such as </w:t>
      </w:r>
      <w:proofErr w:type="spellStart"/>
      <w:r w:rsidRPr="008673AF">
        <w:rPr>
          <w:rFonts w:ascii="Arial" w:hAnsi="Arial" w:cs="Arial"/>
          <w:sz w:val="22"/>
          <w:szCs w:val="22"/>
        </w:rPr>
        <w:t>GreenFriendlyEco</w:t>
      </w:r>
      <w:proofErr w:type="spellEnd"/>
      <w:r w:rsidRPr="008673AF">
        <w:rPr>
          <w:rFonts w:ascii="Arial" w:hAnsi="Arial" w:cs="Arial"/>
          <w:sz w:val="22"/>
          <w:szCs w:val="22"/>
        </w:rPr>
        <w:t>, access to wellbeing support or enhanced sick pay may reduce disruption caused by ill health (CIPD, 2025f). This approach can be seen in practice at CCC, where occupational sick pay, fast-</w:t>
      </w:r>
      <w:r w:rsidRPr="008673AF">
        <w:rPr>
          <w:rFonts w:ascii="Arial" w:hAnsi="Arial" w:cs="Arial"/>
          <w:sz w:val="22"/>
          <w:szCs w:val="22"/>
        </w:rPr>
        <w:lastRenderedPageBreak/>
        <w:t xml:space="preserve">track </w:t>
      </w:r>
      <w:r w:rsidR="00037B92">
        <w:rPr>
          <w:rFonts w:ascii="Arial" w:hAnsi="Arial" w:cs="Arial"/>
          <w:sz w:val="22"/>
          <w:szCs w:val="22"/>
        </w:rPr>
        <w:t>musculoskeletal services</w:t>
      </w:r>
      <w:r w:rsidRPr="008673AF">
        <w:rPr>
          <w:rFonts w:ascii="Arial" w:hAnsi="Arial" w:cs="Arial"/>
          <w:sz w:val="22"/>
          <w:szCs w:val="22"/>
        </w:rPr>
        <w:t xml:space="preserve"> and mental health wellbeing support are available</w:t>
      </w:r>
      <w:r w:rsidR="00037B92">
        <w:rPr>
          <w:rFonts w:ascii="Arial" w:hAnsi="Arial" w:cs="Arial"/>
          <w:sz w:val="22"/>
          <w:szCs w:val="22"/>
        </w:rPr>
        <w:t>.</w:t>
      </w:r>
      <w:r w:rsidRPr="008673AF">
        <w:rPr>
          <w:rFonts w:ascii="Arial" w:hAnsi="Arial" w:cs="Arial"/>
          <w:sz w:val="22"/>
          <w:szCs w:val="22"/>
        </w:rPr>
        <w:t xml:space="preserve"> From a practitioner perspective, early access to occupational health support can contribute to more effective return-to-work outcomes and improved absence management. Introducing similar wellbeing-focused benefits could therefore support workforce resilience and longer-term organisational performance at </w:t>
      </w:r>
      <w:proofErr w:type="spellStart"/>
      <w:r w:rsidRPr="008673AF">
        <w:rPr>
          <w:rFonts w:ascii="Arial" w:hAnsi="Arial" w:cs="Arial"/>
          <w:sz w:val="22"/>
          <w:szCs w:val="22"/>
        </w:rPr>
        <w:t>GreenFriendlyEco</w:t>
      </w:r>
      <w:proofErr w:type="spellEnd"/>
      <w:r w:rsidRPr="008673AF">
        <w:rPr>
          <w:rFonts w:ascii="Arial" w:hAnsi="Arial" w:cs="Arial"/>
          <w:sz w:val="22"/>
          <w:szCs w:val="22"/>
        </w:rPr>
        <w:t>.</w:t>
      </w:r>
    </w:p>
    <w:p w14:paraId="46326E76" w14:textId="2EF36548" w:rsidR="00A94067" w:rsidRPr="00A94067" w:rsidRDefault="00A94067" w:rsidP="00A94067">
      <w:pPr>
        <w:rPr>
          <w:rFonts w:ascii="Arial" w:hAnsi="Arial" w:cs="Arial"/>
          <w:sz w:val="22"/>
          <w:szCs w:val="22"/>
        </w:rPr>
      </w:pPr>
      <w:r w:rsidRPr="00A94067">
        <w:rPr>
          <w:rFonts w:ascii="Arial" w:hAnsi="Arial" w:cs="Arial"/>
          <w:sz w:val="22"/>
          <w:szCs w:val="22"/>
        </w:rPr>
        <w:t>Recognition-based benefits also deliver strong value, particularly where financial rewards are limited</w:t>
      </w:r>
      <w:r w:rsidR="00B70589">
        <w:rPr>
          <w:rFonts w:ascii="Arial" w:hAnsi="Arial" w:cs="Arial"/>
          <w:sz w:val="22"/>
          <w:szCs w:val="22"/>
        </w:rPr>
        <w:t xml:space="preserve">. </w:t>
      </w:r>
      <w:r w:rsidR="00B70589" w:rsidRPr="00B70589">
        <w:rPr>
          <w:rFonts w:ascii="Arial" w:hAnsi="Arial" w:cs="Arial"/>
          <w:sz w:val="22"/>
          <w:szCs w:val="22"/>
        </w:rPr>
        <w:t>Recognition schemes, long-service awards and development opportunities can improve engagement by helping employees feel valued and appreciated for their contribution (People Management, 2023).</w:t>
      </w:r>
      <w:r w:rsidRPr="00A94067">
        <w:rPr>
          <w:rFonts w:ascii="Arial" w:hAnsi="Arial" w:cs="Arial"/>
          <w:sz w:val="22"/>
          <w:szCs w:val="22"/>
        </w:rPr>
        <w:t xml:space="preserve"> </w:t>
      </w:r>
      <w:r w:rsidR="00B70589">
        <w:rPr>
          <w:rFonts w:ascii="Arial" w:hAnsi="Arial" w:cs="Arial"/>
          <w:sz w:val="22"/>
          <w:szCs w:val="22"/>
        </w:rPr>
        <w:t xml:space="preserve">This can also support </w:t>
      </w:r>
      <w:r w:rsidRPr="00A94067">
        <w:rPr>
          <w:rFonts w:ascii="Arial" w:hAnsi="Arial" w:cs="Arial"/>
          <w:sz w:val="22"/>
          <w:szCs w:val="22"/>
        </w:rPr>
        <w:t>intrinsic motivation and reinforces positive behaviours</w:t>
      </w:r>
      <w:r w:rsidR="00B70589">
        <w:rPr>
          <w:rFonts w:ascii="Arial" w:hAnsi="Arial" w:cs="Arial"/>
          <w:sz w:val="22"/>
          <w:szCs w:val="22"/>
        </w:rPr>
        <w:t xml:space="preserve"> (</w:t>
      </w:r>
      <w:r w:rsidR="00B70589" w:rsidRPr="00A94067">
        <w:rPr>
          <w:rFonts w:ascii="Arial" w:hAnsi="Arial" w:cs="Arial"/>
          <w:sz w:val="22"/>
          <w:szCs w:val="22"/>
        </w:rPr>
        <w:t>Armstrong and Taylor</w:t>
      </w:r>
      <w:r w:rsidR="00B70589">
        <w:rPr>
          <w:rFonts w:ascii="Arial" w:hAnsi="Arial" w:cs="Arial"/>
          <w:sz w:val="22"/>
          <w:szCs w:val="22"/>
        </w:rPr>
        <w:t xml:space="preserve">, </w:t>
      </w:r>
      <w:r w:rsidR="00B70589" w:rsidRPr="00A94067">
        <w:rPr>
          <w:rFonts w:ascii="Arial" w:hAnsi="Arial" w:cs="Arial"/>
          <w:sz w:val="22"/>
          <w:szCs w:val="22"/>
        </w:rPr>
        <w:t>2023)</w:t>
      </w:r>
      <w:r w:rsidR="00B70589">
        <w:rPr>
          <w:rFonts w:ascii="Arial" w:hAnsi="Arial" w:cs="Arial"/>
          <w:sz w:val="22"/>
          <w:szCs w:val="22"/>
        </w:rPr>
        <w:t>.</w:t>
      </w:r>
      <w:r w:rsidRPr="00A94067">
        <w:rPr>
          <w:rFonts w:ascii="Arial" w:hAnsi="Arial" w:cs="Arial"/>
          <w:sz w:val="22"/>
          <w:szCs w:val="22"/>
        </w:rPr>
        <w:t xml:space="preserve"> Introducing structured recognition initiatives at </w:t>
      </w:r>
      <w:proofErr w:type="spellStart"/>
      <w:r w:rsidRPr="00A94067">
        <w:rPr>
          <w:rFonts w:ascii="Arial" w:hAnsi="Arial" w:cs="Arial"/>
          <w:sz w:val="22"/>
          <w:szCs w:val="22"/>
        </w:rPr>
        <w:t>GreenFriendlyEco</w:t>
      </w:r>
      <w:proofErr w:type="spellEnd"/>
      <w:r w:rsidRPr="00A94067">
        <w:rPr>
          <w:rFonts w:ascii="Arial" w:hAnsi="Arial" w:cs="Arial"/>
          <w:sz w:val="22"/>
          <w:szCs w:val="22"/>
        </w:rPr>
        <w:t xml:space="preserve"> could therefore improve morale at relatively low cost.</w:t>
      </w:r>
    </w:p>
    <w:p w14:paraId="17C4871A" w14:textId="229F837A" w:rsidR="00A94067" w:rsidRPr="00A94067" w:rsidRDefault="00A94067" w:rsidP="00A94067">
      <w:pPr>
        <w:rPr>
          <w:rFonts w:ascii="Arial" w:hAnsi="Arial" w:cs="Arial"/>
          <w:sz w:val="22"/>
          <w:szCs w:val="22"/>
        </w:rPr>
      </w:pPr>
      <w:r w:rsidRPr="00A94067">
        <w:rPr>
          <w:rFonts w:ascii="Arial" w:hAnsi="Arial" w:cs="Arial"/>
          <w:sz w:val="22"/>
          <w:szCs w:val="22"/>
        </w:rPr>
        <w:t xml:space="preserve">Flexible benefits, including season ticket loans, company loans or employee choice schemes, allow organisations to recognise individual differences in what employees value. </w:t>
      </w:r>
      <w:r w:rsidR="00B033BF">
        <w:rPr>
          <w:rFonts w:ascii="Arial" w:hAnsi="Arial" w:cs="Arial"/>
          <w:sz w:val="22"/>
          <w:szCs w:val="22"/>
        </w:rPr>
        <w:t xml:space="preserve">Taylor and </w:t>
      </w:r>
      <w:r w:rsidRPr="00A94067">
        <w:rPr>
          <w:rFonts w:ascii="Arial" w:hAnsi="Arial" w:cs="Arial"/>
          <w:sz w:val="22"/>
          <w:szCs w:val="22"/>
        </w:rPr>
        <w:t xml:space="preserve">Woodhams (2022) note that flexible benefits can enhance perceived fairness by accommodating diverse needs across life stages. </w:t>
      </w:r>
      <w:r w:rsidR="00EF4A09">
        <w:rPr>
          <w:rFonts w:ascii="Arial" w:hAnsi="Arial" w:cs="Arial"/>
          <w:sz w:val="22"/>
          <w:szCs w:val="22"/>
        </w:rPr>
        <w:t>Snowdon (2025)</w:t>
      </w:r>
      <w:r w:rsidRPr="00A94067">
        <w:rPr>
          <w:rFonts w:ascii="Arial" w:hAnsi="Arial" w:cs="Arial"/>
          <w:sz w:val="22"/>
          <w:szCs w:val="22"/>
        </w:rPr>
        <w:t xml:space="preserve"> supports this view, suggesting that flexibility increases engagement without necessarily increasing overall reward costs. </w:t>
      </w:r>
      <w:r w:rsidR="00EF4A09">
        <w:rPr>
          <w:rFonts w:ascii="Arial" w:hAnsi="Arial" w:cs="Arial"/>
          <w:sz w:val="22"/>
          <w:szCs w:val="22"/>
        </w:rPr>
        <w:t xml:space="preserve">A </w:t>
      </w:r>
      <w:r w:rsidRPr="00A94067">
        <w:rPr>
          <w:rFonts w:ascii="Arial" w:hAnsi="Arial" w:cs="Arial"/>
          <w:sz w:val="22"/>
          <w:szCs w:val="22"/>
        </w:rPr>
        <w:t>limited flexible benefits approach could balance affordability with employee choice.</w:t>
      </w:r>
    </w:p>
    <w:p w14:paraId="697FA8F0" w14:textId="6419F673" w:rsidR="00A94067" w:rsidRDefault="00EF4A09" w:rsidP="00A94067">
      <w:pPr>
        <w:rPr>
          <w:rFonts w:ascii="Arial" w:hAnsi="Arial" w:cs="Arial"/>
          <w:sz w:val="22"/>
          <w:szCs w:val="22"/>
        </w:rPr>
      </w:pPr>
      <w:r>
        <w:rPr>
          <w:rFonts w:ascii="Arial" w:hAnsi="Arial" w:cs="Arial"/>
          <w:sz w:val="22"/>
          <w:szCs w:val="22"/>
        </w:rPr>
        <w:t>The</w:t>
      </w:r>
      <w:r w:rsidR="00A94067" w:rsidRPr="00A94067">
        <w:rPr>
          <w:rFonts w:ascii="Arial" w:hAnsi="Arial" w:cs="Arial"/>
          <w:sz w:val="22"/>
          <w:szCs w:val="22"/>
        </w:rPr>
        <w:t xml:space="preserve"> merits of employee benefits include increased engagement, improved wellbeing and reduced employee turnover. By adopting a broader, more transparent benefits package aligned to workforce needs and organisational resources, </w:t>
      </w:r>
      <w:proofErr w:type="spellStart"/>
      <w:r w:rsidR="00A94067" w:rsidRPr="00A94067">
        <w:rPr>
          <w:rFonts w:ascii="Arial" w:hAnsi="Arial" w:cs="Arial"/>
          <w:sz w:val="22"/>
          <w:szCs w:val="22"/>
        </w:rPr>
        <w:t>GreenFriendlyEco</w:t>
      </w:r>
      <w:proofErr w:type="spellEnd"/>
      <w:r w:rsidR="00A94067" w:rsidRPr="00A94067">
        <w:rPr>
          <w:rFonts w:ascii="Arial" w:hAnsi="Arial" w:cs="Arial"/>
          <w:sz w:val="22"/>
          <w:szCs w:val="22"/>
        </w:rPr>
        <w:t xml:space="preserve"> could strengthen its employee value proposition and support longer-term organisational performance.</w:t>
      </w:r>
    </w:p>
    <w:p w14:paraId="5DA0F7AB" w14:textId="77777777" w:rsidR="008B5037" w:rsidRPr="008B5037" w:rsidRDefault="00A83F26" w:rsidP="008B5037">
      <w:pPr>
        <w:rPr>
          <w:rFonts w:ascii="Arial" w:hAnsi="Arial" w:cs="Arial"/>
          <w:sz w:val="22"/>
          <w:szCs w:val="22"/>
        </w:rPr>
      </w:pPr>
      <w:r w:rsidRPr="00821DE4">
        <w:rPr>
          <w:rFonts w:ascii="Arial" w:hAnsi="Arial" w:cs="Arial"/>
          <w:b/>
          <w:bCs/>
          <w:sz w:val="22"/>
          <w:szCs w:val="22"/>
        </w:rPr>
        <w:t xml:space="preserve">AC </w:t>
      </w:r>
      <w:r w:rsidR="00D96165" w:rsidRPr="00821DE4">
        <w:rPr>
          <w:rFonts w:ascii="Arial" w:hAnsi="Arial" w:cs="Arial"/>
          <w:b/>
          <w:bCs/>
          <w:sz w:val="22"/>
          <w:szCs w:val="22"/>
        </w:rPr>
        <w:t>2.4</w:t>
      </w:r>
      <w:r w:rsidR="00D96165">
        <w:rPr>
          <w:rFonts w:ascii="Arial" w:hAnsi="Arial" w:cs="Arial"/>
          <w:sz w:val="22"/>
          <w:szCs w:val="22"/>
        </w:rPr>
        <w:t xml:space="preserve"> </w:t>
      </w:r>
      <w:r w:rsidR="008B5037" w:rsidRPr="008B5037">
        <w:rPr>
          <w:rFonts w:ascii="Arial" w:hAnsi="Arial" w:cs="Arial"/>
          <w:sz w:val="22"/>
          <w:szCs w:val="22"/>
        </w:rPr>
        <w:t xml:space="preserve">Recognition schemes are mechanisms used by organisations to acknowledge employee effort, behaviours or achievements and are distinct from contractual pay and benefits. Where morale is low, recognition can reinforce positive behaviours and improve culture without requiring major pay changes (Armstrong and Taylor, 2023). This matters in </w:t>
      </w:r>
      <w:proofErr w:type="spellStart"/>
      <w:r w:rsidR="008B5037" w:rsidRPr="008B5037">
        <w:rPr>
          <w:rFonts w:ascii="Arial" w:hAnsi="Arial" w:cs="Arial"/>
          <w:sz w:val="22"/>
          <w:szCs w:val="22"/>
        </w:rPr>
        <w:t>GreenFriendlyEco’s</w:t>
      </w:r>
      <w:proofErr w:type="spellEnd"/>
      <w:r w:rsidR="008B5037" w:rsidRPr="008B5037">
        <w:rPr>
          <w:rFonts w:ascii="Arial" w:hAnsi="Arial" w:cs="Arial"/>
          <w:sz w:val="22"/>
          <w:szCs w:val="22"/>
        </w:rPr>
        <w:t xml:space="preserve"> context because no formal recognition arrangements currently exist.</w:t>
      </w:r>
    </w:p>
    <w:p w14:paraId="034A48AC" w14:textId="7F8E06AD" w:rsidR="008B5037" w:rsidRPr="008B5037" w:rsidRDefault="008B5037" w:rsidP="008B5037">
      <w:pPr>
        <w:rPr>
          <w:rFonts w:ascii="Arial" w:hAnsi="Arial" w:cs="Arial"/>
          <w:sz w:val="22"/>
          <w:szCs w:val="22"/>
        </w:rPr>
      </w:pPr>
      <w:r w:rsidRPr="008B5037">
        <w:rPr>
          <w:rFonts w:ascii="Arial" w:hAnsi="Arial" w:cs="Arial"/>
          <w:sz w:val="22"/>
          <w:szCs w:val="22"/>
        </w:rPr>
        <w:t>A useful starting point is informal, day-to-day recognition. This includes verbal praise, quick thank-you messages, or managers noticing good work at the time it happens. The main merit is immediacy: it strengthens the link between the behaviour and the acknowledgement. Practical guidance on recognition also suggests that simple actions such as being specific about what is being recognised and doing it consistently can make recognition feel more genuine and meaningful (CIPD, 2020). Evidence reviewed by the CIPD indicates that non-financial recognition can have a positive effect on motivation and engagement when employees view it as authentic rather than tokenistic (CIPD, 2022</w:t>
      </w:r>
      <w:r w:rsidR="00E33226">
        <w:rPr>
          <w:rFonts w:ascii="Arial" w:hAnsi="Arial" w:cs="Arial"/>
          <w:sz w:val="22"/>
          <w:szCs w:val="22"/>
        </w:rPr>
        <w:t>b</w:t>
      </w:r>
      <w:r w:rsidRPr="008B5037">
        <w:rPr>
          <w:rFonts w:ascii="Arial" w:hAnsi="Arial" w:cs="Arial"/>
          <w:sz w:val="22"/>
          <w:szCs w:val="22"/>
        </w:rPr>
        <w:t>).</w:t>
      </w:r>
    </w:p>
    <w:p w14:paraId="53D29107" w14:textId="77777777" w:rsidR="008B5037" w:rsidRPr="008B5037" w:rsidRDefault="008B5037" w:rsidP="008B5037">
      <w:pPr>
        <w:rPr>
          <w:rFonts w:ascii="Arial" w:hAnsi="Arial" w:cs="Arial"/>
          <w:sz w:val="22"/>
          <w:szCs w:val="22"/>
        </w:rPr>
      </w:pPr>
      <w:r w:rsidRPr="008B5037">
        <w:rPr>
          <w:rFonts w:ascii="Arial" w:hAnsi="Arial" w:cs="Arial"/>
          <w:sz w:val="22"/>
          <w:szCs w:val="22"/>
        </w:rPr>
        <w:t xml:space="preserve">More structured formal recognition schemes provide clarity and consistency. Examples include long-service awards, values awards, or nomination-based schemes where criteria are communicated in advance. Formal schemes work by setting out how recognition is awarded and who is eligible, which can reduce perceptions of favouritism. Recognition tends to be stronger when linked to clear expectations, such as quality, teamwork or safe working behaviours (Armstrong and Taylor, 2023). Introducing a simple formal scheme could help </w:t>
      </w:r>
      <w:proofErr w:type="spellStart"/>
      <w:r w:rsidRPr="008B5037">
        <w:rPr>
          <w:rFonts w:ascii="Arial" w:hAnsi="Arial" w:cs="Arial"/>
          <w:sz w:val="22"/>
          <w:szCs w:val="22"/>
        </w:rPr>
        <w:t>GreenFriendlyEco</w:t>
      </w:r>
      <w:proofErr w:type="spellEnd"/>
      <w:r w:rsidRPr="008B5037">
        <w:rPr>
          <w:rFonts w:ascii="Arial" w:hAnsi="Arial" w:cs="Arial"/>
          <w:sz w:val="22"/>
          <w:szCs w:val="22"/>
        </w:rPr>
        <w:t xml:space="preserve"> make positive contribution more visible across both skilled and non-skilled roles.</w:t>
      </w:r>
    </w:p>
    <w:p w14:paraId="50128945" w14:textId="3BEF80D9" w:rsidR="008B5037" w:rsidRPr="008B5037" w:rsidRDefault="008B5037" w:rsidP="008B5037">
      <w:pPr>
        <w:rPr>
          <w:rFonts w:ascii="Arial" w:hAnsi="Arial" w:cs="Arial"/>
          <w:sz w:val="22"/>
          <w:szCs w:val="22"/>
        </w:rPr>
      </w:pPr>
      <w:r w:rsidRPr="008B5037">
        <w:rPr>
          <w:rFonts w:ascii="Arial" w:hAnsi="Arial" w:cs="Arial"/>
          <w:sz w:val="22"/>
          <w:szCs w:val="22"/>
        </w:rPr>
        <w:lastRenderedPageBreak/>
        <w:t>Another option is public recognition, such as celebrating achievements in team meetings, on noticeboards or internal updates. The merit of public recognition is that it reinforces shared norms and shows what the organisation values, which can influence wider behaviour. Guidance on incentives and recognition highlights that visibility can strengthen the impact of recognition provided it is applied fairly and transparently (CIPD, 2022</w:t>
      </w:r>
      <w:r w:rsidR="00E33226">
        <w:rPr>
          <w:rFonts w:ascii="Arial" w:hAnsi="Arial" w:cs="Arial"/>
          <w:sz w:val="22"/>
          <w:szCs w:val="22"/>
        </w:rPr>
        <w:t>c</w:t>
      </w:r>
      <w:r w:rsidRPr="008B5037">
        <w:rPr>
          <w:rFonts w:ascii="Arial" w:hAnsi="Arial" w:cs="Arial"/>
          <w:sz w:val="22"/>
          <w:szCs w:val="22"/>
        </w:rPr>
        <w:t>). Care is needed to ensure recognition is not perceived as inconsistent, as this can damage trust.</w:t>
      </w:r>
    </w:p>
    <w:p w14:paraId="034CFF3A" w14:textId="01400888" w:rsidR="00125E34" w:rsidRPr="00125E34" w:rsidRDefault="00125E34" w:rsidP="00125E34">
      <w:pPr>
        <w:rPr>
          <w:rFonts w:ascii="Arial" w:hAnsi="Arial" w:cs="Arial"/>
          <w:sz w:val="22"/>
          <w:szCs w:val="22"/>
        </w:rPr>
      </w:pPr>
      <w:r w:rsidRPr="00125E34">
        <w:rPr>
          <w:rFonts w:ascii="Arial" w:hAnsi="Arial" w:cs="Arial"/>
          <w:sz w:val="22"/>
          <w:szCs w:val="22"/>
        </w:rPr>
        <w:t>Some schemes also include cash and non-cash awards. Cash awards or vouchers are often valued for their flexibility, while non-cash rewards such as gifts, tickets or experiences can feel more personal and memorable. Morris (2026) notes that these schemes can be effective when criteria are clearly defined, but they carry risks if employees perceive them as unfair or expected rather than meaningful recognition. Critical perspectives also warn that recognition programmes can lose credibility if they become symbolic rather than authentic, potentially undermining trust rather than enhancing engagement (Hancock, 202</w:t>
      </w:r>
      <w:r w:rsidR="00237FEA">
        <w:rPr>
          <w:rFonts w:ascii="Arial" w:hAnsi="Arial" w:cs="Arial"/>
          <w:sz w:val="22"/>
          <w:szCs w:val="22"/>
        </w:rPr>
        <w:t>4</w:t>
      </w:r>
      <w:r w:rsidRPr="00125E34">
        <w:rPr>
          <w:rFonts w:ascii="Arial" w:hAnsi="Arial" w:cs="Arial"/>
          <w:sz w:val="22"/>
          <w:szCs w:val="22"/>
        </w:rPr>
        <w:t xml:space="preserve">). For </w:t>
      </w:r>
      <w:proofErr w:type="spellStart"/>
      <w:r w:rsidRPr="00125E34">
        <w:rPr>
          <w:rFonts w:ascii="Arial" w:hAnsi="Arial" w:cs="Arial"/>
          <w:sz w:val="22"/>
          <w:szCs w:val="22"/>
        </w:rPr>
        <w:t>GreenFriendlyEco</w:t>
      </w:r>
      <w:proofErr w:type="spellEnd"/>
      <w:r w:rsidRPr="00125E34">
        <w:rPr>
          <w:rFonts w:ascii="Arial" w:hAnsi="Arial" w:cs="Arial"/>
          <w:sz w:val="22"/>
          <w:szCs w:val="22"/>
        </w:rPr>
        <w:t>, modest non-cash awards linked to specific behaviours could provide a manageable and meaningful recognition approach.</w:t>
      </w:r>
    </w:p>
    <w:p w14:paraId="3BE7F6C3" w14:textId="77777777" w:rsidR="00125E34" w:rsidRDefault="00125E34" w:rsidP="00125E34">
      <w:pPr>
        <w:rPr>
          <w:rFonts w:ascii="Arial" w:hAnsi="Arial" w:cs="Arial"/>
          <w:sz w:val="22"/>
          <w:szCs w:val="22"/>
        </w:rPr>
      </w:pPr>
      <w:r w:rsidRPr="00125E34">
        <w:rPr>
          <w:rFonts w:ascii="Arial" w:hAnsi="Arial" w:cs="Arial"/>
          <w:sz w:val="22"/>
          <w:szCs w:val="22"/>
        </w:rPr>
        <w:t xml:space="preserve">Overall, combining informal recognition with light-touch formal, public and non-cash schemes would allow </w:t>
      </w:r>
      <w:proofErr w:type="spellStart"/>
      <w:r w:rsidRPr="00125E34">
        <w:rPr>
          <w:rFonts w:ascii="Arial" w:hAnsi="Arial" w:cs="Arial"/>
          <w:sz w:val="22"/>
          <w:szCs w:val="22"/>
        </w:rPr>
        <w:t>GreenFriendlyEco</w:t>
      </w:r>
      <w:proofErr w:type="spellEnd"/>
      <w:r w:rsidRPr="00125E34">
        <w:rPr>
          <w:rFonts w:ascii="Arial" w:hAnsi="Arial" w:cs="Arial"/>
          <w:sz w:val="22"/>
          <w:szCs w:val="22"/>
        </w:rPr>
        <w:t xml:space="preserve"> to reinforce positive behaviours, improve morale and support cultural improvement in a consistent and affordable way.</w:t>
      </w:r>
    </w:p>
    <w:p w14:paraId="624DECBD" w14:textId="7F205F9A" w:rsidR="004C0E34" w:rsidRPr="004C0E34" w:rsidRDefault="003909F3" w:rsidP="004C0E34">
      <w:pPr>
        <w:rPr>
          <w:rFonts w:ascii="Arial" w:hAnsi="Arial" w:cs="Arial"/>
          <w:sz w:val="22"/>
          <w:szCs w:val="22"/>
        </w:rPr>
      </w:pPr>
      <w:r w:rsidRPr="00A36287">
        <w:rPr>
          <w:rFonts w:ascii="Arial" w:hAnsi="Arial" w:cs="Arial"/>
          <w:b/>
          <w:bCs/>
          <w:sz w:val="22"/>
          <w:szCs w:val="22"/>
        </w:rPr>
        <w:t xml:space="preserve">AC </w:t>
      </w:r>
      <w:r w:rsidR="00AD15C0" w:rsidRPr="00A36287">
        <w:rPr>
          <w:rFonts w:ascii="Arial" w:hAnsi="Arial" w:cs="Arial"/>
          <w:b/>
          <w:bCs/>
          <w:sz w:val="22"/>
          <w:szCs w:val="22"/>
        </w:rPr>
        <w:t xml:space="preserve">3.1 </w:t>
      </w:r>
      <w:r w:rsidR="004C0E34" w:rsidRPr="004C0E34">
        <w:rPr>
          <w:rFonts w:ascii="Arial" w:hAnsi="Arial" w:cs="Arial"/>
          <w:sz w:val="22"/>
          <w:szCs w:val="22"/>
        </w:rPr>
        <w:t>Reward decisions are shaped by a combination of external economic conditions and internal organisational factors, meaning reward cannot be designed in isolation from its wider business context. Current levels of economic uncertainty, skills shortages and rising employment costs continue to place pressure on organisations to balance affordability with competitiveness (CIPD, 202</w:t>
      </w:r>
      <w:r w:rsidR="00625392">
        <w:rPr>
          <w:rFonts w:ascii="Arial" w:hAnsi="Arial" w:cs="Arial"/>
          <w:sz w:val="22"/>
          <w:szCs w:val="22"/>
        </w:rPr>
        <w:t>5b</w:t>
      </w:r>
      <w:r w:rsidR="004C0E34" w:rsidRPr="004C0E34">
        <w:rPr>
          <w:rFonts w:ascii="Arial" w:hAnsi="Arial" w:cs="Arial"/>
          <w:sz w:val="22"/>
          <w:szCs w:val="22"/>
        </w:rPr>
        <w:t>).</w:t>
      </w:r>
    </w:p>
    <w:p w14:paraId="627FE739" w14:textId="6B283FB2" w:rsidR="004C0E34" w:rsidRPr="004C0E34" w:rsidRDefault="004C0E34" w:rsidP="004C0E34">
      <w:pPr>
        <w:rPr>
          <w:rFonts w:ascii="Arial" w:hAnsi="Arial" w:cs="Arial"/>
          <w:sz w:val="22"/>
          <w:szCs w:val="22"/>
        </w:rPr>
      </w:pPr>
      <w:r w:rsidRPr="004C0E34">
        <w:rPr>
          <w:rFonts w:ascii="Arial" w:hAnsi="Arial" w:cs="Arial"/>
          <w:sz w:val="22"/>
          <w:szCs w:val="22"/>
        </w:rPr>
        <w:t>From a national perspective, UK reward environments are influenced by labour market conditions and regulation. The introduction and ongoing increases to the National Minimum Wage have raised baseline pay expectations, particularly in lower-paid sectors, reducing pay differentials and increasing cost pressures for employers (Daniels, 202</w:t>
      </w:r>
      <w:r w:rsidR="00F72E4D">
        <w:rPr>
          <w:rFonts w:ascii="Arial" w:hAnsi="Arial" w:cs="Arial"/>
          <w:sz w:val="22"/>
          <w:szCs w:val="22"/>
        </w:rPr>
        <w:t>2</w:t>
      </w:r>
      <w:r w:rsidRPr="004C0E34">
        <w:rPr>
          <w:rFonts w:ascii="Arial" w:hAnsi="Arial" w:cs="Arial"/>
          <w:sz w:val="22"/>
          <w:szCs w:val="22"/>
        </w:rPr>
        <w:t xml:space="preserve">). </w:t>
      </w:r>
      <w:r w:rsidR="005220DD" w:rsidRPr="005220DD">
        <w:rPr>
          <w:rFonts w:ascii="Arial" w:hAnsi="Arial" w:cs="Arial"/>
          <w:sz w:val="22"/>
          <w:szCs w:val="22"/>
        </w:rPr>
        <w:t>At the same time, differences in skills availability across sectors have increased competition for experienced workers, influencing how organisations set pay and reward</w:t>
      </w:r>
      <w:r w:rsidRPr="004C0E34">
        <w:rPr>
          <w:rFonts w:ascii="Arial" w:hAnsi="Arial" w:cs="Arial"/>
          <w:sz w:val="22"/>
          <w:szCs w:val="22"/>
        </w:rPr>
        <w:t xml:space="preserve"> (Armstrong and Taylor, 2023). </w:t>
      </w:r>
      <w:r w:rsidR="00736B81" w:rsidRPr="00736B81">
        <w:rPr>
          <w:rFonts w:ascii="Arial" w:hAnsi="Arial" w:cs="Arial"/>
          <w:sz w:val="22"/>
          <w:szCs w:val="22"/>
        </w:rPr>
        <w:t>In a manufacturing environment that relies heavily on operational roles, these pressures reduce flexibility in pay decisions while increasing expectations around compliance and consistent treatment</w:t>
      </w:r>
      <w:r w:rsidR="00A33916">
        <w:rPr>
          <w:rFonts w:ascii="Arial" w:hAnsi="Arial" w:cs="Arial"/>
          <w:sz w:val="22"/>
          <w:szCs w:val="22"/>
        </w:rPr>
        <w:t xml:space="preserve"> (ONS, 2024).</w:t>
      </w:r>
    </w:p>
    <w:p w14:paraId="5FD66A5E" w14:textId="6EC2BD2D" w:rsidR="004C0E34" w:rsidRPr="004C0E34" w:rsidRDefault="004C0E34" w:rsidP="004C0E34">
      <w:pPr>
        <w:rPr>
          <w:rFonts w:ascii="Arial" w:hAnsi="Arial" w:cs="Arial"/>
          <w:sz w:val="22"/>
          <w:szCs w:val="22"/>
        </w:rPr>
      </w:pPr>
      <w:r w:rsidRPr="004C0E34">
        <w:rPr>
          <w:rFonts w:ascii="Arial" w:hAnsi="Arial" w:cs="Arial"/>
          <w:sz w:val="22"/>
          <w:szCs w:val="22"/>
        </w:rPr>
        <w:t>International and economic factors also shape reward strategy</w:t>
      </w:r>
      <w:r w:rsidR="009A1650">
        <w:rPr>
          <w:rFonts w:ascii="Arial" w:hAnsi="Arial" w:cs="Arial"/>
          <w:sz w:val="22"/>
          <w:szCs w:val="22"/>
        </w:rPr>
        <w:t xml:space="preserve">. </w:t>
      </w:r>
      <w:r w:rsidR="001E7EAB">
        <w:rPr>
          <w:rFonts w:ascii="Arial" w:hAnsi="Arial" w:cs="Arial"/>
          <w:sz w:val="22"/>
          <w:szCs w:val="22"/>
        </w:rPr>
        <w:t>G</w:t>
      </w:r>
      <w:r w:rsidR="001E7EAB" w:rsidRPr="001E7EAB">
        <w:rPr>
          <w:rFonts w:ascii="Arial" w:hAnsi="Arial" w:cs="Arial"/>
          <w:sz w:val="22"/>
          <w:szCs w:val="22"/>
        </w:rPr>
        <w:t>lobal economic uncertainty</w:t>
      </w:r>
      <w:r w:rsidR="009A1650" w:rsidRPr="009A1650">
        <w:rPr>
          <w:rFonts w:ascii="Arial" w:hAnsi="Arial" w:cs="Arial"/>
          <w:sz w:val="22"/>
          <w:szCs w:val="22"/>
        </w:rPr>
        <w:t>, rising business costs and increased competition for skills are leading many organisations to reassess how reward supports attraction, retention and productivity (</w:t>
      </w:r>
      <w:r w:rsidR="006D78E6">
        <w:rPr>
          <w:rFonts w:ascii="Arial" w:hAnsi="Arial" w:cs="Arial"/>
          <w:sz w:val="22"/>
          <w:szCs w:val="22"/>
        </w:rPr>
        <w:t>Wreford and Couch</w:t>
      </w:r>
      <w:r w:rsidR="009A1650" w:rsidRPr="009A1650">
        <w:rPr>
          <w:rFonts w:ascii="Arial" w:hAnsi="Arial" w:cs="Arial"/>
          <w:sz w:val="22"/>
          <w:szCs w:val="22"/>
        </w:rPr>
        <w:t>, 2025).</w:t>
      </w:r>
      <w:r w:rsidRPr="004C0E34">
        <w:rPr>
          <w:rFonts w:ascii="Arial" w:hAnsi="Arial" w:cs="Arial"/>
          <w:sz w:val="22"/>
          <w:szCs w:val="22"/>
        </w:rPr>
        <w:t xml:space="preserve"> Rather than relying solely on base pay, organisations are increasingly focusing on recognition, pay for skills and broader employee value propositions to remain competitive. This is relevant to </w:t>
      </w:r>
      <w:proofErr w:type="spellStart"/>
      <w:r w:rsidRPr="004C0E34">
        <w:rPr>
          <w:rFonts w:ascii="Arial" w:hAnsi="Arial" w:cs="Arial"/>
          <w:sz w:val="22"/>
          <w:szCs w:val="22"/>
        </w:rPr>
        <w:t>GreenFriendlyEco</w:t>
      </w:r>
      <w:proofErr w:type="spellEnd"/>
      <w:r w:rsidRPr="004C0E34">
        <w:rPr>
          <w:rFonts w:ascii="Arial" w:hAnsi="Arial" w:cs="Arial"/>
          <w:sz w:val="22"/>
          <w:szCs w:val="22"/>
        </w:rPr>
        <w:t>, where rising costs and turnover suggest that a narrow focus on basic pay may no longer be sufficient.</w:t>
      </w:r>
    </w:p>
    <w:p w14:paraId="3FBB913C" w14:textId="77777777" w:rsidR="004C0E34" w:rsidRPr="004C0E34" w:rsidRDefault="004C0E34" w:rsidP="004C0E34">
      <w:pPr>
        <w:rPr>
          <w:rFonts w:ascii="Arial" w:hAnsi="Arial" w:cs="Arial"/>
          <w:sz w:val="22"/>
          <w:szCs w:val="22"/>
        </w:rPr>
      </w:pPr>
      <w:r w:rsidRPr="004C0E34">
        <w:rPr>
          <w:rFonts w:ascii="Arial" w:hAnsi="Arial" w:cs="Arial"/>
          <w:sz w:val="22"/>
          <w:szCs w:val="22"/>
        </w:rPr>
        <w:t xml:space="preserve">Internally, reward environments are influenced by organisational culture, workforce expectations and the psychological contract. Armstrong and Taylor (2023) note that employees’ perceptions of effort, reward and contribution affect motivation and commitment, particularly where expectancy and equity beliefs are not met. At </w:t>
      </w:r>
      <w:proofErr w:type="spellStart"/>
      <w:r w:rsidRPr="004C0E34">
        <w:rPr>
          <w:rFonts w:ascii="Arial" w:hAnsi="Arial" w:cs="Arial"/>
          <w:sz w:val="22"/>
          <w:szCs w:val="22"/>
        </w:rPr>
        <w:t>GreenFriendlyEco</w:t>
      </w:r>
      <w:proofErr w:type="spellEnd"/>
      <w:r w:rsidRPr="004C0E34">
        <w:rPr>
          <w:rFonts w:ascii="Arial" w:hAnsi="Arial" w:cs="Arial"/>
          <w:sz w:val="22"/>
          <w:szCs w:val="22"/>
        </w:rPr>
        <w:t xml:space="preserve">, </w:t>
      </w:r>
      <w:r w:rsidRPr="004C0E34">
        <w:rPr>
          <w:rFonts w:ascii="Arial" w:hAnsi="Arial" w:cs="Arial"/>
          <w:sz w:val="22"/>
          <w:szCs w:val="22"/>
        </w:rPr>
        <w:lastRenderedPageBreak/>
        <w:t>performance is measured through output and standard times, but reward is not directly linked to contribution, which may weaken the perceived return on effort.</w:t>
      </w:r>
    </w:p>
    <w:p w14:paraId="19BF72A8" w14:textId="32E71953" w:rsidR="004C0E34" w:rsidRPr="004C0E34" w:rsidRDefault="004C0E34" w:rsidP="004C0E34">
      <w:pPr>
        <w:rPr>
          <w:rFonts w:ascii="Arial" w:hAnsi="Arial" w:cs="Arial"/>
          <w:sz w:val="22"/>
          <w:szCs w:val="22"/>
        </w:rPr>
      </w:pPr>
      <w:r w:rsidRPr="004C0E34">
        <w:rPr>
          <w:rFonts w:ascii="Arial" w:hAnsi="Arial" w:cs="Arial"/>
          <w:sz w:val="22"/>
          <w:szCs w:val="22"/>
        </w:rPr>
        <w:t>Collective approaches to pay determination and governance are also becoming more prominent, particularly as regulation increases and scrutiny around pay equity grows (CIPD, 202</w:t>
      </w:r>
      <w:r w:rsidR="00625392">
        <w:rPr>
          <w:rFonts w:ascii="Arial" w:hAnsi="Arial" w:cs="Arial"/>
          <w:sz w:val="22"/>
          <w:szCs w:val="22"/>
        </w:rPr>
        <w:t>5b</w:t>
      </w:r>
      <w:r w:rsidRPr="004C0E34">
        <w:rPr>
          <w:rFonts w:ascii="Arial" w:hAnsi="Arial" w:cs="Arial"/>
          <w:sz w:val="22"/>
          <w:szCs w:val="22"/>
        </w:rPr>
        <w:t xml:space="preserve">). </w:t>
      </w:r>
      <w:r w:rsidR="005240AE">
        <w:rPr>
          <w:rFonts w:ascii="Arial" w:hAnsi="Arial" w:cs="Arial"/>
          <w:sz w:val="22"/>
          <w:szCs w:val="22"/>
        </w:rPr>
        <w:t>Wreford and Couch</w:t>
      </w:r>
      <w:r w:rsidRPr="004C0E34">
        <w:rPr>
          <w:rFonts w:ascii="Arial" w:hAnsi="Arial" w:cs="Arial"/>
          <w:sz w:val="22"/>
          <w:szCs w:val="22"/>
        </w:rPr>
        <w:t xml:space="preserve"> (2025) identif</w:t>
      </w:r>
      <w:r w:rsidR="005F5C1D">
        <w:rPr>
          <w:rFonts w:ascii="Arial" w:hAnsi="Arial" w:cs="Arial"/>
          <w:sz w:val="22"/>
          <w:szCs w:val="22"/>
        </w:rPr>
        <w:t>y</w:t>
      </w:r>
      <w:r w:rsidRPr="004C0E34">
        <w:rPr>
          <w:rFonts w:ascii="Arial" w:hAnsi="Arial" w:cs="Arial"/>
          <w:sz w:val="22"/>
          <w:szCs w:val="22"/>
        </w:rPr>
        <w:t xml:space="preserve"> a growing emphasis on reward governance and alignment during periods of business change, reinforcing the need for clearer structures and communication.</w:t>
      </w:r>
    </w:p>
    <w:p w14:paraId="70BF0520" w14:textId="691F989E" w:rsidR="003909F3" w:rsidRDefault="004C3767" w:rsidP="00125E34">
      <w:pPr>
        <w:rPr>
          <w:rFonts w:ascii="Arial" w:hAnsi="Arial" w:cs="Arial"/>
          <w:sz w:val="22"/>
          <w:szCs w:val="22"/>
        </w:rPr>
      </w:pPr>
      <w:r>
        <w:rPr>
          <w:rFonts w:ascii="Arial" w:hAnsi="Arial" w:cs="Arial"/>
          <w:sz w:val="22"/>
          <w:szCs w:val="22"/>
        </w:rPr>
        <w:t xml:space="preserve">The </w:t>
      </w:r>
      <w:r w:rsidR="004C0E34" w:rsidRPr="004C0E34">
        <w:rPr>
          <w:rFonts w:ascii="Arial" w:hAnsi="Arial" w:cs="Arial"/>
          <w:sz w:val="22"/>
          <w:szCs w:val="22"/>
        </w:rPr>
        <w:t xml:space="preserve">reward environment facing </w:t>
      </w:r>
      <w:proofErr w:type="spellStart"/>
      <w:r w:rsidR="004C0E34" w:rsidRPr="004C0E34">
        <w:rPr>
          <w:rFonts w:ascii="Arial" w:hAnsi="Arial" w:cs="Arial"/>
          <w:sz w:val="22"/>
          <w:szCs w:val="22"/>
        </w:rPr>
        <w:t>GreenFriendlyEco</w:t>
      </w:r>
      <w:proofErr w:type="spellEnd"/>
      <w:r w:rsidR="004C0E34" w:rsidRPr="004C0E34">
        <w:rPr>
          <w:rFonts w:ascii="Arial" w:hAnsi="Arial" w:cs="Arial"/>
          <w:sz w:val="22"/>
          <w:szCs w:val="22"/>
        </w:rPr>
        <w:t xml:space="preserve"> reflects wider economic pressure, labour market change and increasing regulation. Without adapting reward practices to these contextual factors, the organisation risks reduced competitiveness, disengagement and continued retention challenges.</w:t>
      </w:r>
    </w:p>
    <w:p w14:paraId="1372FF3C" w14:textId="7F3CEA73" w:rsidR="00EF7564" w:rsidRPr="00EF7564" w:rsidRDefault="00655142" w:rsidP="00EF7564">
      <w:pPr>
        <w:rPr>
          <w:rFonts w:ascii="Arial" w:hAnsi="Arial" w:cs="Arial"/>
          <w:sz w:val="22"/>
          <w:szCs w:val="22"/>
        </w:rPr>
      </w:pPr>
      <w:r w:rsidRPr="002174F2">
        <w:rPr>
          <w:rFonts w:ascii="Arial" w:hAnsi="Arial" w:cs="Arial"/>
          <w:b/>
          <w:bCs/>
          <w:sz w:val="22"/>
          <w:szCs w:val="22"/>
        </w:rPr>
        <w:t xml:space="preserve">AC </w:t>
      </w:r>
      <w:r w:rsidR="007E7108" w:rsidRPr="002174F2">
        <w:rPr>
          <w:rFonts w:ascii="Arial" w:hAnsi="Arial" w:cs="Arial"/>
          <w:b/>
          <w:bCs/>
          <w:sz w:val="22"/>
          <w:szCs w:val="22"/>
        </w:rPr>
        <w:t xml:space="preserve">3.2 </w:t>
      </w:r>
      <w:r w:rsidR="00EF7564" w:rsidRPr="00271A39">
        <w:rPr>
          <w:rFonts w:ascii="Arial" w:hAnsi="Arial" w:cs="Arial"/>
          <w:sz w:val="22"/>
          <w:szCs w:val="22"/>
        </w:rPr>
        <w:t>T</w:t>
      </w:r>
      <w:r w:rsidR="00EF7564" w:rsidRPr="00EF7564">
        <w:rPr>
          <w:rFonts w:ascii="Arial" w:hAnsi="Arial" w:cs="Arial"/>
          <w:sz w:val="22"/>
          <w:szCs w:val="22"/>
        </w:rPr>
        <w:t xml:space="preserve">o develop insight into reward competitiveness and address rising employee turnover, benchmarking data should be gathered from a range of reliable and relevant sources. Using multiple forms of labour market intelligence enables </w:t>
      </w:r>
      <w:proofErr w:type="spellStart"/>
      <w:r w:rsidR="00EF7564" w:rsidRPr="00EF7564">
        <w:rPr>
          <w:rFonts w:ascii="Arial" w:hAnsi="Arial" w:cs="Arial"/>
          <w:sz w:val="22"/>
          <w:szCs w:val="22"/>
        </w:rPr>
        <w:t>GreenFriendlyEco</w:t>
      </w:r>
      <w:proofErr w:type="spellEnd"/>
      <w:r w:rsidR="00EF7564" w:rsidRPr="00EF7564">
        <w:rPr>
          <w:rFonts w:ascii="Arial" w:hAnsi="Arial" w:cs="Arial"/>
          <w:sz w:val="22"/>
          <w:szCs w:val="22"/>
        </w:rPr>
        <w:t xml:space="preserve"> to understand how its current pay and reward arrangements compare with external market expectations, while recognising the limitations of individual data sources.</w:t>
      </w:r>
    </w:p>
    <w:p w14:paraId="3DB64E94" w14:textId="1E747D41" w:rsidR="00EF7564" w:rsidRPr="00EF7564" w:rsidRDefault="00EF7564" w:rsidP="00EF7564">
      <w:pPr>
        <w:rPr>
          <w:rFonts w:ascii="Arial" w:hAnsi="Arial" w:cs="Arial"/>
          <w:sz w:val="22"/>
          <w:szCs w:val="22"/>
        </w:rPr>
      </w:pPr>
      <w:r w:rsidRPr="00EF7564">
        <w:rPr>
          <w:rFonts w:ascii="Arial" w:hAnsi="Arial" w:cs="Arial"/>
          <w:sz w:val="22"/>
          <w:szCs w:val="22"/>
        </w:rPr>
        <w:t xml:space="preserve">Published reward and salary surveys are one of the most commonly used benchmarking tools. </w:t>
      </w:r>
      <w:r w:rsidR="00E4681C">
        <w:rPr>
          <w:rFonts w:ascii="Arial" w:hAnsi="Arial" w:cs="Arial"/>
          <w:sz w:val="22"/>
          <w:szCs w:val="22"/>
        </w:rPr>
        <w:t>Farrand (2023)</w:t>
      </w:r>
      <w:r w:rsidRPr="00EF7564">
        <w:rPr>
          <w:rFonts w:ascii="Arial" w:hAnsi="Arial" w:cs="Arial"/>
          <w:sz w:val="22"/>
          <w:szCs w:val="22"/>
        </w:rPr>
        <w:t xml:space="preserve"> highlights that pay benchmarking provides organisations with a useful reference point for understanding </w:t>
      </w:r>
      <w:r w:rsidR="00E4681C">
        <w:rPr>
          <w:rFonts w:ascii="Arial" w:hAnsi="Arial" w:cs="Arial"/>
          <w:sz w:val="22"/>
          <w:szCs w:val="22"/>
        </w:rPr>
        <w:t>‘</w:t>
      </w:r>
      <w:r w:rsidRPr="00EF7564">
        <w:rPr>
          <w:rFonts w:ascii="Arial" w:hAnsi="Arial" w:cs="Arial"/>
          <w:sz w:val="22"/>
          <w:szCs w:val="22"/>
        </w:rPr>
        <w:t>who is paid what</w:t>
      </w:r>
      <w:r w:rsidR="00E4681C">
        <w:rPr>
          <w:rFonts w:ascii="Arial" w:hAnsi="Arial" w:cs="Arial"/>
          <w:sz w:val="22"/>
          <w:szCs w:val="22"/>
        </w:rPr>
        <w:t xml:space="preserve">’ </w:t>
      </w:r>
      <w:r w:rsidRPr="00EF7564">
        <w:rPr>
          <w:rFonts w:ascii="Arial" w:hAnsi="Arial" w:cs="Arial"/>
          <w:sz w:val="22"/>
          <w:szCs w:val="22"/>
        </w:rPr>
        <w:t xml:space="preserve">but cautions that data can become outdated quickly and should not be used in isolation or without alignment to organisational </w:t>
      </w:r>
      <w:r w:rsidR="00AF3D8B">
        <w:rPr>
          <w:rFonts w:ascii="Arial" w:hAnsi="Arial" w:cs="Arial"/>
          <w:sz w:val="22"/>
          <w:szCs w:val="22"/>
        </w:rPr>
        <w:t>goals</w:t>
      </w:r>
      <w:r w:rsidR="00E4681C">
        <w:rPr>
          <w:rFonts w:ascii="Arial" w:hAnsi="Arial" w:cs="Arial"/>
          <w:sz w:val="22"/>
          <w:szCs w:val="22"/>
        </w:rPr>
        <w:t>.</w:t>
      </w:r>
      <w:r w:rsidRPr="00EF7564">
        <w:rPr>
          <w:rFonts w:ascii="Arial" w:hAnsi="Arial" w:cs="Arial"/>
          <w:sz w:val="22"/>
          <w:szCs w:val="22"/>
        </w:rPr>
        <w:t xml:space="preserve"> The reliability of these surveys depends on robust data collection and accurate job matching, while their </w:t>
      </w:r>
      <w:r w:rsidR="00530A6F" w:rsidRPr="00EF7564">
        <w:rPr>
          <w:rFonts w:ascii="Arial" w:hAnsi="Arial" w:cs="Arial"/>
          <w:sz w:val="22"/>
          <w:szCs w:val="22"/>
        </w:rPr>
        <w:t>pertinence</w:t>
      </w:r>
      <w:r w:rsidRPr="00EF7564">
        <w:rPr>
          <w:rFonts w:ascii="Arial" w:hAnsi="Arial" w:cs="Arial"/>
          <w:sz w:val="22"/>
          <w:szCs w:val="22"/>
        </w:rPr>
        <w:t xml:space="preserve"> for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rests on selecting surveys that reflect similar manufacturing organisations and skill levels, rather than broad national averages.</w:t>
      </w:r>
    </w:p>
    <w:p w14:paraId="15F15CEF" w14:textId="13F5F4EC" w:rsidR="00EF7564" w:rsidRPr="00EF7564" w:rsidRDefault="00EF7564" w:rsidP="00EF7564">
      <w:pPr>
        <w:rPr>
          <w:rFonts w:ascii="Arial" w:hAnsi="Arial" w:cs="Arial"/>
          <w:sz w:val="22"/>
          <w:szCs w:val="22"/>
        </w:rPr>
      </w:pPr>
      <w:r w:rsidRPr="00EF7564">
        <w:rPr>
          <w:rFonts w:ascii="Arial" w:hAnsi="Arial" w:cs="Arial"/>
          <w:sz w:val="22"/>
          <w:szCs w:val="22"/>
        </w:rPr>
        <w:t>Economic research further supports the value of benchmarking data when used appropriately. A National Bureau of Economic Research study on salary benchmarking found that access to market pay information tends to reduce wage dispersion and align pay more closely with external market medians (Cullen</w:t>
      </w:r>
      <w:r w:rsidR="00FE6400">
        <w:rPr>
          <w:rFonts w:ascii="Arial" w:hAnsi="Arial" w:cs="Arial"/>
          <w:sz w:val="22"/>
          <w:szCs w:val="22"/>
        </w:rPr>
        <w:t xml:space="preserve"> et al.,</w:t>
      </w:r>
      <w:r w:rsidRPr="00EF7564">
        <w:rPr>
          <w:rFonts w:ascii="Arial" w:hAnsi="Arial" w:cs="Arial"/>
          <w:sz w:val="22"/>
          <w:szCs w:val="22"/>
        </w:rPr>
        <w:t xml:space="preserve"> 202</w:t>
      </w:r>
      <w:r w:rsidR="005B18B5">
        <w:rPr>
          <w:rFonts w:ascii="Arial" w:hAnsi="Arial" w:cs="Arial"/>
          <w:sz w:val="22"/>
          <w:szCs w:val="22"/>
        </w:rPr>
        <w:t>4</w:t>
      </w:r>
      <w:r w:rsidRPr="00EF7564">
        <w:rPr>
          <w:rFonts w:ascii="Arial" w:hAnsi="Arial" w:cs="Arial"/>
          <w:sz w:val="22"/>
          <w:szCs w:val="22"/>
        </w:rPr>
        <w:t xml:space="preserve">). This suggests that benchmarking can help organisations correct misalignment with market rates, which is particularly relevant for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given concerns around retention of skilled and non-skilled employees. However, the research also reinforces the importance of careful interpretation, as benchmarking alone does not account for performance, internal equity or organisational context.</w:t>
      </w:r>
    </w:p>
    <w:p w14:paraId="6786F624" w14:textId="77777777" w:rsidR="00EF7564" w:rsidRPr="00EF7564" w:rsidRDefault="00EF7564" w:rsidP="00EF7564">
      <w:pPr>
        <w:rPr>
          <w:rFonts w:ascii="Arial" w:hAnsi="Arial" w:cs="Arial"/>
          <w:sz w:val="22"/>
          <w:szCs w:val="22"/>
        </w:rPr>
      </w:pPr>
      <w:r w:rsidRPr="00EF7564">
        <w:rPr>
          <w:rFonts w:ascii="Arial" w:hAnsi="Arial" w:cs="Arial"/>
          <w:sz w:val="22"/>
          <w:szCs w:val="22"/>
        </w:rPr>
        <w:t xml:space="preserve">Government and sector-based guidance also provides valuable benchmarking intelligence. The Local Government Group’s guide to pay benchmarking emphasises that benchmarking should be treated as a gap analysis against the labour market, rather than an automatic trigger for pay increases, to avoid inflationary pressures and internal inequities (Local Government Group, 2011). While the guidance is public sector focused, its principles around defining the relevant labour market and measuring pay comparability are transferable to a private sector organisation such as </w:t>
      </w:r>
      <w:proofErr w:type="spellStart"/>
      <w:r w:rsidRPr="00EF7564">
        <w:rPr>
          <w:rFonts w:ascii="Arial" w:hAnsi="Arial" w:cs="Arial"/>
          <w:sz w:val="22"/>
          <w:szCs w:val="22"/>
        </w:rPr>
        <w:t>GreenFriendlyEco</w:t>
      </w:r>
      <w:proofErr w:type="spellEnd"/>
      <w:r w:rsidRPr="00EF7564">
        <w:rPr>
          <w:rFonts w:ascii="Arial" w:hAnsi="Arial" w:cs="Arial"/>
          <w:sz w:val="22"/>
          <w:szCs w:val="22"/>
        </w:rPr>
        <w:t>.</w:t>
      </w:r>
    </w:p>
    <w:p w14:paraId="5B428D22" w14:textId="13F52C51" w:rsidR="00655142" w:rsidRDefault="00EF7564" w:rsidP="002174F2">
      <w:pPr>
        <w:rPr>
          <w:rFonts w:ascii="Arial" w:hAnsi="Arial" w:cs="Arial"/>
          <w:sz w:val="22"/>
          <w:szCs w:val="22"/>
        </w:rPr>
      </w:pPr>
      <w:r w:rsidRPr="00EF7564">
        <w:rPr>
          <w:rFonts w:ascii="Arial" w:hAnsi="Arial" w:cs="Arial"/>
          <w:sz w:val="22"/>
          <w:szCs w:val="22"/>
        </w:rPr>
        <w:t xml:space="preserve">Internal payroll and workforce data forms a further critical source of benchmarking insight. CIPD </w:t>
      </w:r>
      <w:r w:rsidR="006D55EF">
        <w:rPr>
          <w:rFonts w:ascii="Arial" w:hAnsi="Arial" w:cs="Arial"/>
          <w:sz w:val="22"/>
          <w:szCs w:val="22"/>
        </w:rPr>
        <w:t>(2024</w:t>
      </w:r>
      <w:r w:rsidR="00C61D3E">
        <w:rPr>
          <w:rFonts w:ascii="Arial" w:hAnsi="Arial" w:cs="Arial"/>
          <w:sz w:val="22"/>
          <w:szCs w:val="22"/>
        </w:rPr>
        <w:t>b</w:t>
      </w:r>
      <w:r w:rsidR="006D55EF">
        <w:rPr>
          <w:rFonts w:ascii="Arial" w:hAnsi="Arial" w:cs="Arial"/>
          <w:sz w:val="22"/>
          <w:szCs w:val="22"/>
        </w:rPr>
        <w:t xml:space="preserve">) </w:t>
      </w:r>
      <w:r w:rsidRPr="00EF7564">
        <w:rPr>
          <w:rFonts w:ascii="Arial" w:hAnsi="Arial" w:cs="Arial"/>
          <w:sz w:val="22"/>
          <w:szCs w:val="22"/>
        </w:rPr>
        <w:t>guidance stresses the importance of understanding internal pay structures, working hours and reward arrangements before making external comparisons, as this internal baseline improves the validity and reliability of benchmarking outcomes</w:t>
      </w:r>
      <w:r w:rsidR="006D55EF">
        <w:rPr>
          <w:rFonts w:ascii="Arial" w:hAnsi="Arial" w:cs="Arial"/>
          <w:sz w:val="22"/>
          <w:szCs w:val="22"/>
        </w:rPr>
        <w:t>.</w:t>
      </w:r>
      <w:r w:rsidRPr="00EF7564">
        <w:rPr>
          <w:rFonts w:ascii="Arial" w:hAnsi="Arial" w:cs="Arial"/>
          <w:sz w:val="22"/>
          <w:szCs w:val="22"/>
        </w:rPr>
        <w:t xml:space="preserve"> When </w:t>
      </w:r>
      <w:r w:rsidRPr="00EF7564">
        <w:rPr>
          <w:rFonts w:ascii="Arial" w:hAnsi="Arial" w:cs="Arial"/>
          <w:sz w:val="22"/>
          <w:szCs w:val="22"/>
        </w:rPr>
        <w:lastRenderedPageBreak/>
        <w:t xml:space="preserve">combined with recruitment data such as vacancy rates and turnover trends, this approach enables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to triangulate findings and develop a more accurate understanding of reward competitiveness.</w:t>
      </w:r>
    </w:p>
    <w:p w14:paraId="35F87BAF" w14:textId="77777777" w:rsidR="00962D84" w:rsidRPr="00962D84" w:rsidRDefault="009B29C3" w:rsidP="00962D84">
      <w:pPr>
        <w:rPr>
          <w:rFonts w:ascii="Arial" w:hAnsi="Arial" w:cs="Arial"/>
          <w:sz w:val="22"/>
          <w:szCs w:val="22"/>
        </w:rPr>
      </w:pPr>
      <w:r w:rsidRPr="00962D84">
        <w:rPr>
          <w:rFonts w:ascii="Arial" w:hAnsi="Arial" w:cs="Arial"/>
          <w:b/>
          <w:bCs/>
          <w:sz w:val="22"/>
          <w:szCs w:val="22"/>
        </w:rPr>
        <w:t>AC 3.3</w:t>
      </w:r>
      <w:r>
        <w:rPr>
          <w:rFonts w:ascii="Arial" w:hAnsi="Arial" w:cs="Arial"/>
          <w:sz w:val="22"/>
          <w:szCs w:val="22"/>
        </w:rPr>
        <w:t xml:space="preserve"> </w:t>
      </w:r>
      <w:r w:rsidR="00962D84" w:rsidRPr="00962D84">
        <w:rPr>
          <w:rFonts w:ascii="Arial" w:hAnsi="Arial" w:cs="Arial"/>
          <w:sz w:val="22"/>
          <w:szCs w:val="22"/>
        </w:rPr>
        <w:t xml:space="preserve">Unclear grading structures and inconsistencies in how roles are valued can contribute to dissatisfaction and higher employee turnover, particularly where an organisation employs a mix of skilled and non-skilled roles. Introducing a clear approach to job evaluation would enable </w:t>
      </w:r>
      <w:proofErr w:type="spellStart"/>
      <w:r w:rsidR="00962D84" w:rsidRPr="00962D84">
        <w:rPr>
          <w:rFonts w:ascii="Arial" w:hAnsi="Arial" w:cs="Arial"/>
          <w:sz w:val="22"/>
          <w:szCs w:val="22"/>
        </w:rPr>
        <w:t>GreenFriendlyEco</w:t>
      </w:r>
      <w:proofErr w:type="spellEnd"/>
      <w:r w:rsidR="00962D84" w:rsidRPr="00962D84">
        <w:rPr>
          <w:rFonts w:ascii="Arial" w:hAnsi="Arial" w:cs="Arial"/>
          <w:sz w:val="22"/>
          <w:szCs w:val="22"/>
        </w:rPr>
        <w:t xml:space="preserve"> to establish a more transparent and defensible basis for pay and grading decisions.</w:t>
      </w:r>
    </w:p>
    <w:p w14:paraId="18ADBCB9" w14:textId="77777777" w:rsidR="00962D84" w:rsidRPr="00962D84" w:rsidRDefault="00962D84" w:rsidP="00962D84">
      <w:pPr>
        <w:rPr>
          <w:rFonts w:ascii="Arial" w:hAnsi="Arial" w:cs="Arial"/>
          <w:sz w:val="22"/>
          <w:szCs w:val="22"/>
        </w:rPr>
      </w:pPr>
      <w:r w:rsidRPr="00962D84">
        <w:rPr>
          <w:rFonts w:ascii="Arial" w:hAnsi="Arial" w:cs="Arial"/>
          <w:sz w:val="22"/>
          <w:szCs w:val="22"/>
        </w:rPr>
        <w:t xml:space="preserve">Approaches to job evaluation can be informal or formal. Informal job evaluation is based largely on managerial judgement and experience, with roles compared without a structured framework. While this approach may appear flexible and quick to apply, it is subjective and can result in inconsistent outcomes. In the context of </w:t>
      </w:r>
      <w:proofErr w:type="spellStart"/>
      <w:r w:rsidRPr="00962D84">
        <w:rPr>
          <w:rFonts w:ascii="Arial" w:hAnsi="Arial" w:cs="Arial"/>
          <w:sz w:val="22"/>
          <w:szCs w:val="22"/>
        </w:rPr>
        <w:t>GreenFriendlyEco</w:t>
      </w:r>
      <w:proofErr w:type="spellEnd"/>
      <w:r w:rsidRPr="00962D84">
        <w:rPr>
          <w:rFonts w:ascii="Arial" w:hAnsi="Arial" w:cs="Arial"/>
          <w:sz w:val="22"/>
          <w:szCs w:val="22"/>
        </w:rPr>
        <w:t>, informal evaluation is unlikely to support fairness or provide confidence to employees, particularly where perceptions of inequity already exist (Armstrong and Taylor, 2023).</w:t>
      </w:r>
    </w:p>
    <w:p w14:paraId="5C2DB802" w14:textId="5C1EE6BE" w:rsidR="00962D84" w:rsidRPr="00962D84" w:rsidRDefault="00962D84" w:rsidP="00962D84">
      <w:pPr>
        <w:rPr>
          <w:rFonts w:ascii="Arial" w:hAnsi="Arial" w:cs="Arial"/>
          <w:sz w:val="22"/>
          <w:szCs w:val="22"/>
        </w:rPr>
      </w:pPr>
      <w:r w:rsidRPr="00962D84">
        <w:rPr>
          <w:rFonts w:ascii="Arial" w:hAnsi="Arial" w:cs="Arial"/>
          <w:sz w:val="22"/>
          <w:szCs w:val="22"/>
        </w:rPr>
        <w:t xml:space="preserve">Formal job evaluation uses a structured and systematic method to assess the relative value of jobs. </w:t>
      </w:r>
      <w:r w:rsidR="00C85DEC">
        <w:rPr>
          <w:rFonts w:ascii="Arial" w:hAnsi="Arial" w:cs="Arial"/>
          <w:sz w:val="22"/>
          <w:szCs w:val="22"/>
        </w:rPr>
        <w:t>The CIPD (2025</w:t>
      </w:r>
      <w:r w:rsidR="005165BF">
        <w:rPr>
          <w:rFonts w:ascii="Arial" w:hAnsi="Arial" w:cs="Arial"/>
          <w:sz w:val="22"/>
          <w:szCs w:val="22"/>
        </w:rPr>
        <w:t>g</w:t>
      </w:r>
      <w:r w:rsidR="00C85DEC">
        <w:rPr>
          <w:rFonts w:ascii="Arial" w:hAnsi="Arial" w:cs="Arial"/>
          <w:sz w:val="22"/>
          <w:szCs w:val="22"/>
        </w:rPr>
        <w:t>)</w:t>
      </w:r>
      <w:r w:rsidRPr="00962D84">
        <w:rPr>
          <w:rFonts w:ascii="Arial" w:hAnsi="Arial" w:cs="Arial"/>
          <w:sz w:val="22"/>
          <w:szCs w:val="22"/>
        </w:rPr>
        <w:t xml:space="preserve"> explain that formal schemes focus on evaluating the job itself rather than the individual performing it, which supports consistency and transparency across the organisation. </w:t>
      </w:r>
      <w:r w:rsidR="005A3336">
        <w:rPr>
          <w:rFonts w:ascii="Arial" w:hAnsi="Arial" w:cs="Arial"/>
          <w:sz w:val="22"/>
          <w:szCs w:val="22"/>
        </w:rPr>
        <w:t>This</w:t>
      </w:r>
      <w:r w:rsidRPr="00962D84">
        <w:rPr>
          <w:rFonts w:ascii="Arial" w:hAnsi="Arial" w:cs="Arial"/>
          <w:sz w:val="22"/>
          <w:szCs w:val="22"/>
        </w:rPr>
        <w:t xml:space="preserve"> approach would be particularly beneficial in addressing cultural concerns and rebuilding trust in reward decisions. </w:t>
      </w:r>
    </w:p>
    <w:p w14:paraId="4C2B0843" w14:textId="10201841" w:rsidR="00962D84" w:rsidRPr="00962D84" w:rsidRDefault="00962D84" w:rsidP="00962D84">
      <w:pPr>
        <w:rPr>
          <w:rFonts w:ascii="Arial" w:hAnsi="Arial" w:cs="Arial"/>
          <w:sz w:val="22"/>
          <w:szCs w:val="22"/>
        </w:rPr>
      </w:pPr>
      <w:r w:rsidRPr="00962D84">
        <w:rPr>
          <w:rFonts w:ascii="Arial" w:hAnsi="Arial" w:cs="Arial"/>
          <w:sz w:val="22"/>
          <w:szCs w:val="22"/>
        </w:rPr>
        <w:t>Formal job evaluation methods are either analytical or non-analytical. Non-analytical approaches consider jobs as a whole and include methods such as job ranking, paired comparisons and job classification</w:t>
      </w:r>
      <w:r w:rsidR="003D5C17">
        <w:rPr>
          <w:rFonts w:ascii="Arial" w:hAnsi="Arial" w:cs="Arial"/>
          <w:sz w:val="22"/>
          <w:szCs w:val="22"/>
        </w:rPr>
        <w:t xml:space="preserve"> (Armstrong and Taylor 2023)</w:t>
      </w:r>
      <w:r w:rsidRPr="00962D84">
        <w:rPr>
          <w:rFonts w:ascii="Arial" w:hAnsi="Arial" w:cs="Arial"/>
          <w:sz w:val="22"/>
          <w:szCs w:val="22"/>
        </w:rPr>
        <w:t xml:space="preserve">. These methods are relatively simple and less resource-intensive, but they rely heavily on judgement. ACAS </w:t>
      </w:r>
      <w:r w:rsidR="00CD4FB7">
        <w:rPr>
          <w:rFonts w:ascii="Arial" w:hAnsi="Arial" w:cs="Arial"/>
          <w:sz w:val="22"/>
          <w:szCs w:val="22"/>
        </w:rPr>
        <w:t xml:space="preserve">(2014) </w:t>
      </w:r>
      <w:r w:rsidRPr="00962D84">
        <w:rPr>
          <w:rFonts w:ascii="Arial" w:hAnsi="Arial" w:cs="Arial"/>
          <w:sz w:val="22"/>
          <w:szCs w:val="22"/>
        </w:rPr>
        <w:t>indicate</w:t>
      </w:r>
      <w:r w:rsidR="00CD4FB7">
        <w:rPr>
          <w:rFonts w:ascii="Arial" w:hAnsi="Arial" w:cs="Arial"/>
          <w:sz w:val="22"/>
          <w:szCs w:val="22"/>
        </w:rPr>
        <w:t xml:space="preserve"> </w:t>
      </w:r>
      <w:r w:rsidRPr="00962D84">
        <w:rPr>
          <w:rFonts w:ascii="Arial" w:hAnsi="Arial" w:cs="Arial"/>
          <w:sz w:val="22"/>
          <w:szCs w:val="22"/>
        </w:rPr>
        <w:t xml:space="preserve">that non-analytical approaches are less robust and generally do not provide a strong defence against equal pay claims. </w:t>
      </w:r>
    </w:p>
    <w:p w14:paraId="60AEEC3F" w14:textId="1DF1B0F8" w:rsidR="00962D84" w:rsidRPr="00962D84" w:rsidRDefault="00962D84" w:rsidP="00962D84">
      <w:pPr>
        <w:rPr>
          <w:rFonts w:ascii="Arial" w:hAnsi="Arial" w:cs="Arial"/>
          <w:sz w:val="22"/>
          <w:szCs w:val="22"/>
        </w:rPr>
      </w:pPr>
      <w:r w:rsidRPr="00962D84">
        <w:rPr>
          <w:rFonts w:ascii="Arial" w:hAnsi="Arial" w:cs="Arial"/>
          <w:sz w:val="22"/>
          <w:szCs w:val="22"/>
        </w:rPr>
        <w:t>Analytical job evaluation involves breaking roles down into defined factors such as skill, effort, responsibility and working conditions. Point-factor schemes allocate scores based on agreed levels and weightings, creating a hierarchy of jobs</w:t>
      </w:r>
      <w:r w:rsidR="00CD4FB7">
        <w:rPr>
          <w:rFonts w:ascii="Arial" w:hAnsi="Arial" w:cs="Arial"/>
          <w:sz w:val="22"/>
          <w:szCs w:val="22"/>
        </w:rPr>
        <w:t xml:space="preserve"> (CIPD, 2025</w:t>
      </w:r>
      <w:r w:rsidR="005165BF">
        <w:rPr>
          <w:rFonts w:ascii="Arial" w:hAnsi="Arial" w:cs="Arial"/>
          <w:sz w:val="22"/>
          <w:szCs w:val="22"/>
        </w:rPr>
        <w:t>g</w:t>
      </w:r>
      <w:r w:rsidR="00CD4FB7">
        <w:rPr>
          <w:rFonts w:ascii="Arial" w:hAnsi="Arial" w:cs="Arial"/>
          <w:sz w:val="22"/>
          <w:szCs w:val="22"/>
        </w:rPr>
        <w:t xml:space="preserve">). </w:t>
      </w:r>
      <w:r w:rsidRPr="00962D84">
        <w:rPr>
          <w:rFonts w:ascii="Arial" w:hAnsi="Arial" w:cs="Arial"/>
          <w:sz w:val="22"/>
          <w:szCs w:val="22"/>
        </w:rPr>
        <w:t>Analytical approaches are more objective and are recognised as providing stronger protection in relation to equal pay legislation, as they demonstrate that roles of equal value have been assessed consistently and without bias (ACAS, 2014).</w:t>
      </w:r>
    </w:p>
    <w:p w14:paraId="31AA18DC" w14:textId="77777777" w:rsidR="00962D84" w:rsidRDefault="00962D84" w:rsidP="00962D84">
      <w:pPr>
        <w:rPr>
          <w:rFonts w:ascii="Arial" w:hAnsi="Arial" w:cs="Arial"/>
          <w:sz w:val="22"/>
          <w:szCs w:val="22"/>
        </w:rPr>
      </w:pPr>
      <w:r w:rsidRPr="00962D84">
        <w:rPr>
          <w:rFonts w:ascii="Arial" w:hAnsi="Arial" w:cs="Arial"/>
          <w:sz w:val="22"/>
          <w:szCs w:val="22"/>
        </w:rPr>
        <w:t xml:space="preserve">Once jobs have been evaluated, job matching and levelling can be used to align roles to internal grades and external market benchmarks. When applied consistently, job evaluation supports fair pay structures and provides evidence to defend equal pay decisions, which is particularly important for </w:t>
      </w:r>
      <w:proofErr w:type="spellStart"/>
      <w:r w:rsidRPr="00962D84">
        <w:rPr>
          <w:rFonts w:ascii="Arial" w:hAnsi="Arial" w:cs="Arial"/>
          <w:sz w:val="22"/>
          <w:szCs w:val="22"/>
        </w:rPr>
        <w:t>GreenFriendlyEco</w:t>
      </w:r>
      <w:proofErr w:type="spellEnd"/>
      <w:r w:rsidRPr="00962D84">
        <w:rPr>
          <w:rFonts w:ascii="Arial" w:hAnsi="Arial" w:cs="Arial"/>
          <w:sz w:val="22"/>
          <w:szCs w:val="22"/>
        </w:rPr>
        <w:t xml:space="preserve"> as it reviews its overall reward strategy.</w:t>
      </w:r>
    </w:p>
    <w:p w14:paraId="620E7B42" w14:textId="77777777" w:rsidR="00641D00" w:rsidRPr="00641D00" w:rsidRDefault="00797A8B" w:rsidP="00641D00">
      <w:pPr>
        <w:rPr>
          <w:rFonts w:ascii="Arial" w:hAnsi="Arial" w:cs="Arial"/>
          <w:sz w:val="22"/>
          <w:szCs w:val="22"/>
        </w:rPr>
      </w:pPr>
      <w:r w:rsidRPr="00797A8B">
        <w:rPr>
          <w:rFonts w:ascii="Arial" w:hAnsi="Arial" w:cs="Arial"/>
          <w:b/>
          <w:bCs/>
          <w:sz w:val="22"/>
          <w:szCs w:val="22"/>
        </w:rPr>
        <w:t xml:space="preserve">AC 3.4 </w:t>
      </w:r>
      <w:r w:rsidR="00641D00" w:rsidRPr="00641D00">
        <w:rPr>
          <w:rFonts w:ascii="Arial" w:hAnsi="Arial" w:cs="Arial"/>
          <w:sz w:val="22"/>
          <w:szCs w:val="22"/>
        </w:rPr>
        <w:t xml:space="preserve">Reward practices are governed by a range of legislative requirements intended to ensure fairness, transparency and minimum standards of pay. As </w:t>
      </w:r>
      <w:proofErr w:type="spellStart"/>
      <w:r w:rsidR="00641D00" w:rsidRPr="00641D00">
        <w:rPr>
          <w:rFonts w:ascii="Arial" w:hAnsi="Arial" w:cs="Arial"/>
          <w:sz w:val="22"/>
          <w:szCs w:val="22"/>
        </w:rPr>
        <w:t>GreenFriendlyEco</w:t>
      </w:r>
      <w:proofErr w:type="spellEnd"/>
      <w:r w:rsidR="00641D00" w:rsidRPr="00641D00">
        <w:rPr>
          <w:rFonts w:ascii="Arial" w:hAnsi="Arial" w:cs="Arial"/>
          <w:sz w:val="22"/>
          <w:szCs w:val="22"/>
        </w:rPr>
        <w:t xml:space="preserve"> reviews its approach to reward and considers introducing incentives and recognition schemes, compliance with these requirements is essential to reduce legal and reputational risk.</w:t>
      </w:r>
    </w:p>
    <w:p w14:paraId="609B8949" w14:textId="41ACA336" w:rsidR="00641D00" w:rsidRPr="00641D00" w:rsidRDefault="00641D00" w:rsidP="00641D00">
      <w:pPr>
        <w:rPr>
          <w:rFonts w:ascii="Arial" w:hAnsi="Arial" w:cs="Arial"/>
          <w:sz w:val="22"/>
          <w:szCs w:val="22"/>
        </w:rPr>
      </w:pPr>
      <w:r w:rsidRPr="00641D00">
        <w:rPr>
          <w:rFonts w:ascii="Arial" w:hAnsi="Arial" w:cs="Arial"/>
          <w:sz w:val="22"/>
          <w:szCs w:val="22"/>
        </w:rPr>
        <w:t>Equal pay legislation has a significant impact on reward practice. The Equality Act 2010, which incorporates the Equal Pay Act 1970, requires that men and women receive equal pay for like work, work rated as equivalent, or work of equal value</w:t>
      </w:r>
      <w:r w:rsidR="00E3473B">
        <w:rPr>
          <w:rFonts w:ascii="Arial" w:hAnsi="Arial" w:cs="Arial"/>
          <w:sz w:val="22"/>
          <w:szCs w:val="22"/>
        </w:rPr>
        <w:t xml:space="preserve"> (CIPD, 2025h). </w:t>
      </w:r>
      <w:r w:rsidRPr="00641D00">
        <w:rPr>
          <w:rFonts w:ascii="Arial" w:hAnsi="Arial" w:cs="Arial"/>
          <w:sz w:val="22"/>
          <w:szCs w:val="22"/>
        </w:rPr>
        <w:t xml:space="preserve">Pay is defined broadly and includes basic pay as well as contractual benefits such as bonuses, holiday pay </w:t>
      </w:r>
      <w:r w:rsidRPr="00641D00">
        <w:rPr>
          <w:rFonts w:ascii="Arial" w:hAnsi="Arial" w:cs="Arial"/>
          <w:sz w:val="22"/>
          <w:szCs w:val="22"/>
        </w:rPr>
        <w:lastRenderedPageBreak/>
        <w:t>and sick pay. Daniels</w:t>
      </w:r>
      <w:r w:rsidR="0027574E">
        <w:rPr>
          <w:rFonts w:ascii="Arial" w:hAnsi="Arial" w:cs="Arial"/>
          <w:sz w:val="22"/>
          <w:szCs w:val="22"/>
        </w:rPr>
        <w:t xml:space="preserve"> (2022)</w:t>
      </w:r>
      <w:r w:rsidRPr="00641D00">
        <w:rPr>
          <w:rFonts w:ascii="Arial" w:hAnsi="Arial" w:cs="Arial"/>
          <w:sz w:val="22"/>
          <w:szCs w:val="22"/>
        </w:rPr>
        <w:t xml:space="preserve"> explains that equal pay claims often arise where historical pay structures or market-based justifications have not been reviewed regularly, particularly in organisations with varied job roles and skill levels</w:t>
      </w:r>
      <w:r w:rsidR="0027574E">
        <w:rPr>
          <w:rFonts w:ascii="Arial" w:hAnsi="Arial" w:cs="Arial"/>
          <w:sz w:val="22"/>
          <w:szCs w:val="22"/>
        </w:rPr>
        <w:t>.</w:t>
      </w:r>
      <w:r w:rsidRPr="00641D00">
        <w:rPr>
          <w:rFonts w:ascii="Arial" w:hAnsi="Arial" w:cs="Arial"/>
          <w:sz w:val="22"/>
          <w:szCs w:val="22"/>
        </w:rPr>
        <w:t xml:space="preserve"> This risk is illustrated by recent retail sector litigation involving Co-op, where predominantly female shop-floor workers claimed their work was of equal value to higher-paid, predominantly male distribution roles. The case progressed following acceptance of the </w:t>
      </w:r>
      <w:r w:rsidR="00183F8D">
        <w:rPr>
          <w:rFonts w:ascii="Arial" w:hAnsi="Arial" w:cs="Arial"/>
          <w:sz w:val="22"/>
          <w:szCs w:val="22"/>
        </w:rPr>
        <w:t>‘</w:t>
      </w:r>
      <w:r w:rsidRPr="00641D00">
        <w:rPr>
          <w:rFonts w:ascii="Arial" w:hAnsi="Arial" w:cs="Arial"/>
          <w:sz w:val="22"/>
          <w:szCs w:val="22"/>
        </w:rPr>
        <w:t>single source</w:t>
      </w:r>
      <w:r w:rsidR="00183F8D">
        <w:rPr>
          <w:rFonts w:ascii="Arial" w:hAnsi="Arial" w:cs="Arial"/>
          <w:sz w:val="22"/>
          <w:szCs w:val="22"/>
        </w:rPr>
        <w:t>’</w:t>
      </w:r>
      <w:r w:rsidRPr="00641D00">
        <w:rPr>
          <w:rFonts w:ascii="Arial" w:hAnsi="Arial" w:cs="Arial"/>
          <w:sz w:val="22"/>
          <w:szCs w:val="22"/>
        </w:rPr>
        <w:t xml:space="preserve"> principle, demonstrating how pay decisions attributable to a single governing body can expose organisations to equal pay claims unless differences can be objectively justified by material factors unrelated to sex (</w:t>
      </w:r>
      <w:r w:rsidR="006F0207">
        <w:rPr>
          <w:rFonts w:ascii="Arial" w:hAnsi="Arial" w:cs="Arial"/>
          <w:sz w:val="22"/>
          <w:szCs w:val="22"/>
        </w:rPr>
        <w:t>McGuigan, 2022</w:t>
      </w:r>
      <w:r w:rsidRPr="00641D00">
        <w:rPr>
          <w:rFonts w:ascii="Arial" w:hAnsi="Arial" w:cs="Arial"/>
          <w:sz w:val="22"/>
          <w:szCs w:val="22"/>
        </w:rPr>
        <w:t>).</w:t>
      </w:r>
    </w:p>
    <w:p w14:paraId="49EEAE74" w14:textId="6C99881A" w:rsidR="00641D00" w:rsidRPr="00641D00" w:rsidRDefault="00641D00" w:rsidP="00641D00">
      <w:pPr>
        <w:rPr>
          <w:rFonts w:ascii="Arial" w:hAnsi="Arial" w:cs="Arial"/>
          <w:sz w:val="22"/>
          <w:szCs w:val="22"/>
        </w:rPr>
      </w:pPr>
      <w:r w:rsidRPr="00641D00">
        <w:rPr>
          <w:rFonts w:ascii="Arial" w:hAnsi="Arial" w:cs="Arial"/>
          <w:sz w:val="22"/>
          <w:szCs w:val="22"/>
        </w:rPr>
        <w:t>Minimum pay legislation also directly shapes reward design. Employers must comply with National Minimum Wage and National Living Wage rates, which vary by age and are updated annually</w:t>
      </w:r>
      <w:r w:rsidR="006A62C8">
        <w:rPr>
          <w:rFonts w:ascii="Arial" w:hAnsi="Arial" w:cs="Arial"/>
          <w:sz w:val="22"/>
          <w:szCs w:val="22"/>
        </w:rPr>
        <w:t xml:space="preserve"> (</w:t>
      </w:r>
      <w:r w:rsidR="0053553B">
        <w:rPr>
          <w:rFonts w:ascii="Arial" w:hAnsi="Arial" w:cs="Arial"/>
          <w:sz w:val="22"/>
          <w:szCs w:val="22"/>
        </w:rPr>
        <w:t>UK Government</w:t>
      </w:r>
      <w:r w:rsidR="006A62C8">
        <w:rPr>
          <w:rFonts w:ascii="Arial" w:hAnsi="Arial" w:cs="Arial"/>
          <w:sz w:val="22"/>
          <w:szCs w:val="22"/>
        </w:rPr>
        <w:t>,</w:t>
      </w:r>
      <w:r w:rsidR="0053553B">
        <w:rPr>
          <w:rFonts w:ascii="Arial" w:hAnsi="Arial" w:cs="Arial"/>
          <w:sz w:val="22"/>
          <w:szCs w:val="22"/>
        </w:rPr>
        <w:t xml:space="preserve"> </w:t>
      </w:r>
      <w:r w:rsidR="006A62C8">
        <w:rPr>
          <w:rFonts w:ascii="Arial" w:hAnsi="Arial" w:cs="Arial"/>
          <w:sz w:val="22"/>
          <w:szCs w:val="22"/>
        </w:rPr>
        <w:t>2026)</w:t>
      </w:r>
      <w:r w:rsidRPr="00641D00">
        <w:rPr>
          <w:rFonts w:ascii="Arial" w:hAnsi="Arial" w:cs="Arial"/>
          <w:sz w:val="22"/>
          <w:szCs w:val="22"/>
        </w:rPr>
        <w:t xml:space="preserve">. </w:t>
      </w:r>
      <w:r w:rsidR="00F9712E">
        <w:rPr>
          <w:rFonts w:ascii="Arial" w:hAnsi="Arial" w:cs="Arial"/>
          <w:sz w:val="22"/>
          <w:szCs w:val="22"/>
        </w:rPr>
        <w:t>I</w:t>
      </w:r>
      <w:r w:rsidRPr="00641D00">
        <w:rPr>
          <w:rFonts w:ascii="Arial" w:hAnsi="Arial" w:cs="Arial"/>
          <w:sz w:val="22"/>
          <w:szCs w:val="22"/>
        </w:rPr>
        <w:t>ncentive schemes, overtime payments and deductions must be carefully managed to ensure they do not reduce pay below statutory thresholds, as breaches can result in financial penalties and reputational damage</w:t>
      </w:r>
      <w:r w:rsidR="00F9712E">
        <w:rPr>
          <w:rFonts w:ascii="Arial" w:hAnsi="Arial" w:cs="Arial"/>
          <w:sz w:val="22"/>
          <w:szCs w:val="22"/>
        </w:rPr>
        <w:t xml:space="preserve"> (Daniels, 2022)</w:t>
      </w:r>
      <w:r w:rsidRPr="00641D00">
        <w:rPr>
          <w:rFonts w:ascii="Arial" w:hAnsi="Arial" w:cs="Arial"/>
          <w:sz w:val="22"/>
          <w:szCs w:val="22"/>
        </w:rPr>
        <w:t xml:space="preserve">. This is particularly relevant for </w:t>
      </w:r>
      <w:proofErr w:type="spellStart"/>
      <w:r w:rsidRPr="00641D00">
        <w:rPr>
          <w:rFonts w:ascii="Arial" w:hAnsi="Arial" w:cs="Arial"/>
          <w:sz w:val="22"/>
          <w:szCs w:val="22"/>
        </w:rPr>
        <w:t>GreenFriendlyEco’s</w:t>
      </w:r>
      <w:proofErr w:type="spellEnd"/>
      <w:r w:rsidRPr="00641D00">
        <w:rPr>
          <w:rFonts w:ascii="Arial" w:hAnsi="Arial" w:cs="Arial"/>
          <w:sz w:val="22"/>
          <w:szCs w:val="22"/>
        </w:rPr>
        <w:t xml:space="preserve"> non-skilled workforce, where base pay may be closer to minimum levels.</w:t>
      </w:r>
    </w:p>
    <w:p w14:paraId="64A7786C" w14:textId="03DFA201" w:rsidR="00641D00" w:rsidRPr="00641D00" w:rsidRDefault="00641D00" w:rsidP="00641D00">
      <w:pPr>
        <w:rPr>
          <w:rFonts w:ascii="Arial" w:hAnsi="Arial" w:cs="Arial"/>
          <w:sz w:val="22"/>
          <w:szCs w:val="22"/>
        </w:rPr>
      </w:pPr>
      <w:r w:rsidRPr="00641D00">
        <w:rPr>
          <w:rFonts w:ascii="Arial" w:hAnsi="Arial" w:cs="Arial"/>
          <w:sz w:val="22"/>
          <w:szCs w:val="22"/>
        </w:rPr>
        <w:t xml:space="preserve">Transparency requirements further influence reward practice. Employees are legally entitled to receive itemised pay statements showing gross pay, deductions and net pay, including hours worked where pay varies. </w:t>
      </w:r>
      <w:r w:rsidR="00FB216A">
        <w:rPr>
          <w:rFonts w:ascii="Arial" w:hAnsi="Arial" w:cs="Arial"/>
          <w:sz w:val="22"/>
          <w:szCs w:val="22"/>
        </w:rPr>
        <w:t>Clear</w:t>
      </w:r>
      <w:r w:rsidRPr="00641D00">
        <w:rPr>
          <w:rFonts w:ascii="Arial" w:hAnsi="Arial" w:cs="Arial"/>
          <w:sz w:val="22"/>
          <w:szCs w:val="22"/>
        </w:rPr>
        <w:t xml:space="preserve"> and accurate payslips support employee understanding and help prevent disputes. Any introduction of performance-related pay or incentives would therefore require </w:t>
      </w:r>
      <w:proofErr w:type="spellStart"/>
      <w:r w:rsidRPr="00641D00">
        <w:rPr>
          <w:rFonts w:ascii="Arial" w:hAnsi="Arial" w:cs="Arial"/>
          <w:sz w:val="22"/>
          <w:szCs w:val="22"/>
        </w:rPr>
        <w:t>GreenFriendlyEco</w:t>
      </w:r>
      <w:proofErr w:type="spellEnd"/>
      <w:r w:rsidRPr="00641D00">
        <w:rPr>
          <w:rFonts w:ascii="Arial" w:hAnsi="Arial" w:cs="Arial"/>
          <w:sz w:val="22"/>
          <w:szCs w:val="22"/>
        </w:rPr>
        <w:t xml:space="preserve"> to ensure payroll systems and communication processes are robust (ACAS, 202</w:t>
      </w:r>
      <w:r w:rsidR="00A80175">
        <w:rPr>
          <w:rFonts w:ascii="Arial" w:hAnsi="Arial" w:cs="Arial"/>
          <w:sz w:val="22"/>
          <w:szCs w:val="22"/>
        </w:rPr>
        <w:t>4</w:t>
      </w:r>
      <w:r w:rsidRPr="00641D00">
        <w:rPr>
          <w:rFonts w:ascii="Arial" w:hAnsi="Arial" w:cs="Arial"/>
          <w:sz w:val="22"/>
          <w:szCs w:val="22"/>
        </w:rPr>
        <w:t>).</w:t>
      </w:r>
    </w:p>
    <w:p w14:paraId="07C3B0BD" w14:textId="51C7C67C" w:rsidR="00641D00" w:rsidRPr="00641D00" w:rsidRDefault="00641D00" w:rsidP="00641D00">
      <w:pPr>
        <w:rPr>
          <w:rFonts w:ascii="Arial" w:hAnsi="Arial" w:cs="Arial"/>
          <w:sz w:val="22"/>
          <w:szCs w:val="22"/>
        </w:rPr>
      </w:pPr>
      <w:r w:rsidRPr="00641D00">
        <w:rPr>
          <w:rFonts w:ascii="Arial" w:hAnsi="Arial" w:cs="Arial"/>
          <w:sz w:val="22"/>
          <w:szCs w:val="22"/>
        </w:rPr>
        <w:t xml:space="preserve">Taxation law also affects reward decisions. Income tax and National Insurance contributions must be correctly deducted through PAYE, and some benefits may create additional tax liabilities. </w:t>
      </w:r>
      <w:r w:rsidR="00741357">
        <w:rPr>
          <w:rFonts w:ascii="Arial" w:hAnsi="Arial" w:cs="Arial"/>
          <w:sz w:val="22"/>
          <w:szCs w:val="22"/>
        </w:rPr>
        <w:t>E</w:t>
      </w:r>
      <w:r w:rsidRPr="00641D00">
        <w:rPr>
          <w:rFonts w:ascii="Arial" w:hAnsi="Arial" w:cs="Arial"/>
          <w:sz w:val="22"/>
          <w:szCs w:val="22"/>
        </w:rPr>
        <w:t>mployers must understand the tax treatment of reward elements to avoid non-compliance and unintended costs for employees (Daniels, 202</w:t>
      </w:r>
      <w:r w:rsidR="00F72E4D">
        <w:rPr>
          <w:rFonts w:ascii="Arial" w:hAnsi="Arial" w:cs="Arial"/>
          <w:sz w:val="22"/>
          <w:szCs w:val="22"/>
        </w:rPr>
        <w:t>2</w:t>
      </w:r>
      <w:r w:rsidRPr="00641D00">
        <w:rPr>
          <w:rFonts w:ascii="Arial" w:hAnsi="Arial" w:cs="Arial"/>
          <w:sz w:val="22"/>
          <w:szCs w:val="22"/>
        </w:rPr>
        <w:t>).</w:t>
      </w:r>
    </w:p>
    <w:p w14:paraId="795FEC8B" w14:textId="28529B3F" w:rsidR="00641D00" w:rsidRPr="00641D00" w:rsidRDefault="00641D00" w:rsidP="00641D00">
      <w:pPr>
        <w:rPr>
          <w:rFonts w:ascii="Arial" w:hAnsi="Arial" w:cs="Arial"/>
          <w:sz w:val="22"/>
          <w:szCs w:val="22"/>
        </w:rPr>
      </w:pPr>
      <w:r w:rsidRPr="00641D00">
        <w:rPr>
          <w:rFonts w:ascii="Arial" w:hAnsi="Arial" w:cs="Arial"/>
          <w:sz w:val="22"/>
          <w:szCs w:val="22"/>
        </w:rPr>
        <w:t>Finally, reporting and disclosure requirements increasingly shape senior reward practices. Gender pay gap reporting and CEO pay ratio disclosures place greater scrutiny on pay fairness and executive reward. CIPD guidance stresses that transparent and proportionate executive pay arrangements are important in maintaining trust and supporting organisational culture (CIPD, 202</w:t>
      </w:r>
      <w:r w:rsidR="00E82624">
        <w:rPr>
          <w:rFonts w:ascii="Arial" w:hAnsi="Arial" w:cs="Arial"/>
          <w:sz w:val="22"/>
          <w:szCs w:val="22"/>
        </w:rPr>
        <w:t>6</w:t>
      </w:r>
      <w:r w:rsidRPr="00641D00">
        <w:rPr>
          <w:rFonts w:ascii="Arial" w:hAnsi="Arial" w:cs="Arial"/>
          <w:sz w:val="22"/>
          <w:szCs w:val="22"/>
        </w:rPr>
        <w:t>).</w:t>
      </w:r>
    </w:p>
    <w:p w14:paraId="0B46D8FF" w14:textId="7E7B38C1" w:rsidR="00641D00" w:rsidRPr="00962D84" w:rsidRDefault="00641D00" w:rsidP="00962D84">
      <w:pPr>
        <w:rPr>
          <w:rFonts w:ascii="Arial" w:hAnsi="Arial" w:cs="Arial"/>
          <w:sz w:val="22"/>
          <w:szCs w:val="22"/>
        </w:rPr>
      </w:pPr>
      <w:r w:rsidRPr="00641D00">
        <w:rPr>
          <w:rFonts w:ascii="Arial" w:hAnsi="Arial" w:cs="Arial"/>
          <w:sz w:val="22"/>
          <w:szCs w:val="22"/>
        </w:rPr>
        <w:t xml:space="preserve">By embedding legislative compliance into reward design, </w:t>
      </w:r>
      <w:proofErr w:type="spellStart"/>
      <w:r w:rsidRPr="00641D00">
        <w:rPr>
          <w:rFonts w:ascii="Arial" w:hAnsi="Arial" w:cs="Arial"/>
          <w:sz w:val="22"/>
          <w:szCs w:val="22"/>
        </w:rPr>
        <w:t>GreenFriendlyEco</w:t>
      </w:r>
      <w:proofErr w:type="spellEnd"/>
      <w:r w:rsidRPr="00641D00">
        <w:rPr>
          <w:rFonts w:ascii="Arial" w:hAnsi="Arial" w:cs="Arial"/>
          <w:sz w:val="22"/>
          <w:szCs w:val="22"/>
        </w:rPr>
        <w:t xml:space="preserve"> can introduce reward practices that are fair, lawful and supportive of long-term organisational sustainability.</w:t>
      </w:r>
    </w:p>
    <w:p w14:paraId="40B4243E" w14:textId="65887FF1" w:rsidR="009B29C3" w:rsidRPr="00125E34" w:rsidRDefault="009B29C3" w:rsidP="002174F2">
      <w:pPr>
        <w:rPr>
          <w:rFonts w:ascii="Arial" w:hAnsi="Arial" w:cs="Arial"/>
          <w:sz w:val="22"/>
          <w:szCs w:val="22"/>
        </w:rPr>
      </w:pPr>
    </w:p>
    <w:p w14:paraId="2B13FE64" w14:textId="7CA75DA5" w:rsidR="00A83F26" w:rsidRPr="00A94067" w:rsidRDefault="00A83F26" w:rsidP="008B5037">
      <w:pPr>
        <w:rPr>
          <w:rFonts w:ascii="Arial" w:hAnsi="Arial" w:cs="Arial"/>
          <w:sz w:val="22"/>
          <w:szCs w:val="22"/>
        </w:rPr>
      </w:pPr>
    </w:p>
    <w:p w14:paraId="2575B3F6" w14:textId="6180FDBD" w:rsidR="00304B28" w:rsidRPr="00E274DC" w:rsidRDefault="00304B28" w:rsidP="00E274DC">
      <w:pPr>
        <w:rPr>
          <w:rFonts w:ascii="Arial" w:hAnsi="Arial" w:cs="Arial"/>
          <w:sz w:val="22"/>
          <w:szCs w:val="22"/>
        </w:rPr>
      </w:pPr>
    </w:p>
    <w:p w14:paraId="1B27B4E1" w14:textId="2D5EA292" w:rsidR="009863A9" w:rsidRPr="004172E6" w:rsidRDefault="009863A9" w:rsidP="00E274DC">
      <w:pPr>
        <w:rPr>
          <w:rFonts w:ascii="Arial" w:hAnsi="Arial" w:cs="Arial"/>
          <w:b/>
          <w:bCs/>
          <w:sz w:val="22"/>
          <w:szCs w:val="22"/>
        </w:rPr>
      </w:pPr>
    </w:p>
    <w:p w14:paraId="74CC3C09" w14:textId="77777777" w:rsidR="00976C74" w:rsidRDefault="00976C74">
      <w:pPr>
        <w:rPr>
          <w:rFonts w:ascii="Arial" w:hAnsi="Arial" w:cs="Arial"/>
          <w:b/>
          <w:bCs/>
          <w:sz w:val="22"/>
          <w:szCs w:val="22"/>
        </w:rPr>
      </w:pPr>
    </w:p>
    <w:p w14:paraId="597FB492" w14:textId="77777777" w:rsidR="0042189D" w:rsidRDefault="0042189D">
      <w:pPr>
        <w:rPr>
          <w:rFonts w:ascii="Arial" w:hAnsi="Arial" w:cs="Arial"/>
          <w:b/>
          <w:bCs/>
          <w:sz w:val="22"/>
          <w:szCs w:val="22"/>
        </w:rPr>
      </w:pPr>
    </w:p>
    <w:p w14:paraId="79B296D6" w14:textId="77777777" w:rsidR="0042189D" w:rsidRDefault="0042189D">
      <w:pPr>
        <w:rPr>
          <w:rFonts w:ascii="Arial" w:hAnsi="Arial" w:cs="Arial"/>
          <w:b/>
          <w:bCs/>
          <w:sz w:val="22"/>
          <w:szCs w:val="22"/>
        </w:rPr>
      </w:pPr>
    </w:p>
    <w:p w14:paraId="035A2BED" w14:textId="133F2D1E" w:rsidR="00A66819" w:rsidRPr="004172E6" w:rsidRDefault="009863A9">
      <w:pPr>
        <w:rPr>
          <w:rFonts w:ascii="Arial" w:hAnsi="Arial" w:cs="Arial"/>
          <w:b/>
          <w:bCs/>
          <w:sz w:val="22"/>
          <w:szCs w:val="22"/>
        </w:rPr>
      </w:pPr>
      <w:r w:rsidRPr="004172E6">
        <w:rPr>
          <w:rFonts w:ascii="Arial" w:hAnsi="Arial" w:cs="Arial"/>
          <w:b/>
          <w:bCs/>
          <w:sz w:val="22"/>
          <w:szCs w:val="22"/>
        </w:rPr>
        <w:lastRenderedPageBreak/>
        <w:t>References</w:t>
      </w:r>
      <w:r w:rsidR="007D6565">
        <w:rPr>
          <w:rFonts w:ascii="Arial" w:hAnsi="Arial" w:cs="Arial"/>
          <w:b/>
          <w:bCs/>
          <w:sz w:val="22"/>
          <w:szCs w:val="22"/>
        </w:rPr>
        <w:t xml:space="preserve"> </w:t>
      </w:r>
    </w:p>
    <w:p w14:paraId="31B0E5F7" w14:textId="77777777" w:rsidR="006F2340" w:rsidRPr="006F2340" w:rsidRDefault="006F2340" w:rsidP="006F2340">
      <w:pPr>
        <w:rPr>
          <w:rFonts w:ascii="Arial" w:hAnsi="Arial" w:cs="Arial"/>
          <w:sz w:val="22"/>
          <w:szCs w:val="22"/>
        </w:rPr>
      </w:pPr>
      <w:r w:rsidRPr="006F2340">
        <w:rPr>
          <w:rFonts w:ascii="Arial" w:hAnsi="Arial" w:cs="Arial"/>
          <w:b/>
          <w:bCs/>
          <w:sz w:val="22"/>
          <w:szCs w:val="22"/>
        </w:rPr>
        <w:t>ACAS (2014)</w:t>
      </w:r>
      <w:r w:rsidRPr="006F2340">
        <w:rPr>
          <w:rFonts w:ascii="Arial" w:hAnsi="Arial" w:cs="Arial"/>
          <w:sz w:val="22"/>
          <w:szCs w:val="22"/>
        </w:rPr>
        <w:t xml:space="preserve"> </w:t>
      </w:r>
      <w:r w:rsidRPr="006F2340">
        <w:rPr>
          <w:rFonts w:ascii="Arial" w:hAnsi="Arial" w:cs="Arial"/>
          <w:i/>
          <w:iCs/>
          <w:sz w:val="22"/>
          <w:szCs w:val="22"/>
        </w:rPr>
        <w:t>Job evaluation: considerations and risks</w:t>
      </w:r>
      <w:r w:rsidRPr="006F2340">
        <w:rPr>
          <w:rFonts w:ascii="Arial" w:hAnsi="Arial" w:cs="Arial"/>
          <w:sz w:val="22"/>
          <w:szCs w:val="22"/>
        </w:rPr>
        <w:t xml:space="preserve">. London: ACAS. Available at: </w:t>
      </w:r>
      <w:hyperlink r:id="rId4" w:tgtFrame="_new" w:history="1">
        <w:r w:rsidRPr="006F2340">
          <w:rPr>
            <w:rStyle w:val="Hyperlink"/>
            <w:rFonts w:ascii="Arial" w:hAnsi="Arial" w:cs="Arial"/>
            <w:sz w:val="22"/>
            <w:szCs w:val="22"/>
          </w:rPr>
          <w:t>https://www.acas.org.uk/job-evaluation-considerations-and-risks-advice-booklet</w:t>
        </w:r>
      </w:hyperlink>
      <w:r w:rsidRPr="006F2340">
        <w:rPr>
          <w:rFonts w:ascii="Arial" w:hAnsi="Arial" w:cs="Arial"/>
          <w:sz w:val="22"/>
          <w:szCs w:val="22"/>
        </w:rPr>
        <w:t xml:space="preserve"> (Accessed: 22 January 2026).</w:t>
      </w:r>
    </w:p>
    <w:p w14:paraId="6A7300EE" w14:textId="77777777" w:rsidR="006F2340" w:rsidRPr="006F2340" w:rsidRDefault="006F2340" w:rsidP="006F2340">
      <w:pPr>
        <w:rPr>
          <w:rFonts w:ascii="Arial" w:hAnsi="Arial" w:cs="Arial"/>
          <w:sz w:val="22"/>
          <w:szCs w:val="22"/>
        </w:rPr>
      </w:pPr>
      <w:r w:rsidRPr="006F2340">
        <w:rPr>
          <w:rFonts w:ascii="Arial" w:hAnsi="Arial" w:cs="Arial"/>
          <w:b/>
          <w:bCs/>
          <w:sz w:val="22"/>
          <w:szCs w:val="22"/>
        </w:rPr>
        <w:t>ACAS (2024)</w:t>
      </w:r>
      <w:r w:rsidRPr="006F2340">
        <w:rPr>
          <w:rFonts w:ascii="Arial" w:hAnsi="Arial" w:cs="Arial"/>
          <w:sz w:val="22"/>
          <w:szCs w:val="22"/>
        </w:rPr>
        <w:t xml:space="preserve"> </w:t>
      </w:r>
      <w:r w:rsidRPr="006F2340">
        <w:rPr>
          <w:rFonts w:ascii="Arial" w:hAnsi="Arial" w:cs="Arial"/>
          <w:i/>
          <w:iCs/>
          <w:sz w:val="22"/>
          <w:szCs w:val="22"/>
        </w:rPr>
        <w:t>Payslips and pay statements</w:t>
      </w:r>
      <w:r w:rsidRPr="006F2340">
        <w:rPr>
          <w:rFonts w:ascii="Arial" w:hAnsi="Arial" w:cs="Arial"/>
          <w:sz w:val="22"/>
          <w:szCs w:val="22"/>
        </w:rPr>
        <w:t xml:space="preserve">. London: ACAS. Available at: </w:t>
      </w:r>
      <w:hyperlink r:id="rId5" w:tgtFrame="_new" w:history="1">
        <w:r w:rsidRPr="006F2340">
          <w:rPr>
            <w:rStyle w:val="Hyperlink"/>
            <w:rFonts w:ascii="Arial" w:hAnsi="Arial" w:cs="Arial"/>
            <w:sz w:val="22"/>
            <w:szCs w:val="22"/>
          </w:rPr>
          <w:t>https://www.acas.org.uk/payslips</w:t>
        </w:r>
      </w:hyperlink>
      <w:r w:rsidRPr="006F2340">
        <w:rPr>
          <w:rFonts w:ascii="Arial" w:hAnsi="Arial" w:cs="Arial"/>
          <w:sz w:val="22"/>
          <w:szCs w:val="22"/>
        </w:rPr>
        <w:t xml:space="preserve"> (Accessed: 2 February 2026).</w:t>
      </w:r>
    </w:p>
    <w:p w14:paraId="58F7A03F" w14:textId="77777777" w:rsidR="006F2340" w:rsidRPr="006F2340" w:rsidRDefault="006F2340" w:rsidP="006F2340">
      <w:pPr>
        <w:rPr>
          <w:rFonts w:ascii="Arial" w:hAnsi="Arial" w:cs="Arial"/>
          <w:sz w:val="22"/>
          <w:szCs w:val="22"/>
        </w:rPr>
      </w:pPr>
      <w:r w:rsidRPr="006F2340">
        <w:rPr>
          <w:rFonts w:ascii="Arial" w:hAnsi="Arial" w:cs="Arial"/>
          <w:b/>
          <w:bCs/>
          <w:sz w:val="22"/>
          <w:szCs w:val="22"/>
        </w:rPr>
        <w:t>Armstrong, M. and Taylor, S. (2023)</w:t>
      </w:r>
      <w:r w:rsidRPr="006F2340">
        <w:rPr>
          <w:rFonts w:ascii="Arial" w:hAnsi="Arial" w:cs="Arial"/>
          <w:sz w:val="22"/>
          <w:szCs w:val="22"/>
        </w:rPr>
        <w:t xml:space="preserve"> </w:t>
      </w:r>
      <w:r w:rsidRPr="006F2340">
        <w:rPr>
          <w:rFonts w:ascii="Arial" w:hAnsi="Arial" w:cs="Arial"/>
          <w:i/>
          <w:iCs/>
          <w:sz w:val="22"/>
          <w:szCs w:val="22"/>
        </w:rPr>
        <w:t>Armstrong’s handbook of human resource management practice</w:t>
      </w:r>
      <w:r w:rsidRPr="006F2340">
        <w:rPr>
          <w:rFonts w:ascii="Arial" w:hAnsi="Arial" w:cs="Arial"/>
          <w:sz w:val="22"/>
          <w:szCs w:val="22"/>
        </w:rPr>
        <w:t xml:space="preserve">. 16th </w:t>
      </w:r>
      <w:proofErr w:type="spellStart"/>
      <w:r w:rsidRPr="006F2340">
        <w:rPr>
          <w:rFonts w:ascii="Arial" w:hAnsi="Arial" w:cs="Arial"/>
          <w:sz w:val="22"/>
          <w:szCs w:val="22"/>
        </w:rPr>
        <w:t>edn</w:t>
      </w:r>
      <w:proofErr w:type="spellEnd"/>
      <w:r w:rsidRPr="006F2340">
        <w:rPr>
          <w:rFonts w:ascii="Arial" w:hAnsi="Arial" w:cs="Arial"/>
          <w:sz w:val="22"/>
          <w:szCs w:val="22"/>
        </w:rPr>
        <w:t>. London: Kogan Page.</w:t>
      </w:r>
    </w:p>
    <w:p w14:paraId="2ECB7F68" w14:textId="77777777" w:rsidR="006F2340" w:rsidRPr="006F2340" w:rsidRDefault="006F2340" w:rsidP="006F2340">
      <w:pPr>
        <w:rPr>
          <w:rFonts w:ascii="Arial" w:hAnsi="Arial" w:cs="Arial"/>
          <w:sz w:val="22"/>
          <w:szCs w:val="22"/>
        </w:rPr>
      </w:pPr>
      <w:r w:rsidRPr="006F2340">
        <w:rPr>
          <w:rFonts w:ascii="Arial" w:hAnsi="Arial" w:cs="Arial"/>
          <w:b/>
          <w:bCs/>
          <w:sz w:val="22"/>
          <w:szCs w:val="22"/>
        </w:rPr>
        <w:t>Cave, D. (2023)</w:t>
      </w:r>
      <w:r w:rsidRPr="006F2340">
        <w:rPr>
          <w:rFonts w:ascii="Arial" w:hAnsi="Arial" w:cs="Arial"/>
          <w:sz w:val="22"/>
          <w:szCs w:val="22"/>
        </w:rPr>
        <w:t xml:space="preserve"> ‘Delivering the perfect reward package’, </w:t>
      </w:r>
      <w:r w:rsidRPr="006F2340">
        <w:rPr>
          <w:rFonts w:ascii="Arial" w:hAnsi="Arial" w:cs="Arial"/>
          <w:i/>
          <w:iCs/>
          <w:sz w:val="22"/>
          <w:szCs w:val="22"/>
        </w:rPr>
        <w:t>HR Magazine</w:t>
      </w:r>
      <w:r w:rsidRPr="006F2340">
        <w:rPr>
          <w:rFonts w:ascii="Arial" w:hAnsi="Arial" w:cs="Arial"/>
          <w:sz w:val="22"/>
          <w:szCs w:val="22"/>
        </w:rPr>
        <w:t xml:space="preserve">, 6 December. Available at: </w:t>
      </w:r>
      <w:hyperlink r:id="rId6" w:tgtFrame="_new" w:history="1">
        <w:r w:rsidRPr="006F2340">
          <w:rPr>
            <w:rStyle w:val="Hyperlink"/>
            <w:rFonts w:ascii="Arial" w:hAnsi="Arial" w:cs="Arial"/>
            <w:sz w:val="22"/>
            <w:szCs w:val="22"/>
          </w:rPr>
          <w:t>https://www.hrmagazine.co.uk/content/features/cover-story-delivering-the-perfect-reward-package</w:t>
        </w:r>
      </w:hyperlink>
      <w:r w:rsidRPr="006F2340">
        <w:rPr>
          <w:rFonts w:ascii="Arial" w:hAnsi="Arial" w:cs="Arial"/>
          <w:sz w:val="22"/>
          <w:szCs w:val="22"/>
        </w:rPr>
        <w:t xml:space="preserve"> (Accessed: 12 January 2026).</w:t>
      </w:r>
    </w:p>
    <w:p w14:paraId="4FE38F8C" w14:textId="23592FB3" w:rsidR="006F2340" w:rsidRPr="006F2340" w:rsidRDefault="006F2340" w:rsidP="006F2340">
      <w:pPr>
        <w:rPr>
          <w:rFonts w:ascii="Arial" w:hAnsi="Arial" w:cs="Arial"/>
          <w:sz w:val="22"/>
          <w:szCs w:val="22"/>
        </w:rPr>
      </w:pPr>
      <w:r w:rsidRPr="006F2340">
        <w:rPr>
          <w:rFonts w:ascii="Arial" w:hAnsi="Arial" w:cs="Arial"/>
          <w:b/>
          <w:bCs/>
          <w:sz w:val="22"/>
          <w:szCs w:val="22"/>
        </w:rPr>
        <w:t>CIPD (2020)</w:t>
      </w:r>
      <w:r w:rsidRPr="006F2340">
        <w:rPr>
          <w:rFonts w:ascii="Arial" w:hAnsi="Arial" w:cs="Arial"/>
          <w:sz w:val="22"/>
          <w:szCs w:val="22"/>
        </w:rPr>
        <w:t xml:space="preserve"> </w:t>
      </w:r>
      <w:r w:rsidRPr="006F2340">
        <w:rPr>
          <w:rFonts w:ascii="Arial" w:hAnsi="Arial" w:cs="Arial"/>
          <w:i/>
          <w:iCs/>
          <w:sz w:val="22"/>
          <w:szCs w:val="22"/>
        </w:rPr>
        <w:t>Five ideas for employee recognition</w:t>
      </w:r>
      <w:r w:rsidRPr="006F2340">
        <w:rPr>
          <w:rFonts w:ascii="Arial" w:hAnsi="Arial" w:cs="Arial"/>
          <w:sz w:val="22"/>
          <w:szCs w:val="22"/>
        </w:rPr>
        <w:t xml:space="preserve">. London: CIPD. Available at: </w:t>
      </w:r>
      <w:hyperlink r:id="rId7" w:tgtFrame="_new" w:history="1">
        <w:r w:rsidRPr="006F2340">
          <w:rPr>
            <w:rStyle w:val="Hyperlink"/>
            <w:rFonts w:ascii="Arial" w:hAnsi="Arial" w:cs="Arial"/>
            <w:sz w:val="22"/>
            <w:szCs w:val="22"/>
          </w:rPr>
          <w:t>https://www.cipd.org/uk/about/news/five-ideas-employee-recognition/</w:t>
        </w:r>
      </w:hyperlink>
      <w:r w:rsidRPr="006F2340">
        <w:rPr>
          <w:rFonts w:ascii="Arial" w:hAnsi="Arial" w:cs="Arial"/>
          <w:sz w:val="22"/>
          <w:szCs w:val="22"/>
        </w:rPr>
        <w:t xml:space="preserve"> (Accessed: 10 January 2026).</w:t>
      </w:r>
    </w:p>
    <w:p w14:paraId="6806D4BC" w14:textId="02632128" w:rsidR="006F2340" w:rsidRPr="006F2340" w:rsidRDefault="006F2340" w:rsidP="006F2340">
      <w:pPr>
        <w:rPr>
          <w:rFonts w:ascii="Arial" w:hAnsi="Arial" w:cs="Arial"/>
          <w:sz w:val="22"/>
          <w:szCs w:val="22"/>
        </w:rPr>
      </w:pPr>
      <w:r w:rsidRPr="006F2340">
        <w:rPr>
          <w:rFonts w:ascii="Arial" w:hAnsi="Arial" w:cs="Arial"/>
          <w:b/>
          <w:bCs/>
          <w:sz w:val="22"/>
          <w:szCs w:val="22"/>
        </w:rPr>
        <w:t>CIPD (2022a)</w:t>
      </w:r>
      <w:r w:rsidRPr="006F2340">
        <w:rPr>
          <w:rFonts w:ascii="Arial" w:hAnsi="Arial" w:cs="Arial"/>
          <w:sz w:val="22"/>
          <w:szCs w:val="22"/>
        </w:rPr>
        <w:t xml:space="preserve"> </w:t>
      </w:r>
      <w:r w:rsidRPr="006F2340">
        <w:rPr>
          <w:rFonts w:ascii="Arial" w:hAnsi="Arial" w:cs="Arial"/>
          <w:i/>
          <w:iCs/>
          <w:sz w:val="22"/>
          <w:szCs w:val="22"/>
        </w:rPr>
        <w:t xml:space="preserve">Incentives and recognition: an evidence </w:t>
      </w:r>
      <w:proofErr w:type="gramStart"/>
      <w:r w:rsidRPr="006F2340">
        <w:rPr>
          <w:rFonts w:ascii="Arial" w:hAnsi="Arial" w:cs="Arial"/>
          <w:i/>
          <w:iCs/>
          <w:sz w:val="22"/>
          <w:szCs w:val="22"/>
        </w:rPr>
        <w:t>review</w:t>
      </w:r>
      <w:proofErr w:type="gramEnd"/>
      <w:r w:rsidRPr="006F2340">
        <w:rPr>
          <w:rFonts w:ascii="Arial" w:hAnsi="Arial" w:cs="Arial"/>
          <w:sz w:val="22"/>
          <w:szCs w:val="22"/>
        </w:rPr>
        <w:t xml:space="preserve">. London: CIPD. Available at: </w:t>
      </w:r>
      <w:hyperlink r:id="rId8" w:tgtFrame="_new" w:history="1">
        <w:r w:rsidRPr="006F2340">
          <w:rPr>
            <w:rStyle w:val="Hyperlink"/>
            <w:rFonts w:ascii="Arial" w:hAnsi="Arial" w:cs="Arial"/>
            <w:sz w:val="22"/>
            <w:szCs w:val="22"/>
          </w:rPr>
          <w:t>https://www.cipd.org/uk/knowledge/evidence-reviews/evidence-financial-incentives</w:t>
        </w:r>
      </w:hyperlink>
      <w:r w:rsidRPr="006F2340">
        <w:rPr>
          <w:rFonts w:ascii="Arial" w:hAnsi="Arial" w:cs="Arial"/>
          <w:sz w:val="22"/>
          <w:szCs w:val="22"/>
        </w:rPr>
        <w:t xml:space="preserve"> (Accessed: 9 January 2026).</w:t>
      </w:r>
    </w:p>
    <w:p w14:paraId="691C1932" w14:textId="65E2EC7C" w:rsidR="006F2340" w:rsidRPr="006F2340" w:rsidRDefault="006F2340" w:rsidP="006F2340">
      <w:pPr>
        <w:rPr>
          <w:rFonts w:ascii="Arial" w:hAnsi="Arial" w:cs="Arial"/>
          <w:sz w:val="22"/>
          <w:szCs w:val="22"/>
        </w:rPr>
      </w:pPr>
      <w:r w:rsidRPr="006F2340">
        <w:rPr>
          <w:rFonts w:ascii="Arial" w:hAnsi="Arial" w:cs="Arial"/>
          <w:b/>
          <w:bCs/>
          <w:sz w:val="22"/>
          <w:szCs w:val="22"/>
        </w:rPr>
        <w:t>CIPD (2022b)</w:t>
      </w:r>
      <w:r w:rsidRPr="006F2340">
        <w:rPr>
          <w:rFonts w:ascii="Arial" w:hAnsi="Arial" w:cs="Arial"/>
          <w:sz w:val="22"/>
          <w:szCs w:val="22"/>
        </w:rPr>
        <w:t xml:space="preserve"> </w:t>
      </w:r>
      <w:r w:rsidRPr="006F2340">
        <w:rPr>
          <w:rFonts w:ascii="Arial" w:hAnsi="Arial" w:cs="Arial"/>
          <w:i/>
          <w:iCs/>
          <w:sz w:val="22"/>
          <w:szCs w:val="22"/>
        </w:rPr>
        <w:t>Employee recognition and non-financial rewards: evidence review</w:t>
      </w:r>
      <w:r w:rsidRPr="006F2340">
        <w:rPr>
          <w:rFonts w:ascii="Arial" w:hAnsi="Arial" w:cs="Arial"/>
          <w:sz w:val="22"/>
          <w:szCs w:val="22"/>
        </w:rPr>
        <w:t xml:space="preserve">. London: CIPD. Available at: </w:t>
      </w:r>
      <w:hyperlink r:id="rId9" w:tgtFrame="_new" w:history="1">
        <w:r w:rsidRPr="006F2340">
          <w:rPr>
            <w:rStyle w:val="Hyperlink"/>
            <w:rFonts w:ascii="Arial" w:hAnsi="Arial" w:cs="Arial"/>
            <w:sz w:val="22"/>
            <w:szCs w:val="22"/>
          </w:rPr>
          <w:t>https://www.cipd.org/globalassets/media/knowledge/knowledge-hub/evidence-reviews/incentives-recognition-practice-summary_tcm18-105466.pdf</w:t>
        </w:r>
      </w:hyperlink>
      <w:r w:rsidRPr="006F2340">
        <w:rPr>
          <w:rFonts w:ascii="Arial" w:hAnsi="Arial" w:cs="Arial"/>
          <w:sz w:val="22"/>
          <w:szCs w:val="22"/>
        </w:rPr>
        <w:t xml:space="preserve"> (Accessed: 10 January 2026).</w:t>
      </w:r>
    </w:p>
    <w:p w14:paraId="75FF7864" w14:textId="3E3D96A4" w:rsidR="006F2340" w:rsidRPr="006F2340" w:rsidRDefault="006F2340" w:rsidP="006F2340">
      <w:pPr>
        <w:rPr>
          <w:rFonts w:ascii="Arial" w:hAnsi="Arial" w:cs="Arial"/>
          <w:sz w:val="22"/>
          <w:szCs w:val="22"/>
        </w:rPr>
      </w:pPr>
      <w:r w:rsidRPr="006F2340">
        <w:rPr>
          <w:rFonts w:ascii="Arial" w:hAnsi="Arial" w:cs="Arial"/>
          <w:b/>
          <w:bCs/>
          <w:sz w:val="22"/>
          <w:szCs w:val="22"/>
        </w:rPr>
        <w:t>CIPD (2024a)</w:t>
      </w:r>
      <w:r w:rsidRPr="006F2340">
        <w:rPr>
          <w:rFonts w:ascii="Arial" w:hAnsi="Arial" w:cs="Arial"/>
          <w:sz w:val="22"/>
          <w:szCs w:val="22"/>
        </w:rPr>
        <w:t xml:space="preserve"> </w:t>
      </w:r>
      <w:r w:rsidRPr="006F2340">
        <w:rPr>
          <w:rFonts w:ascii="Arial" w:hAnsi="Arial" w:cs="Arial"/>
          <w:i/>
          <w:iCs/>
          <w:sz w:val="22"/>
          <w:szCs w:val="22"/>
        </w:rPr>
        <w:t>Pay, performance and transparency</w:t>
      </w:r>
      <w:r w:rsidRPr="006F2340">
        <w:rPr>
          <w:rFonts w:ascii="Arial" w:hAnsi="Arial" w:cs="Arial"/>
          <w:sz w:val="22"/>
          <w:szCs w:val="22"/>
        </w:rPr>
        <w:t xml:space="preserve">. London: CIPD. Available at: </w:t>
      </w:r>
      <w:hyperlink r:id="rId10" w:tgtFrame="_new" w:history="1">
        <w:r w:rsidRPr="006F2340">
          <w:rPr>
            <w:rStyle w:val="Hyperlink"/>
            <w:rFonts w:ascii="Arial" w:hAnsi="Arial" w:cs="Arial"/>
            <w:sz w:val="22"/>
            <w:szCs w:val="22"/>
          </w:rPr>
          <w:t>https://www.cipd.org/uk/knowledge/reports/pay-performance-transparency/</w:t>
        </w:r>
      </w:hyperlink>
      <w:r w:rsidRPr="006F2340">
        <w:rPr>
          <w:rFonts w:ascii="Arial" w:hAnsi="Arial" w:cs="Arial"/>
          <w:sz w:val="22"/>
          <w:szCs w:val="22"/>
        </w:rPr>
        <w:t xml:space="preserve"> (Accessed: 19 January 2026).</w:t>
      </w:r>
    </w:p>
    <w:p w14:paraId="64BA7D60" w14:textId="46F08E8D" w:rsidR="006F2340" w:rsidRPr="006F2340" w:rsidRDefault="006F2340" w:rsidP="006F2340">
      <w:pPr>
        <w:rPr>
          <w:rFonts w:ascii="Arial" w:hAnsi="Arial" w:cs="Arial"/>
          <w:sz w:val="22"/>
          <w:szCs w:val="22"/>
        </w:rPr>
      </w:pPr>
      <w:r w:rsidRPr="006F2340">
        <w:rPr>
          <w:rFonts w:ascii="Arial" w:hAnsi="Arial" w:cs="Arial"/>
          <w:b/>
          <w:bCs/>
          <w:sz w:val="22"/>
          <w:szCs w:val="22"/>
        </w:rPr>
        <w:t>CIPD (2024b)</w:t>
      </w:r>
      <w:r w:rsidRPr="006F2340">
        <w:rPr>
          <w:rFonts w:ascii="Arial" w:hAnsi="Arial" w:cs="Arial"/>
          <w:sz w:val="22"/>
          <w:szCs w:val="22"/>
        </w:rPr>
        <w:t xml:space="preserve"> </w:t>
      </w:r>
      <w:r w:rsidRPr="006F2340">
        <w:rPr>
          <w:rFonts w:ascii="Arial" w:hAnsi="Arial" w:cs="Arial"/>
          <w:i/>
          <w:iCs/>
          <w:sz w:val="22"/>
          <w:szCs w:val="22"/>
        </w:rPr>
        <w:t>Benchmarking employee turnover: trends and insights</w:t>
      </w:r>
      <w:r w:rsidRPr="006F2340">
        <w:rPr>
          <w:rFonts w:ascii="Arial" w:hAnsi="Arial" w:cs="Arial"/>
          <w:sz w:val="22"/>
          <w:szCs w:val="22"/>
        </w:rPr>
        <w:t xml:space="preserve">. London: CIPD. Available at: </w:t>
      </w:r>
      <w:hyperlink r:id="rId11" w:tgtFrame="_new" w:history="1">
        <w:r w:rsidRPr="006F2340">
          <w:rPr>
            <w:rStyle w:val="Hyperlink"/>
            <w:rFonts w:ascii="Arial" w:hAnsi="Arial" w:cs="Arial"/>
            <w:sz w:val="22"/>
            <w:szCs w:val="22"/>
          </w:rPr>
          <w:t>https://www.cipd.org/uk/views-and-insights/thought-leadership/cipd-voice/benchmarking-employee-turnover/</w:t>
        </w:r>
      </w:hyperlink>
      <w:r w:rsidRPr="006F2340">
        <w:rPr>
          <w:rFonts w:ascii="Arial" w:hAnsi="Arial" w:cs="Arial"/>
          <w:sz w:val="22"/>
          <w:szCs w:val="22"/>
        </w:rPr>
        <w:t xml:space="preserve"> (Accessed: 24 January 2026).</w:t>
      </w:r>
    </w:p>
    <w:p w14:paraId="6168BF30" w14:textId="3E8D0DED" w:rsidR="006F2340" w:rsidRPr="006F2340" w:rsidRDefault="006F2340" w:rsidP="006F2340">
      <w:pPr>
        <w:rPr>
          <w:rFonts w:ascii="Arial" w:hAnsi="Arial" w:cs="Arial"/>
          <w:sz w:val="22"/>
          <w:szCs w:val="22"/>
        </w:rPr>
      </w:pPr>
      <w:r w:rsidRPr="006F2340">
        <w:rPr>
          <w:rFonts w:ascii="Arial" w:hAnsi="Arial" w:cs="Arial"/>
          <w:b/>
          <w:bCs/>
          <w:sz w:val="22"/>
          <w:szCs w:val="22"/>
        </w:rPr>
        <w:t>CIPD (2025a)</w:t>
      </w:r>
      <w:r w:rsidRPr="006F2340">
        <w:rPr>
          <w:rFonts w:ascii="Arial" w:hAnsi="Arial" w:cs="Arial"/>
          <w:sz w:val="22"/>
          <w:szCs w:val="22"/>
        </w:rPr>
        <w:t xml:space="preserve"> </w:t>
      </w:r>
      <w:r w:rsidRPr="006F2340">
        <w:rPr>
          <w:rFonts w:ascii="Arial" w:hAnsi="Arial" w:cs="Arial"/>
          <w:i/>
          <w:iCs/>
          <w:sz w:val="22"/>
          <w:szCs w:val="22"/>
        </w:rPr>
        <w:t>Strategic reward and total reward</w:t>
      </w:r>
      <w:r w:rsidRPr="006F2340">
        <w:rPr>
          <w:rFonts w:ascii="Arial" w:hAnsi="Arial" w:cs="Arial"/>
          <w:sz w:val="22"/>
          <w:szCs w:val="22"/>
        </w:rPr>
        <w:t xml:space="preserve">. Factsheet. London: CIPD. Available at: </w:t>
      </w:r>
      <w:hyperlink r:id="rId12" w:tgtFrame="_new" w:history="1">
        <w:r w:rsidRPr="006F2340">
          <w:rPr>
            <w:rStyle w:val="Hyperlink"/>
            <w:rFonts w:ascii="Arial" w:hAnsi="Arial" w:cs="Arial"/>
            <w:sz w:val="22"/>
            <w:szCs w:val="22"/>
          </w:rPr>
          <w:t>https://www.cipd.org/uk/knowledge/factsheets/strategic-total-factsheet/</w:t>
        </w:r>
      </w:hyperlink>
      <w:r w:rsidRPr="006F2340">
        <w:rPr>
          <w:rFonts w:ascii="Arial" w:hAnsi="Arial" w:cs="Arial"/>
          <w:sz w:val="22"/>
          <w:szCs w:val="22"/>
        </w:rPr>
        <w:t xml:space="preserve"> (Accessed: 6 January 2026).</w:t>
      </w:r>
    </w:p>
    <w:p w14:paraId="0A7B832F" w14:textId="26C5ECA6" w:rsidR="006F2340" w:rsidRPr="006F2340" w:rsidRDefault="006F2340" w:rsidP="006F2340">
      <w:pPr>
        <w:rPr>
          <w:rFonts w:ascii="Arial" w:hAnsi="Arial" w:cs="Arial"/>
          <w:sz w:val="22"/>
          <w:szCs w:val="22"/>
        </w:rPr>
      </w:pPr>
      <w:r w:rsidRPr="006F2340">
        <w:rPr>
          <w:rFonts w:ascii="Arial" w:hAnsi="Arial" w:cs="Arial"/>
          <w:b/>
          <w:bCs/>
          <w:sz w:val="22"/>
          <w:szCs w:val="22"/>
        </w:rPr>
        <w:t>CIP</w:t>
      </w:r>
      <w:r w:rsidR="00CE64B9">
        <w:rPr>
          <w:rFonts w:ascii="Arial" w:hAnsi="Arial" w:cs="Arial"/>
          <w:b/>
          <w:bCs/>
          <w:sz w:val="22"/>
          <w:szCs w:val="22"/>
        </w:rPr>
        <w:t>D</w:t>
      </w:r>
      <w:r w:rsidRPr="006F2340">
        <w:rPr>
          <w:rFonts w:ascii="Arial" w:hAnsi="Arial" w:cs="Arial"/>
          <w:b/>
          <w:bCs/>
          <w:sz w:val="22"/>
          <w:szCs w:val="22"/>
        </w:rPr>
        <w:t xml:space="preserve"> (2025b)</w:t>
      </w:r>
      <w:r w:rsidRPr="006F2340">
        <w:rPr>
          <w:rFonts w:ascii="Arial" w:hAnsi="Arial" w:cs="Arial"/>
          <w:sz w:val="22"/>
          <w:szCs w:val="22"/>
        </w:rPr>
        <w:t xml:space="preserve"> </w:t>
      </w:r>
      <w:r w:rsidRPr="006F2340">
        <w:rPr>
          <w:rFonts w:ascii="Arial" w:hAnsi="Arial" w:cs="Arial"/>
          <w:i/>
          <w:iCs/>
          <w:sz w:val="22"/>
          <w:szCs w:val="22"/>
        </w:rPr>
        <w:t>Reward</w:t>
      </w:r>
      <w:r w:rsidRPr="006F2340">
        <w:rPr>
          <w:rFonts w:ascii="Arial" w:hAnsi="Arial" w:cs="Arial"/>
          <w:sz w:val="22"/>
          <w:szCs w:val="22"/>
        </w:rPr>
        <w:t xml:space="preserve">. Factsheet. London: CIPD. Available at: </w:t>
      </w:r>
      <w:hyperlink r:id="rId13" w:tgtFrame="_new" w:history="1">
        <w:r w:rsidRPr="006F2340">
          <w:rPr>
            <w:rStyle w:val="Hyperlink"/>
            <w:rFonts w:ascii="Arial" w:hAnsi="Arial" w:cs="Arial"/>
            <w:sz w:val="22"/>
            <w:szCs w:val="22"/>
          </w:rPr>
          <w:t>https://www.cipd.org/uk/knowledge/factsheets/reward-factsheet/</w:t>
        </w:r>
      </w:hyperlink>
      <w:r w:rsidRPr="006F2340">
        <w:rPr>
          <w:rFonts w:ascii="Arial" w:hAnsi="Arial" w:cs="Arial"/>
          <w:sz w:val="22"/>
          <w:szCs w:val="22"/>
        </w:rPr>
        <w:t xml:space="preserve"> (Accessed: 6 January 2026).</w:t>
      </w:r>
    </w:p>
    <w:p w14:paraId="3F646762" w14:textId="370E8252" w:rsidR="006F2340" w:rsidRPr="006F2340" w:rsidRDefault="006F2340" w:rsidP="006F2340">
      <w:pPr>
        <w:rPr>
          <w:rFonts w:ascii="Arial" w:hAnsi="Arial" w:cs="Arial"/>
          <w:sz w:val="22"/>
          <w:szCs w:val="22"/>
        </w:rPr>
      </w:pPr>
      <w:r w:rsidRPr="006F2340">
        <w:rPr>
          <w:rFonts w:ascii="Arial" w:hAnsi="Arial" w:cs="Arial"/>
          <w:b/>
          <w:bCs/>
          <w:sz w:val="22"/>
          <w:szCs w:val="22"/>
        </w:rPr>
        <w:t>CIPD (2025c)</w:t>
      </w:r>
      <w:r w:rsidRPr="006F2340">
        <w:rPr>
          <w:rFonts w:ascii="Arial" w:hAnsi="Arial" w:cs="Arial"/>
          <w:sz w:val="22"/>
          <w:szCs w:val="22"/>
        </w:rPr>
        <w:t xml:space="preserve"> </w:t>
      </w:r>
      <w:r w:rsidRPr="006F2340">
        <w:rPr>
          <w:rFonts w:ascii="Arial" w:hAnsi="Arial" w:cs="Arial"/>
          <w:i/>
          <w:iCs/>
          <w:sz w:val="22"/>
          <w:szCs w:val="22"/>
        </w:rPr>
        <w:t>Pay structures and pay progression</w:t>
      </w:r>
      <w:r w:rsidRPr="006F2340">
        <w:rPr>
          <w:rFonts w:ascii="Arial" w:hAnsi="Arial" w:cs="Arial"/>
          <w:sz w:val="22"/>
          <w:szCs w:val="22"/>
        </w:rPr>
        <w:t xml:space="preserve">. Factsheet. London: CIPD. Available at: </w:t>
      </w:r>
      <w:hyperlink r:id="rId14" w:tgtFrame="_new" w:history="1">
        <w:r w:rsidRPr="006F2340">
          <w:rPr>
            <w:rStyle w:val="Hyperlink"/>
            <w:rFonts w:ascii="Arial" w:hAnsi="Arial" w:cs="Arial"/>
            <w:sz w:val="22"/>
            <w:szCs w:val="22"/>
          </w:rPr>
          <w:t>https://www.cipd.org/uk/knowledge/factsheets/pay-structures-factsheet/</w:t>
        </w:r>
      </w:hyperlink>
      <w:r w:rsidRPr="006F2340">
        <w:rPr>
          <w:rFonts w:ascii="Arial" w:hAnsi="Arial" w:cs="Arial"/>
          <w:sz w:val="22"/>
          <w:szCs w:val="22"/>
        </w:rPr>
        <w:t xml:space="preserve"> (Accessed: 13 January 2026).</w:t>
      </w:r>
    </w:p>
    <w:p w14:paraId="09DEF51E" w14:textId="1AA91440" w:rsidR="006F2340" w:rsidRPr="006F2340" w:rsidRDefault="006F2340" w:rsidP="006F2340">
      <w:pPr>
        <w:rPr>
          <w:rFonts w:ascii="Arial" w:hAnsi="Arial" w:cs="Arial"/>
          <w:sz w:val="22"/>
          <w:szCs w:val="22"/>
        </w:rPr>
      </w:pPr>
      <w:r w:rsidRPr="006F2340">
        <w:rPr>
          <w:rFonts w:ascii="Arial" w:hAnsi="Arial" w:cs="Arial"/>
          <w:b/>
          <w:bCs/>
          <w:sz w:val="22"/>
          <w:szCs w:val="22"/>
        </w:rPr>
        <w:t>CIPD (2025d)</w:t>
      </w:r>
      <w:r w:rsidRPr="006F2340">
        <w:rPr>
          <w:rFonts w:ascii="Arial" w:hAnsi="Arial" w:cs="Arial"/>
          <w:sz w:val="22"/>
          <w:szCs w:val="22"/>
        </w:rPr>
        <w:t xml:space="preserve"> </w:t>
      </w:r>
      <w:r w:rsidRPr="006F2340">
        <w:rPr>
          <w:rFonts w:ascii="Arial" w:hAnsi="Arial" w:cs="Arial"/>
          <w:i/>
          <w:iCs/>
          <w:sz w:val="22"/>
          <w:szCs w:val="22"/>
        </w:rPr>
        <w:t>Job evaluation and market pricing</w:t>
      </w:r>
      <w:r w:rsidRPr="006F2340">
        <w:rPr>
          <w:rFonts w:ascii="Arial" w:hAnsi="Arial" w:cs="Arial"/>
          <w:sz w:val="22"/>
          <w:szCs w:val="22"/>
        </w:rPr>
        <w:t xml:space="preserve">. Factsheet. London: CIPD. Available at: </w:t>
      </w:r>
      <w:hyperlink r:id="rId15" w:tgtFrame="_new" w:history="1">
        <w:r w:rsidRPr="006F2340">
          <w:rPr>
            <w:rStyle w:val="Hyperlink"/>
            <w:rFonts w:ascii="Arial" w:hAnsi="Arial" w:cs="Arial"/>
            <w:sz w:val="22"/>
            <w:szCs w:val="22"/>
          </w:rPr>
          <w:t>https://www.cipd.org/uk/knowledge/factsheets/market-pricing-factsheet/</w:t>
        </w:r>
      </w:hyperlink>
      <w:r w:rsidRPr="006F2340">
        <w:rPr>
          <w:rFonts w:ascii="Arial" w:hAnsi="Arial" w:cs="Arial"/>
          <w:sz w:val="22"/>
          <w:szCs w:val="22"/>
        </w:rPr>
        <w:t xml:space="preserve"> (Accessed: 14 January 2026).</w:t>
      </w:r>
    </w:p>
    <w:p w14:paraId="496E438F" w14:textId="74851068" w:rsidR="006F2340" w:rsidRPr="006F2340" w:rsidRDefault="006F2340" w:rsidP="006F2340">
      <w:pPr>
        <w:rPr>
          <w:rFonts w:ascii="Arial" w:hAnsi="Arial" w:cs="Arial"/>
          <w:sz w:val="22"/>
          <w:szCs w:val="22"/>
        </w:rPr>
      </w:pPr>
      <w:r w:rsidRPr="006F2340">
        <w:rPr>
          <w:rFonts w:ascii="Arial" w:hAnsi="Arial" w:cs="Arial"/>
          <w:b/>
          <w:bCs/>
          <w:sz w:val="22"/>
          <w:szCs w:val="22"/>
        </w:rPr>
        <w:lastRenderedPageBreak/>
        <w:t>CIPD (2025e)</w:t>
      </w:r>
      <w:r w:rsidRPr="006F2340">
        <w:rPr>
          <w:rFonts w:ascii="Arial" w:hAnsi="Arial" w:cs="Arial"/>
          <w:sz w:val="22"/>
          <w:szCs w:val="22"/>
        </w:rPr>
        <w:t xml:space="preserve"> </w:t>
      </w:r>
      <w:r w:rsidRPr="006F2340">
        <w:rPr>
          <w:rFonts w:ascii="Arial" w:hAnsi="Arial" w:cs="Arial"/>
          <w:i/>
          <w:iCs/>
          <w:sz w:val="22"/>
          <w:szCs w:val="22"/>
        </w:rPr>
        <w:t>Performance-related pay</w:t>
      </w:r>
      <w:r w:rsidRPr="006F2340">
        <w:rPr>
          <w:rFonts w:ascii="Arial" w:hAnsi="Arial" w:cs="Arial"/>
          <w:sz w:val="22"/>
          <w:szCs w:val="22"/>
        </w:rPr>
        <w:t xml:space="preserve">. Factsheet. London: CIPD. Available at: </w:t>
      </w:r>
      <w:hyperlink r:id="rId16" w:tgtFrame="_new" w:history="1">
        <w:r w:rsidRPr="006F2340">
          <w:rPr>
            <w:rStyle w:val="Hyperlink"/>
            <w:rFonts w:ascii="Arial" w:hAnsi="Arial" w:cs="Arial"/>
            <w:sz w:val="22"/>
            <w:szCs w:val="22"/>
          </w:rPr>
          <w:t>https://www.cipd.org/uk/knowledge/factsheets/pay-performance-factsheet/</w:t>
        </w:r>
      </w:hyperlink>
      <w:r w:rsidRPr="006F2340">
        <w:rPr>
          <w:rFonts w:ascii="Arial" w:hAnsi="Arial" w:cs="Arial"/>
          <w:sz w:val="22"/>
          <w:szCs w:val="22"/>
        </w:rPr>
        <w:t xml:space="preserve"> (Accessed: 15 January 2026).</w:t>
      </w:r>
    </w:p>
    <w:p w14:paraId="26229F9D" w14:textId="58C62B48" w:rsidR="006F2340" w:rsidRPr="006F2340" w:rsidRDefault="006F2340" w:rsidP="006F2340">
      <w:pPr>
        <w:rPr>
          <w:rFonts w:ascii="Arial" w:hAnsi="Arial" w:cs="Arial"/>
          <w:sz w:val="22"/>
          <w:szCs w:val="22"/>
        </w:rPr>
      </w:pPr>
      <w:r w:rsidRPr="006F2340">
        <w:rPr>
          <w:rFonts w:ascii="Arial" w:hAnsi="Arial" w:cs="Arial"/>
          <w:b/>
          <w:bCs/>
          <w:sz w:val="22"/>
          <w:szCs w:val="22"/>
        </w:rPr>
        <w:t>CIPD (2025f)</w:t>
      </w:r>
      <w:r w:rsidRPr="006F2340">
        <w:rPr>
          <w:rFonts w:ascii="Arial" w:hAnsi="Arial" w:cs="Arial"/>
          <w:sz w:val="22"/>
          <w:szCs w:val="22"/>
        </w:rPr>
        <w:t xml:space="preserve"> </w:t>
      </w:r>
      <w:r w:rsidRPr="006F2340">
        <w:rPr>
          <w:rFonts w:ascii="Arial" w:hAnsi="Arial" w:cs="Arial"/>
          <w:i/>
          <w:iCs/>
          <w:sz w:val="22"/>
          <w:szCs w:val="22"/>
        </w:rPr>
        <w:t>Employee benefits</w:t>
      </w:r>
      <w:r w:rsidRPr="006F2340">
        <w:rPr>
          <w:rFonts w:ascii="Arial" w:hAnsi="Arial" w:cs="Arial"/>
          <w:sz w:val="22"/>
          <w:szCs w:val="22"/>
        </w:rPr>
        <w:t xml:space="preserve">. Factsheet. London: CIPD. Available at: </w:t>
      </w:r>
      <w:hyperlink r:id="rId17" w:tgtFrame="_new" w:history="1">
        <w:r w:rsidRPr="006F2340">
          <w:rPr>
            <w:rStyle w:val="Hyperlink"/>
            <w:rFonts w:ascii="Arial" w:hAnsi="Arial" w:cs="Arial"/>
            <w:sz w:val="22"/>
            <w:szCs w:val="22"/>
          </w:rPr>
          <w:t>https://www.cipd.org/uk/knowledge/factsheets/employee-benefits-factsheet/</w:t>
        </w:r>
      </w:hyperlink>
      <w:r w:rsidRPr="006F2340">
        <w:rPr>
          <w:rFonts w:ascii="Arial" w:hAnsi="Arial" w:cs="Arial"/>
          <w:sz w:val="22"/>
          <w:szCs w:val="22"/>
        </w:rPr>
        <w:t xml:space="preserve"> (Accessed: 18 January 2026).</w:t>
      </w:r>
    </w:p>
    <w:p w14:paraId="19521BA2" w14:textId="0AB3E96D" w:rsidR="006F2340" w:rsidRPr="006F2340" w:rsidRDefault="006F2340" w:rsidP="006F2340">
      <w:pPr>
        <w:rPr>
          <w:rFonts w:ascii="Arial" w:hAnsi="Arial" w:cs="Arial"/>
          <w:sz w:val="22"/>
          <w:szCs w:val="22"/>
        </w:rPr>
      </w:pPr>
      <w:r w:rsidRPr="006F2340">
        <w:rPr>
          <w:rFonts w:ascii="Arial" w:hAnsi="Arial" w:cs="Arial"/>
          <w:b/>
          <w:bCs/>
          <w:sz w:val="22"/>
          <w:szCs w:val="22"/>
        </w:rPr>
        <w:t>CIPD (2025g)</w:t>
      </w:r>
      <w:r w:rsidRPr="006F2340">
        <w:rPr>
          <w:rFonts w:ascii="Arial" w:hAnsi="Arial" w:cs="Arial"/>
          <w:sz w:val="22"/>
          <w:szCs w:val="22"/>
        </w:rPr>
        <w:t xml:space="preserve"> </w:t>
      </w:r>
      <w:r w:rsidRPr="006F2340">
        <w:rPr>
          <w:rFonts w:ascii="Arial" w:hAnsi="Arial" w:cs="Arial"/>
          <w:i/>
          <w:iCs/>
          <w:sz w:val="22"/>
          <w:szCs w:val="22"/>
        </w:rPr>
        <w:t>Job evaluation and market pricing</w:t>
      </w:r>
      <w:r w:rsidRPr="006F2340">
        <w:rPr>
          <w:rFonts w:ascii="Arial" w:hAnsi="Arial" w:cs="Arial"/>
          <w:sz w:val="22"/>
          <w:szCs w:val="22"/>
        </w:rPr>
        <w:t xml:space="preserve">. Factsheet. London: CIPD. Available at: </w:t>
      </w:r>
      <w:hyperlink r:id="rId18" w:tgtFrame="_new" w:history="1">
        <w:r w:rsidRPr="006F2340">
          <w:rPr>
            <w:rStyle w:val="Hyperlink"/>
            <w:rFonts w:ascii="Arial" w:hAnsi="Arial" w:cs="Arial"/>
            <w:sz w:val="22"/>
            <w:szCs w:val="22"/>
          </w:rPr>
          <w:t>https://www.cipd.org/uk/knowledge/factsheets/market-pricing-factsheet/</w:t>
        </w:r>
      </w:hyperlink>
      <w:r w:rsidRPr="006F2340">
        <w:rPr>
          <w:rFonts w:ascii="Arial" w:hAnsi="Arial" w:cs="Arial"/>
          <w:sz w:val="22"/>
          <w:szCs w:val="22"/>
        </w:rPr>
        <w:t xml:space="preserve"> (Accessed: 23 January 2026).</w:t>
      </w:r>
    </w:p>
    <w:p w14:paraId="7DFAE845" w14:textId="3BC245C6" w:rsidR="006F2340" w:rsidRPr="006F2340" w:rsidRDefault="006F2340" w:rsidP="006F2340">
      <w:pPr>
        <w:rPr>
          <w:rFonts w:ascii="Arial" w:hAnsi="Arial" w:cs="Arial"/>
          <w:sz w:val="22"/>
          <w:szCs w:val="22"/>
        </w:rPr>
      </w:pPr>
      <w:r w:rsidRPr="006F2340">
        <w:rPr>
          <w:rFonts w:ascii="Arial" w:hAnsi="Arial" w:cs="Arial"/>
          <w:b/>
          <w:bCs/>
          <w:sz w:val="22"/>
          <w:szCs w:val="22"/>
        </w:rPr>
        <w:t>CIPD (2025h)</w:t>
      </w:r>
      <w:r w:rsidRPr="006F2340">
        <w:rPr>
          <w:rFonts w:ascii="Arial" w:hAnsi="Arial" w:cs="Arial"/>
          <w:sz w:val="22"/>
          <w:szCs w:val="22"/>
        </w:rPr>
        <w:t xml:space="preserve"> </w:t>
      </w:r>
      <w:r w:rsidRPr="006F2340">
        <w:rPr>
          <w:rFonts w:ascii="Arial" w:hAnsi="Arial" w:cs="Arial"/>
          <w:i/>
          <w:iCs/>
          <w:sz w:val="22"/>
          <w:szCs w:val="22"/>
        </w:rPr>
        <w:t>Equal pay: UK employment law</w:t>
      </w:r>
      <w:r w:rsidRPr="006F2340">
        <w:rPr>
          <w:rFonts w:ascii="Arial" w:hAnsi="Arial" w:cs="Arial"/>
          <w:sz w:val="22"/>
          <w:szCs w:val="22"/>
        </w:rPr>
        <w:t xml:space="preserve">. London: CIPD. Available at: </w:t>
      </w:r>
      <w:hyperlink r:id="rId19" w:tgtFrame="_new" w:history="1">
        <w:r w:rsidRPr="006F2340">
          <w:rPr>
            <w:rStyle w:val="Hyperlink"/>
            <w:rFonts w:ascii="Arial" w:hAnsi="Arial" w:cs="Arial"/>
            <w:sz w:val="22"/>
            <w:szCs w:val="22"/>
          </w:rPr>
          <w:t>https://www.cipd.org/uk/knowledge/employment-law/equal-pay/</w:t>
        </w:r>
      </w:hyperlink>
      <w:r w:rsidRPr="006F2340">
        <w:rPr>
          <w:rFonts w:ascii="Arial" w:hAnsi="Arial" w:cs="Arial"/>
          <w:sz w:val="22"/>
          <w:szCs w:val="22"/>
        </w:rPr>
        <w:t xml:space="preserve"> (Accessed: 28 January 2026).</w:t>
      </w:r>
    </w:p>
    <w:p w14:paraId="1DAD97C7" w14:textId="16646D22" w:rsidR="006F2340" w:rsidRPr="006F2340" w:rsidRDefault="004A78AC" w:rsidP="006F2340">
      <w:pPr>
        <w:rPr>
          <w:rFonts w:ascii="Arial" w:hAnsi="Arial" w:cs="Arial"/>
          <w:sz w:val="22"/>
          <w:szCs w:val="22"/>
        </w:rPr>
      </w:pPr>
      <w:r>
        <w:rPr>
          <w:rFonts w:ascii="Arial" w:hAnsi="Arial" w:cs="Arial"/>
          <w:b/>
          <w:bCs/>
          <w:sz w:val="22"/>
          <w:szCs w:val="22"/>
        </w:rPr>
        <w:t>CIPD</w:t>
      </w:r>
      <w:r w:rsidR="006F2340" w:rsidRPr="006F2340">
        <w:rPr>
          <w:rFonts w:ascii="Arial" w:hAnsi="Arial" w:cs="Arial"/>
          <w:b/>
          <w:bCs/>
          <w:sz w:val="22"/>
          <w:szCs w:val="22"/>
        </w:rPr>
        <w:t xml:space="preserve"> (2026)</w:t>
      </w:r>
      <w:r w:rsidR="006F2340" w:rsidRPr="006F2340">
        <w:rPr>
          <w:rFonts w:ascii="Arial" w:hAnsi="Arial" w:cs="Arial"/>
          <w:sz w:val="22"/>
          <w:szCs w:val="22"/>
        </w:rPr>
        <w:t xml:space="preserve"> </w:t>
      </w:r>
      <w:r w:rsidR="006F2340" w:rsidRPr="006F2340">
        <w:rPr>
          <w:rFonts w:ascii="Arial" w:hAnsi="Arial" w:cs="Arial"/>
          <w:i/>
          <w:iCs/>
          <w:sz w:val="22"/>
          <w:szCs w:val="22"/>
        </w:rPr>
        <w:t>CIPD viewpoint on executive pay</w:t>
      </w:r>
      <w:r w:rsidR="006F2340" w:rsidRPr="006F2340">
        <w:rPr>
          <w:rFonts w:ascii="Arial" w:hAnsi="Arial" w:cs="Arial"/>
          <w:sz w:val="22"/>
          <w:szCs w:val="22"/>
        </w:rPr>
        <w:t xml:space="preserve">. London: CIPD. Available at: </w:t>
      </w:r>
      <w:hyperlink r:id="rId20" w:tgtFrame="_new" w:history="1">
        <w:r w:rsidR="006F2340" w:rsidRPr="006F2340">
          <w:rPr>
            <w:rStyle w:val="Hyperlink"/>
            <w:rFonts w:ascii="Arial" w:hAnsi="Arial" w:cs="Arial"/>
            <w:sz w:val="22"/>
            <w:szCs w:val="22"/>
          </w:rPr>
          <w:t>https://www.cipd.org/uk/views-and-insights/cipd-viewpoint/executive-pay/</w:t>
        </w:r>
      </w:hyperlink>
      <w:r w:rsidR="006F2340" w:rsidRPr="006F2340">
        <w:rPr>
          <w:rFonts w:ascii="Arial" w:hAnsi="Arial" w:cs="Arial"/>
          <w:sz w:val="22"/>
          <w:szCs w:val="22"/>
        </w:rPr>
        <w:t xml:space="preserve"> (Accessed: 1 February 2026).</w:t>
      </w:r>
    </w:p>
    <w:p w14:paraId="27A478BF" w14:textId="77777777" w:rsidR="006F2340" w:rsidRPr="006F2340" w:rsidRDefault="006F2340" w:rsidP="006F2340">
      <w:pPr>
        <w:rPr>
          <w:rFonts w:ascii="Arial" w:hAnsi="Arial" w:cs="Arial"/>
          <w:sz w:val="22"/>
          <w:szCs w:val="22"/>
        </w:rPr>
      </w:pPr>
      <w:r w:rsidRPr="006F2340">
        <w:rPr>
          <w:rFonts w:ascii="Arial" w:hAnsi="Arial" w:cs="Arial"/>
          <w:b/>
          <w:bCs/>
          <w:sz w:val="22"/>
          <w:szCs w:val="22"/>
        </w:rPr>
        <w:t>Cullen, Z., Li, S. and Perez-Truglia, R. (2024)</w:t>
      </w:r>
      <w:r w:rsidRPr="006F2340">
        <w:rPr>
          <w:rFonts w:ascii="Arial" w:hAnsi="Arial" w:cs="Arial"/>
          <w:sz w:val="22"/>
          <w:szCs w:val="22"/>
        </w:rPr>
        <w:t xml:space="preserve"> What’s my employee worth? The effects of salary benchmarking. </w:t>
      </w:r>
      <w:r w:rsidRPr="006F2340">
        <w:rPr>
          <w:rFonts w:ascii="Arial" w:hAnsi="Arial" w:cs="Arial"/>
          <w:i/>
          <w:iCs/>
          <w:sz w:val="22"/>
          <w:szCs w:val="22"/>
        </w:rPr>
        <w:t>NBER Working Paper</w:t>
      </w:r>
      <w:r w:rsidRPr="006F2340">
        <w:rPr>
          <w:rFonts w:ascii="Arial" w:hAnsi="Arial" w:cs="Arial"/>
          <w:sz w:val="22"/>
          <w:szCs w:val="22"/>
        </w:rPr>
        <w:t xml:space="preserve"> No. 30570. Cambridge, MA: National Bureau of Economic Research. Available at: </w:t>
      </w:r>
      <w:hyperlink r:id="rId21" w:tgtFrame="_new" w:history="1">
        <w:r w:rsidRPr="006F2340">
          <w:rPr>
            <w:rStyle w:val="Hyperlink"/>
            <w:rFonts w:ascii="Arial" w:hAnsi="Arial" w:cs="Arial"/>
            <w:sz w:val="22"/>
            <w:szCs w:val="22"/>
          </w:rPr>
          <w:t>https://www.nber.org/system/files/working_papers/w30570/w30570.pdf</w:t>
        </w:r>
      </w:hyperlink>
      <w:r w:rsidRPr="006F2340">
        <w:rPr>
          <w:rFonts w:ascii="Arial" w:hAnsi="Arial" w:cs="Arial"/>
          <w:sz w:val="22"/>
          <w:szCs w:val="22"/>
        </w:rPr>
        <w:t xml:space="preserve"> (Accessed: 26 January 2026).</w:t>
      </w:r>
    </w:p>
    <w:p w14:paraId="6BB90DDA" w14:textId="77777777" w:rsidR="006F2340" w:rsidRPr="006F2340" w:rsidRDefault="006F2340" w:rsidP="006F2340">
      <w:pPr>
        <w:rPr>
          <w:rFonts w:ascii="Arial" w:hAnsi="Arial" w:cs="Arial"/>
          <w:sz w:val="22"/>
          <w:szCs w:val="22"/>
        </w:rPr>
      </w:pPr>
      <w:r w:rsidRPr="006F2340">
        <w:rPr>
          <w:rFonts w:ascii="Arial" w:hAnsi="Arial" w:cs="Arial"/>
          <w:b/>
          <w:bCs/>
          <w:sz w:val="22"/>
          <w:szCs w:val="22"/>
        </w:rPr>
        <w:t>Daniels, K. (2022)</w:t>
      </w:r>
      <w:r w:rsidRPr="006F2340">
        <w:rPr>
          <w:rFonts w:ascii="Arial" w:hAnsi="Arial" w:cs="Arial"/>
          <w:sz w:val="22"/>
          <w:szCs w:val="22"/>
        </w:rPr>
        <w:t xml:space="preserve"> </w:t>
      </w:r>
      <w:r w:rsidRPr="006F2340">
        <w:rPr>
          <w:rFonts w:ascii="Arial" w:hAnsi="Arial" w:cs="Arial"/>
          <w:i/>
          <w:iCs/>
          <w:sz w:val="22"/>
          <w:szCs w:val="22"/>
        </w:rPr>
        <w:t>Introduction to employment law</w:t>
      </w:r>
      <w:r w:rsidRPr="006F2340">
        <w:rPr>
          <w:rFonts w:ascii="Arial" w:hAnsi="Arial" w:cs="Arial"/>
          <w:sz w:val="22"/>
          <w:szCs w:val="22"/>
        </w:rPr>
        <w:t xml:space="preserve">. 6th </w:t>
      </w:r>
      <w:proofErr w:type="spellStart"/>
      <w:r w:rsidRPr="006F2340">
        <w:rPr>
          <w:rFonts w:ascii="Arial" w:hAnsi="Arial" w:cs="Arial"/>
          <w:sz w:val="22"/>
          <w:szCs w:val="22"/>
        </w:rPr>
        <w:t>edn</w:t>
      </w:r>
      <w:proofErr w:type="spellEnd"/>
      <w:r w:rsidRPr="006F2340">
        <w:rPr>
          <w:rFonts w:ascii="Arial" w:hAnsi="Arial" w:cs="Arial"/>
          <w:sz w:val="22"/>
          <w:szCs w:val="22"/>
        </w:rPr>
        <w:t>. London: Kogan Page.</w:t>
      </w:r>
    </w:p>
    <w:p w14:paraId="35555590" w14:textId="77777777" w:rsidR="006F2340" w:rsidRPr="006F2340" w:rsidRDefault="006F2340" w:rsidP="006F2340">
      <w:pPr>
        <w:rPr>
          <w:rFonts w:ascii="Arial" w:hAnsi="Arial" w:cs="Arial"/>
          <w:sz w:val="22"/>
          <w:szCs w:val="22"/>
        </w:rPr>
      </w:pPr>
      <w:r w:rsidRPr="006F2340">
        <w:rPr>
          <w:rFonts w:ascii="Arial" w:hAnsi="Arial" w:cs="Arial"/>
          <w:b/>
          <w:bCs/>
          <w:sz w:val="22"/>
          <w:szCs w:val="22"/>
        </w:rPr>
        <w:t>Farrand, L. (2023)</w:t>
      </w:r>
      <w:r w:rsidRPr="006F2340">
        <w:rPr>
          <w:rFonts w:ascii="Arial" w:hAnsi="Arial" w:cs="Arial"/>
          <w:sz w:val="22"/>
          <w:szCs w:val="22"/>
        </w:rPr>
        <w:t xml:space="preserve"> ‘Is pay benchmarking working?’, </w:t>
      </w:r>
      <w:r w:rsidRPr="006F2340">
        <w:rPr>
          <w:rFonts w:ascii="Arial" w:hAnsi="Arial" w:cs="Arial"/>
          <w:i/>
          <w:iCs/>
          <w:sz w:val="22"/>
          <w:szCs w:val="22"/>
        </w:rPr>
        <w:t>People Management</w:t>
      </w:r>
      <w:r w:rsidRPr="006F2340">
        <w:rPr>
          <w:rFonts w:ascii="Arial" w:hAnsi="Arial" w:cs="Arial"/>
          <w:sz w:val="22"/>
          <w:szCs w:val="22"/>
        </w:rPr>
        <w:t xml:space="preserve">. Available at: </w:t>
      </w:r>
      <w:hyperlink r:id="rId22" w:tgtFrame="_new" w:history="1">
        <w:r w:rsidRPr="006F2340">
          <w:rPr>
            <w:rStyle w:val="Hyperlink"/>
            <w:rFonts w:ascii="Arial" w:hAnsi="Arial" w:cs="Arial"/>
            <w:sz w:val="22"/>
            <w:szCs w:val="22"/>
          </w:rPr>
          <w:t>https://www.peoplemanagement.co.uk/article/1830913/pay-benchmarking-working-interactive-report-hr-professionals</w:t>
        </w:r>
      </w:hyperlink>
      <w:r w:rsidRPr="006F2340">
        <w:rPr>
          <w:rFonts w:ascii="Arial" w:hAnsi="Arial" w:cs="Arial"/>
          <w:sz w:val="22"/>
          <w:szCs w:val="22"/>
        </w:rPr>
        <w:t xml:space="preserve"> (Accessed: 25 January 2026).</w:t>
      </w:r>
    </w:p>
    <w:p w14:paraId="25C04869" w14:textId="77777777" w:rsidR="006F2340" w:rsidRPr="006F2340" w:rsidRDefault="006F2340" w:rsidP="006F2340">
      <w:pPr>
        <w:rPr>
          <w:rFonts w:ascii="Arial" w:hAnsi="Arial" w:cs="Arial"/>
          <w:sz w:val="22"/>
          <w:szCs w:val="22"/>
        </w:rPr>
      </w:pPr>
      <w:r w:rsidRPr="006F2340">
        <w:rPr>
          <w:rFonts w:ascii="Arial" w:hAnsi="Arial" w:cs="Arial"/>
          <w:b/>
          <w:bCs/>
          <w:sz w:val="22"/>
          <w:szCs w:val="22"/>
        </w:rPr>
        <w:t xml:space="preserve">Ghosh, D., Buss, M. and </w:t>
      </w:r>
      <w:proofErr w:type="spellStart"/>
      <w:r w:rsidRPr="006F2340">
        <w:rPr>
          <w:rFonts w:ascii="Arial" w:hAnsi="Arial" w:cs="Arial"/>
          <w:b/>
          <w:bCs/>
          <w:sz w:val="22"/>
          <w:szCs w:val="22"/>
        </w:rPr>
        <w:t>Shivhare</w:t>
      </w:r>
      <w:proofErr w:type="spellEnd"/>
      <w:r w:rsidRPr="006F2340">
        <w:rPr>
          <w:rFonts w:ascii="Arial" w:hAnsi="Arial" w:cs="Arial"/>
          <w:b/>
          <w:bCs/>
          <w:sz w:val="22"/>
          <w:szCs w:val="22"/>
        </w:rPr>
        <w:t>, A. (2024)</w:t>
      </w:r>
      <w:r w:rsidRPr="006F2340">
        <w:rPr>
          <w:rFonts w:ascii="Arial" w:hAnsi="Arial" w:cs="Arial"/>
          <w:sz w:val="22"/>
          <w:szCs w:val="22"/>
        </w:rPr>
        <w:t xml:space="preserve"> ‘Does contingent reward leadership enhance or diminish team creativity? It depends on leader unpredictability’, </w:t>
      </w:r>
      <w:r w:rsidRPr="006F2340">
        <w:rPr>
          <w:rFonts w:ascii="Arial" w:hAnsi="Arial" w:cs="Arial"/>
          <w:i/>
          <w:iCs/>
          <w:sz w:val="22"/>
          <w:szCs w:val="22"/>
        </w:rPr>
        <w:t>Journal of Leadership &amp; Organizational Studies</w:t>
      </w:r>
      <w:r w:rsidRPr="006F2340">
        <w:rPr>
          <w:rFonts w:ascii="Arial" w:hAnsi="Arial" w:cs="Arial"/>
          <w:sz w:val="22"/>
          <w:szCs w:val="22"/>
        </w:rPr>
        <w:t xml:space="preserve">, 31(2), pp. 224–237. Available at: </w:t>
      </w:r>
      <w:hyperlink r:id="rId23" w:tgtFrame="_new" w:history="1">
        <w:r w:rsidRPr="006F2340">
          <w:rPr>
            <w:rStyle w:val="Hyperlink"/>
            <w:rFonts w:ascii="Arial" w:hAnsi="Arial" w:cs="Arial"/>
            <w:sz w:val="22"/>
            <w:szCs w:val="22"/>
          </w:rPr>
          <w:t>https://journals.sagepub.com/doi/10.1177/15480518231216868</w:t>
        </w:r>
      </w:hyperlink>
      <w:r w:rsidRPr="006F2340">
        <w:rPr>
          <w:rFonts w:ascii="Arial" w:hAnsi="Arial" w:cs="Arial"/>
          <w:sz w:val="22"/>
          <w:szCs w:val="22"/>
        </w:rPr>
        <w:t xml:space="preserve"> (Accessed: 16 January 2026).</w:t>
      </w:r>
    </w:p>
    <w:p w14:paraId="5CA6A87A" w14:textId="090B2B8C" w:rsidR="006F2340" w:rsidRPr="006F2340" w:rsidRDefault="006F2340" w:rsidP="006F2340">
      <w:pPr>
        <w:rPr>
          <w:rFonts w:ascii="Arial" w:hAnsi="Arial" w:cs="Arial"/>
          <w:sz w:val="22"/>
          <w:szCs w:val="22"/>
        </w:rPr>
      </w:pPr>
      <w:proofErr w:type="spellStart"/>
      <w:r w:rsidRPr="006F2340">
        <w:rPr>
          <w:rFonts w:ascii="Arial" w:hAnsi="Arial" w:cs="Arial"/>
          <w:b/>
          <w:bCs/>
          <w:sz w:val="22"/>
          <w:szCs w:val="22"/>
        </w:rPr>
        <w:t>Grolnick</w:t>
      </w:r>
      <w:proofErr w:type="spellEnd"/>
      <w:r w:rsidRPr="006F2340">
        <w:rPr>
          <w:rFonts w:ascii="Arial" w:hAnsi="Arial" w:cs="Arial"/>
          <w:b/>
          <w:bCs/>
          <w:sz w:val="22"/>
          <w:szCs w:val="22"/>
        </w:rPr>
        <w:t>, W.S. (2023)</w:t>
      </w:r>
      <w:r w:rsidRPr="006F2340">
        <w:rPr>
          <w:rFonts w:ascii="Arial" w:hAnsi="Arial" w:cs="Arial"/>
          <w:sz w:val="22"/>
          <w:szCs w:val="22"/>
        </w:rPr>
        <w:t xml:space="preserve"> ‘Extrinsic incentives/rewards: short-term fix that can undermine long-term motivation’, in Bong, M., Reeve, J. and Kim, S. (eds.) </w:t>
      </w:r>
      <w:r w:rsidRPr="006F2340">
        <w:rPr>
          <w:rFonts w:ascii="Arial" w:hAnsi="Arial" w:cs="Arial"/>
          <w:i/>
          <w:iCs/>
          <w:sz w:val="22"/>
          <w:szCs w:val="22"/>
        </w:rPr>
        <w:t>Motivation science</w:t>
      </w:r>
      <w:r w:rsidRPr="006F2340">
        <w:rPr>
          <w:rFonts w:ascii="Arial" w:hAnsi="Arial" w:cs="Arial"/>
          <w:sz w:val="22"/>
          <w:szCs w:val="22"/>
        </w:rPr>
        <w:t xml:space="preserve">. Oxford: Oxford University Press. Available at: </w:t>
      </w:r>
      <w:hyperlink r:id="rId24" w:history="1">
        <w:r w:rsidR="00025C09" w:rsidRPr="002761AD">
          <w:rPr>
            <w:rStyle w:val="Hyperlink"/>
            <w:rFonts w:ascii="Arial" w:hAnsi="Arial" w:cs="Arial"/>
            <w:sz w:val="22"/>
            <w:szCs w:val="22"/>
          </w:rPr>
          <w:t>https://doi.org/10.1002/hrm.22128</w:t>
        </w:r>
      </w:hyperlink>
      <w:r w:rsidR="00025C09">
        <w:rPr>
          <w:rFonts w:ascii="Arial" w:hAnsi="Arial" w:cs="Arial"/>
          <w:sz w:val="22"/>
          <w:szCs w:val="22"/>
        </w:rPr>
        <w:t xml:space="preserve"> </w:t>
      </w:r>
      <w:r w:rsidRPr="006F2340">
        <w:rPr>
          <w:rFonts w:ascii="Arial" w:hAnsi="Arial" w:cs="Arial"/>
          <w:sz w:val="22"/>
          <w:szCs w:val="22"/>
        </w:rPr>
        <w:t xml:space="preserve"> (Accessed: 8 January 2026).</w:t>
      </w:r>
    </w:p>
    <w:p w14:paraId="009A4357" w14:textId="77777777" w:rsidR="006F2340" w:rsidRPr="006F2340" w:rsidRDefault="006F2340" w:rsidP="006F2340">
      <w:pPr>
        <w:rPr>
          <w:rFonts w:ascii="Arial" w:hAnsi="Arial" w:cs="Arial"/>
          <w:sz w:val="22"/>
          <w:szCs w:val="22"/>
        </w:rPr>
      </w:pPr>
      <w:r w:rsidRPr="006F2340">
        <w:rPr>
          <w:rFonts w:ascii="Arial" w:hAnsi="Arial" w:cs="Arial"/>
          <w:b/>
          <w:bCs/>
          <w:sz w:val="22"/>
          <w:szCs w:val="22"/>
        </w:rPr>
        <w:t>Hancock, P. (2024)</w:t>
      </w:r>
      <w:r w:rsidRPr="006F2340">
        <w:rPr>
          <w:rFonts w:ascii="Arial" w:hAnsi="Arial" w:cs="Arial"/>
          <w:sz w:val="22"/>
          <w:szCs w:val="22"/>
        </w:rPr>
        <w:t xml:space="preserve"> ‘Employee recognition programmes: an immanent critique’, </w:t>
      </w:r>
      <w:r w:rsidRPr="006F2340">
        <w:rPr>
          <w:rFonts w:ascii="Arial" w:hAnsi="Arial" w:cs="Arial"/>
          <w:i/>
          <w:iCs/>
          <w:sz w:val="22"/>
          <w:szCs w:val="22"/>
        </w:rPr>
        <w:t>Human Resource Management Journal</w:t>
      </w:r>
      <w:r w:rsidRPr="006F2340">
        <w:rPr>
          <w:rFonts w:ascii="Arial" w:hAnsi="Arial" w:cs="Arial"/>
          <w:sz w:val="22"/>
          <w:szCs w:val="22"/>
        </w:rPr>
        <w:t xml:space="preserve">, 32(4), pp. 927–942. Available at: </w:t>
      </w:r>
      <w:hyperlink r:id="rId25" w:tgtFrame="_new" w:history="1">
        <w:r w:rsidRPr="006F2340">
          <w:rPr>
            <w:rStyle w:val="Hyperlink"/>
            <w:rFonts w:ascii="Arial" w:hAnsi="Arial" w:cs="Arial"/>
            <w:sz w:val="22"/>
            <w:szCs w:val="22"/>
          </w:rPr>
          <w:t>https://journals.sagepub.com/doi/10.1177/13505084221098244</w:t>
        </w:r>
      </w:hyperlink>
      <w:r w:rsidRPr="006F2340">
        <w:rPr>
          <w:rFonts w:ascii="Arial" w:hAnsi="Arial" w:cs="Arial"/>
          <w:sz w:val="22"/>
          <w:szCs w:val="22"/>
        </w:rPr>
        <w:t xml:space="preserve"> (Accessed: 17 January 2026).</w:t>
      </w:r>
    </w:p>
    <w:p w14:paraId="39160D1D" w14:textId="77777777" w:rsidR="006F2340" w:rsidRPr="006F2340" w:rsidRDefault="006F2340" w:rsidP="006F2340">
      <w:pPr>
        <w:rPr>
          <w:rFonts w:ascii="Arial" w:hAnsi="Arial" w:cs="Arial"/>
          <w:sz w:val="22"/>
          <w:szCs w:val="22"/>
        </w:rPr>
      </w:pPr>
      <w:r w:rsidRPr="006F2340">
        <w:rPr>
          <w:rFonts w:ascii="Arial" w:hAnsi="Arial" w:cs="Arial"/>
          <w:b/>
          <w:bCs/>
          <w:sz w:val="22"/>
          <w:szCs w:val="22"/>
        </w:rPr>
        <w:t>Khan, I.U., Khan, M.S. and Rehan, M.H. (2020)</w:t>
      </w:r>
      <w:r w:rsidRPr="006F2340">
        <w:rPr>
          <w:rFonts w:ascii="Arial" w:hAnsi="Arial" w:cs="Arial"/>
          <w:sz w:val="22"/>
          <w:szCs w:val="22"/>
        </w:rPr>
        <w:t xml:space="preserve"> ‘Exploring the effects of contingent rewards on employee responsiveness and affective commitment’, </w:t>
      </w:r>
      <w:r w:rsidRPr="006F2340">
        <w:rPr>
          <w:rFonts w:ascii="Arial" w:hAnsi="Arial" w:cs="Arial"/>
          <w:i/>
          <w:iCs/>
          <w:sz w:val="22"/>
          <w:szCs w:val="22"/>
        </w:rPr>
        <w:t>Global Regional Review</w:t>
      </w:r>
      <w:r w:rsidRPr="006F2340">
        <w:rPr>
          <w:rFonts w:ascii="Arial" w:hAnsi="Arial" w:cs="Arial"/>
          <w:sz w:val="22"/>
          <w:szCs w:val="22"/>
        </w:rPr>
        <w:t xml:space="preserve">, 5(1), pp. 170–180. Available at: </w:t>
      </w:r>
      <w:hyperlink r:id="rId26" w:tgtFrame="_new" w:history="1">
        <w:r w:rsidRPr="006F2340">
          <w:rPr>
            <w:rStyle w:val="Hyperlink"/>
            <w:rFonts w:ascii="Arial" w:hAnsi="Arial" w:cs="Arial"/>
            <w:sz w:val="22"/>
            <w:szCs w:val="22"/>
          </w:rPr>
          <w:t>https://www.researchgate.net/publication/343303974</w:t>
        </w:r>
      </w:hyperlink>
      <w:r w:rsidRPr="006F2340">
        <w:rPr>
          <w:rFonts w:ascii="Arial" w:hAnsi="Arial" w:cs="Arial"/>
          <w:sz w:val="22"/>
          <w:szCs w:val="22"/>
        </w:rPr>
        <w:t xml:space="preserve"> (Accessed: 20 January 2026).</w:t>
      </w:r>
    </w:p>
    <w:p w14:paraId="1E01E755" w14:textId="77777777" w:rsidR="006F2340" w:rsidRPr="006F2340" w:rsidRDefault="006F2340" w:rsidP="006F2340">
      <w:pPr>
        <w:rPr>
          <w:rFonts w:ascii="Arial" w:hAnsi="Arial" w:cs="Arial"/>
          <w:sz w:val="22"/>
          <w:szCs w:val="22"/>
        </w:rPr>
      </w:pPr>
      <w:r w:rsidRPr="006F2340">
        <w:rPr>
          <w:rFonts w:ascii="Arial" w:hAnsi="Arial" w:cs="Arial"/>
          <w:b/>
          <w:bCs/>
          <w:sz w:val="22"/>
          <w:szCs w:val="22"/>
        </w:rPr>
        <w:lastRenderedPageBreak/>
        <w:t>Local Government Group (2011)</w:t>
      </w:r>
      <w:r w:rsidRPr="006F2340">
        <w:rPr>
          <w:rFonts w:ascii="Arial" w:hAnsi="Arial" w:cs="Arial"/>
          <w:sz w:val="22"/>
          <w:szCs w:val="22"/>
        </w:rPr>
        <w:t xml:space="preserve"> </w:t>
      </w:r>
      <w:r w:rsidRPr="006F2340">
        <w:rPr>
          <w:rFonts w:ascii="Arial" w:hAnsi="Arial" w:cs="Arial"/>
          <w:i/>
          <w:iCs/>
          <w:sz w:val="22"/>
          <w:szCs w:val="22"/>
        </w:rPr>
        <w:t>Local government workforce: a guide to pay benchmarking</w:t>
      </w:r>
      <w:r w:rsidRPr="006F2340">
        <w:rPr>
          <w:rFonts w:ascii="Arial" w:hAnsi="Arial" w:cs="Arial"/>
          <w:sz w:val="22"/>
          <w:szCs w:val="22"/>
        </w:rPr>
        <w:t xml:space="preserve">. London: Local Government Group. Available at: </w:t>
      </w:r>
      <w:hyperlink r:id="rId27" w:tgtFrame="_new" w:history="1">
        <w:r w:rsidRPr="006F2340">
          <w:rPr>
            <w:rStyle w:val="Hyperlink"/>
            <w:rFonts w:ascii="Arial" w:hAnsi="Arial" w:cs="Arial"/>
            <w:sz w:val="22"/>
            <w:szCs w:val="22"/>
          </w:rPr>
          <w:t>https://www.local.gov.uk/sites/default/files/documents/guide-pay-benchmarking-pd-021.pdf</w:t>
        </w:r>
      </w:hyperlink>
      <w:r w:rsidRPr="006F2340">
        <w:rPr>
          <w:rFonts w:ascii="Arial" w:hAnsi="Arial" w:cs="Arial"/>
          <w:sz w:val="22"/>
          <w:szCs w:val="22"/>
        </w:rPr>
        <w:t xml:space="preserve"> (Accessed: 24 January 2026).</w:t>
      </w:r>
    </w:p>
    <w:p w14:paraId="4A1465FF" w14:textId="77777777" w:rsidR="006F2340" w:rsidRPr="006F2340" w:rsidRDefault="006F2340" w:rsidP="006F2340">
      <w:pPr>
        <w:rPr>
          <w:rFonts w:ascii="Arial" w:hAnsi="Arial" w:cs="Arial"/>
          <w:sz w:val="22"/>
          <w:szCs w:val="22"/>
        </w:rPr>
      </w:pPr>
      <w:r w:rsidRPr="006F2340">
        <w:rPr>
          <w:rFonts w:ascii="Arial" w:hAnsi="Arial" w:cs="Arial"/>
          <w:b/>
          <w:bCs/>
          <w:sz w:val="22"/>
          <w:szCs w:val="22"/>
        </w:rPr>
        <w:t>McGuigan, D. (2022)</w:t>
      </w:r>
      <w:r w:rsidRPr="006F2340">
        <w:rPr>
          <w:rFonts w:ascii="Arial" w:hAnsi="Arial" w:cs="Arial"/>
          <w:sz w:val="22"/>
          <w:szCs w:val="22"/>
        </w:rPr>
        <w:t xml:space="preserve"> ‘Co-op workers succeed in first stage of equal pay battle’, </w:t>
      </w:r>
      <w:r w:rsidRPr="006F2340">
        <w:rPr>
          <w:rFonts w:ascii="Arial" w:hAnsi="Arial" w:cs="Arial"/>
          <w:i/>
          <w:iCs/>
          <w:sz w:val="22"/>
          <w:szCs w:val="22"/>
        </w:rPr>
        <w:t>HR Magazine</w:t>
      </w:r>
      <w:r w:rsidRPr="006F2340">
        <w:rPr>
          <w:rFonts w:ascii="Arial" w:hAnsi="Arial" w:cs="Arial"/>
          <w:sz w:val="22"/>
          <w:szCs w:val="22"/>
        </w:rPr>
        <w:t xml:space="preserve">. Available at: </w:t>
      </w:r>
      <w:hyperlink r:id="rId28" w:tgtFrame="_new" w:history="1">
        <w:r w:rsidRPr="006F2340">
          <w:rPr>
            <w:rStyle w:val="Hyperlink"/>
            <w:rFonts w:ascii="Arial" w:hAnsi="Arial" w:cs="Arial"/>
            <w:sz w:val="22"/>
            <w:szCs w:val="22"/>
          </w:rPr>
          <w:t>https://www.hrmagazine.co.uk/content/comment/co-op-workers-succeed-in-first-stage-of-equal-pay-battle</w:t>
        </w:r>
      </w:hyperlink>
      <w:r w:rsidRPr="006F2340">
        <w:rPr>
          <w:rFonts w:ascii="Arial" w:hAnsi="Arial" w:cs="Arial"/>
          <w:sz w:val="22"/>
          <w:szCs w:val="22"/>
        </w:rPr>
        <w:t xml:space="preserve"> (Accessed: 29 January 2026).</w:t>
      </w:r>
    </w:p>
    <w:p w14:paraId="0B99B15F" w14:textId="77777777" w:rsidR="006F2340" w:rsidRPr="006F2340" w:rsidRDefault="006F2340" w:rsidP="006F2340">
      <w:pPr>
        <w:rPr>
          <w:rFonts w:ascii="Arial" w:hAnsi="Arial" w:cs="Arial"/>
          <w:sz w:val="22"/>
          <w:szCs w:val="22"/>
        </w:rPr>
      </w:pPr>
      <w:r w:rsidRPr="006F2340">
        <w:rPr>
          <w:rFonts w:ascii="Arial" w:hAnsi="Arial" w:cs="Arial"/>
          <w:b/>
          <w:bCs/>
          <w:sz w:val="22"/>
          <w:szCs w:val="22"/>
        </w:rPr>
        <w:t>Morris, A. (2026)</w:t>
      </w:r>
      <w:r w:rsidRPr="006F2340">
        <w:rPr>
          <w:rFonts w:ascii="Arial" w:hAnsi="Arial" w:cs="Arial"/>
          <w:sz w:val="22"/>
          <w:szCs w:val="22"/>
        </w:rPr>
        <w:t xml:space="preserve"> </w:t>
      </w:r>
      <w:r w:rsidRPr="006F2340">
        <w:rPr>
          <w:rFonts w:ascii="Arial" w:hAnsi="Arial" w:cs="Arial"/>
          <w:i/>
          <w:iCs/>
          <w:sz w:val="22"/>
          <w:szCs w:val="22"/>
        </w:rPr>
        <w:t>Employee reward schemes: examples and risks</w:t>
      </w:r>
      <w:r w:rsidRPr="006F2340">
        <w:rPr>
          <w:rFonts w:ascii="Arial" w:hAnsi="Arial" w:cs="Arial"/>
          <w:sz w:val="22"/>
          <w:szCs w:val="22"/>
        </w:rPr>
        <w:t xml:space="preserve">. </w:t>
      </w:r>
      <w:proofErr w:type="spellStart"/>
      <w:r w:rsidRPr="006F2340">
        <w:rPr>
          <w:rFonts w:ascii="Arial" w:hAnsi="Arial" w:cs="Arial"/>
          <w:sz w:val="22"/>
          <w:szCs w:val="22"/>
        </w:rPr>
        <w:t>DavidsonMorris</w:t>
      </w:r>
      <w:proofErr w:type="spellEnd"/>
      <w:r w:rsidRPr="006F2340">
        <w:rPr>
          <w:rFonts w:ascii="Arial" w:hAnsi="Arial" w:cs="Arial"/>
          <w:sz w:val="22"/>
          <w:szCs w:val="22"/>
        </w:rPr>
        <w:t xml:space="preserve">. Available at: </w:t>
      </w:r>
      <w:hyperlink r:id="rId29" w:tgtFrame="_new" w:history="1">
        <w:r w:rsidRPr="006F2340">
          <w:rPr>
            <w:rStyle w:val="Hyperlink"/>
            <w:rFonts w:ascii="Arial" w:hAnsi="Arial" w:cs="Arial"/>
            <w:sz w:val="22"/>
            <w:szCs w:val="22"/>
          </w:rPr>
          <w:t>https://www.davidsonmorris.com/employee-rewards-schemes-examples-and-risks-2026/</w:t>
        </w:r>
      </w:hyperlink>
      <w:r w:rsidRPr="006F2340">
        <w:rPr>
          <w:rFonts w:ascii="Arial" w:hAnsi="Arial" w:cs="Arial"/>
          <w:sz w:val="22"/>
          <w:szCs w:val="22"/>
        </w:rPr>
        <w:t xml:space="preserve"> (Accessed: 30 January 2026).</w:t>
      </w:r>
    </w:p>
    <w:p w14:paraId="223632CD" w14:textId="77777777" w:rsidR="006F2340" w:rsidRPr="006F2340" w:rsidRDefault="006F2340" w:rsidP="006F2340">
      <w:pPr>
        <w:rPr>
          <w:rFonts w:ascii="Arial" w:hAnsi="Arial" w:cs="Arial"/>
          <w:sz w:val="22"/>
          <w:szCs w:val="22"/>
        </w:rPr>
      </w:pPr>
      <w:r w:rsidRPr="006F2340">
        <w:rPr>
          <w:rFonts w:ascii="Arial" w:hAnsi="Arial" w:cs="Arial"/>
          <w:b/>
          <w:bCs/>
          <w:sz w:val="22"/>
          <w:szCs w:val="22"/>
        </w:rPr>
        <w:t>Office for National Statistics (ONS) (2024)</w:t>
      </w:r>
      <w:r w:rsidRPr="006F2340">
        <w:rPr>
          <w:rFonts w:ascii="Arial" w:hAnsi="Arial" w:cs="Arial"/>
          <w:sz w:val="22"/>
          <w:szCs w:val="22"/>
        </w:rPr>
        <w:t xml:space="preserve"> </w:t>
      </w:r>
      <w:r w:rsidRPr="006F2340">
        <w:rPr>
          <w:rFonts w:ascii="Arial" w:hAnsi="Arial" w:cs="Arial"/>
          <w:i/>
          <w:iCs/>
          <w:sz w:val="22"/>
          <w:szCs w:val="22"/>
        </w:rPr>
        <w:t>Labour market overview, UK: November 2024</w:t>
      </w:r>
      <w:r w:rsidRPr="006F2340">
        <w:rPr>
          <w:rFonts w:ascii="Arial" w:hAnsi="Arial" w:cs="Arial"/>
          <w:sz w:val="22"/>
          <w:szCs w:val="22"/>
        </w:rPr>
        <w:t xml:space="preserve">. London: ONS. Available at: </w:t>
      </w:r>
      <w:hyperlink r:id="rId30" w:tgtFrame="_new" w:history="1">
        <w:r w:rsidRPr="006F2340">
          <w:rPr>
            <w:rStyle w:val="Hyperlink"/>
            <w:rFonts w:ascii="Arial" w:hAnsi="Arial" w:cs="Arial"/>
            <w:sz w:val="22"/>
            <w:szCs w:val="22"/>
          </w:rPr>
          <w:t>https://www.ons.gov.uk/employmentandlabourmarket/peopleinwork/employmentandemployeetypes/bulletins/uklabourmarket/december2024</w:t>
        </w:r>
      </w:hyperlink>
      <w:r w:rsidRPr="006F2340">
        <w:rPr>
          <w:rFonts w:ascii="Arial" w:hAnsi="Arial" w:cs="Arial"/>
          <w:sz w:val="22"/>
          <w:szCs w:val="22"/>
        </w:rPr>
        <w:t xml:space="preserve"> (Accessed: 27 January 2026).</w:t>
      </w:r>
    </w:p>
    <w:p w14:paraId="1447992C" w14:textId="77777777" w:rsidR="006F2340" w:rsidRPr="006F2340" w:rsidRDefault="006F2340" w:rsidP="006F2340">
      <w:pPr>
        <w:rPr>
          <w:rFonts w:ascii="Arial" w:hAnsi="Arial" w:cs="Arial"/>
          <w:sz w:val="22"/>
          <w:szCs w:val="22"/>
        </w:rPr>
      </w:pPr>
      <w:r w:rsidRPr="006F2340">
        <w:rPr>
          <w:rFonts w:ascii="Arial" w:hAnsi="Arial" w:cs="Arial"/>
          <w:b/>
          <w:bCs/>
          <w:sz w:val="22"/>
          <w:szCs w:val="22"/>
        </w:rPr>
        <w:t>People Management (2023)</w:t>
      </w:r>
      <w:r w:rsidRPr="006F2340">
        <w:rPr>
          <w:rFonts w:ascii="Arial" w:hAnsi="Arial" w:cs="Arial"/>
          <w:sz w:val="22"/>
          <w:szCs w:val="22"/>
        </w:rPr>
        <w:t xml:space="preserve"> </w:t>
      </w:r>
      <w:r w:rsidRPr="006F2340">
        <w:rPr>
          <w:rFonts w:ascii="Arial" w:hAnsi="Arial" w:cs="Arial"/>
          <w:i/>
          <w:iCs/>
          <w:sz w:val="22"/>
          <w:szCs w:val="22"/>
        </w:rPr>
        <w:t>Why recognition and reward matter in 2023</w:t>
      </w:r>
      <w:r w:rsidRPr="006F2340">
        <w:rPr>
          <w:rFonts w:ascii="Arial" w:hAnsi="Arial" w:cs="Arial"/>
          <w:sz w:val="22"/>
          <w:szCs w:val="22"/>
        </w:rPr>
        <w:t xml:space="preserve">. Available at: </w:t>
      </w:r>
      <w:hyperlink r:id="rId31" w:tgtFrame="_new" w:history="1">
        <w:r w:rsidRPr="006F2340">
          <w:rPr>
            <w:rStyle w:val="Hyperlink"/>
            <w:rFonts w:ascii="Arial" w:hAnsi="Arial" w:cs="Arial"/>
            <w:sz w:val="22"/>
            <w:szCs w:val="22"/>
          </w:rPr>
          <w:t>https://www.peoplemanagement.co.uk/article/1816014/why-recognition-reward-2023</w:t>
        </w:r>
      </w:hyperlink>
      <w:r w:rsidRPr="006F2340">
        <w:rPr>
          <w:rFonts w:ascii="Arial" w:hAnsi="Arial" w:cs="Arial"/>
          <w:sz w:val="22"/>
          <w:szCs w:val="22"/>
        </w:rPr>
        <w:t xml:space="preserve"> (Accessed: 11 January 2026).</w:t>
      </w:r>
    </w:p>
    <w:p w14:paraId="19CBF764" w14:textId="77777777" w:rsidR="006F2340" w:rsidRPr="006F2340" w:rsidRDefault="006F2340" w:rsidP="006F2340">
      <w:pPr>
        <w:rPr>
          <w:rFonts w:ascii="Arial" w:hAnsi="Arial" w:cs="Arial"/>
          <w:sz w:val="22"/>
          <w:szCs w:val="22"/>
        </w:rPr>
      </w:pPr>
      <w:r w:rsidRPr="006F2340">
        <w:rPr>
          <w:rFonts w:ascii="Arial" w:hAnsi="Arial" w:cs="Arial"/>
          <w:b/>
          <w:bCs/>
          <w:sz w:val="22"/>
          <w:szCs w:val="22"/>
        </w:rPr>
        <w:t>Snowdon, I. (2025)</w:t>
      </w:r>
      <w:r w:rsidRPr="006F2340">
        <w:rPr>
          <w:rFonts w:ascii="Arial" w:hAnsi="Arial" w:cs="Arial"/>
          <w:sz w:val="22"/>
          <w:szCs w:val="22"/>
        </w:rPr>
        <w:t xml:space="preserve"> </w:t>
      </w:r>
      <w:r w:rsidRPr="006F2340">
        <w:rPr>
          <w:rFonts w:ascii="Arial" w:hAnsi="Arial" w:cs="Arial"/>
          <w:i/>
          <w:iCs/>
          <w:sz w:val="22"/>
          <w:szCs w:val="22"/>
        </w:rPr>
        <w:t>The different types of employee benefits</w:t>
      </w:r>
      <w:r w:rsidRPr="006F2340">
        <w:rPr>
          <w:rFonts w:ascii="Arial" w:hAnsi="Arial" w:cs="Arial"/>
          <w:sz w:val="22"/>
          <w:szCs w:val="22"/>
        </w:rPr>
        <w:t xml:space="preserve">. PeopleHR. Available at: </w:t>
      </w:r>
      <w:hyperlink r:id="rId32" w:tgtFrame="_new" w:history="1">
        <w:r w:rsidRPr="006F2340">
          <w:rPr>
            <w:rStyle w:val="Hyperlink"/>
            <w:rFonts w:ascii="Arial" w:hAnsi="Arial" w:cs="Arial"/>
            <w:sz w:val="22"/>
            <w:szCs w:val="22"/>
          </w:rPr>
          <w:t>https://www.peoplehr.com/en-gb/resources/blog/the-different-types-of-employee-benefits/</w:t>
        </w:r>
      </w:hyperlink>
      <w:r w:rsidRPr="006F2340">
        <w:rPr>
          <w:rFonts w:ascii="Arial" w:hAnsi="Arial" w:cs="Arial"/>
          <w:sz w:val="22"/>
          <w:szCs w:val="22"/>
        </w:rPr>
        <w:t xml:space="preserve"> (Accessed: 21 January 2026).</w:t>
      </w:r>
    </w:p>
    <w:p w14:paraId="40DE78F7" w14:textId="77777777" w:rsidR="006F2340" w:rsidRPr="006F2340" w:rsidRDefault="006F2340" w:rsidP="006F2340">
      <w:pPr>
        <w:rPr>
          <w:rFonts w:ascii="Arial" w:hAnsi="Arial" w:cs="Arial"/>
          <w:sz w:val="22"/>
          <w:szCs w:val="22"/>
        </w:rPr>
      </w:pPr>
      <w:r w:rsidRPr="006F2340">
        <w:rPr>
          <w:rFonts w:ascii="Arial" w:hAnsi="Arial" w:cs="Arial"/>
          <w:b/>
          <w:bCs/>
          <w:sz w:val="22"/>
          <w:szCs w:val="22"/>
        </w:rPr>
        <w:t>Taylor, S. and Woodhams, C. (2022)</w:t>
      </w:r>
      <w:r w:rsidRPr="006F2340">
        <w:rPr>
          <w:rFonts w:ascii="Arial" w:hAnsi="Arial" w:cs="Arial"/>
          <w:sz w:val="22"/>
          <w:szCs w:val="22"/>
        </w:rPr>
        <w:t xml:space="preserve"> </w:t>
      </w:r>
      <w:r w:rsidRPr="006F2340">
        <w:rPr>
          <w:rFonts w:ascii="Arial" w:hAnsi="Arial" w:cs="Arial"/>
          <w:i/>
          <w:iCs/>
          <w:sz w:val="22"/>
          <w:szCs w:val="22"/>
        </w:rPr>
        <w:t>Human resource management</w:t>
      </w:r>
      <w:r w:rsidRPr="006F2340">
        <w:rPr>
          <w:rFonts w:ascii="Arial" w:hAnsi="Arial" w:cs="Arial"/>
          <w:sz w:val="22"/>
          <w:szCs w:val="22"/>
        </w:rPr>
        <w:t xml:space="preserve">. 3rd </w:t>
      </w:r>
      <w:proofErr w:type="spellStart"/>
      <w:r w:rsidRPr="006F2340">
        <w:rPr>
          <w:rFonts w:ascii="Arial" w:hAnsi="Arial" w:cs="Arial"/>
          <w:sz w:val="22"/>
          <w:szCs w:val="22"/>
        </w:rPr>
        <w:t>edn</w:t>
      </w:r>
      <w:proofErr w:type="spellEnd"/>
      <w:r w:rsidRPr="006F2340">
        <w:rPr>
          <w:rFonts w:ascii="Arial" w:hAnsi="Arial" w:cs="Arial"/>
          <w:sz w:val="22"/>
          <w:szCs w:val="22"/>
        </w:rPr>
        <w:t>. New York: Kogan Page.</w:t>
      </w:r>
    </w:p>
    <w:p w14:paraId="31D37A11" w14:textId="77777777" w:rsidR="006F2340" w:rsidRPr="006F2340" w:rsidRDefault="006F2340" w:rsidP="006F2340">
      <w:pPr>
        <w:rPr>
          <w:rFonts w:ascii="Arial" w:hAnsi="Arial" w:cs="Arial"/>
          <w:sz w:val="22"/>
          <w:szCs w:val="22"/>
        </w:rPr>
      </w:pPr>
      <w:r w:rsidRPr="006F2340">
        <w:rPr>
          <w:rFonts w:ascii="Arial" w:hAnsi="Arial" w:cs="Arial"/>
          <w:b/>
          <w:bCs/>
          <w:sz w:val="22"/>
          <w:szCs w:val="22"/>
        </w:rPr>
        <w:t>UK Government (2026)</w:t>
      </w:r>
      <w:r w:rsidRPr="006F2340">
        <w:rPr>
          <w:rFonts w:ascii="Arial" w:hAnsi="Arial" w:cs="Arial"/>
          <w:sz w:val="22"/>
          <w:szCs w:val="22"/>
        </w:rPr>
        <w:t xml:space="preserve"> </w:t>
      </w:r>
      <w:r w:rsidRPr="006F2340">
        <w:rPr>
          <w:rFonts w:ascii="Arial" w:hAnsi="Arial" w:cs="Arial"/>
          <w:i/>
          <w:iCs/>
          <w:sz w:val="22"/>
          <w:szCs w:val="22"/>
        </w:rPr>
        <w:t>National Minimum Wage and National Living Wage rates</w:t>
      </w:r>
      <w:r w:rsidRPr="006F2340">
        <w:rPr>
          <w:rFonts w:ascii="Arial" w:hAnsi="Arial" w:cs="Arial"/>
          <w:sz w:val="22"/>
          <w:szCs w:val="22"/>
        </w:rPr>
        <w:t xml:space="preserve">. GOV.UK. Available at: </w:t>
      </w:r>
      <w:hyperlink r:id="rId33" w:tgtFrame="_new" w:history="1">
        <w:r w:rsidRPr="006F2340">
          <w:rPr>
            <w:rStyle w:val="Hyperlink"/>
            <w:rFonts w:ascii="Arial" w:hAnsi="Arial" w:cs="Arial"/>
            <w:sz w:val="22"/>
            <w:szCs w:val="22"/>
          </w:rPr>
          <w:t>https://www.gov.uk/national-minimum-wage-rates</w:t>
        </w:r>
      </w:hyperlink>
      <w:r w:rsidRPr="006F2340">
        <w:rPr>
          <w:rFonts w:ascii="Arial" w:hAnsi="Arial" w:cs="Arial"/>
          <w:sz w:val="22"/>
          <w:szCs w:val="22"/>
        </w:rPr>
        <w:t xml:space="preserve"> (Accessed: 5 February 2026).</w:t>
      </w:r>
    </w:p>
    <w:p w14:paraId="299E4EED" w14:textId="03FDB67A" w:rsidR="00CC2DFF" w:rsidRPr="004172E6" w:rsidRDefault="006F2340">
      <w:pPr>
        <w:rPr>
          <w:rFonts w:ascii="Arial" w:hAnsi="Arial" w:cs="Arial"/>
          <w:sz w:val="22"/>
          <w:szCs w:val="22"/>
        </w:rPr>
      </w:pPr>
      <w:r w:rsidRPr="006F2340">
        <w:rPr>
          <w:rFonts w:ascii="Arial" w:hAnsi="Arial" w:cs="Arial"/>
          <w:b/>
          <w:bCs/>
          <w:sz w:val="22"/>
          <w:szCs w:val="22"/>
        </w:rPr>
        <w:t>Wreford, D. and Couch, R. (2025)</w:t>
      </w:r>
      <w:r w:rsidRPr="006F2340">
        <w:rPr>
          <w:rFonts w:ascii="Arial" w:hAnsi="Arial" w:cs="Arial"/>
          <w:sz w:val="22"/>
          <w:szCs w:val="22"/>
        </w:rPr>
        <w:t xml:space="preserve"> </w:t>
      </w:r>
      <w:r w:rsidRPr="006F2340">
        <w:rPr>
          <w:rFonts w:ascii="Arial" w:hAnsi="Arial" w:cs="Arial"/>
          <w:i/>
          <w:iCs/>
          <w:sz w:val="22"/>
          <w:szCs w:val="22"/>
        </w:rPr>
        <w:t>Reward strategies: navigating a changing external landscape</w:t>
      </w:r>
      <w:r w:rsidRPr="006F2340">
        <w:rPr>
          <w:rFonts w:ascii="Arial" w:hAnsi="Arial" w:cs="Arial"/>
          <w:sz w:val="22"/>
          <w:szCs w:val="22"/>
        </w:rPr>
        <w:t xml:space="preserve">. London: Mercer. Available at: </w:t>
      </w:r>
      <w:hyperlink r:id="rId34" w:tgtFrame="_new" w:history="1">
        <w:r w:rsidRPr="006F2340">
          <w:rPr>
            <w:rStyle w:val="Hyperlink"/>
            <w:rFonts w:ascii="Arial" w:hAnsi="Arial" w:cs="Arial"/>
            <w:sz w:val="22"/>
            <w:szCs w:val="22"/>
          </w:rPr>
          <w:t>https://www.mercer.com/en-gb/insights/workforce-and-careers/transformation/reward-strategies-navigating-a-changing-external-landscape/</w:t>
        </w:r>
      </w:hyperlink>
      <w:r w:rsidRPr="006F2340">
        <w:rPr>
          <w:rFonts w:ascii="Arial" w:hAnsi="Arial" w:cs="Arial"/>
          <w:sz w:val="22"/>
          <w:szCs w:val="22"/>
        </w:rPr>
        <w:t xml:space="preserve"> (Accessed: 31 January 2026).</w:t>
      </w:r>
    </w:p>
    <w:sectPr w:rsidR="00CC2DFF" w:rsidRPr="00417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C4"/>
    <w:rsid w:val="00020F43"/>
    <w:rsid w:val="00025C09"/>
    <w:rsid w:val="000347C3"/>
    <w:rsid w:val="00037B92"/>
    <w:rsid w:val="00060596"/>
    <w:rsid w:val="000741CD"/>
    <w:rsid w:val="0007542C"/>
    <w:rsid w:val="0008587B"/>
    <w:rsid w:val="000C19C0"/>
    <w:rsid w:val="000E1BD6"/>
    <w:rsid w:val="000E2018"/>
    <w:rsid w:val="000F387F"/>
    <w:rsid w:val="0010796A"/>
    <w:rsid w:val="00117782"/>
    <w:rsid w:val="00125E34"/>
    <w:rsid w:val="0012608C"/>
    <w:rsid w:val="001267CE"/>
    <w:rsid w:val="00183F8D"/>
    <w:rsid w:val="001B7BDD"/>
    <w:rsid w:val="001D0E77"/>
    <w:rsid w:val="001D7146"/>
    <w:rsid w:val="001E423D"/>
    <w:rsid w:val="001E7EAB"/>
    <w:rsid w:val="001F1271"/>
    <w:rsid w:val="001F2392"/>
    <w:rsid w:val="00210868"/>
    <w:rsid w:val="00211E42"/>
    <w:rsid w:val="002174F2"/>
    <w:rsid w:val="00220977"/>
    <w:rsid w:val="00221633"/>
    <w:rsid w:val="0022665E"/>
    <w:rsid w:val="00237FEA"/>
    <w:rsid w:val="00271A39"/>
    <w:rsid w:val="0027574E"/>
    <w:rsid w:val="00284011"/>
    <w:rsid w:val="00285C74"/>
    <w:rsid w:val="002A606C"/>
    <w:rsid w:val="002B733B"/>
    <w:rsid w:val="002D1E2F"/>
    <w:rsid w:val="002E54AA"/>
    <w:rsid w:val="002E6F18"/>
    <w:rsid w:val="002F3EC4"/>
    <w:rsid w:val="00304B28"/>
    <w:rsid w:val="00306E70"/>
    <w:rsid w:val="003342A1"/>
    <w:rsid w:val="003614B0"/>
    <w:rsid w:val="003714BA"/>
    <w:rsid w:val="00374AE5"/>
    <w:rsid w:val="00384842"/>
    <w:rsid w:val="0038670C"/>
    <w:rsid w:val="003909F3"/>
    <w:rsid w:val="003936ED"/>
    <w:rsid w:val="003C4D8C"/>
    <w:rsid w:val="003D5C17"/>
    <w:rsid w:val="003F0A7A"/>
    <w:rsid w:val="003F0E95"/>
    <w:rsid w:val="003F60B6"/>
    <w:rsid w:val="00410A3E"/>
    <w:rsid w:val="004172E6"/>
    <w:rsid w:val="0042189D"/>
    <w:rsid w:val="00421A8F"/>
    <w:rsid w:val="00435F70"/>
    <w:rsid w:val="0045370A"/>
    <w:rsid w:val="0047478A"/>
    <w:rsid w:val="00483A4D"/>
    <w:rsid w:val="004A1E91"/>
    <w:rsid w:val="004A78AC"/>
    <w:rsid w:val="004C0E34"/>
    <w:rsid w:val="004C3767"/>
    <w:rsid w:val="004C3DF0"/>
    <w:rsid w:val="004F6D67"/>
    <w:rsid w:val="0050212D"/>
    <w:rsid w:val="005047DE"/>
    <w:rsid w:val="00505F63"/>
    <w:rsid w:val="00507D2B"/>
    <w:rsid w:val="00513E3E"/>
    <w:rsid w:val="005165BF"/>
    <w:rsid w:val="005220DD"/>
    <w:rsid w:val="005240AE"/>
    <w:rsid w:val="00526241"/>
    <w:rsid w:val="00530A6F"/>
    <w:rsid w:val="0053553B"/>
    <w:rsid w:val="0054405B"/>
    <w:rsid w:val="00585475"/>
    <w:rsid w:val="00593423"/>
    <w:rsid w:val="005A01D9"/>
    <w:rsid w:val="005A3336"/>
    <w:rsid w:val="005B18B5"/>
    <w:rsid w:val="005D54BA"/>
    <w:rsid w:val="005F2D4E"/>
    <w:rsid w:val="005F5C1D"/>
    <w:rsid w:val="006045E5"/>
    <w:rsid w:val="0060688C"/>
    <w:rsid w:val="00623759"/>
    <w:rsid w:val="00624199"/>
    <w:rsid w:val="00625392"/>
    <w:rsid w:val="006276B4"/>
    <w:rsid w:val="00637F00"/>
    <w:rsid w:val="00641D00"/>
    <w:rsid w:val="0064313E"/>
    <w:rsid w:val="00653884"/>
    <w:rsid w:val="00654045"/>
    <w:rsid w:val="00655142"/>
    <w:rsid w:val="00655438"/>
    <w:rsid w:val="0065798E"/>
    <w:rsid w:val="00660B3F"/>
    <w:rsid w:val="00660D28"/>
    <w:rsid w:val="00675FEE"/>
    <w:rsid w:val="00684B1B"/>
    <w:rsid w:val="006A62C8"/>
    <w:rsid w:val="006D55EF"/>
    <w:rsid w:val="006D666C"/>
    <w:rsid w:val="006D78E6"/>
    <w:rsid w:val="006E2BC6"/>
    <w:rsid w:val="006F0207"/>
    <w:rsid w:val="006F0AED"/>
    <w:rsid w:val="006F2340"/>
    <w:rsid w:val="00706CB0"/>
    <w:rsid w:val="007169DC"/>
    <w:rsid w:val="0072519B"/>
    <w:rsid w:val="00734894"/>
    <w:rsid w:val="00736B81"/>
    <w:rsid w:val="00741357"/>
    <w:rsid w:val="00750FA3"/>
    <w:rsid w:val="00753F3C"/>
    <w:rsid w:val="00756A85"/>
    <w:rsid w:val="00763F3A"/>
    <w:rsid w:val="007707CE"/>
    <w:rsid w:val="00771254"/>
    <w:rsid w:val="0078185B"/>
    <w:rsid w:val="007819A8"/>
    <w:rsid w:val="00795474"/>
    <w:rsid w:val="00797A8B"/>
    <w:rsid w:val="007A0874"/>
    <w:rsid w:val="007A75FD"/>
    <w:rsid w:val="007B7E99"/>
    <w:rsid w:val="007C047C"/>
    <w:rsid w:val="007C3BDB"/>
    <w:rsid w:val="007D6565"/>
    <w:rsid w:val="007E09B2"/>
    <w:rsid w:val="007E7108"/>
    <w:rsid w:val="007F0CE9"/>
    <w:rsid w:val="007F4366"/>
    <w:rsid w:val="008006B7"/>
    <w:rsid w:val="00803485"/>
    <w:rsid w:val="0080461A"/>
    <w:rsid w:val="00821DE4"/>
    <w:rsid w:val="0082248B"/>
    <w:rsid w:val="00830611"/>
    <w:rsid w:val="00844FAE"/>
    <w:rsid w:val="0085453D"/>
    <w:rsid w:val="008673AF"/>
    <w:rsid w:val="008849E9"/>
    <w:rsid w:val="0088589A"/>
    <w:rsid w:val="008A0D49"/>
    <w:rsid w:val="008A1599"/>
    <w:rsid w:val="008B5037"/>
    <w:rsid w:val="008C04CB"/>
    <w:rsid w:val="008C5C48"/>
    <w:rsid w:val="008C61C8"/>
    <w:rsid w:val="008C63C7"/>
    <w:rsid w:val="008C7E26"/>
    <w:rsid w:val="008D2BCA"/>
    <w:rsid w:val="00900BCE"/>
    <w:rsid w:val="00937913"/>
    <w:rsid w:val="00945BE9"/>
    <w:rsid w:val="009514E5"/>
    <w:rsid w:val="00962D84"/>
    <w:rsid w:val="00962E15"/>
    <w:rsid w:val="00965F13"/>
    <w:rsid w:val="00966941"/>
    <w:rsid w:val="00971882"/>
    <w:rsid w:val="00976C74"/>
    <w:rsid w:val="00982B18"/>
    <w:rsid w:val="00983B56"/>
    <w:rsid w:val="0098464A"/>
    <w:rsid w:val="009863A9"/>
    <w:rsid w:val="00986FA2"/>
    <w:rsid w:val="00991EF1"/>
    <w:rsid w:val="009A1650"/>
    <w:rsid w:val="009B29C3"/>
    <w:rsid w:val="009B5C1F"/>
    <w:rsid w:val="009B7E3B"/>
    <w:rsid w:val="009C19C3"/>
    <w:rsid w:val="009D61B1"/>
    <w:rsid w:val="00A007ED"/>
    <w:rsid w:val="00A13EC6"/>
    <w:rsid w:val="00A16D24"/>
    <w:rsid w:val="00A33352"/>
    <w:rsid w:val="00A33916"/>
    <w:rsid w:val="00A36287"/>
    <w:rsid w:val="00A51DF4"/>
    <w:rsid w:val="00A55C52"/>
    <w:rsid w:val="00A57338"/>
    <w:rsid w:val="00A60871"/>
    <w:rsid w:val="00A66819"/>
    <w:rsid w:val="00A721E2"/>
    <w:rsid w:val="00A73ED4"/>
    <w:rsid w:val="00A80175"/>
    <w:rsid w:val="00A83F26"/>
    <w:rsid w:val="00A94067"/>
    <w:rsid w:val="00AA2377"/>
    <w:rsid w:val="00AC00F9"/>
    <w:rsid w:val="00AD15C0"/>
    <w:rsid w:val="00AD361E"/>
    <w:rsid w:val="00AD3713"/>
    <w:rsid w:val="00AF3D8B"/>
    <w:rsid w:val="00B033BF"/>
    <w:rsid w:val="00B10E25"/>
    <w:rsid w:val="00B36FEF"/>
    <w:rsid w:val="00B55C4D"/>
    <w:rsid w:val="00B5601C"/>
    <w:rsid w:val="00B70589"/>
    <w:rsid w:val="00B823B5"/>
    <w:rsid w:val="00B933F1"/>
    <w:rsid w:val="00BA6996"/>
    <w:rsid w:val="00BA6D38"/>
    <w:rsid w:val="00BC3A33"/>
    <w:rsid w:val="00C049FF"/>
    <w:rsid w:val="00C310BF"/>
    <w:rsid w:val="00C46E8B"/>
    <w:rsid w:val="00C4704E"/>
    <w:rsid w:val="00C53BBB"/>
    <w:rsid w:val="00C57118"/>
    <w:rsid w:val="00C61D3E"/>
    <w:rsid w:val="00C6241D"/>
    <w:rsid w:val="00C64B3E"/>
    <w:rsid w:val="00C85DEC"/>
    <w:rsid w:val="00C87B0B"/>
    <w:rsid w:val="00C90CF2"/>
    <w:rsid w:val="00C96F57"/>
    <w:rsid w:val="00CC2DFF"/>
    <w:rsid w:val="00CD4FB7"/>
    <w:rsid w:val="00CD7ED5"/>
    <w:rsid w:val="00CE64B9"/>
    <w:rsid w:val="00D15E29"/>
    <w:rsid w:val="00D167E8"/>
    <w:rsid w:val="00D20B32"/>
    <w:rsid w:val="00D22482"/>
    <w:rsid w:val="00D3022F"/>
    <w:rsid w:val="00D33C1C"/>
    <w:rsid w:val="00D4120F"/>
    <w:rsid w:val="00D817EF"/>
    <w:rsid w:val="00D96165"/>
    <w:rsid w:val="00DF3EDA"/>
    <w:rsid w:val="00E04310"/>
    <w:rsid w:val="00E04B4D"/>
    <w:rsid w:val="00E274DC"/>
    <w:rsid w:val="00E32086"/>
    <w:rsid w:val="00E32E19"/>
    <w:rsid w:val="00E33226"/>
    <w:rsid w:val="00E3473B"/>
    <w:rsid w:val="00E4086F"/>
    <w:rsid w:val="00E42354"/>
    <w:rsid w:val="00E4681C"/>
    <w:rsid w:val="00E53830"/>
    <w:rsid w:val="00E56865"/>
    <w:rsid w:val="00E82624"/>
    <w:rsid w:val="00E82887"/>
    <w:rsid w:val="00E901D2"/>
    <w:rsid w:val="00EA5237"/>
    <w:rsid w:val="00EC4CE2"/>
    <w:rsid w:val="00EC6849"/>
    <w:rsid w:val="00EE37C1"/>
    <w:rsid w:val="00EE6774"/>
    <w:rsid w:val="00EE7C7D"/>
    <w:rsid w:val="00EF2170"/>
    <w:rsid w:val="00EF27F8"/>
    <w:rsid w:val="00EF2822"/>
    <w:rsid w:val="00EF3200"/>
    <w:rsid w:val="00EF4A09"/>
    <w:rsid w:val="00EF7564"/>
    <w:rsid w:val="00F01D76"/>
    <w:rsid w:val="00F05748"/>
    <w:rsid w:val="00F112E4"/>
    <w:rsid w:val="00F13699"/>
    <w:rsid w:val="00F14CC5"/>
    <w:rsid w:val="00F201D3"/>
    <w:rsid w:val="00F35BF4"/>
    <w:rsid w:val="00F54928"/>
    <w:rsid w:val="00F72E4D"/>
    <w:rsid w:val="00F96923"/>
    <w:rsid w:val="00F9712E"/>
    <w:rsid w:val="00FA204E"/>
    <w:rsid w:val="00FA56B8"/>
    <w:rsid w:val="00FA71FA"/>
    <w:rsid w:val="00FB216A"/>
    <w:rsid w:val="00FB34DD"/>
    <w:rsid w:val="00FE47B1"/>
    <w:rsid w:val="00FE51A6"/>
    <w:rsid w:val="00FE6400"/>
    <w:rsid w:val="00FF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1F1A"/>
  <w15:chartTrackingRefBased/>
  <w15:docId w15:val="{365B4C15-AF1A-441D-9F4D-FA0B885A9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EC4"/>
    <w:rPr>
      <w:rFonts w:eastAsiaTheme="majorEastAsia" w:cstheme="majorBidi"/>
      <w:color w:val="272727" w:themeColor="text1" w:themeTint="D8"/>
    </w:rPr>
  </w:style>
  <w:style w:type="paragraph" w:styleId="Title">
    <w:name w:val="Title"/>
    <w:basedOn w:val="Normal"/>
    <w:next w:val="Normal"/>
    <w:link w:val="TitleChar"/>
    <w:uiPriority w:val="10"/>
    <w:qFormat/>
    <w:rsid w:val="002F3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EC4"/>
    <w:pPr>
      <w:spacing w:before="160"/>
      <w:jc w:val="center"/>
    </w:pPr>
    <w:rPr>
      <w:i/>
      <w:iCs/>
      <w:color w:val="404040" w:themeColor="text1" w:themeTint="BF"/>
    </w:rPr>
  </w:style>
  <w:style w:type="character" w:customStyle="1" w:styleId="QuoteChar">
    <w:name w:val="Quote Char"/>
    <w:basedOn w:val="DefaultParagraphFont"/>
    <w:link w:val="Quote"/>
    <w:uiPriority w:val="29"/>
    <w:rsid w:val="002F3EC4"/>
    <w:rPr>
      <w:i/>
      <w:iCs/>
      <w:color w:val="404040" w:themeColor="text1" w:themeTint="BF"/>
    </w:rPr>
  </w:style>
  <w:style w:type="paragraph" w:styleId="ListParagraph">
    <w:name w:val="List Paragraph"/>
    <w:basedOn w:val="Normal"/>
    <w:uiPriority w:val="34"/>
    <w:qFormat/>
    <w:rsid w:val="002F3EC4"/>
    <w:pPr>
      <w:ind w:left="720"/>
      <w:contextualSpacing/>
    </w:pPr>
  </w:style>
  <w:style w:type="character" w:styleId="IntenseEmphasis">
    <w:name w:val="Intense Emphasis"/>
    <w:basedOn w:val="DefaultParagraphFont"/>
    <w:uiPriority w:val="21"/>
    <w:qFormat/>
    <w:rsid w:val="002F3EC4"/>
    <w:rPr>
      <w:i/>
      <w:iCs/>
      <w:color w:val="0F4761" w:themeColor="accent1" w:themeShade="BF"/>
    </w:rPr>
  </w:style>
  <w:style w:type="paragraph" w:styleId="IntenseQuote">
    <w:name w:val="Intense Quote"/>
    <w:basedOn w:val="Normal"/>
    <w:next w:val="Normal"/>
    <w:link w:val="IntenseQuoteChar"/>
    <w:uiPriority w:val="30"/>
    <w:qFormat/>
    <w:rsid w:val="002F3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EC4"/>
    <w:rPr>
      <w:i/>
      <w:iCs/>
      <w:color w:val="0F4761" w:themeColor="accent1" w:themeShade="BF"/>
    </w:rPr>
  </w:style>
  <w:style w:type="character" w:styleId="IntenseReference">
    <w:name w:val="Intense Reference"/>
    <w:basedOn w:val="DefaultParagraphFont"/>
    <w:uiPriority w:val="32"/>
    <w:qFormat/>
    <w:rsid w:val="002F3EC4"/>
    <w:rPr>
      <w:b/>
      <w:bCs/>
      <w:smallCaps/>
      <w:color w:val="0F4761" w:themeColor="accent1" w:themeShade="BF"/>
      <w:spacing w:val="5"/>
    </w:rPr>
  </w:style>
  <w:style w:type="paragraph" w:styleId="NormalWeb">
    <w:name w:val="Normal (Web)"/>
    <w:basedOn w:val="Normal"/>
    <w:uiPriority w:val="99"/>
    <w:semiHidden/>
    <w:unhideWhenUsed/>
    <w:rsid w:val="002D1E2F"/>
    <w:rPr>
      <w:rFonts w:ascii="Times New Roman" w:hAnsi="Times New Roman" w:cs="Times New Roman"/>
    </w:rPr>
  </w:style>
  <w:style w:type="character" w:styleId="Hyperlink">
    <w:name w:val="Hyperlink"/>
    <w:basedOn w:val="DefaultParagraphFont"/>
    <w:uiPriority w:val="99"/>
    <w:unhideWhenUsed/>
    <w:rsid w:val="00C53BBB"/>
    <w:rPr>
      <w:color w:val="467886" w:themeColor="hyperlink"/>
      <w:u w:val="single"/>
    </w:rPr>
  </w:style>
  <w:style w:type="character" w:styleId="UnresolvedMention">
    <w:name w:val="Unresolved Mention"/>
    <w:basedOn w:val="DefaultParagraphFont"/>
    <w:uiPriority w:val="99"/>
    <w:semiHidden/>
    <w:unhideWhenUsed/>
    <w:rsid w:val="00C53BBB"/>
    <w:rPr>
      <w:color w:val="605E5C"/>
      <w:shd w:val="clear" w:color="auto" w:fill="E1DFDD"/>
    </w:rPr>
  </w:style>
  <w:style w:type="character" w:styleId="FollowedHyperlink">
    <w:name w:val="FollowedHyperlink"/>
    <w:basedOn w:val="DefaultParagraphFont"/>
    <w:uiPriority w:val="99"/>
    <w:semiHidden/>
    <w:unhideWhenUsed/>
    <w:rsid w:val="008034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3863">
      <w:bodyDiv w:val="1"/>
      <w:marLeft w:val="0"/>
      <w:marRight w:val="0"/>
      <w:marTop w:val="0"/>
      <w:marBottom w:val="0"/>
      <w:divBdr>
        <w:top w:val="none" w:sz="0" w:space="0" w:color="auto"/>
        <w:left w:val="none" w:sz="0" w:space="0" w:color="auto"/>
        <w:bottom w:val="none" w:sz="0" w:space="0" w:color="auto"/>
        <w:right w:val="none" w:sz="0" w:space="0" w:color="auto"/>
      </w:divBdr>
    </w:div>
    <w:div w:id="82145625">
      <w:bodyDiv w:val="1"/>
      <w:marLeft w:val="0"/>
      <w:marRight w:val="0"/>
      <w:marTop w:val="0"/>
      <w:marBottom w:val="0"/>
      <w:divBdr>
        <w:top w:val="none" w:sz="0" w:space="0" w:color="auto"/>
        <w:left w:val="none" w:sz="0" w:space="0" w:color="auto"/>
        <w:bottom w:val="none" w:sz="0" w:space="0" w:color="auto"/>
        <w:right w:val="none" w:sz="0" w:space="0" w:color="auto"/>
      </w:divBdr>
    </w:div>
    <w:div w:id="107509255">
      <w:bodyDiv w:val="1"/>
      <w:marLeft w:val="0"/>
      <w:marRight w:val="0"/>
      <w:marTop w:val="0"/>
      <w:marBottom w:val="0"/>
      <w:divBdr>
        <w:top w:val="none" w:sz="0" w:space="0" w:color="auto"/>
        <w:left w:val="none" w:sz="0" w:space="0" w:color="auto"/>
        <w:bottom w:val="none" w:sz="0" w:space="0" w:color="auto"/>
        <w:right w:val="none" w:sz="0" w:space="0" w:color="auto"/>
      </w:divBdr>
    </w:div>
    <w:div w:id="144127753">
      <w:bodyDiv w:val="1"/>
      <w:marLeft w:val="0"/>
      <w:marRight w:val="0"/>
      <w:marTop w:val="0"/>
      <w:marBottom w:val="0"/>
      <w:divBdr>
        <w:top w:val="none" w:sz="0" w:space="0" w:color="auto"/>
        <w:left w:val="none" w:sz="0" w:space="0" w:color="auto"/>
        <w:bottom w:val="none" w:sz="0" w:space="0" w:color="auto"/>
        <w:right w:val="none" w:sz="0" w:space="0" w:color="auto"/>
      </w:divBdr>
    </w:div>
    <w:div w:id="151606095">
      <w:bodyDiv w:val="1"/>
      <w:marLeft w:val="0"/>
      <w:marRight w:val="0"/>
      <w:marTop w:val="0"/>
      <w:marBottom w:val="0"/>
      <w:divBdr>
        <w:top w:val="none" w:sz="0" w:space="0" w:color="auto"/>
        <w:left w:val="none" w:sz="0" w:space="0" w:color="auto"/>
        <w:bottom w:val="none" w:sz="0" w:space="0" w:color="auto"/>
        <w:right w:val="none" w:sz="0" w:space="0" w:color="auto"/>
      </w:divBdr>
    </w:div>
    <w:div w:id="364840502">
      <w:bodyDiv w:val="1"/>
      <w:marLeft w:val="0"/>
      <w:marRight w:val="0"/>
      <w:marTop w:val="0"/>
      <w:marBottom w:val="0"/>
      <w:divBdr>
        <w:top w:val="none" w:sz="0" w:space="0" w:color="auto"/>
        <w:left w:val="none" w:sz="0" w:space="0" w:color="auto"/>
        <w:bottom w:val="none" w:sz="0" w:space="0" w:color="auto"/>
        <w:right w:val="none" w:sz="0" w:space="0" w:color="auto"/>
      </w:divBdr>
    </w:div>
    <w:div w:id="386497376">
      <w:bodyDiv w:val="1"/>
      <w:marLeft w:val="0"/>
      <w:marRight w:val="0"/>
      <w:marTop w:val="0"/>
      <w:marBottom w:val="0"/>
      <w:divBdr>
        <w:top w:val="none" w:sz="0" w:space="0" w:color="auto"/>
        <w:left w:val="none" w:sz="0" w:space="0" w:color="auto"/>
        <w:bottom w:val="none" w:sz="0" w:space="0" w:color="auto"/>
        <w:right w:val="none" w:sz="0" w:space="0" w:color="auto"/>
      </w:divBdr>
    </w:div>
    <w:div w:id="395663244">
      <w:bodyDiv w:val="1"/>
      <w:marLeft w:val="0"/>
      <w:marRight w:val="0"/>
      <w:marTop w:val="0"/>
      <w:marBottom w:val="0"/>
      <w:divBdr>
        <w:top w:val="none" w:sz="0" w:space="0" w:color="auto"/>
        <w:left w:val="none" w:sz="0" w:space="0" w:color="auto"/>
        <w:bottom w:val="none" w:sz="0" w:space="0" w:color="auto"/>
        <w:right w:val="none" w:sz="0" w:space="0" w:color="auto"/>
      </w:divBdr>
    </w:div>
    <w:div w:id="399644356">
      <w:bodyDiv w:val="1"/>
      <w:marLeft w:val="0"/>
      <w:marRight w:val="0"/>
      <w:marTop w:val="0"/>
      <w:marBottom w:val="0"/>
      <w:divBdr>
        <w:top w:val="none" w:sz="0" w:space="0" w:color="auto"/>
        <w:left w:val="none" w:sz="0" w:space="0" w:color="auto"/>
        <w:bottom w:val="none" w:sz="0" w:space="0" w:color="auto"/>
        <w:right w:val="none" w:sz="0" w:space="0" w:color="auto"/>
      </w:divBdr>
    </w:div>
    <w:div w:id="472254368">
      <w:bodyDiv w:val="1"/>
      <w:marLeft w:val="0"/>
      <w:marRight w:val="0"/>
      <w:marTop w:val="0"/>
      <w:marBottom w:val="0"/>
      <w:divBdr>
        <w:top w:val="none" w:sz="0" w:space="0" w:color="auto"/>
        <w:left w:val="none" w:sz="0" w:space="0" w:color="auto"/>
        <w:bottom w:val="none" w:sz="0" w:space="0" w:color="auto"/>
        <w:right w:val="none" w:sz="0" w:space="0" w:color="auto"/>
      </w:divBdr>
    </w:div>
    <w:div w:id="552280294">
      <w:bodyDiv w:val="1"/>
      <w:marLeft w:val="0"/>
      <w:marRight w:val="0"/>
      <w:marTop w:val="0"/>
      <w:marBottom w:val="0"/>
      <w:divBdr>
        <w:top w:val="none" w:sz="0" w:space="0" w:color="auto"/>
        <w:left w:val="none" w:sz="0" w:space="0" w:color="auto"/>
        <w:bottom w:val="none" w:sz="0" w:space="0" w:color="auto"/>
        <w:right w:val="none" w:sz="0" w:space="0" w:color="auto"/>
      </w:divBdr>
    </w:div>
    <w:div w:id="554241290">
      <w:bodyDiv w:val="1"/>
      <w:marLeft w:val="0"/>
      <w:marRight w:val="0"/>
      <w:marTop w:val="0"/>
      <w:marBottom w:val="0"/>
      <w:divBdr>
        <w:top w:val="none" w:sz="0" w:space="0" w:color="auto"/>
        <w:left w:val="none" w:sz="0" w:space="0" w:color="auto"/>
        <w:bottom w:val="none" w:sz="0" w:space="0" w:color="auto"/>
        <w:right w:val="none" w:sz="0" w:space="0" w:color="auto"/>
      </w:divBdr>
    </w:div>
    <w:div w:id="593168978">
      <w:bodyDiv w:val="1"/>
      <w:marLeft w:val="0"/>
      <w:marRight w:val="0"/>
      <w:marTop w:val="0"/>
      <w:marBottom w:val="0"/>
      <w:divBdr>
        <w:top w:val="none" w:sz="0" w:space="0" w:color="auto"/>
        <w:left w:val="none" w:sz="0" w:space="0" w:color="auto"/>
        <w:bottom w:val="none" w:sz="0" w:space="0" w:color="auto"/>
        <w:right w:val="none" w:sz="0" w:space="0" w:color="auto"/>
      </w:divBdr>
    </w:div>
    <w:div w:id="596985859">
      <w:bodyDiv w:val="1"/>
      <w:marLeft w:val="0"/>
      <w:marRight w:val="0"/>
      <w:marTop w:val="0"/>
      <w:marBottom w:val="0"/>
      <w:divBdr>
        <w:top w:val="none" w:sz="0" w:space="0" w:color="auto"/>
        <w:left w:val="none" w:sz="0" w:space="0" w:color="auto"/>
        <w:bottom w:val="none" w:sz="0" w:space="0" w:color="auto"/>
        <w:right w:val="none" w:sz="0" w:space="0" w:color="auto"/>
      </w:divBdr>
    </w:div>
    <w:div w:id="598606649">
      <w:bodyDiv w:val="1"/>
      <w:marLeft w:val="0"/>
      <w:marRight w:val="0"/>
      <w:marTop w:val="0"/>
      <w:marBottom w:val="0"/>
      <w:divBdr>
        <w:top w:val="none" w:sz="0" w:space="0" w:color="auto"/>
        <w:left w:val="none" w:sz="0" w:space="0" w:color="auto"/>
        <w:bottom w:val="none" w:sz="0" w:space="0" w:color="auto"/>
        <w:right w:val="none" w:sz="0" w:space="0" w:color="auto"/>
      </w:divBdr>
    </w:div>
    <w:div w:id="599873509">
      <w:bodyDiv w:val="1"/>
      <w:marLeft w:val="0"/>
      <w:marRight w:val="0"/>
      <w:marTop w:val="0"/>
      <w:marBottom w:val="0"/>
      <w:divBdr>
        <w:top w:val="none" w:sz="0" w:space="0" w:color="auto"/>
        <w:left w:val="none" w:sz="0" w:space="0" w:color="auto"/>
        <w:bottom w:val="none" w:sz="0" w:space="0" w:color="auto"/>
        <w:right w:val="none" w:sz="0" w:space="0" w:color="auto"/>
      </w:divBdr>
    </w:div>
    <w:div w:id="698050099">
      <w:bodyDiv w:val="1"/>
      <w:marLeft w:val="0"/>
      <w:marRight w:val="0"/>
      <w:marTop w:val="0"/>
      <w:marBottom w:val="0"/>
      <w:divBdr>
        <w:top w:val="none" w:sz="0" w:space="0" w:color="auto"/>
        <w:left w:val="none" w:sz="0" w:space="0" w:color="auto"/>
        <w:bottom w:val="none" w:sz="0" w:space="0" w:color="auto"/>
        <w:right w:val="none" w:sz="0" w:space="0" w:color="auto"/>
      </w:divBdr>
    </w:div>
    <w:div w:id="702291280">
      <w:bodyDiv w:val="1"/>
      <w:marLeft w:val="0"/>
      <w:marRight w:val="0"/>
      <w:marTop w:val="0"/>
      <w:marBottom w:val="0"/>
      <w:divBdr>
        <w:top w:val="none" w:sz="0" w:space="0" w:color="auto"/>
        <w:left w:val="none" w:sz="0" w:space="0" w:color="auto"/>
        <w:bottom w:val="none" w:sz="0" w:space="0" w:color="auto"/>
        <w:right w:val="none" w:sz="0" w:space="0" w:color="auto"/>
      </w:divBdr>
    </w:div>
    <w:div w:id="776602357">
      <w:bodyDiv w:val="1"/>
      <w:marLeft w:val="0"/>
      <w:marRight w:val="0"/>
      <w:marTop w:val="0"/>
      <w:marBottom w:val="0"/>
      <w:divBdr>
        <w:top w:val="none" w:sz="0" w:space="0" w:color="auto"/>
        <w:left w:val="none" w:sz="0" w:space="0" w:color="auto"/>
        <w:bottom w:val="none" w:sz="0" w:space="0" w:color="auto"/>
        <w:right w:val="none" w:sz="0" w:space="0" w:color="auto"/>
      </w:divBdr>
    </w:div>
    <w:div w:id="793602112">
      <w:bodyDiv w:val="1"/>
      <w:marLeft w:val="0"/>
      <w:marRight w:val="0"/>
      <w:marTop w:val="0"/>
      <w:marBottom w:val="0"/>
      <w:divBdr>
        <w:top w:val="none" w:sz="0" w:space="0" w:color="auto"/>
        <w:left w:val="none" w:sz="0" w:space="0" w:color="auto"/>
        <w:bottom w:val="none" w:sz="0" w:space="0" w:color="auto"/>
        <w:right w:val="none" w:sz="0" w:space="0" w:color="auto"/>
      </w:divBdr>
    </w:div>
    <w:div w:id="796949037">
      <w:bodyDiv w:val="1"/>
      <w:marLeft w:val="0"/>
      <w:marRight w:val="0"/>
      <w:marTop w:val="0"/>
      <w:marBottom w:val="0"/>
      <w:divBdr>
        <w:top w:val="none" w:sz="0" w:space="0" w:color="auto"/>
        <w:left w:val="none" w:sz="0" w:space="0" w:color="auto"/>
        <w:bottom w:val="none" w:sz="0" w:space="0" w:color="auto"/>
        <w:right w:val="none" w:sz="0" w:space="0" w:color="auto"/>
      </w:divBdr>
    </w:div>
    <w:div w:id="883060217">
      <w:bodyDiv w:val="1"/>
      <w:marLeft w:val="0"/>
      <w:marRight w:val="0"/>
      <w:marTop w:val="0"/>
      <w:marBottom w:val="0"/>
      <w:divBdr>
        <w:top w:val="none" w:sz="0" w:space="0" w:color="auto"/>
        <w:left w:val="none" w:sz="0" w:space="0" w:color="auto"/>
        <w:bottom w:val="none" w:sz="0" w:space="0" w:color="auto"/>
        <w:right w:val="none" w:sz="0" w:space="0" w:color="auto"/>
      </w:divBdr>
    </w:div>
    <w:div w:id="916598042">
      <w:bodyDiv w:val="1"/>
      <w:marLeft w:val="0"/>
      <w:marRight w:val="0"/>
      <w:marTop w:val="0"/>
      <w:marBottom w:val="0"/>
      <w:divBdr>
        <w:top w:val="none" w:sz="0" w:space="0" w:color="auto"/>
        <w:left w:val="none" w:sz="0" w:space="0" w:color="auto"/>
        <w:bottom w:val="none" w:sz="0" w:space="0" w:color="auto"/>
        <w:right w:val="none" w:sz="0" w:space="0" w:color="auto"/>
      </w:divBdr>
    </w:div>
    <w:div w:id="961301466">
      <w:bodyDiv w:val="1"/>
      <w:marLeft w:val="0"/>
      <w:marRight w:val="0"/>
      <w:marTop w:val="0"/>
      <w:marBottom w:val="0"/>
      <w:divBdr>
        <w:top w:val="none" w:sz="0" w:space="0" w:color="auto"/>
        <w:left w:val="none" w:sz="0" w:space="0" w:color="auto"/>
        <w:bottom w:val="none" w:sz="0" w:space="0" w:color="auto"/>
        <w:right w:val="none" w:sz="0" w:space="0" w:color="auto"/>
      </w:divBdr>
    </w:div>
    <w:div w:id="983894224">
      <w:bodyDiv w:val="1"/>
      <w:marLeft w:val="0"/>
      <w:marRight w:val="0"/>
      <w:marTop w:val="0"/>
      <w:marBottom w:val="0"/>
      <w:divBdr>
        <w:top w:val="none" w:sz="0" w:space="0" w:color="auto"/>
        <w:left w:val="none" w:sz="0" w:space="0" w:color="auto"/>
        <w:bottom w:val="none" w:sz="0" w:space="0" w:color="auto"/>
        <w:right w:val="none" w:sz="0" w:space="0" w:color="auto"/>
      </w:divBdr>
    </w:div>
    <w:div w:id="1092047226">
      <w:bodyDiv w:val="1"/>
      <w:marLeft w:val="0"/>
      <w:marRight w:val="0"/>
      <w:marTop w:val="0"/>
      <w:marBottom w:val="0"/>
      <w:divBdr>
        <w:top w:val="none" w:sz="0" w:space="0" w:color="auto"/>
        <w:left w:val="none" w:sz="0" w:space="0" w:color="auto"/>
        <w:bottom w:val="none" w:sz="0" w:space="0" w:color="auto"/>
        <w:right w:val="none" w:sz="0" w:space="0" w:color="auto"/>
      </w:divBdr>
    </w:div>
    <w:div w:id="1147934773">
      <w:bodyDiv w:val="1"/>
      <w:marLeft w:val="0"/>
      <w:marRight w:val="0"/>
      <w:marTop w:val="0"/>
      <w:marBottom w:val="0"/>
      <w:divBdr>
        <w:top w:val="none" w:sz="0" w:space="0" w:color="auto"/>
        <w:left w:val="none" w:sz="0" w:space="0" w:color="auto"/>
        <w:bottom w:val="none" w:sz="0" w:space="0" w:color="auto"/>
        <w:right w:val="none" w:sz="0" w:space="0" w:color="auto"/>
      </w:divBdr>
    </w:div>
    <w:div w:id="1193104359">
      <w:bodyDiv w:val="1"/>
      <w:marLeft w:val="0"/>
      <w:marRight w:val="0"/>
      <w:marTop w:val="0"/>
      <w:marBottom w:val="0"/>
      <w:divBdr>
        <w:top w:val="none" w:sz="0" w:space="0" w:color="auto"/>
        <w:left w:val="none" w:sz="0" w:space="0" w:color="auto"/>
        <w:bottom w:val="none" w:sz="0" w:space="0" w:color="auto"/>
        <w:right w:val="none" w:sz="0" w:space="0" w:color="auto"/>
      </w:divBdr>
    </w:div>
    <w:div w:id="1326081895">
      <w:bodyDiv w:val="1"/>
      <w:marLeft w:val="0"/>
      <w:marRight w:val="0"/>
      <w:marTop w:val="0"/>
      <w:marBottom w:val="0"/>
      <w:divBdr>
        <w:top w:val="none" w:sz="0" w:space="0" w:color="auto"/>
        <w:left w:val="none" w:sz="0" w:space="0" w:color="auto"/>
        <w:bottom w:val="none" w:sz="0" w:space="0" w:color="auto"/>
        <w:right w:val="none" w:sz="0" w:space="0" w:color="auto"/>
      </w:divBdr>
    </w:div>
    <w:div w:id="1443064654">
      <w:bodyDiv w:val="1"/>
      <w:marLeft w:val="0"/>
      <w:marRight w:val="0"/>
      <w:marTop w:val="0"/>
      <w:marBottom w:val="0"/>
      <w:divBdr>
        <w:top w:val="none" w:sz="0" w:space="0" w:color="auto"/>
        <w:left w:val="none" w:sz="0" w:space="0" w:color="auto"/>
        <w:bottom w:val="none" w:sz="0" w:space="0" w:color="auto"/>
        <w:right w:val="none" w:sz="0" w:space="0" w:color="auto"/>
      </w:divBdr>
    </w:div>
    <w:div w:id="1472937399">
      <w:bodyDiv w:val="1"/>
      <w:marLeft w:val="0"/>
      <w:marRight w:val="0"/>
      <w:marTop w:val="0"/>
      <w:marBottom w:val="0"/>
      <w:divBdr>
        <w:top w:val="none" w:sz="0" w:space="0" w:color="auto"/>
        <w:left w:val="none" w:sz="0" w:space="0" w:color="auto"/>
        <w:bottom w:val="none" w:sz="0" w:space="0" w:color="auto"/>
        <w:right w:val="none" w:sz="0" w:space="0" w:color="auto"/>
      </w:divBdr>
    </w:div>
    <w:div w:id="1498351530">
      <w:bodyDiv w:val="1"/>
      <w:marLeft w:val="0"/>
      <w:marRight w:val="0"/>
      <w:marTop w:val="0"/>
      <w:marBottom w:val="0"/>
      <w:divBdr>
        <w:top w:val="none" w:sz="0" w:space="0" w:color="auto"/>
        <w:left w:val="none" w:sz="0" w:space="0" w:color="auto"/>
        <w:bottom w:val="none" w:sz="0" w:space="0" w:color="auto"/>
        <w:right w:val="none" w:sz="0" w:space="0" w:color="auto"/>
      </w:divBdr>
    </w:div>
    <w:div w:id="1557887553">
      <w:bodyDiv w:val="1"/>
      <w:marLeft w:val="0"/>
      <w:marRight w:val="0"/>
      <w:marTop w:val="0"/>
      <w:marBottom w:val="0"/>
      <w:divBdr>
        <w:top w:val="none" w:sz="0" w:space="0" w:color="auto"/>
        <w:left w:val="none" w:sz="0" w:space="0" w:color="auto"/>
        <w:bottom w:val="none" w:sz="0" w:space="0" w:color="auto"/>
        <w:right w:val="none" w:sz="0" w:space="0" w:color="auto"/>
      </w:divBdr>
    </w:div>
    <w:div w:id="1607537436">
      <w:bodyDiv w:val="1"/>
      <w:marLeft w:val="0"/>
      <w:marRight w:val="0"/>
      <w:marTop w:val="0"/>
      <w:marBottom w:val="0"/>
      <w:divBdr>
        <w:top w:val="none" w:sz="0" w:space="0" w:color="auto"/>
        <w:left w:val="none" w:sz="0" w:space="0" w:color="auto"/>
        <w:bottom w:val="none" w:sz="0" w:space="0" w:color="auto"/>
        <w:right w:val="none" w:sz="0" w:space="0" w:color="auto"/>
      </w:divBdr>
    </w:div>
    <w:div w:id="1620918677">
      <w:bodyDiv w:val="1"/>
      <w:marLeft w:val="0"/>
      <w:marRight w:val="0"/>
      <w:marTop w:val="0"/>
      <w:marBottom w:val="0"/>
      <w:divBdr>
        <w:top w:val="none" w:sz="0" w:space="0" w:color="auto"/>
        <w:left w:val="none" w:sz="0" w:space="0" w:color="auto"/>
        <w:bottom w:val="none" w:sz="0" w:space="0" w:color="auto"/>
        <w:right w:val="none" w:sz="0" w:space="0" w:color="auto"/>
      </w:divBdr>
    </w:div>
    <w:div w:id="1675449936">
      <w:bodyDiv w:val="1"/>
      <w:marLeft w:val="0"/>
      <w:marRight w:val="0"/>
      <w:marTop w:val="0"/>
      <w:marBottom w:val="0"/>
      <w:divBdr>
        <w:top w:val="none" w:sz="0" w:space="0" w:color="auto"/>
        <w:left w:val="none" w:sz="0" w:space="0" w:color="auto"/>
        <w:bottom w:val="none" w:sz="0" w:space="0" w:color="auto"/>
        <w:right w:val="none" w:sz="0" w:space="0" w:color="auto"/>
      </w:divBdr>
    </w:div>
    <w:div w:id="1776484627">
      <w:bodyDiv w:val="1"/>
      <w:marLeft w:val="0"/>
      <w:marRight w:val="0"/>
      <w:marTop w:val="0"/>
      <w:marBottom w:val="0"/>
      <w:divBdr>
        <w:top w:val="none" w:sz="0" w:space="0" w:color="auto"/>
        <w:left w:val="none" w:sz="0" w:space="0" w:color="auto"/>
        <w:bottom w:val="none" w:sz="0" w:space="0" w:color="auto"/>
        <w:right w:val="none" w:sz="0" w:space="0" w:color="auto"/>
      </w:divBdr>
    </w:div>
    <w:div w:id="1864392885">
      <w:bodyDiv w:val="1"/>
      <w:marLeft w:val="0"/>
      <w:marRight w:val="0"/>
      <w:marTop w:val="0"/>
      <w:marBottom w:val="0"/>
      <w:divBdr>
        <w:top w:val="none" w:sz="0" w:space="0" w:color="auto"/>
        <w:left w:val="none" w:sz="0" w:space="0" w:color="auto"/>
        <w:bottom w:val="none" w:sz="0" w:space="0" w:color="auto"/>
        <w:right w:val="none" w:sz="0" w:space="0" w:color="auto"/>
      </w:divBdr>
    </w:div>
    <w:div w:id="1909147926">
      <w:bodyDiv w:val="1"/>
      <w:marLeft w:val="0"/>
      <w:marRight w:val="0"/>
      <w:marTop w:val="0"/>
      <w:marBottom w:val="0"/>
      <w:divBdr>
        <w:top w:val="none" w:sz="0" w:space="0" w:color="auto"/>
        <w:left w:val="none" w:sz="0" w:space="0" w:color="auto"/>
        <w:bottom w:val="none" w:sz="0" w:space="0" w:color="auto"/>
        <w:right w:val="none" w:sz="0" w:space="0" w:color="auto"/>
      </w:divBdr>
    </w:div>
    <w:div w:id="1991518833">
      <w:bodyDiv w:val="1"/>
      <w:marLeft w:val="0"/>
      <w:marRight w:val="0"/>
      <w:marTop w:val="0"/>
      <w:marBottom w:val="0"/>
      <w:divBdr>
        <w:top w:val="none" w:sz="0" w:space="0" w:color="auto"/>
        <w:left w:val="none" w:sz="0" w:space="0" w:color="auto"/>
        <w:bottom w:val="none" w:sz="0" w:space="0" w:color="auto"/>
        <w:right w:val="none" w:sz="0" w:space="0" w:color="auto"/>
      </w:divBdr>
    </w:div>
    <w:div w:id="1992982269">
      <w:bodyDiv w:val="1"/>
      <w:marLeft w:val="0"/>
      <w:marRight w:val="0"/>
      <w:marTop w:val="0"/>
      <w:marBottom w:val="0"/>
      <w:divBdr>
        <w:top w:val="none" w:sz="0" w:space="0" w:color="auto"/>
        <w:left w:val="none" w:sz="0" w:space="0" w:color="auto"/>
        <w:bottom w:val="none" w:sz="0" w:space="0" w:color="auto"/>
        <w:right w:val="none" w:sz="0" w:space="0" w:color="auto"/>
      </w:divBdr>
    </w:div>
    <w:div w:id="2035959781">
      <w:bodyDiv w:val="1"/>
      <w:marLeft w:val="0"/>
      <w:marRight w:val="0"/>
      <w:marTop w:val="0"/>
      <w:marBottom w:val="0"/>
      <w:divBdr>
        <w:top w:val="none" w:sz="0" w:space="0" w:color="auto"/>
        <w:left w:val="none" w:sz="0" w:space="0" w:color="auto"/>
        <w:bottom w:val="none" w:sz="0" w:space="0" w:color="auto"/>
        <w:right w:val="none" w:sz="0" w:space="0" w:color="auto"/>
      </w:divBdr>
    </w:div>
    <w:div w:id="2084328672">
      <w:bodyDiv w:val="1"/>
      <w:marLeft w:val="0"/>
      <w:marRight w:val="0"/>
      <w:marTop w:val="0"/>
      <w:marBottom w:val="0"/>
      <w:divBdr>
        <w:top w:val="none" w:sz="0" w:space="0" w:color="auto"/>
        <w:left w:val="none" w:sz="0" w:space="0" w:color="auto"/>
        <w:bottom w:val="none" w:sz="0" w:space="0" w:color="auto"/>
        <w:right w:val="none" w:sz="0" w:space="0" w:color="auto"/>
      </w:divBdr>
    </w:div>
    <w:div w:id="211828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vidence-reviews/evidence-financial-incentives" TargetMode="External"/><Relationship Id="rId13" Type="http://schemas.openxmlformats.org/officeDocument/2006/relationships/hyperlink" Target="https://www.cipd.org/uk/knowledge/factsheets/reward-factsheet/" TargetMode="External"/><Relationship Id="rId18" Type="http://schemas.openxmlformats.org/officeDocument/2006/relationships/hyperlink" Target="https://www.cipd.org/uk/knowledge/factsheets/market-pricing-factsheet/" TargetMode="External"/><Relationship Id="rId26" Type="http://schemas.openxmlformats.org/officeDocument/2006/relationships/hyperlink" Target="https://www.researchgate.net/publication/343303974" TargetMode="External"/><Relationship Id="rId3" Type="http://schemas.openxmlformats.org/officeDocument/2006/relationships/webSettings" Target="webSettings.xml"/><Relationship Id="rId21" Type="http://schemas.openxmlformats.org/officeDocument/2006/relationships/hyperlink" Target="https://www.nber.org/system/files/working_papers/w30570/w30570.pdf" TargetMode="External"/><Relationship Id="rId34" Type="http://schemas.openxmlformats.org/officeDocument/2006/relationships/hyperlink" Target="https://www.mercer.com/en-gb/insights/workforce-and-careers/transformation/reward-strategies-navigating-a-changing-external-landscape/" TargetMode="External"/><Relationship Id="rId7" Type="http://schemas.openxmlformats.org/officeDocument/2006/relationships/hyperlink" Target="https://www.cipd.org/uk/about/news/five-ideas-employee-recognition/" TargetMode="External"/><Relationship Id="rId12" Type="http://schemas.openxmlformats.org/officeDocument/2006/relationships/hyperlink" Target="https://www.cipd.org/uk/knowledge/factsheets/strategic-total-factsheet/" TargetMode="External"/><Relationship Id="rId17" Type="http://schemas.openxmlformats.org/officeDocument/2006/relationships/hyperlink" Target="https://www.cipd.org/uk/knowledge/factsheets/employee-benefits-factsheet/" TargetMode="External"/><Relationship Id="rId25" Type="http://schemas.openxmlformats.org/officeDocument/2006/relationships/hyperlink" Target="https://journals.sagepub.com/doi/10.1177/13505084221098244" TargetMode="External"/><Relationship Id="rId33" Type="http://schemas.openxmlformats.org/officeDocument/2006/relationships/hyperlink" Target="https://www.gov.uk/national-minimum-wage-rates" TargetMode="External"/><Relationship Id="rId2" Type="http://schemas.openxmlformats.org/officeDocument/2006/relationships/settings" Target="settings.xml"/><Relationship Id="rId16" Type="http://schemas.openxmlformats.org/officeDocument/2006/relationships/hyperlink" Target="https://www.cipd.org/uk/knowledge/factsheets/pay-performance-factsheet/" TargetMode="External"/><Relationship Id="rId20" Type="http://schemas.openxmlformats.org/officeDocument/2006/relationships/hyperlink" Target="https://www.cipd.org/uk/views-and-insights/cipd-viewpoint/executive-pay/" TargetMode="External"/><Relationship Id="rId29" Type="http://schemas.openxmlformats.org/officeDocument/2006/relationships/hyperlink" Target="https://www.davidsonmorris.com/employee-rewards-schemes-examples-and-risks-2026/" TargetMode="External"/><Relationship Id="rId1" Type="http://schemas.openxmlformats.org/officeDocument/2006/relationships/styles" Target="styles.xml"/><Relationship Id="rId6" Type="http://schemas.openxmlformats.org/officeDocument/2006/relationships/hyperlink" Target="https://www.hrmagazine.co.uk/content/features/cover-story-delivering-the-perfect-reward-package" TargetMode="External"/><Relationship Id="rId11" Type="http://schemas.openxmlformats.org/officeDocument/2006/relationships/hyperlink" Target="https://www.cipd.org/uk/views-and-insights/thought-leadership/cipd-voice/benchmarking-employee-turnover/" TargetMode="External"/><Relationship Id="rId24" Type="http://schemas.openxmlformats.org/officeDocument/2006/relationships/hyperlink" Target="https://doi.org/10.1002/hrm.22128" TargetMode="External"/><Relationship Id="rId32" Type="http://schemas.openxmlformats.org/officeDocument/2006/relationships/hyperlink" Target="https://www.peoplehr.com/en-gb/resources/blog/the-different-types-of-employee-benefits/" TargetMode="External"/><Relationship Id="rId5" Type="http://schemas.openxmlformats.org/officeDocument/2006/relationships/hyperlink" Target="https://www.acas.org.uk/payslips" TargetMode="External"/><Relationship Id="rId15" Type="http://schemas.openxmlformats.org/officeDocument/2006/relationships/hyperlink" Target="https://www.cipd.org/uk/knowledge/factsheets/market-pricing-factsheet/" TargetMode="External"/><Relationship Id="rId23" Type="http://schemas.openxmlformats.org/officeDocument/2006/relationships/hyperlink" Target="https://journals.sagepub.com/doi/10.1177/15480518231216868" TargetMode="External"/><Relationship Id="rId28" Type="http://schemas.openxmlformats.org/officeDocument/2006/relationships/hyperlink" Target="https://www.hrmagazine.co.uk/content/comment/co-op-workers-succeed-in-first-stage-of-equal-pay-battle" TargetMode="External"/><Relationship Id="rId36" Type="http://schemas.openxmlformats.org/officeDocument/2006/relationships/theme" Target="theme/theme1.xml"/><Relationship Id="rId10" Type="http://schemas.openxmlformats.org/officeDocument/2006/relationships/hyperlink" Target="https://www.cipd.org/uk/knowledge/reports/pay-performance-transparency/"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peoplemanagement.co.uk/article/1816014/why-recognition-reward-2023" TargetMode="External"/><Relationship Id="rId4" Type="http://schemas.openxmlformats.org/officeDocument/2006/relationships/hyperlink" Target="https://www.acas.org.uk/job-evaluation-considerations-and-risks-advice-booklet" TargetMode="External"/><Relationship Id="rId9" Type="http://schemas.openxmlformats.org/officeDocument/2006/relationships/hyperlink" Target="https://www.cipd.org/globalassets/media/knowledge/knowledge-hub/evidence-reviews/incentives-recognition-practice-summary_tcm18-105466.pdf" TargetMode="External"/><Relationship Id="rId14" Type="http://schemas.openxmlformats.org/officeDocument/2006/relationships/hyperlink" Target="https://www.cipd.org/uk/knowledge/factsheets/pay-structures-factsheet/" TargetMode="External"/><Relationship Id="rId22" Type="http://schemas.openxmlformats.org/officeDocument/2006/relationships/hyperlink" Target="https://www.peoplemanagement.co.uk/article/1830913/pay-benchmarking-working-interactive-report-hr-professionals" TargetMode="External"/><Relationship Id="rId27" Type="http://schemas.openxmlformats.org/officeDocument/2006/relationships/hyperlink" Target="https://www.local.gov.uk/sites/default/files/documents/guide-pay-benchmarking-pd-021.pdf" TargetMode="External"/><Relationship Id="rId30" Type="http://schemas.openxmlformats.org/officeDocument/2006/relationships/hyperlink" Target="https://www.ons.gov.uk/employmentandlabourmarket/peopleinwork/employmentandemployeetypes/bulletins/uklabourmarket/december202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3465</TotalTime>
  <Pages>13</Pages>
  <Words>5338</Words>
  <Characters>36250</Characters>
  <Application>Microsoft Office Word</Application>
  <DocSecurity>0</DocSecurity>
  <Lines>575</Lines>
  <Paragraphs>119</Paragraphs>
  <ScaleCrop>false</ScaleCrop>
  <Company/>
  <LinksUpToDate>false</LinksUpToDate>
  <CharactersWithSpaces>41469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295</cp:revision>
  <dcterms:created xsi:type="dcterms:W3CDTF">2026-02-01T17:07:00Z</dcterms:created>
  <dcterms:modified xsi:type="dcterms:W3CDTF">2026-02-06T14:05:00Z</dcterms:modified>
</cp:coreProperties>
</file>