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7DEFE5" w14:textId="77777777" w:rsidR="0055563E" w:rsidRDefault="0055563E" w:rsidP="00DE2F4F">
      <w:pPr>
        <w:jc w:val="center"/>
        <w:rPr>
          <w:color w:val="0E101A"/>
        </w:rPr>
      </w:pPr>
    </w:p>
    <w:p w14:paraId="7627E525" w14:textId="77777777" w:rsidR="0055563E" w:rsidRDefault="0055563E" w:rsidP="00DE2F4F">
      <w:pPr>
        <w:jc w:val="center"/>
        <w:rPr>
          <w:color w:val="0E101A"/>
        </w:rPr>
      </w:pPr>
    </w:p>
    <w:p w14:paraId="4601B673" w14:textId="77777777" w:rsidR="0055563E" w:rsidRDefault="0055563E" w:rsidP="00DE2F4F">
      <w:pPr>
        <w:jc w:val="center"/>
        <w:rPr>
          <w:color w:val="0E101A"/>
        </w:rPr>
      </w:pPr>
    </w:p>
    <w:p w14:paraId="548FC62A" w14:textId="738EBD51" w:rsidR="00DE2F4F" w:rsidRDefault="00DE2F4F" w:rsidP="00DE2F4F">
      <w:pPr>
        <w:jc w:val="center"/>
        <w:rPr>
          <w:color w:val="0E101A"/>
        </w:rPr>
      </w:pPr>
      <w:r w:rsidRPr="00C72325">
        <w:rPr>
          <w:noProof/>
          <w:color w:val="0E101A"/>
        </w:rPr>
        <w:drawing>
          <wp:inline distT="0" distB="0" distL="0" distR="0" wp14:anchorId="64EDA5CC" wp14:editId="0BFE687E">
            <wp:extent cx="3971925" cy="16048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87878" cy="1611341"/>
                    </a:xfrm>
                    <a:prstGeom prst="rect">
                      <a:avLst/>
                    </a:prstGeom>
                  </pic:spPr>
                </pic:pic>
              </a:graphicData>
            </a:graphic>
          </wp:inline>
        </w:drawing>
      </w:r>
    </w:p>
    <w:p w14:paraId="2AB22A67" w14:textId="77777777" w:rsidR="00DE2F4F" w:rsidRPr="00F23F6C" w:rsidRDefault="00DE2F4F" w:rsidP="00DE2F4F">
      <w:pPr>
        <w:jc w:val="center"/>
        <w:rPr>
          <w:b/>
          <w:sz w:val="40"/>
          <w:szCs w:val="40"/>
        </w:rPr>
      </w:pPr>
      <w:r w:rsidRPr="00F23F6C">
        <w:rPr>
          <w:b/>
          <w:sz w:val="40"/>
          <w:szCs w:val="40"/>
        </w:rPr>
        <w:t>Module Title: Financial Management</w:t>
      </w:r>
    </w:p>
    <w:p w14:paraId="10116F89" w14:textId="77777777" w:rsidR="00DE2F4F" w:rsidRPr="00F23F6C" w:rsidRDefault="00DE2F4F" w:rsidP="00DE2F4F">
      <w:pPr>
        <w:jc w:val="center"/>
        <w:rPr>
          <w:b/>
          <w:sz w:val="40"/>
          <w:szCs w:val="40"/>
        </w:rPr>
      </w:pPr>
      <w:r w:rsidRPr="00F23F6C">
        <w:rPr>
          <w:b/>
          <w:sz w:val="40"/>
          <w:szCs w:val="40"/>
        </w:rPr>
        <w:t>Module Code: LCMB7002</w:t>
      </w:r>
    </w:p>
    <w:p w14:paraId="07F0A481" w14:textId="40ADD15B" w:rsidR="00DE2F4F" w:rsidRPr="00DE2F4F" w:rsidRDefault="00DE2F4F" w:rsidP="00DE2F4F">
      <w:pPr>
        <w:jc w:val="center"/>
        <w:rPr>
          <w:b/>
          <w:bCs/>
          <w:color w:val="0E101A"/>
          <w:sz w:val="40"/>
          <w:szCs w:val="40"/>
        </w:rPr>
      </w:pPr>
      <w:r w:rsidRPr="00DE2F4F">
        <w:rPr>
          <w:b/>
          <w:bCs/>
          <w:sz w:val="40"/>
          <w:szCs w:val="40"/>
        </w:rPr>
        <w:t>Land Security Group plc</w:t>
      </w:r>
    </w:p>
    <w:p w14:paraId="35E39226" w14:textId="3DF8369E" w:rsidR="00DE2F4F" w:rsidRDefault="00DE2F4F" w:rsidP="00DE2F4F">
      <w:pPr>
        <w:jc w:val="center"/>
        <w:rPr>
          <w:color w:val="0E101A"/>
        </w:rPr>
      </w:pPr>
      <w:r>
        <w:rPr>
          <w:color w:val="0E101A"/>
        </w:rPr>
        <w:t>Student Name:</w:t>
      </w:r>
      <w:r w:rsidRPr="00D7325C">
        <w:rPr>
          <w:color w:val="0E101A"/>
        </w:rPr>
        <w:t xml:space="preserve"> </w:t>
      </w:r>
      <w:r w:rsidR="00355170">
        <w:rPr>
          <w:color w:val="0E101A"/>
        </w:rPr>
        <w:t>Jasvindra Singh</w:t>
      </w:r>
    </w:p>
    <w:p w14:paraId="766A98DD" w14:textId="53905090" w:rsidR="00DE2F4F" w:rsidRDefault="00DE2F4F" w:rsidP="00DE2F4F">
      <w:pPr>
        <w:jc w:val="center"/>
        <w:rPr>
          <w:color w:val="0E101A"/>
        </w:rPr>
      </w:pPr>
      <w:r>
        <w:rPr>
          <w:color w:val="0E101A"/>
        </w:rPr>
        <w:t xml:space="preserve">Student ID: </w:t>
      </w:r>
      <w:r w:rsidR="00355170">
        <w:rPr>
          <w:color w:val="0E101A"/>
        </w:rPr>
        <w:t>2329310</w:t>
      </w:r>
    </w:p>
    <w:p w14:paraId="587707CF" w14:textId="0AF73BCE" w:rsidR="000D49D6" w:rsidRDefault="00DE2F4F" w:rsidP="00DE2F4F">
      <w:pPr>
        <w:jc w:val="center"/>
        <w:rPr>
          <w:b/>
          <w:sz w:val="28"/>
          <w:szCs w:val="28"/>
        </w:rPr>
      </w:pPr>
      <w:r>
        <w:rPr>
          <w:color w:val="0E101A"/>
        </w:rPr>
        <w:t>Word Count:</w:t>
      </w:r>
      <w:r w:rsidR="00DD560C">
        <w:rPr>
          <w:color w:val="0E101A"/>
        </w:rPr>
        <w:t xml:space="preserve"> 4988</w:t>
      </w:r>
      <w:r w:rsidR="000D49D6">
        <w:br w:type="page"/>
      </w:r>
    </w:p>
    <w:p w14:paraId="05AFD1C7" w14:textId="77777777" w:rsidR="004B73CC" w:rsidRDefault="004B73CC" w:rsidP="004B73CC">
      <w:r>
        <w:rPr>
          <w:b/>
          <w:sz w:val="28"/>
          <w:szCs w:val="28"/>
        </w:rPr>
        <w:t>List of Abbreviations</w:t>
      </w:r>
    </w:p>
    <w:p w14:paraId="450F74CB" w14:textId="77777777" w:rsidR="004B73CC" w:rsidRDefault="004B73CC" w:rsidP="004B73CC">
      <w:r>
        <w:t>PR: Profitability Ratios</w:t>
      </w:r>
    </w:p>
    <w:p w14:paraId="7D005DBE" w14:textId="77777777" w:rsidR="004B73CC" w:rsidRDefault="004B73CC" w:rsidP="004B73CC">
      <w:r>
        <w:t>GR: Gross profit Ratio</w:t>
      </w:r>
    </w:p>
    <w:p w14:paraId="1219459A" w14:textId="77777777" w:rsidR="004B73CC" w:rsidRDefault="004B73CC" w:rsidP="004B73CC">
      <w:r>
        <w:t>ROCE: Return on Capital Employed</w:t>
      </w:r>
    </w:p>
    <w:p w14:paraId="6E8FD6EC" w14:textId="77777777" w:rsidR="004B73CC" w:rsidRDefault="004B73CC" w:rsidP="004B73CC">
      <w:r>
        <w:t>LR: Liquidity Ratios</w:t>
      </w:r>
    </w:p>
    <w:p w14:paraId="1F34FB7F" w14:textId="3E673D21" w:rsidR="004B73CC" w:rsidRDefault="004B73CC" w:rsidP="004B73CC">
      <w:r>
        <w:t>CR: Current Ratio</w:t>
      </w:r>
    </w:p>
    <w:p w14:paraId="4EA0F002" w14:textId="19A0FD39" w:rsidR="004B73CC" w:rsidRDefault="004B73CC" w:rsidP="004B73CC">
      <w:r>
        <w:t>QR: Quick Ratio</w:t>
      </w:r>
    </w:p>
    <w:p w14:paraId="0F245166" w14:textId="77777777" w:rsidR="004B73CC" w:rsidRDefault="004B73CC" w:rsidP="004B73CC">
      <w:r>
        <w:t>ER: Efficiency Ratios</w:t>
      </w:r>
    </w:p>
    <w:p w14:paraId="7F537344" w14:textId="77777777" w:rsidR="004B73CC" w:rsidRDefault="004B73CC" w:rsidP="004B73CC">
      <w:r>
        <w:t>GR: Gearing Ratios </w:t>
      </w:r>
    </w:p>
    <w:p w14:paraId="3F7A0744" w14:textId="77777777" w:rsidR="004B73CC" w:rsidRDefault="004B73CC" w:rsidP="004B73CC">
      <w:r>
        <w:t>ART: Accounts Receivable Turnover Ratio</w:t>
      </w:r>
    </w:p>
    <w:p w14:paraId="47759671" w14:textId="0BD8DE6B" w:rsidR="004B73CC" w:rsidRDefault="004B73CC" w:rsidP="004B73CC">
      <w:r>
        <w:t xml:space="preserve">ITR: </w:t>
      </w:r>
      <w:r w:rsidRPr="004B73CC">
        <w:t>Inventory turnover ratio</w:t>
      </w:r>
    </w:p>
    <w:p w14:paraId="19D97741" w14:textId="1B8CE1D0" w:rsidR="004B73CC" w:rsidRDefault="004B73CC" w:rsidP="004B73CC">
      <w:r>
        <w:t xml:space="preserve">LSG: </w:t>
      </w:r>
      <w:r w:rsidRPr="004B73CC">
        <w:t>Land Security Group plc</w:t>
      </w:r>
    </w:p>
    <w:p w14:paraId="06BFA3E9" w14:textId="52BC91DA" w:rsidR="004B73CC" w:rsidRDefault="004B73CC" w:rsidP="004B73CC">
      <w:r>
        <w:t xml:space="preserve">BLC: </w:t>
      </w:r>
      <w:r w:rsidRPr="004B73CC">
        <w:t>British Land co. Plc</w:t>
      </w:r>
    </w:p>
    <w:p w14:paraId="67EA8264" w14:textId="21FFEA3B" w:rsidR="004B73CC" w:rsidRDefault="004B73CC" w:rsidP="004B73CC">
      <w:r>
        <w:t xml:space="preserve">BGH: </w:t>
      </w:r>
      <w:r w:rsidRPr="004B73CC">
        <w:t>Berkeley Group Holdings Plc</w:t>
      </w:r>
    </w:p>
    <w:p w14:paraId="0AC37E4D" w14:textId="77777777" w:rsidR="000D49D6" w:rsidRDefault="000D49D6">
      <w:pPr>
        <w:rPr>
          <w:b/>
          <w:sz w:val="28"/>
          <w:szCs w:val="28"/>
        </w:rPr>
      </w:pPr>
      <w:r>
        <w:br w:type="page"/>
      </w:r>
    </w:p>
    <w:sdt>
      <w:sdtPr>
        <w:rPr>
          <w:rFonts w:ascii="Times New Roman" w:eastAsia="Times New Roman" w:hAnsi="Times New Roman" w:cs="Times New Roman"/>
          <w:color w:val="auto"/>
          <w:sz w:val="24"/>
          <w:szCs w:val="24"/>
          <w:lang w:val=""/>
        </w:rPr>
        <w:id w:val="-1094773459"/>
        <w:docPartObj>
          <w:docPartGallery w:val="Table of Contents"/>
          <w:docPartUnique/>
        </w:docPartObj>
      </w:sdtPr>
      <w:sdtEndPr>
        <w:rPr>
          <w:b/>
          <w:bCs/>
          <w:noProof/>
        </w:rPr>
      </w:sdtEndPr>
      <w:sdtContent>
        <w:p w14:paraId="11F4C885" w14:textId="225F98E6" w:rsidR="004B73CC" w:rsidRPr="004B73CC" w:rsidRDefault="004B73CC" w:rsidP="004B73CC">
          <w:pPr>
            <w:pStyle w:val="TOCHeading"/>
            <w:jc w:val="center"/>
            <w:rPr>
              <w:rFonts w:ascii="Times New Roman" w:hAnsi="Times New Roman" w:cs="Times New Roman"/>
              <w:b/>
              <w:bCs/>
              <w:color w:val="auto"/>
              <w:sz w:val="28"/>
              <w:szCs w:val="28"/>
            </w:rPr>
          </w:pPr>
          <w:r w:rsidRPr="004B73CC">
            <w:rPr>
              <w:rFonts w:ascii="Times New Roman" w:hAnsi="Times New Roman" w:cs="Times New Roman"/>
              <w:b/>
              <w:bCs/>
              <w:color w:val="auto"/>
              <w:sz w:val="28"/>
              <w:szCs w:val="28"/>
            </w:rPr>
            <w:t>Table of Contents</w:t>
          </w:r>
        </w:p>
        <w:p w14:paraId="7F4A905C" w14:textId="05FC2B70" w:rsidR="00D8566A" w:rsidRDefault="004B73CC">
          <w:pPr>
            <w:pStyle w:val="TOC1"/>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75064137" w:history="1">
            <w:r w:rsidR="00D8566A" w:rsidRPr="00467FF9">
              <w:rPr>
                <w:rStyle w:val="Hyperlink"/>
                <w:noProof/>
              </w:rPr>
              <w:t>Part A). Introduction</w:t>
            </w:r>
            <w:r w:rsidR="00D8566A">
              <w:rPr>
                <w:noProof/>
                <w:webHidden/>
              </w:rPr>
              <w:tab/>
            </w:r>
            <w:r w:rsidR="00D8566A">
              <w:rPr>
                <w:noProof/>
                <w:webHidden/>
              </w:rPr>
              <w:fldChar w:fldCharType="begin"/>
            </w:r>
            <w:r w:rsidR="00D8566A">
              <w:rPr>
                <w:noProof/>
                <w:webHidden/>
              </w:rPr>
              <w:instrText xml:space="preserve"> PAGEREF _Toc175064137 \h </w:instrText>
            </w:r>
            <w:r w:rsidR="00D8566A">
              <w:rPr>
                <w:noProof/>
                <w:webHidden/>
              </w:rPr>
            </w:r>
            <w:r w:rsidR="00D8566A">
              <w:rPr>
                <w:noProof/>
                <w:webHidden/>
              </w:rPr>
              <w:fldChar w:fldCharType="separate"/>
            </w:r>
            <w:r w:rsidR="00D8566A">
              <w:rPr>
                <w:noProof/>
                <w:webHidden/>
              </w:rPr>
              <w:t>4</w:t>
            </w:r>
            <w:r w:rsidR="00D8566A">
              <w:rPr>
                <w:noProof/>
                <w:webHidden/>
              </w:rPr>
              <w:fldChar w:fldCharType="end"/>
            </w:r>
          </w:hyperlink>
        </w:p>
        <w:p w14:paraId="6A911700" w14:textId="2CA2B283"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38" w:history="1">
            <w:r w:rsidR="00D8566A" w:rsidRPr="00467FF9">
              <w:rPr>
                <w:rStyle w:val="Hyperlink"/>
                <w:noProof/>
                <w:lang w:val="en-US"/>
              </w:rPr>
              <w:t>Brief history of Land Securities Group plc</w:t>
            </w:r>
            <w:r w:rsidR="00D8566A">
              <w:rPr>
                <w:noProof/>
                <w:webHidden/>
              </w:rPr>
              <w:tab/>
            </w:r>
            <w:r w:rsidR="00D8566A">
              <w:rPr>
                <w:noProof/>
                <w:webHidden/>
              </w:rPr>
              <w:fldChar w:fldCharType="begin"/>
            </w:r>
            <w:r w:rsidR="00D8566A">
              <w:rPr>
                <w:noProof/>
                <w:webHidden/>
              </w:rPr>
              <w:instrText xml:space="preserve"> PAGEREF _Toc175064138 \h </w:instrText>
            </w:r>
            <w:r w:rsidR="00D8566A">
              <w:rPr>
                <w:noProof/>
                <w:webHidden/>
              </w:rPr>
            </w:r>
            <w:r w:rsidR="00D8566A">
              <w:rPr>
                <w:noProof/>
                <w:webHidden/>
              </w:rPr>
              <w:fldChar w:fldCharType="separate"/>
            </w:r>
            <w:r w:rsidR="00D8566A">
              <w:rPr>
                <w:noProof/>
                <w:webHidden/>
              </w:rPr>
              <w:t>4</w:t>
            </w:r>
            <w:r w:rsidR="00D8566A">
              <w:rPr>
                <w:noProof/>
                <w:webHidden/>
              </w:rPr>
              <w:fldChar w:fldCharType="end"/>
            </w:r>
          </w:hyperlink>
        </w:p>
        <w:p w14:paraId="5B2C4552" w14:textId="3158CD50"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39" w:history="1">
            <w:r w:rsidR="00D8566A" w:rsidRPr="00467FF9">
              <w:rPr>
                <w:rStyle w:val="Hyperlink"/>
                <w:noProof/>
                <w:lang w:val="en-US"/>
              </w:rPr>
              <w:t>Market place</w:t>
            </w:r>
            <w:r w:rsidR="00D8566A">
              <w:rPr>
                <w:noProof/>
                <w:webHidden/>
              </w:rPr>
              <w:tab/>
            </w:r>
            <w:r w:rsidR="00D8566A">
              <w:rPr>
                <w:noProof/>
                <w:webHidden/>
              </w:rPr>
              <w:fldChar w:fldCharType="begin"/>
            </w:r>
            <w:r w:rsidR="00D8566A">
              <w:rPr>
                <w:noProof/>
                <w:webHidden/>
              </w:rPr>
              <w:instrText xml:space="preserve"> PAGEREF _Toc175064139 \h </w:instrText>
            </w:r>
            <w:r w:rsidR="00D8566A">
              <w:rPr>
                <w:noProof/>
                <w:webHidden/>
              </w:rPr>
            </w:r>
            <w:r w:rsidR="00D8566A">
              <w:rPr>
                <w:noProof/>
                <w:webHidden/>
              </w:rPr>
              <w:fldChar w:fldCharType="separate"/>
            </w:r>
            <w:r w:rsidR="00D8566A">
              <w:rPr>
                <w:noProof/>
                <w:webHidden/>
              </w:rPr>
              <w:t>4</w:t>
            </w:r>
            <w:r w:rsidR="00D8566A">
              <w:rPr>
                <w:noProof/>
                <w:webHidden/>
              </w:rPr>
              <w:fldChar w:fldCharType="end"/>
            </w:r>
          </w:hyperlink>
        </w:p>
        <w:p w14:paraId="4C6C5153" w14:textId="311A7EC9"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0" w:history="1">
            <w:r w:rsidR="00D8566A" w:rsidRPr="00467FF9">
              <w:rPr>
                <w:rStyle w:val="Hyperlink"/>
                <w:noProof/>
                <w:lang w:val="en-US"/>
              </w:rPr>
              <w:t>Major competitor(s)</w:t>
            </w:r>
            <w:r w:rsidR="00D8566A">
              <w:rPr>
                <w:noProof/>
                <w:webHidden/>
              </w:rPr>
              <w:tab/>
            </w:r>
            <w:r w:rsidR="00D8566A">
              <w:rPr>
                <w:noProof/>
                <w:webHidden/>
              </w:rPr>
              <w:fldChar w:fldCharType="begin"/>
            </w:r>
            <w:r w:rsidR="00D8566A">
              <w:rPr>
                <w:noProof/>
                <w:webHidden/>
              </w:rPr>
              <w:instrText xml:space="preserve"> PAGEREF _Toc175064140 \h </w:instrText>
            </w:r>
            <w:r w:rsidR="00D8566A">
              <w:rPr>
                <w:noProof/>
                <w:webHidden/>
              </w:rPr>
            </w:r>
            <w:r w:rsidR="00D8566A">
              <w:rPr>
                <w:noProof/>
                <w:webHidden/>
              </w:rPr>
              <w:fldChar w:fldCharType="separate"/>
            </w:r>
            <w:r w:rsidR="00D8566A">
              <w:rPr>
                <w:noProof/>
                <w:webHidden/>
              </w:rPr>
              <w:t>4</w:t>
            </w:r>
            <w:r w:rsidR="00D8566A">
              <w:rPr>
                <w:noProof/>
                <w:webHidden/>
              </w:rPr>
              <w:fldChar w:fldCharType="end"/>
            </w:r>
          </w:hyperlink>
        </w:p>
        <w:p w14:paraId="7278C4A0" w14:textId="7ECE3E24"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1" w:history="1">
            <w:r w:rsidR="00D8566A" w:rsidRPr="00467FF9">
              <w:rPr>
                <w:rStyle w:val="Hyperlink"/>
                <w:noProof/>
                <w:lang w:val="en-US"/>
              </w:rPr>
              <w:t>Major recent events over the past five years</w:t>
            </w:r>
            <w:r w:rsidR="00D8566A">
              <w:rPr>
                <w:noProof/>
                <w:webHidden/>
              </w:rPr>
              <w:tab/>
            </w:r>
            <w:r w:rsidR="00D8566A">
              <w:rPr>
                <w:noProof/>
                <w:webHidden/>
              </w:rPr>
              <w:fldChar w:fldCharType="begin"/>
            </w:r>
            <w:r w:rsidR="00D8566A">
              <w:rPr>
                <w:noProof/>
                <w:webHidden/>
              </w:rPr>
              <w:instrText xml:space="preserve"> PAGEREF _Toc175064141 \h </w:instrText>
            </w:r>
            <w:r w:rsidR="00D8566A">
              <w:rPr>
                <w:noProof/>
                <w:webHidden/>
              </w:rPr>
            </w:r>
            <w:r w:rsidR="00D8566A">
              <w:rPr>
                <w:noProof/>
                <w:webHidden/>
              </w:rPr>
              <w:fldChar w:fldCharType="separate"/>
            </w:r>
            <w:r w:rsidR="00D8566A">
              <w:rPr>
                <w:noProof/>
                <w:webHidden/>
              </w:rPr>
              <w:t>5</w:t>
            </w:r>
            <w:r w:rsidR="00D8566A">
              <w:rPr>
                <w:noProof/>
                <w:webHidden/>
              </w:rPr>
              <w:fldChar w:fldCharType="end"/>
            </w:r>
          </w:hyperlink>
        </w:p>
        <w:p w14:paraId="1E1C2869" w14:textId="32AA5275" w:rsidR="00D8566A" w:rsidRDefault="00571944">
          <w:pPr>
            <w:pStyle w:val="TOC1"/>
            <w:tabs>
              <w:tab w:val="right" w:leader="dot" w:pos="9019"/>
            </w:tabs>
            <w:rPr>
              <w:rFonts w:asciiTheme="minorHAnsi" w:eastAsiaTheme="minorEastAsia" w:hAnsiTheme="minorHAnsi" w:cstheme="minorBidi"/>
              <w:noProof/>
              <w:sz w:val="22"/>
              <w:szCs w:val="22"/>
              <w:lang w:val="en-IN" w:eastAsia="en-IN"/>
            </w:rPr>
          </w:pPr>
          <w:hyperlink w:anchor="_Toc175064142" w:history="1">
            <w:r w:rsidR="00D8566A" w:rsidRPr="00467FF9">
              <w:rPr>
                <w:rStyle w:val="Hyperlink"/>
                <w:noProof/>
              </w:rPr>
              <w:t>Part B). Financial performance review</w:t>
            </w:r>
            <w:r w:rsidR="00D8566A">
              <w:rPr>
                <w:noProof/>
                <w:webHidden/>
              </w:rPr>
              <w:tab/>
            </w:r>
            <w:r w:rsidR="00D8566A">
              <w:rPr>
                <w:noProof/>
                <w:webHidden/>
              </w:rPr>
              <w:fldChar w:fldCharType="begin"/>
            </w:r>
            <w:r w:rsidR="00D8566A">
              <w:rPr>
                <w:noProof/>
                <w:webHidden/>
              </w:rPr>
              <w:instrText xml:space="preserve"> PAGEREF _Toc175064142 \h </w:instrText>
            </w:r>
            <w:r w:rsidR="00D8566A">
              <w:rPr>
                <w:noProof/>
                <w:webHidden/>
              </w:rPr>
            </w:r>
            <w:r w:rsidR="00D8566A">
              <w:rPr>
                <w:noProof/>
                <w:webHidden/>
              </w:rPr>
              <w:fldChar w:fldCharType="separate"/>
            </w:r>
            <w:r w:rsidR="00D8566A">
              <w:rPr>
                <w:noProof/>
                <w:webHidden/>
              </w:rPr>
              <w:t>5</w:t>
            </w:r>
            <w:r w:rsidR="00D8566A">
              <w:rPr>
                <w:noProof/>
                <w:webHidden/>
              </w:rPr>
              <w:fldChar w:fldCharType="end"/>
            </w:r>
          </w:hyperlink>
        </w:p>
        <w:p w14:paraId="39470868" w14:textId="281D87D8"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3" w:history="1">
            <w:r w:rsidR="00D8566A" w:rsidRPr="00467FF9">
              <w:rPr>
                <w:rStyle w:val="Hyperlink"/>
                <w:noProof/>
              </w:rPr>
              <w:t>Ratio analysis</w:t>
            </w:r>
            <w:r w:rsidR="00D8566A">
              <w:rPr>
                <w:noProof/>
                <w:webHidden/>
              </w:rPr>
              <w:tab/>
            </w:r>
            <w:r w:rsidR="00D8566A">
              <w:rPr>
                <w:noProof/>
                <w:webHidden/>
              </w:rPr>
              <w:fldChar w:fldCharType="begin"/>
            </w:r>
            <w:r w:rsidR="00D8566A">
              <w:rPr>
                <w:noProof/>
                <w:webHidden/>
              </w:rPr>
              <w:instrText xml:space="preserve"> PAGEREF _Toc175064143 \h </w:instrText>
            </w:r>
            <w:r w:rsidR="00D8566A">
              <w:rPr>
                <w:noProof/>
                <w:webHidden/>
              </w:rPr>
            </w:r>
            <w:r w:rsidR="00D8566A">
              <w:rPr>
                <w:noProof/>
                <w:webHidden/>
              </w:rPr>
              <w:fldChar w:fldCharType="separate"/>
            </w:r>
            <w:r w:rsidR="00D8566A">
              <w:rPr>
                <w:noProof/>
                <w:webHidden/>
              </w:rPr>
              <w:t>5</w:t>
            </w:r>
            <w:r w:rsidR="00D8566A">
              <w:rPr>
                <w:noProof/>
                <w:webHidden/>
              </w:rPr>
              <w:fldChar w:fldCharType="end"/>
            </w:r>
          </w:hyperlink>
        </w:p>
        <w:p w14:paraId="751A4376" w14:textId="283E9D06"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4" w:history="1">
            <w:r w:rsidR="00D8566A" w:rsidRPr="00467FF9">
              <w:rPr>
                <w:rStyle w:val="Hyperlink"/>
                <w:noProof/>
              </w:rPr>
              <w:t>Comparison to major competitors</w:t>
            </w:r>
            <w:r w:rsidR="00D8566A">
              <w:rPr>
                <w:noProof/>
                <w:webHidden/>
              </w:rPr>
              <w:tab/>
            </w:r>
            <w:r w:rsidR="00D8566A">
              <w:rPr>
                <w:noProof/>
                <w:webHidden/>
              </w:rPr>
              <w:fldChar w:fldCharType="begin"/>
            </w:r>
            <w:r w:rsidR="00D8566A">
              <w:rPr>
                <w:noProof/>
                <w:webHidden/>
              </w:rPr>
              <w:instrText xml:space="preserve"> PAGEREF _Toc175064144 \h </w:instrText>
            </w:r>
            <w:r w:rsidR="00D8566A">
              <w:rPr>
                <w:noProof/>
                <w:webHidden/>
              </w:rPr>
            </w:r>
            <w:r w:rsidR="00D8566A">
              <w:rPr>
                <w:noProof/>
                <w:webHidden/>
              </w:rPr>
              <w:fldChar w:fldCharType="separate"/>
            </w:r>
            <w:r w:rsidR="00D8566A">
              <w:rPr>
                <w:noProof/>
                <w:webHidden/>
              </w:rPr>
              <w:t>11</w:t>
            </w:r>
            <w:r w:rsidR="00D8566A">
              <w:rPr>
                <w:noProof/>
                <w:webHidden/>
              </w:rPr>
              <w:fldChar w:fldCharType="end"/>
            </w:r>
          </w:hyperlink>
        </w:p>
        <w:p w14:paraId="0B9B033A" w14:textId="4A16867F"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5" w:history="1">
            <w:r w:rsidR="00D8566A" w:rsidRPr="00467FF9">
              <w:rPr>
                <w:rStyle w:val="Hyperlink"/>
                <w:noProof/>
              </w:rPr>
              <w:t>Recommendations</w:t>
            </w:r>
            <w:r w:rsidR="00D8566A">
              <w:rPr>
                <w:noProof/>
                <w:webHidden/>
              </w:rPr>
              <w:tab/>
            </w:r>
            <w:r w:rsidR="00D8566A">
              <w:rPr>
                <w:noProof/>
                <w:webHidden/>
              </w:rPr>
              <w:fldChar w:fldCharType="begin"/>
            </w:r>
            <w:r w:rsidR="00D8566A">
              <w:rPr>
                <w:noProof/>
                <w:webHidden/>
              </w:rPr>
              <w:instrText xml:space="preserve"> PAGEREF _Toc175064145 \h </w:instrText>
            </w:r>
            <w:r w:rsidR="00D8566A">
              <w:rPr>
                <w:noProof/>
                <w:webHidden/>
              </w:rPr>
            </w:r>
            <w:r w:rsidR="00D8566A">
              <w:rPr>
                <w:noProof/>
                <w:webHidden/>
              </w:rPr>
              <w:fldChar w:fldCharType="separate"/>
            </w:r>
            <w:r w:rsidR="00D8566A">
              <w:rPr>
                <w:noProof/>
                <w:webHidden/>
              </w:rPr>
              <w:t>14</w:t>
            </w:r>
            <w:r w:rsidR="00D8566A">
              <w:rPr>
                <w:noProof/>
                <w:webHidden/>
              </w:rPr>
              <w:fldChar w:fldCharType="end"/>
            </w:r>
          </w:hyperlink>
        </w:p>
        <w:p w14:paraId="54D77733" w14:textId="50399DAF" w:rsidR="00D8566A" w:rsidRDefault="00571944">
          <w:pPr>
            <w:pStyle w:val="TOC1"/>
            <w:tabs>
              <w:tab w:val="right" w:leader="dot" w:pos="9019"/>
            </w:tabs>
            <w:rPr>
              <w:rFonts w:asciiTheme="minorHAnsi" w:eastAsiaTheme="minorEastAsia" w:hAnsiTheme="minorHAnsi" w:cstheme="minorBidi"/>
              <w:noProof/>
              <w:sz w:val="22"/>
              <w:szCs w:val="22"/>
              <w:lang w:val="en-IN" w:eastAsia="en-IN"/>
            </w:rPr>
          </w:pPr>
          <w:hyperlink w:anchor="_Toc175064146" w:history="1">
            <w:r w:rsidR="00D8566A" w:rsidRPr="00467FF9">
              <w:rPr>
                <w:rStyle w:val="Hyperlink"/>
                <w:noProof/>
              </w:rPr>
              <w:t>Part C). Investment appraisal</w:t>
            </w:r>
            <w:r w:rsidR="00D8566A">
              <w:rPr>
                <w:noProof/>
                <w:webHidden/>
              </w:rPr>
              <w:tab/>
            </w:r>
            <w:r w:rsidR="00D8566A">
              <w:rPr>
                <w:noProof/>
                <w:webHidden/>
              </w:rPr>
              <w:fldChar w:fldCharType="begin"/>
            </w:r>
            <w:r w:rsidR="00D8566A">
              <w:rPr>
                <w:noProof/>
                <w:webHidden/>
              </w:rPr>
              <w:instrText xml:space="preserve"> PAGEREF _Toc175064146 \h </w:instrText>
            </w:r>
            <w:r w:rsidR="00D8566A">
              <w:rPr>
                <w:noProof/>
                <w:webHidden/>
              </w:rPr>
            </w:r>
            <w:r w:rsidR="00D8566A">
              <w:rPr>
                <w:noProof/>
                <w:webHidden/>
              </w:rPr>
              <w:fldChar w:fldCharType="separate"/>
            </w:r>
            <w:r w:rsidR="00D8566A">
              <w:rPr>
                <w:noProof/>
                <w:webHidden/>
              </w:rPr>
              <w:t>16</w:t>
            </w:r>
            <w:r w:rsidR="00D8566A">
              <w:rPr>
                <w:noProof/>
                <w:webHidden/>
              </w:rPr>
              <w:fldChar w:fldCharType="end"/>
            </w:r>
          </w:hyperlink>
        </w:p>
        <w:p w14:paraId="6904C308" w14:textId="607F3BB4"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7" w:history="1">
            <w:r w:rsidR="00D8566A" w:rsidRPr="00467FF9">
              <w:rPr>
                <w:rStyle w:val="Hyperlink"/>
                <w:noProof/>
                <w:lang w:val="en-US"/>
              </w:rPr>
              <w:t>Calculation of investment appraisal techniques</w:t>
            </w:r>
            <w:r w:rsidR="00D8566A">
              <w:rPr>
                <w:noProof/>
                <w:webHidden/>
              </w:rPr>
              <w:tab/>
            </w:r>
            <w:r w:rsidR="00D8566A">
              <w:rPr>
                <w:noProof/>
                <w:webHidden/>
              </w:rPr>
              <w:fldChar w:fldCharType="begin"/>
            </w:r>
            <w:r w:rsidR="00D8566A">
              <w:rPr>
                <w:noProof/>
                <w:webHidden/>
              </w:rPr>
              <w:instrText xml:space="preserve"> PAGEREF _Toc175064147 \h </w:instrText>
            </w:r>
            <w:r w:rsidR="00D8566A">
              <w:rPr>
                <w:noProof/>
                <w:webHidden/>
              </w:rPr>
            </w:r>
            <w:r w:rsidR="00D8566A">
              <w:rPr>
                <w:noProof/>
                <w:webHidden/>
              </w:rPr>
              <w:fldChar w:fldCharType="separate"/>
            </w:r>
            <w:r w:rsidR="00D8566A">
              <w:rPr>
                <w:noProof/>
                <w:webHidden/>
              </w:rPr>
              <w:t>16</w:t>
            </w:r>
            <w:r w:rsidR="00D8566A">
              <w:rPr>
                <w:noProof/>
                <w:webHidden/>
              </w:rPr>
              <w:fldChar w:fldCharType="end"/>
            </w:r>
          </w:hyperlink>
        </w:p>
        <w:p w14:paraId="76BAEC22" w14:textId="5AFA3FC0"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8" w:history="1">
            <w:r w:rsidR="00D8566A" w:rsidRPr="00467FF9">
              <w:rPr>
                <w:rStyle w:val="Hyperlink"/>
                <w:noProof/>
                <w:lang w:val="en-US"/>
              </w:rPr>
              <w:t>Result evaluation</w:t>
            </w:r>
            <w:r w:rsidR="00D8566A">
              <w:rPr>
                <w:noProof/>
                <w:webHidden/>
              </w:rPr>
              <w:tab/>
            </w:r>
            <w:r w:rsidR="00D8566A">
              <w:rPr>
                <w:noProof/>
                <w:webHidden/>
              </w:rPr>
              <w:fldChar w:fldCharType="begin"/>
            </w:r>
            <w:r w:rsidR="00D8566A">
              <w:rPr>
                <w:noProof/>
                <w:webHidden/>
              </w:rPr>
              <w:instrText xml:space="preserve"> PAGEREF _Toc175064148 \h </w:instrText>
            </w:r>
            <w:r w:rsidR="00D8566A">
              <w:rPr>
                <w:noProof/>
                <w:webHidden/>
              </w:rPr>
            </w:r>
            <w:r w:rsidR="00D8566A">
              <w:rPr>
                <w:noProof/>
                <w:webHidden/>
              </w:rPr>
              <w:fldChar w:fldCharType="separate"/>
            </w:r>
            <w:r w:rsidR="00D8566A">
              <w:rPr>
                <w:noProof/>
                <w:webHidden/>
              </w:rPr>
              <w:t>17</w:t>
            </w:r>
            <w:r w:rsidR="00D8566A">
              <w:rPr>
                <w:noProof/>
                <w:webHidden/>
              </w:rPr>
              <w:fldChar w:fldCharType="end"/>
            </w:r>
          </w:hyperlink>
        </w:p>
        <w:p w14:paraId="7C01D992" w14:textId="682DDAD4"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49" w:history="1">
            <w:r w:rsidR="00D8566A" w:rsidRPr="00467FF9">
              <w:rPr>
                <w:rStyle w:val="Hyperlink"/>
                <w:noProof/>
                <w:lang w:val="en-US"/>
              </w:rPr>
              <w:t>Advantages and shortcomings of the investment appraisal techniques</w:t>
            </w:r>
            <w:r w:rsidR="00D8566A">
              <w:rPr>
                <w:noProof/>
                <w:webHidden/>
              </w:rPr>
              <w:tab/>
            </w:r>
            <w:r w:rsidR="00D8566A">
              <w:rPr>
                <w:noProof/>
                <w:webHidden/>
              </w:rPr>
              <w:fldChar w:fldCharType="begin"/>
            </w:r>
            <w:r w:rsidR="00D8566A">
              <w:rPr>
                <w:noProof/>
                <w:webHidden/>
              </w:rPr>
              <w:instrText xml:space="preserve"> PAGEREF _Toc175064149 \h </w:instrText>
            </w:r>
            <w:r w:rsidR="00D8566A">
              <w:rPr>
                <w:noProof/>
                <w:webHidden/>
              </w:rPr>
            </w:r>
            <w:r w:rsidR="00D8566A">
              <w:rPr>
                <w:noProof/>
                <w:webHidden/>
              </w:rPr>
              <w:fldChar w:fldCharType="separate"/>
            </w:r>
            <w:r w:rsidR="00D8566A">
              <w:rPr>
                <w:noProof/>
                <w:webHidden/>
              </w:rPr>
              <w:t>18</w:t>
            </w:r>
            <w:r w:rsidR="00D8566A">
              <w:rPr>
                <w:noProof/>
                <w:webHidden/>
              </w:rPr>
              <w:fldChar w:fldCharType="end"/>
            </w:r>
          </w:hyperlink>
        </w:p>
        <w:p w14:paraId="6E04B4BE" w14:textId="68A960A6" w:rsidR="00D8566A" w:rsidRDefault="00571944">
          <w:pPr>
            <w:pStyle w:val="TOC2"/>
            <w:tabs>
              <w:tab w:val="right" w:leader="dot" w:pos="9019"/>
            </w:tabs>
            <w:rPr>
              <w:rFonts w:asciiTheme="minorHAnsi" w:eastAsiaTheme="minorEastAsia" w:hAnsiTheme="minorHAnsi" w:cstheme="minorBidi"/>
              <w:noProof/>
              <w:sz w:val="22"/>
              <w:szCs w:val="22"/>
              <w:lang w:val="en-IN" w:eastAsia="en-IN"/>
            </w:rPr>
          </w:pPr>
          <w:hyperlink w:anchor="_Toc175064150" w:history="1">
            <w:r w:rsidR="00D8566A" w:rsidRPr="00467FF9">
              <w:rPr>
                <w:rStyle w:val="Hyperlink"/>
                <w:noProof/>
                <w:lang w:val="en-US"/>
              </w:rPr>
              <w:t>Non-financial factors required to be considered</w:t>
            </w:r>
            <w:r w:rsidR="00D8566A">
              <w:rPr>
                <w:noProof/>
                <w:webHidden/>
              </w:rPr>
              <w:tab/>
            </w:r>
            <w:r w:rsidR="00D8566A">
              <w:rPr>
                <w:noProof/>
                <w:webHidden/>
              </w:rPr>
              <w:fldChar w:fldCharType="begin"/>
            </w:r>
            <w:r w:rsidR="00D8566A">
              <w:rPr>
                <w:noProof/>
                <w:webHidden/>
              </w:rPr>
              <w:instrText xml:space="preserve"> PAGEREF _Toc175064150 \h </w:instrText>
            </w:r>
            <w:r w:rsidR="00D8566A">
              <w:rPr>
                <w:noProof/>
                <w:webHidden/>
              </w:rPr>
            </w:r>
            <w:r w:rsidR="00D8566A">
              <w:rPr>
                <w:noProof/>
                <w:webHidden/>
              </w:rPr>
              <w:fldChar w:fldCharType="separate"/>
            </w:r>
            <w:r w:rsidR="00D8566A">
              <w:rPr>
                <w:noProof/>
                <w:webHidden/>
              </w:rPr>
              <w:t>20</w:t>
            </w:r>
            <w:r w:rsidR="00D8566A">
              <w:rPr>
                <w:noProof/>
                <w:webHidden/>
              </w:rPr>
              <w:fldChar w:fldCharType="end"/>
            </w:r>
          </w:hyperlink>
        </w:p>
        <w:p w14:paraId="4596BCDB" w14:textId="1D675572" w:rsidR="00D8566A" w:rsidRDefault="00571944">
          <w:pPr>
            <w:pStyle w:val="TOC1"/>
            <w:tabs>
              <w:tab w:val="right" w:leader="dot" w:pos="9019"/>
            </w:tabs>
            <w:rPr>
              <w:rFonts w:asciiTheme="minorHAnsi" w:eastAsiaTheme="minorEastAsia" w:hAnsiTheme="minorHAnsi" w:cstheme="minorBidi"/>
              <w:noProof/>
              <w:sz w:val="22"/>
              <w:szCs w:val="22"/>
              <w:lang w:val="en-IN" w:eastAsia="en-IN"/>
            </w:rPr>
          </w:pPr>
          <w:hyperlink w:anchor="_Toc175064151" w:history="1">
            <w:r w:rsidR="00D8566A" w:rsidRPr="00467FF9">
              <w:rPr>
                <w:rStyle w:val="Hyperlink"/>
                <w:noProof/>
              </w:rPr>
              <w:t>Reference List:</w:t>
            </w:r>
            <w:r w:rsidR="00D8566A">
              <w:rPr>
                <w:noProof/>
                <w:webHidden/>
              </w:rPr>
              <w:tab/>
            </w:r>
            <w:r w:rsidR="00D8566A">
              <w:rPr>
                <w:noProof/>
                <w:webHidden/>
              </w:rPr>
              <w:fldChar w:fldCharType="begin"/>
            </w:r>
            <w:r w:rsidR="00D8566A">
              <w:rPr>
                <w:noProof/>
                <w:webHidden/>
              </w:rPr>
              <w:instrText xml:space="preserve"> PAGEREF _Toc175064151 \h </w:instrText>
            </w:r>
            <w:r w:rsidR="00D8566A">
              <w:rPr>
                <w:noProof/>
                <w:webHidden/>
              </w:rPr>
            </w:r>
            <w:r w:rsidR="00D8566A">
              <w:rPr>
                <w:noProof/>
                <w:webHidden/>
              </w:rPr>
              <w:fldChar w:fldCharType="separate"/>
            </w:r>
            <w:r w:rsidR="00D8566A">
              <w:rPr>
                <w:noProof/>
                <w:webHidden/>
              </w:rPr>
              <w:t>21</w:t>
            </w:r>
            <w:r w:rsidR="00D8566A">
              <w:rPr>
                <w:noProof/>
                <w:webHidden/>
              </w:rPr>
              <w:fldChar w:fldCharType="end"/>
            </w:r>
          </w:hyperlink>
        </w:p>
        <w:p w14:paraId="76BD5D6C" w14:textId="3D870153" w:rsidR="004B73CC" w:rsidRDefault="004B73CC">
          <w:r>
            <w:rPr>
              <w:b/>
              <w:bCs/>
              <w:noProof/>
            </w:rPr>
            <w:fldChar w:fldCharType="end"/>
          </w:r>
        </w:p>
      </w:sdtContent>
    </w:sdt>
    <w:p w14:paraId="562D7C8F" w14:textId="77777777" w:rsidR="000D49D6" w:rsidRDefault="000D49D6">
      <w:pPr>
        <w:rPr>
          <w:b/>
          <w:sz w:val="28"/>
          <w:szCs w:val="28"/>
        </w:rPr>
      </w:pPr>
      <w:r>
        <w:br w:type="page"/>
      </w:r>
    </w:p>
    <w:p w14:paraId="00000001" w14:textId="5FC76600" w:rsidR="00E929E3" w:rsidRDefault="00FF6EAE" w:rsidP="000D49D6">
      <w:pPr>
        <w:pStyle w:val="Heading1"/>
      </w:pPr>
      <w:bookmarkStart w:id="0" w:name="_Toc175064137"/>
      <w:r w:rsidRPr="000D49D6">
        <w:t>Part A). Introduction</w:t>
      </w:r>
      <w:bookmarkEnd w:id="0"/>
    </w:p>
    <w:p w14:paraId="598D5F41" w14:textId="77777777" w:rsidR="00DD471C" w:rsidRDefault="00DD471C" w:rsidP="00DD471C">
      <w:pPr>
        <w:pStyle w:val="Heading2"/>
        <w:rPr>
          <w:lang w:val="en-US"/>
        </w:rPr>
      </w:pPr>
      <w:bookmarkStart w:id="1" w:name="_Toc175064138"/>
      <w:r>
        <w:rPr>
          <w:lang w:val="en-US"/>
        </w:rPr>
        <w:t>Brief history of Land Securities Group plc</w:t>
      </w:r>
      <w:bookmarkEnd w:id="1"/>
    </w:p>
    <w:p w14:paraId="1F8C265E" w14:textId="77777777" w:rsidR="00DD471C" w:rsidRPr="0091030D" w:rsidRDefault="00DD471C" w:rsidP="00DD471C">
      <w:pPr>
        <w:rPr>
          <w:lang w:val="en-US"/>
        </w:rPr>
      </w:pPr>
      <w:r w:rsidRPr="002F58DB">
        <w:rPr>
          <w:lang w:val="en-US"/>
        </w:rPr>
        <w:t>Land Security Group PLC, which is also known as Landsec, is considered to be the largest company operating within the industry of commercial property development and investment within the UK. In Association with the diversified portfolio that is required across residential properties and retail, the company has contributed severely in terms of shaping the urban landscape within major cities like London. The company was initially founded in 1944 by Harold Samuel and has been emphasising residential properties</w:t>
      </w:r>
      <w:r>
        <w:rPr>
          <w:lang w:val="en-US"/>
        </w:rPr>
        <w:t xml:space="preserve"> (</w:t>
      </w:r>
      <w:r w:rsidRPr="0019555D">
        <w:rPr>
          <w:color w:val="222222"/>
          <w:shd w:val="clear" w:color="auto" w:fill="FFFFFF"/>
        </w:rPr>
        <w:t>Landsec</w:t>
      </w:r>
      <w:r>
        <w:rPr>
          <w:color w:val="222222"/>
          <w:shd w:val="clear" w:color="auto" w:fill="FFFFFF"/>
        </w:rPr>
        <w:t>,</w:t>
      </w:r>
      <w:r w:rsidRPr="0019555D">
        <w:rPr>
          <w:color w:val="222222"/>
          <w:shd w:val="clear" w:color="auto" w:fill="FFFFFF"/>
        </w:rPr>
        <w:t xml:space="preserve"> 2023</w:t>
      </w:r>
      <w:r>
        <w:rPr>
          <w:color w:val="222222"/>
          <w:shd w:val="clear" w:color="auto" w:fill="FFFFFF"/>
        </w:rPr>
        <w:t>)</w:t>
      </w:r>
      <w:r w:rsidRPr="002F58DB">
        <w:rPr>
          <w:lang w:val="en-US"/>
        </w:rPr>
        <w:t>. In the past years, the company has shifted its area from residential property to Commercial real estate by attaining the position of a public company by 1959. In history, Land Security Group Plc have also been included in several Landmark projects, including the formation of London properties comprising the Piccadilly life regeneration of Victoria and one new change. The company has introduced a strong commitment towards sustainable practices, development projects, and strategic acquisition.</w:t>
      </w:r>
    </w:p>
    <w:p w14:paraId="5EA8B140" w14:textId="77777777" w:rsidR="00DD471C" w:rsidRDefault="00DD471C" w:rsidP="00DD471C">
      <w:pPr>
        <w:pStyle w:val="Heading2"/>
        <w:rPr>
          <w:lang w:val="en-US"/>
        </w:rPr>
      </w:pPr>
      <w:bookmarkStart w:id="2" w:name="_Toc175064139"/>
      <w:r>
        <w:rPr>
          <w:lang w:val="en-US"/>
        </w:rPr>
        <w:t>M</w:t>
      </w:r>
      <w:r w:rsidRPr="00B0582F">
        <w:rPr>
          <w:lang w:val="en-US"/>
        </w:rPr>
        <w:t>arket place</w:t>
      </w:r>
      <w:bookmarkEnd w:id="2"/>
    </w:p>
    <w:p w14:paraId="08A4BA92" w14:textId="77777777" w:rsidR="00DD471C" w:rsidRPr="002F58DB" w:rsidRDefault="00DD471C" w:rsidP="00DD471C">
      <w:pPr>
        <w:rPr>
          <w:lang w:val="en-US"/>
        </w:rPr>
      </w:pPr>
      <w:r w:rsidRPr="002F58DB">
        <w:rPr>
          <w:lang w:val="en-US"/>
        </w:rPr>
        <w:t>The land security group PLC has been operating within the real estate market for commercial purposes within the UK with focuses explicitly on the development of retail properties, Open Spaces, and mixed-use development.  The features provided by the company are mainly located around the urban regions where it has high demand, including that of London and other major cities</w:t>
      </w:r>
      <w:r>
        <w:rPr>
          <w:lang w:val="en-US"/>
        </w:rPr>
        <w:t xml:space="preserve"> (</w:t>
      </w:r>
      <w:r w:rsidRPr="0019555D">
        <w:rPr>
          <w:color w:val="222222"/>
          <w:shd w:val="clear" w:color="auto" w:fill="FFFFFF"/>
        </w:rPr>
        <w:t>Gov.uk</w:t>
      </w:r>
      <w:r>
        <w:rPr>
          <w:color w:val="222222"/>
          <w:shd w:val="clear" w:color="auto" w:fill="FFFFFF"/>
        </w:rPr>
        <w:t>,</w:t>
      </w:r>
      <w:r w:rsidRPr="0019555D">
        <w:rPr>
          <w:color w:val="222222"/>
          <w:shd w:val="clear" w:color="auto" w:fill="FFFFFF"/>
        </w:rPr>
        <w:t xml:space="preserve"> 2024</w:t>
      </w:r>
      <w:r>
        <w:rPr>
          <w:color w:val="222222"/>
          <w:shd w:val="clear" w:color="auto" w:fill="FFFFFF"/>
        </w:rPr>
        <w:t>)</w:t>
      </w:r>
      <w:r w:rsidRPr="002F58DB">
        <w:rPr>
          <w:lang w:val="en-US"/>
        </w:rPr>
        <w:t>. The real estate market of the UK also features by cyclic nature, which shows significant demand for small spaces and offices, thereby fluctuating significantly in terms of economic condition. The company has demonstrated considerable adaptation to these changes in terms of investing in flexible and sustainable work spaces along with portfolio diversification.</w:t>
      </w:r>
    </w:p>
    <w:p w14:paraId="3296301B" w14:textId="77777777" w:rsidR="00DD471C" w:rsidRDefault="00DD471C" w:rsidP="00DD471C">
      <w:pPr>
        <w:pStyle w:val="Heading2"/>
        <w:rPr>
          <w:lang w:val="en-US"/>
        </w:rPr>
      </w:pPr>
      <w:bookmarkStart w:id="3" w:name="_Toc175064140"/>
      <w:r>
        <w:rPr>
          <w:lang w:val="en-US"/>
        </w:rPr>
        <w:t>M</w:t>
      </w:r>
      <w:r w:rsidRPr="00B0582F">
        <w:rPr>
          <w:lang w:val="en-US"/>
        </w:rPr>
        <w:t>ajor</w:t>
      </w:r>
      <w:r>
        <w:rPr>
          <w:lang w:val="en-US"/>
        </w:rPr>
        <w:t xml:space="preserve"> </w:t>
      </w:r>
      <w:r w:rsidRPr="00B0582F">
        <w:rPr>
          <w:lang w:val="en-US"/>
        </w:rPr>
        <w:t>competitor(s)</w:t>
      </w:r>
      <w:bookmarkEnd w:id="3"/>
    </w:p>
    <w:p w14:paraId="46C05712" w14:textId="77777777" w:rsidR="00DD471C" w:rsidRPr="002F58DB" w:rsidRDefault="00DD471C" w:rsidP="00DD471C">
      <w:pPr>
        <w:rPr>
          <w:lang w:val="en-US"/>
        </w:rPr>
      </w:pPr>
      <w:r w:rsidRPr="002F58DB">
        <w:rPr>
          <w:lang w:val="en-US"/>
        </w:rPr>
        <w:t>The competitors of Land Security Group PLC include British Land Co. plc, Berkeley Group Holding plc, etc</w:t>
      </w:r>
      <w:r>
        <w:rPr>
          <w:lang w:val="en-US"/>
        </w:rPr>
        <w:t xml:space="preserve"> (</w:t>
      </w:r>
      <w:r w:rsidRPr="0019555D">
        <w:rPr>
          <w:color w:val="222222"/>
          <w:shd w:val="clear" w:color="auto" w:fill="FFFFFF"/>
        </w:rPr>
        <w:t>ZoomInfo</w:t>
      </w:r>
      <w:r>
        <w:rPr>
          <w:color w:val="222222"/>
          <w:shd w:val="clear" w:color="auto" w:fill="FFFFFF"/>
        </w:rPr>
        <w:t xml:space="preserve">, </w:t>
      </w:r>
      <w:r w:rsidRPr="0019555D">
        <w:rPr>
          <w:color w:val="222222"/>
          <w:shd w:val="clear" w:color="auto" w:fill="FFFFFF"/>
        </w:rPr>
        <w:t>2024</w:t>
      </w:r>
      <w:r>
        <w:rPr>
          <w:color w:val="222222"/>
          <w:shd w:val="clear" w:color="auto" w:fill="FFFFFF"/>
        </w:rPr>
        <w:t>)</w:t>
      </w:r>
      <w:r w:rsidRPr="002F58DB">
        <w:rPr>
          <w:lang w:val="en-US"/>
        </w:rPr>
        <w:t>.</w:t>
      </w:r>
    </w:p>
    <w:p w14:paraId="5BD93085" w14:textId="77777777" w:rsidR="00DD471C" w:rsidRDefault="00DD471C" w:rsidP="00DD471C">
      <w:pPr>
        <w:pStyle w:val="Heading2"/>
        <w:rPr>
          <w:lang w:val="en-US"/>
        </w:rPr>
      </w:pPr>
      <w:bookmarkStart w:id="4" w:name="_Toc175064141"/>
      <w:r>
        <w:rPr>
          <w:lang w:val="en-US"/>
        </w:rPr>
        <w:t>M</w:t>
      </w:r>
      <w:r w:rsidRPr="00B0582F">
        <w:rPr>
          <w:lang w:val="en-US"/>
        </w:rPr>
        <w:t>ajor recent events over the past five years</w:t>
      </w:r>
      <w:bookmarkEnd w:id="4"/>
    </w:p>
    <w:p w14:paraId="36273622" w14:textId="77777777" w:rsidR="00DD471C" w:rsidRPr="003A61E0" w:rsidRDefault="00DD471C" w:rsidP="00DD471C">
      <w:pPr>
        <w:pStyle w:val="ListParagraph"/>
        <w:numPr>
          <w:ilvl w:val="0"/>
          <w:numId w:val="1"/>
        </w:numPr>
        <w:rPr>
          <w:lang w:val="en-US"/>
        </w:rPr>
      </w:pPr>
      <w:r w:rsidRPr="003A61E0">
        <w:rPr>
          <w:lang w:val="en-US"/>
        </w:rPr>
        <w:t>The significant events that the company has experienced in recent times include Star the Land Security Group plc, which has intensified its emphasis on the sustainability aspect, thereby launching fresh sustainability strategies by 2021 in terms of attaining its ambitious target of reaching the need for zero carbon emission by 2030.</w:t>
      </w:r>
    </w:p>
    <w:p w14:paraId="19548BB3" w14:textId="77777777" w:rsidR="00DD471C" w:rsidRPr="003A61E0" w:rsidRDefault="00DD471C" w:rsidP="00DD471C">
      <w:pPr>
        <w:pStyle w:val="ListParagraph"/>
        <w:numPr>
          <w:ilvl w:val="0"/>
          <w:numId w:val="1"/>
        </w:numPr>
        <w:rPr>
          <w:lang w:val="en-US"/>
        </w:rPr>
      </w:pPr>
      <w:r w:rsidRPr="003A61E0">
        <w:rPr>
          <w:lang w:val="en-US"/>
        </w:rPr>
        <w:t>The occurrence of COVID-19 has also influenced the portfolio of land security, specifically in terms of office spaces and retail. The company has been responding by bringing acceleration within its shifting towards flexible workspaces and also to bring Repurposing within its retail properties in terms of addressing the changing market demand.</w:t>
      </w:r>
    </w:p>
    <w:p w14:paraId="5B80013B" w14:textId="77777777" w:rsidR="00DD471C" w:rsidRPr="003A61E0" w:rsidRDefault="00DD471C" w:rsidP="00DD471C">
      <w:pPr>
        <w:pStyle w:val="ListParagraph"/>
        <w:numPr>
          <w:ilvl w:val="0"/>
          <w:numId w:val="1"/>
        </w:numPr>
        <w:rPr>
          <w:lang w:val="en-US"/>
        </w:rPr>
      </w:pPr>
      <w:r w:rsidRPr="003A61E0">
        <w:rPr>
          <w:lang w:val="en-US"/>
        </w:rPr>
        <w:t>In 2020, the land security group PLC also witnessed a change within its CEO as Mark Allan was appointed in terms of bringing major emphasis toemphasise portfolio management and strategic repositioning.</w:t>
      </w:r>
    </w:p>
    <w:p w14:paraId="7FA10236" w14:textId="58BC1EE8" w:rsidR="00DD471C" w:rsidRPr="00DD471C" w:rsidRDefault="00DD471C" w:rsidP="00D1670D">
      <w:pPr>
        <w:pStyle w:val="Normal1"/>
        <w:numPr>
          <w:ilvl w:val="0"/>
          <w:numId w:val="1"/>
        </w:numPr>
      </w:pPr>
      <w:r>
        <w:t>Landsec has entered into various partnerships and joint ventures, such as its collaboration with Invesco Real Estate to develop mixed-use properties in London aimed at capitalising on urban regeneration opportunities.</w:t>
      </w:r>
    </w:p>
    <w:p w14:paraId="00000002" w14:textId="77777777" w:rsidR="00E929E3" w:rsidRDefault="00FF6EAE">
      <w:pPr>
        <w:pStyle w:val="Heading1"/>
      </w:pPr>
      <w:bookmarkStart w:id="5" w:name="_ba2o2lhffrd2" w:colFirst="0" w:colLast="0"/>
      <w:bookmarkStart w:id="6" w:name="_Toc175064142"/>
      <w:bookmarkEnd w:id="5"/>
      <w:r>
        <w:t>Part B). Financial performance review</w:t>
      </w:r>
      <w:bookmarkEnd w:id="6"/>
    </w:p>
    <w:p w14:paraId="00000003" w14:textId="12D93404" w:rsidR="00E929E3" w:rsidRDefault="00FF6EAE">
      <w:pPr>
        <w:pStyle w:val="Heading2"/>
      </w:pPr>
      <w:bookmarkStart w:id="7" w:name="_ejukxdl7hcw" w:colFirst="0" w:colLast="0"/>
      <w:bookmarkStart w:id="8" w:name="_Toc175064143"/>
      <w:bookmarkEnd w:id="7"/>
      <w:r>
        <w:t>Ratio analysis</w:t>
      </w:r>
      <w:bookmarkEnd w:id="8"/>
      <w:r>
        <w:t xml:space="preserve"> </w:t>
      </w:r>
    </w:p>
    <w:p w14:paraId="00000004" w14:textId="77777777" w:rsidR="00E929E3" w:rsidRDefault="00FF6EAE">
      <w:pPr>
        <w:pStyle w:val="Normal1"/>
      </w:pPr>
      <w:r>
        <w:t xml:space="preserve">Ratio analysis is one of the significant comparative models which provide multiple opportunities to develop different types of plans and understand the financial stability of the company. Through the ratio analysis, management can create the budget, which is very important for developing plans. The profitability performance of the organisation can be evaluated by using this ratio. The investor can develop multiple decisions regarding the investment in the organisation by analysing different ratios of the company. The efficiency of the performance can be evaluated by using the ratio analysis. The organisation can utilise the ratio as a benchmark comparison tool for comparing the performance of different companies. </w:t>
      </w:r>
    </w:p>
    <w:p w14:paraId="00000005" w14:textId="77777777" w:rsidR="00E929E3" w:rsidRDefault="00FF6EAE">
      <w:pPr>
        <w:pStyle w:val="Normal1"/>
      </w:pPr>
      <w:r>
        <w:rPr>
          <w:b/>
        </w:rPr>
        <w:t>Profitability Ratio</w:t>
      </w:r>
      <w:r>
        <w:t>:</w:t>
      </w:r>
    </w:p>
    <w:p w14:paraId="00000006" w14:textId="31AD417D" w:rsidR="00E929E3" w:rsidRDefault="00FF6EAE">
      <w:pPr>
        <w:pStyle w:val="Normal1"/>
      </w:pPr>
      <w:r>
        <w:t xml:space="preserve">PR is a crucial financial metric which provides an opportunity for recognising the profitability scenario of the company in the Global market. The investors have also utilised this ratio which can help to understand how the management controls the overall performance of the business for generating the profit of the in the market. For analysing the growth of the company in the Global market, the ratio has a significant role </w:t>
      </w:r>
      <w:r>
        <w:rPr>
          <w:highlight w:val="white"/>
        </w:rPr>
        <w:t>(Vipond, 2024)</w:t>
      </w:r>
      <w:r>
        <w:t xml:space="preserve">. Different types of profitability ratios have been utilised by the organisation through which the company can introduce multiple-use strategies for expanding the business in new markets. </w:t>
      </w:r>
    </w:p>
    <w:p w14:paraId="5EB62F8D" w14:textId="0021A94A" w:rsidR="003E0BBB" w:rsidRDefault="003E0BBB" w:rsidP="000D49D6">
      <w:pPr>
        <w:pStyle w:val="Normal1"/>
        <w:jc w:val="center"/>
      </w:pPr>
      <w:r w:rsidRPr="003E0BBB">
        <w:rPr>
          <w:noProof/>
        </w:rPr>
        <w:drawing>
          <wp:inline distT="0" distB="0" distL="0" distR="0" wp14:anchorId="38F25ABF" wp14:editId="03EA296A">
            <wp:extent cx="5733415" cy="811530"/>
            <wp:effectExtent l="0" t="0" r="63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811530"/>
                    </a:xfrm>
                    <a:prstGeom prst="rect">
                      <a:avLst/>
                    </a:prstGeom>
                  </pic:spPr>
                </pic:pic>
              </a:graphicData>
            </a:graphic>
          </wp:inline>
        </w:drawing>
      </w:r>
    </w:p>
    <w:p w14:paraId="26682818" w14:textId="6F568634" w:rsidR="000D49D6" w:rsidRPr="000D49D6" w:rsidRDefault="000D49D6" w:rsidP="000D49D6">
      <w:pPr>
        <w:pStyle w:val="Normal1"/>
        <w:jc w:val="center"/>
        <w:rPr>
          <w:b/>
          <w:bCs/>
        </w:rPr>
      </w:pPr>
      <w:r w:rsidRPr="000D49D6">
        <w:rPr>
          <w:b/>
          <w:bCs/>
        </w:rPr>
        <w:t>Figure 1: PR of LSG</w:t>
      </w:r>
    </w:p>
    <w:p w14:paraId="65676935" w14:textId="136D58E3" w:rsidR="000D49D6" w:rsidRDefault="000D49D6" w:rsidP="000D49D6">
      <w:pPr>
        <w:pStyle w:val="Normal1"/>
        <w:jc w:val="center"/>
      </w:pPr>
      <w:r>
        <w:t>(Source: Self-Developed)</w:t>
      </w:r>
    </w:p>
    <w:p w14:paraId="00000007" w14:textId="1D143E84" w:rsidR="00E929E3" w:rsidRDefault="00FF6EAE">
      <w:pPr>
        <w:pStyle w:val="Normal1"/>
      </w:pPr>
      <w:r>
        <w:t xml:space="preserve">The GP is one of the crucial profitable traditions which provides an opportunity for understanding how the company is managing manufacturing cost. LSG Is the largest commercial development company in the UK, as the gross margin is significant for maintaining the construction work. The gross margin condition of LSG is excellent which provides multiple opportunities for improving the positivity condition. In 2019 tradition of the organisation was 64.20%, and in 2021, the ratio declined to 52.4%; however, in the last year, that improved to 57.65% </w:t>
      </w:r>
      <w:r>
        <w:rPr>
          <w:highlight w:val="white"/>
        </w:rPr>
        <w:t>(YahooFinanceUK, 2024)</w:t>
      </w:r>
      <w:r>
        <w:t xml:space="preserve">. In 2013 the company improved as it developed a positive impact on the profitability condition of the business. </w:t>
      </w:r>
    </w:p>
    <w:p w14:paraId="5ABAFE15" w14:textId="09C2ACFF" w:rsidR="003E0BBB" w:rsidRDefault="003E0BBB" w:rsidP="000D49D6">
      <w:pPr>
        <w:pStyle w:val="Normal1"/>
        <w:jc w:val="center"/>
      </w:pPr>
      <w:r w:rsidRPr="003E0BBB">
        <w:rPr>
          <w:noProof/>
        </w:rPr>
        <w:drawing>
          <wp:inline distT="0" distB="0" distL="0" distR="0" wp14:anchorId="251F9E25" wp14:editId="4902B8D9">
            <wp:extent cx="4077269" cy="299126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7269" cy="2991267"/>
                    </a:xfrm>
                    <a:prstGeom prst="rect">
                      <a:avLst/>
                    </a:prstGeom>
                  </pic:spPr>
                </pic:pic>
              </a:graphicData>
            </a:graphic>
          </wp:inline>
        </w:drawing>
      </w:r>
    </w:p>
    <w:p w14:paraId="40696BFF" w14:textId="22C6CD2B" w:rsidR="000D49D6" w:rsidRPr="000D49D6" w:rsidRDefault="000D49D6" w:rsidP="000D49D6">
      <w:pPr>
        <w:pStyle w:val="Normal1"/>
        <w:jc w:val="center"/>
        <w:rPr>
          <w:b/>
          <w:bCs/>
        </w:rPr>
      </w:pPr>
      <w:r w:rsidRPr="000D49D6">
        <w:rPr>
          <w:b/>
          <w:bCs/>
        </w:rPr>
        <w:t xml:space="preserve">Figure </w:t>
      </w:r>
      <w:r>
        <w:rPr>
          <w:b/>
          <w:bCs/>
        </w:rPr>
        <w:t>2</w:t>
      </w:r>
      <w:r w:rsidRPr="000D49D6">
        <w:rPr>
          <w:b/>
          <w:bCs/>
        </w:rPr>
        <w:t>: PR of LSG</w:t>
      </w:r>
    </w:p>
    <w:p w14:paraId="0C735AA7" w14:textId="199C120E" w:rsidR="000D49D6" w:rsidRDefault="000D49D6" w:rsidP="000D49D6">
      <w:pPr>
        <w:pStyle w:val="Normal1"/>
        <w:jc w:val="center"/>
      </w:pPr>
      <w:r>
        <w:t>(Source: Self-Developed)</w:t>
      </w:r>
    </w:p>
    <w:p w14:paraId="00000008" w14:textId="77777777" w:rsidR="00E929E3" w:rsidRDefault="00FF6EAE">
      <w:pPr>
        <w:pStyle w:val="Normal1"/>
      </w:pPr>
      <w:r>
        <w:t xml:space="preserve">The ROCE is also an effective, profitable radiation which provides opportunities for the organisation to utilise the capital to generate profit for the business. The ratio of the organisation was fluctuating in the last 5 years between 0.04 and 0.03 </w:t>
      </w:r>
      <w:r>
        <w:rPr>
          <w:highlight w:val="white"/>
        </w:rPr>
        <w:t>(www.wsj.com, 2024)</w:t>
      </w:r>
      <w:r>
        <w:t xml:space="preserve">. In 2023, the ratio improved to 0.04 compared to the previous year. In the construction industry the organisation has to hold huge assets for maintaining the overall operations of the business in different markets. </w:t>
      </w:r>
    </w:p>
    <w:p w14:paraId="00000009" w14:textId="77777777" w:rsidR="00E929E3" w:rsidRDefault="00FF6EAE">
      <w:pPr>
        <w:pStyle w:val="Normal1"/>
        <w:rPr>
          <w:b/>
        </w:rPr>
      </w:pPr>
      <w:r>
        <w:rPr>
          <w:b/>
        </w:rPr>
        <w:t>Liquidity Ratio:</w:t>
      </w:r>
    </w:p>
    <w:p w14:paraId="0000000A" w14:textId="49437D62" w:rsidR="00E929E3" w:rsidRDefault="00FF6EAE">
      <w:pPr>
        <w:pStyle w:val="Normal1"/>
      </w:pPr>
      <w:r>
        <w:t xml:space="preserve">The LR has a very significant role which provides multiple opportunities to the investors and creditors for analysing the financial stability of the company. Identify the financial problem of the company by analysing the liquidity ratio of the business. To understand capital workflow management, the organisation has to utilise this ratio </w:t>
      </w:r>
      <w:r>
        <w:rPr>
          <w:highlight w:val="white"/>
        </w:rPr>
        <w:t>(Team, 2023)</w:t>
      </w:r>
      <w:r>
        <w:t xml:space="preserve">. By evaluating the ratio of the business the organisation can compare the financial stability with other companies. The ratios of the profitability provide opportunities for developing the knowledge of future cash flow generation of the business. </w:t>
      </w:r>
    </w:p>
    <w:p w14:paraId="3D2DE315" w14:textId="14561D99" w:rsidR="003E0BBB" w:rsidRDefault="003E0BBB">
      <w:pPr>
        <w:pStyle w:val="Normal1"/>
      </w:pPr>
      <w:r>
        <w:rPr>
          <w:noProof/>
        </w:rPr>
        <w:drawing>
          <wp:inline distT="0" distB="0" distL="0" distR="0" wp14:anchorId="52B0A317" wp14:editId="3611D23B">
            <wp:extent cx="5733415" cy="981075"/>
            <wp:effectExtent l="0" t="0" r="63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981075"/>
                    </a:xfrm>
                    <a:prstGeom prst="rect">
                      <a:avLst/>
                    </a:prstGeom>
                  </pic:spPr>
                </pic:pic>
              </a:graphicData>
            </a:graphic>
          </wp:inline>
        </w:drawing>
      </w:r>
    </w:p>
    <w:p w14:paraId="706D81CA" w14:textId="59887C92" w:rsidR="000D49D6" w:rsidRPr="000D49D6" w:rsidRDefault="000D49D6" w:rsidP="000D49D6">
      <w:pPr>
        <w:pStyle w:val="Normal1"/>
        <w:jc w:val="center"/>
        <w:rPr>
          <w:b/>
          <w:bCs/>
        </w:rPr>
      </w:pPr>
      <w:r w:rsidRPr="000D49D6">
        <w:rPr>
          <w:b/>
          <w:bCs/>
        </w:rPr>
        <w:t xml:space="preserve">Figure </w:t>
      </w:r>
      <w:r>
        <w:rPr>
          <w:b/>
          <w:bCs/>
        </w:rPr>
        <w:t>3</w:t>
      </w:r>
      <w:r w:rsidRPr="000D49D6">
        <w:rPr>
          <w:b/>
          <w:bCs/>
        </w:rPr>
        <w:t xml:space="preserve">: </w:t>
      </w:r>
      <w:r>
        <w:rPr>
          <w:b/>
          <w:bCs/>
        </w:rPr>
        <w:t>L</w:t>
      </w:r>
      <w:r w:rsidRPr="000D49D6">
        <w:rPr>
          <w:b/>
          <w:bCs/>
        </w:rPr>
        <w:t>R of LSG</w:t>
      </w:r>
    </w:p>
    <w:p w14:paraId="46BA3419" w14:textId="66FD2C5E" w:rsidR="000D49D6" w:rsidRDefault="000D49D6" w:rsidP="000D49D6">
      <w:pPr>
        <w:pStyle w:val="Normal1"/>
        <w:jc w:val="center"/>
      </w:pPr>
      <w:r>
        <w:t>(Source: Self-Developed)</w:t>
      </w:r>
    </w:p>
    <w:p w14:paraId="0000000B" w14:textId="62E6BBAD" w:rsidR="00E929E3" w:rsidRDefault="00FF6EAE">
      <w:pPr>
        <w:pStyle w:val="Normal1"/>
      </w:pPr>
      <w:r>
        <w:t xml:space="preserve">The CR has a very significant liquidity ratio, which provides the opportunity to understand the capability for paying the date on time. In 2019, the CR of the organisation was 0.43, which was improved in the next year to 1.49. In 2023, the ratio of LSG was 0.82 </w:t>
      </w:r>
      <w:r>
        <w:rPr>
          <w:highlight w:val="white"/>
        </w:rPr>
        <w:t>(Landsec, 2020)</w:t>
      </w:r>
      <w:r>
        <w:t xml:space="preserve">. The primary reason behind this reduction is the current assets of the company were reduced to 532 million pounds this year. </w:t>
      </w:r>
    </w:p>
    <w:p w14:paraId="48BABC48" w14:textId="5F7C770E" w:rsidR="000D49D6" w:rsidRDefault="000D49D6" w:rsidP="000D49D6">
      <w:pPr>
        <w:pStyle w:val="Normal1"/>
        <w:jc w:val="center"/>
      </w:pPr>
      <w:r w:rsidRPr="000D49D6">
        <w:rPr>
          <w:noProof/>
        </w:rPr>
        <w:drawing>
          <wp:inline distT="0" distB="0" distL="0" distR="0" wp14:anchorId="29E63599" wp14:editId="075B9554">
            <wp:extent cx="4000500" cy="23458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02245" cy="2346866"/>
                    </a:xfrm>
                    <a:prstGeom prst="rect">
                      <a:avLst/>
                    </a:prstGeom>
                  </pic:spPr>
                </pic:pic>
              </a:graphicData>
            </a:graphic>
          </wp:inline>
        </w:drawing>
      </w:r>
    </w:p>
    <w:p w14:paraId="61119E17" w14:textId="7EF0F557" w:rsidR="000D49D6" w:rsidRPr="000D49D6" w:rsidRDefault="000D49D6" w:rsidP="000D49D6">
      <w:pPr>
        <w:pStyle w:val="Normal1"/>
        <w:jc w:val="center"/>
        <w:rPr>
          <w:b/>
          <w:bCs/>
        </w:rPr>
      </w:pPr>
      <w:r w:rsidRPr="000D49D6">
        <w:rPr>
          <w:b/>
          <w:bCs/>
        </w:rPr>
        <w:t xml:space="preserve">Figure </w:t>
      </w:r>
      <w:r>
        <w:rPr>
          <w:b/>
          <w:bCs/>
        </w:rPr>
        <w:t>4</w:t>
      </w:r>
      <w:r w:rsidRPr="000D49D6">
        <w:rPr>
          <w:b/>
          <w:bCs/>
        </w:rPr>
        <w:t xml:space="preserve">: </w:t>
      </w:r>
      <w:r>
        <w:rPr>
          <w:b/>
          <w:bCs/>
        </w:rPr>
        <w:t>L</w:t>
      </w:r>
      <w:r w:rsidRPr="000D49D6">
        <w:rPr>
          <w:b/>
          <w:bCs/>
        </w:rPr>
        <w:t>R of LSG</w:t>
      </w:r>
    </w:p>
    <w:p w14:paraId="44F02F20" w14:textId="2D13CCD8" w:rsidR="000D49D6" w:rsidRDefault="000D49D6" w:rsidP="000D49D6">
      <w:pPr>
        <w:pStyle w:val="Normal1"/>
        <w:jc w:val="center"/>
      </w:pPr>
      <w:r>
        <w:t>(Source: Self-Developed)</w:t>
      </w:r>
    </w:p>
    <w:p w14:paraId="0000000C" w14:textId="77777777" w:rsidR="00E929E3" w:rsidRDefault="00FF6EAE">
      <w:pPr>
        <w:pStyle w:val="Normal1"/>
      </w:pPr>
      <w:r>
        <w:t xml:space="preserve">The Quick ratio is also an essential portion of LR. The ratio in 2019 was 0.41. In 2021, the ratio of the company declined to 0.32. In 2023, the ratio improved to 0.64 </w:t>
      </w:r>
      <w:r>
        <w:rPr>
          <w:highlight w:val="white"/>
        </w:rPr>
        <w:t>(YahooFinanceUK, 2024)</w:t>
      </w:r>
      <w:r>
        <w:t xml:space="preserve">. The primary reason behind improving the ratio is that the current liability of the company declined in 2023. </w:t>
      </w:r>
    </w:p>
    <w:p w14:paraId="0000000D" w14:textId="77777777" w:rsidR="00E929E3" w:rsidRDefault="00FF6EAE">
      <w:pPr>
        <w:pStyle w:val="Normal1"/>
        <w:rPr>
          <w:b/>
        </w:rPr>
      </w:pPr>
      <w:r>
        <w:rPr>
          <w:b/>
        </w:rPr>
        <w:t>Efficiency Ratio:</w:t>
      </w:r>
    </w:p>
    <w:p w14:paraId="0000000E" w14:textId="64BAF6C6" w:rsidR="00E929E3" w:rsidRDefault="00FF6EAE">
      <w:pPr>
        <w:pStyle w:val="Normal1"/>
      </w:pPr>
      <w:r>
        <w:t xml:space="preserve">The ER provides an opportunity for stakeholders of the company to analyse the capability of the management to allocate the resources to increase the income of the company. By using this ratio, the management can understand the inventory flow of the business while maintaining the manufacturing of the company. Through this ratio, the investors can develop knowledge of how the company utilises all the assets to increase the revenue of the business </w:t>
      </w:r>
      <w:r>
        <w:rPr>
          <w:highlight w:val="white"/>
        </w:rPr>
        <w:t>(Team, 2023)</w:t>
      </w:r>
      <w:r>
        <w:t xml:space="preserve">. The relationship of the management with the suppliers of the company can be evaluated by utilising this ratio. </w:t>
      </w:r>
    </w:p>
    <w:p w14:paraId="739A05DC" w14:textId="21DE22B3" w:rsidR="003E0BBB" w:rsidRDefault="003E0BBB">
      <w:pPr>
        <w:pStyle w:val="Normal1"/>
      </w:pPr>
      <w:r>
        <w:rPr>
          <w:noProof/>
        </w:rPr>
        <w:drawing>
          <wp:inline distT="0" distB="0" distL="0" distR="0" wp14:anchorId="74B51A2D" wp14:editId="34D20BDC">
            <wp:extent cx="5733415" cy="714375"/>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714375"/>
                    </a:xfrm>
                    <a:prstGeom prst="rect">
                      <a:avLst/>
                    </a:prstGeom>
                  </pic:spPr>
                </pic:pic>
              </a:graphicData>
            </a:graphic>
          </wp:inline>
        </w:drawing>
      </w:r>
    </w:p>
    <w:p w14:paraId="4F68F26B" w14:textId="65409EFF" w:rsidR="000D49D6" w:rsidRPr="000D49D6" w:rsidRDefault="000D49D6" w:rsidP="000D49D6">
      <w:pPr>
        <w:pStyle w:val="Normal1"/>
        <w:jc w:val="center"/>
        <w:rPr>
          <w:b/>
          <w:bCs/>
        </w:rPr>
      </w:pPr>
      <w:r w:rsidRPr="000D49D6">
        <w:rPr>
          <w:b/>
          <w:bCs/>
        </w:rPr>
        <w:t xml:space="preserve">Figure </w:t>
      </w:r>
      <w:r>
        <w:rPr>
          <w:b/>
          <w:bCs/>
        </w:rPr>
        <w:t>5</w:t>
      </w:r>
      <w:r w:rsidRPr="000D49D6">
        <w:rPr>
          <w:b/>
          <w:bCs/>
        </w:rPr>
        <w:t xml:space="preserve">: </w:t>
      </w:r>
      <w:r>
        <w:rPr>
          <w:b/>
          <w:bCs/>
        </w:rPr>
        <w:t>E</w:t>
      </w:r>
      <w:r w:rsidRPr="000D49D6">
        <w:rPr>
          <w:b/>
          <w:bCs/>
        </w:rPr>
        <w:t>R of LSG</w:t>
      </w:r>
    </w:p>
    <w:p w14:paraId="61E5FEB3" w14:textId="1E84A7D6" w:rsidR="000D49D6" w:rsidRDefault="000D49D6" w:rsidP="000D49D6">
      <w:pPr>
        <w:pStyle w:val="Normal1"/>
        <w:jc w:val="center"/>
      </w:pPr>
      <w:r>
        <w:t>(Source: Self-Developed)</w:t>
      </w:r>
    </w:p>
    <w:p w14:paraId="0000000F" w14:textId="2A8CFFAB" w:rsidR="00E929E3" w:rsidRDefault="00FF6EAE">
      <w:pPr>
        <w:pStyle w:val="Normal1"/>
      </w:pPr>
      <w:r>
        <w:t xml:space="preserve">The ART is a decisive part of the efficiency ratio which provides the opportunity for evaluating how quickly the management collects the money from different debtors. The ratio is significant for analysing the capability of the management to manage the debtors of the company. The ratio in 2019 was 1.73. In 2021, the ratio of LSG  improved to 1.79. In the last year, that ratio declined to 1.73 </w:t>
      </w:r>
      <w:r>
        <w:rPr>
          <w:highlight w:val="white"/>
        </w:rPr>
        <w:t>(www.wsj.com, 2024)</w:t>
      </w:r>
      <w:r>
        <w:t xml:space="preserve">. it evaluates that the company did not collect the money from the debtors in time and developed a massive impact on the efficiency ratio. </w:t>
      </w:r>
    </w:p>
    <w:p w14:paraId="7E39190F" w14:textId="7B208E13" w:rsidR="000D49D6" w:rsidRDefault="000D49D6" w:rsidP="000D49D6">
      <w:pPr>
        <w:pStyle w:val="Normal1"/>
        <w:jc w:val="center"/>
      </w:pPr>
      <w:r w:rsidRPr="000D49D6">
        <w:rPr>
          <w:noProof/>
        </w:rPr>
        <w:drawing>
          <wp:inline distT="0" distB="0" distL="0" distR="0" wp14:anchorId="279CA0DE" wp14:editId="3C3BAE45">
            <wp:extent cx="3714750" cy="257847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20310" cy="2582334"/>
                    </a:xfrm>
                    <a:prstGeom prst="rect">
                      <a:avLst/>
                    </a:prstGeom>
                  </pic:spPr>
                </pic:pic>
              </a:graphicData>
            </a:graphic>
          </wp:inline>
        </w:drawing>
      </w:r>
    </w:p>
    <w:p w14:paraId="4B77DFAE" w14:textId="11E0FC67" w:rsidR="000D49D6" w:rsidRPr="000D49D6" w:rsidRDefault="000D49D6" w:rsidP="000D49D6">
      <w:pPr>
        <w:pStyle w:val="Normal1"/>
        <w:jc w:val="center"/>
        <w:rPr>
          <w:b/>
          <w:bCs/>
        </w:rPr>
      </w:pPr>
      <w:r w:rsidRPr="000D49D6">
        <w:rPr>
          <w:b/>
          <w:bCs/>
        </w:rPr>
        <w:t xml:space="preserve">Figure </w:t>
      </w:r>
      <w:r>
        <w:rPr>
          <w:b/>
          <w:bCs/>
        </w:rPr>
        <w:t>6</w:t>
      </w:r>
      <w:r w:rsidRPr="000D49D6">
        <w:rPr>
          <w:b/>
          <w:bCs/>
        </w:rPr>
        <w:t xml:space="preserve">: </w:t>
      </w:r>
      <w:r>
        <w:rPr>
          <w:b/>
          <w:bCs/>
        </w:rPr>
        <w:t>E</w:t>
      </w:r>
      <w:r w:rsidRPr="000D49D6">
        <w:rPr>
          <w:b/>
          <w:bCs/>
        </w:rPr>
        <w:t>R of LSG</w:t>
      </w:r>
    </w:p>
    <w:p w14:paraId="2AF76F42" w14:textId="63D99519" w:rsidR="000D49D6" w:rsidRDefault="000D49D6" w:rsidP="000D49D6">
      <w:pPr>
        <w:pStyle w:val="Normal1"/>
        <w:jc w:val="center"/>
      </w:pPr>
      <w:r>
        <w:t>(Source: Self-Developed)</w:t>
      </w:r>
    </w:p>
    <w:p w14:paraId="00000010" w14:textId="77777777" w:rsidR="00E929E3" w:rsidRDefault="00FF6EAE">
      <w:pPr>
        <w:pStyle w:val="Normal1"/>
      </w:pPr>
      <w:r>
        <w:t xml:space="preserve">The ITR ratio in 2019 was 11.78, and in 2023, the ratio was enhanced to 2.84. The primary reason behind the improvement is that the COGS of the LSG company improved in the last year </w:t>
      </w:r>
      <w:r>
        <w:rPr>
          <w:highlight w:val="white"/>
        </w:rPr>
        <w:t>(Landsec, 2020)</w:t>
      </w:r>
      <w:r>
        <w:t xml:space="preserve">. The management has introduced multiple new strategies for painting the suppliers very quickly and managing a good relationship. </w:t>
      </w:r>
    </w:p>
    <w:p w14:paraId="00000011" w14:textId="77777777" w:rsidR="00E929E3" w:rsidRDefault="00FF6EAE">
      <w:pPr>
        <w:pStyle w:val="Normal1"/>
        <w:rPr>
          <w:b/>
        </w:rPr>
      </w:pPr>
      <w:r>
        <w:rPr>
          <w:b/>
        </w:rPr>
        <w:t xml:space="preserve">Gearing Ratio: </w:t>
      </w:r>
    </w:p>
    <w:p w14:paraId="00000012" w14:textId="791DC166" w:rsidR="00E929E3" w:rsidRDefault="00FF6EAE">
      <w:pPr>
        <w:pStyle w:val="Normal1"/>
      </w:pPr>
      <w:r>
        <w:t xml:space="preserve">The stakeholders of the organisation can intelligence the GR of the company for analysing the financial health and identify different types of risk in the capital structure of the company. The capital structure has been developed by utilising Debt and equity. If the debt has been increased in the capital structure it can enhance different types of risk of the business. The tax benefits of the company can be utilised by introducing this ratio </w:t>
      </w:r>
      <w:r>
        <w:rPr>
          <w:highlight w:val="white"/>
        </w:rPr>
        <w:t>(Team, 2023)</w:t>
      </w:r>
      <w:r>
        <w:t xml:space="preserve">. If the GR is high, it means the organisation has taken more long-term debt from the market. </w:t>
      </w:r>
    </w:p>
    <w:p w14:paraId="05915507" w14:textId="5B59D0D0" w:rsidR="003E0BBB" w:rsidRDefault="003E0BBB">
      <w:pPr>
        <w:pStyle w:val="Normal1"/>
      </w:pPr>
      <w:r>
        <w:rPr>
          <w:noProof/>
        </w:rPr>
        <w:drawing>
          <wp:inline distT="0" distB="0" distL="0" distR="0" wp14:anchorId="4BCEBFD9" wp14:editId="311B9D62">
            <wp:extent cx="5733415" cy="600075"/>
            <wp:effectExtent l="0" t="0" r="63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600075"/>
                    </a:xfrm>
                    <a:prstGeom prst="rect">
                      <a:avLst/>
                    </a:prstGeom>
                  </pic:spPr>
                </pic:pic>
              </a:graphicData>
            </a:graphic>
          </wp:inline>
        </w:drawing>
      </w:r>
    </w:p>
    <w:p w14:paraId="3ED4B516" w14:textId="591A723C" w:rsidR="000D49D6" w:rsidRPr="000D49D6" w:rsidRDefault="000D49D6" w:rsidP="000D49D6">
      <w:pPr>
        <w:pStyle w:val="Normal1"/>
        <w:jc w:val="center"/>
        <w:rPr>
          <w:b/>
          <w:bCs/>
        </w:rPr>
      </w:pPr>
      <w:r w:rsidRPr="000D49D6">
        <w:rPr>
          <w:b/>
          <w:bCs/>
        </w:rPr>
        <w:t xml:space="preserve">Figure </w:t>
      </w:r>
      <w:r>
        <w:rPr>
          <w:b/>
          <w:bCs/>
        </w:rPr>
        <w:t>7</w:t>
      </w:r>
      <w:r w:rsidRPr="000D49D6">
        <w:rPr>
          <w:b/>
          <w:bCs/>
        </w:rPr>
        <w:t xml:space="preserve">: </w:t>
      </w:r>
      <w:r>
        <w:rPr>
          <w:b/>
          <w:bCs/>
        </w:rPr>
        <w:t>G</w:t>
      </w:r>
      <w:r w:rsidRPr="000D49D6">
        <w:rPr>
          <w:b/>
          <w:bCs/>
        </w:rPr>
        <w:t>R of LSG</w:t>
      </w:r>
    </w:p>
    <w:p w14:paraId="1FACAF7B" w14:textId="3CE6A52D" w:rsidR="000D49D6" w:rsidRDefault="000D49D6" w:rsidP="000D49D6">
      <w:pPr>
        <w:pStyle w:val="Normal1"/>
        <w:jc w:val="center"/>
      </w:pPr>
      <w:r>
        <w:t>(Source: Self-Developed)</w:t>
      </w:r>
    </w:p>
    <w:p w14:paraId="00000013" w14:textId="69F911EF" w:rsidR="00E929E3" w:rsidRDefault="00FF6EAE">
      <w:pPr>
        <w:pStyle w:val="Normal1"/>
      </w:pPr>
      <w:r>
        <w:t xml:space="preserve">The Debt to equity ratio is significant for understanding how the company has developed the capital structure of the business. The ratio is visible with the comparison between the equity and debt of the company. In 2019, the ratio of LSG was 0.41. In the following year, the ratio increased to 0.64. In 2023, the ratio reduced to 0.56. Thus, it can be evaluated that the management of the organisation has developed the decision regarding reducing the date in the capital structure, which is a positive sign for the business </w:t>
      </w:r>
      <w:r>
        <w:rPr>
          <w:highlight w:val="white"/>
        </w:rPr>
        <w:t>(YahooFinanceUK, 2024)</w:t>
      </w:r>
      <w:r>
        <w:t xml:space="preserve">. </w:t>
      </w:r>
    </w:p>
    <w:p w14:paraId="1331DF29" w14:textId="669D5CC2" w:rsidR="000D49D6" w:rsidRDefault="000D49D6" w:rsidP="000D49D6">
      <w:pPr>
        <w:pStyle w:val="Normal1"/>
        <w:jc w:val="center"/>
      </w:pPr>
      <w:r w:rsidRPr="000D49D6">
        <w:rPr>
          <w:noProof/>
        </w:rPr>
        <w:drawing>
          <wp:inline distT="0" distB="0" distL="0" distR="0" wp14:anchorId="79B1557B" wp14:editId="23293D4E">
            <wp:extent cx="4124901" cy="2543530"/>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24901" cy="2543530"/>
                    </a:xfrm>
                    <a:prstGeom prst="rect">
                      <a:avLst/>
                    </a:prstGeom>
                  </pic:spPr>
                </pic:pic>
              </a:graphicData>
            </a:graphic>
          </wp:inline>
        </w:drawing>
      </w:r>
    </w:p>
    <w:p w14:paraId="2FAAC080" w14:textId="41388DDE" w:rsidR="000D49D6" w:rsidRPr="000D49D6" w:rsidRDefault="000D49D6" w:rsidP="000D49D6">
      <w:pPr>
        <w:pStyle w:val="Normal1"/>
        <w:jc w:val="center"/>
        <w:rPr>
          <w:b/>
          <w:bCs/>
        </w:rPr>
      </w:pPr>
      <w:r w:rsidRPr="000D49D6">
        <w:rPr>
          <w:b/>
          <w:bCs/>
        </w:rPr>
        <w:t xml:space="preserve">Figure </w:t>
      </w:r>
      <w:r>
        <w:rPr>
          <w:b/>
          <w:bCs/>
        </w:rPr>
        <w:t>8</w:t>
      </w:r>
      <w:r w:rsidRPr="000D49D6">
        <w:rPr>
          <w:b/>
          <w:bCs/>
        </w:rPr>
        <w:t xml:space="preserve">: </w:t>
      </w:r>
      <w:r>
        <w:rPr>
          <w:b/>
          <w:bCs/>
        </w:rPr>
        <w:t>G</w:t>
      </w:r>
      <w:r w:rsidRPr="000D49D6">
        <w:rPr>
          <w:b/>
          <w:bCs/>
        </w:rPr>
        <w:t>R of LSG</w:t>
      </w:r>
    </w:p>
    <w:p w14:paraId="3DFC7889" w14:textId="6F9BB2DE" w:rsidR="000D49D6" w:rsidRDefault="000D49D6" w:rsidP="000D49D6">
      <w:pPr>
        <w:pStyle w:val="Normal1"/>
        <w:jc w:val="center"/>
      </w:pPr>
      <w:r>
        <w:t>(Source: Self-Developed)</w:t>
      </w:r>
    </w:p>
    <w:p w14:paraId="00000014" w14:textId="77777777" w:rsidR="00E929E3" w:rsidRDefault="00FF6EAE">
      <w:pPr>
        <w:pStyle w:val="Normal1"/>
      </w:pPr>
      <w:r>
        <w:t xml:space="preserve">The total liabilities to assets ratio is the comparison between the assets and liabilities of the organisation in a specific period. The ratio of the LSG company in 2020 was 0.39. In 2021, the ratio reduced to 0.34. In the following year, the ratio again increased to 0.38. Finally, in the last year, that ratio declined to 0.36 </w:t>
      </w:r>
      <w:r>
        <w:rPr>
          <w:highlight w:val="white"/>
        </w:rPr>
        <w:t>(Landsec, 2020)</w:t>
      </w:r>
      <w:r>
        <w:t xml:space="preserve">. Thus, the company has reduced its liability by paying the debt and suppliers and improving the gearing position of the business. </w:t>
      </w:r>
    </w:p>
    <w:p w14:paraId="00000015" w14:textId="61CC2A28" w:rsidR="00E929E3" w:rsidRDefault="00FF6EAE">
      <w:pPr>
        <w:pStyle w:val="Heading2"/>
      </w:pPr>
      <w:bookmarkStart w:id="9" w:name="_763lynn1ih72" w:colFirst="0" w:colLast="0"/>
      <w:bookmarkStart w:id="10" w:name="_Toc175064144"/>
      <w:bookmarkEnd w:id="9"/>
      <w:r>
        <w:t>Comparison to major competitors</w:t>
      </w:r>
      <w:bookmarkEnd w:id="10"/>
      <w:r>
        <w:t xml:space="preserve"> </w:t>
      </w:r>
    </w:p>
    <w:p w14:paraId="00000016" w14:textId="707A3B1C" w:rsidR="00E929E3" w:rsidRDefault="00FF6EAE">
      <w:pPr>
        <w:pStyle w:val="Normal1"/>
      </w:pPr>
      <w:r>
        <w:t xml:space="preserve">British Land Co. Plc and Berkeley Holdings Group Plc are the two biggest competitors of the company in this construction industry. All the organisations are operating in the UK market, which is one of the significant reasons behind the increase in competition. </w:t>
      </w:r>
    </w:p>
    <w:p w14:paraId="1C3AA7AC" w14:textId="28022B15" w:rsidR="003E0BBB" w:rsidRDefault="003E0BBB">
      <w:pPr>
        <w:pStyle w:val="Normal1"/>
      </w:pPr>
      <w:r>
        <w:rPr>
          <w:noProof/>
        </w:rPr>
        <w:drawing>
          <wp:inline distT="0" distB="0" distL="0" distR="0" wp14:anchorId="09929C35" wp14:editId="5F219FF4">
            <wp:extent cx="5733415" cy="2928620"/>
            <wp:effectExtent l="0" t="0" r="63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2928620"/>
                    </a:xfrm>
                    <a:prstGeom prst="rect">
                      <a:avLst/>
                    </a:prstGeom>
                  </pic:spPr>
                </pic:pic>
              </a:graphicData>
            </a:graphic>
          </wp:inline>
        </w:drawing>
      </w:r>
    </w:p>
    <w:p w14:paraId="31A7601B" w14:textId="5737EF99" w:rsidR="000D49D6" w:rsidRPr="000D49D6" w:rsidRDefault="000D49D6" w:rsidP="000D49D6">
      <w:pPr>
        <w:pStyle w:val="Normal1"/>
        <w:jc w:val="center"/>
        <w:rPr>
          <w:b/>
          <w:bCs/>
        </w:rPr>
      </w:pPr>
      <w:r w:rsidRPr="000D49D6">
        <w:rPr>
          <w:b/>
          <w:bCs/>
        </w:rPr>
        <w:t xml:space="preserve">Figure </w:t>
      </w:r>
      <w:r>
        <w:rPr>
          <w:b/>
          <w:bCs/>
        </w:rPr>
        <w:t>9</w:t>
      </w:r>
      <w:r w:rsidRPr="000D49D6">
        <w:rPr>
          <w:b/>
          <w:bCs/>
        </w:rPr>
        <w:t xml:space="preserve">: </w:t>
      </w:r>
      <w:r>
        <w:rPr>
          <w:b/>
          <w:bCs/>
        </w:rPr>
        <w:t>Ratio Analysis</w:t>
      </w:r>
      <w:r w:rsidRPr="000D49D6">
        <w:rPr>
          <w:b/>
          <w:bCs/>
        </w:rPr>
        <w:t xml:space="preserve"> of </w:t>
      </w:r>
      <w:r>
        <w:rPr>
          <w:b/>
          <w:bCs/>
        </w:rPr>
        <w:t>BLC</w:t>
      </w:r>
    </w:p>
    <w:p w14:paraId="763B9D7E" w14:textId="1EB41872" w:rsidR="003E0BBB" w:rsidRDefault="000D49D6" w:rsidP="000D49D6">
      <w:pPr>
        <w:pStyle w:val="Normal1"/>
        <w:jc w:val="center"/>
      </w:pPr>
      <w:r>
        <w:t>(Source: Self-Developed)</w:t>
      </w:r>
    </w:p>
    <w:p w14:paraId="1E98B485" w14:textId="1146D7EA" w:rsidR="003E0BBB" w:rsidRDefault="003E0BBB">
      <w:pPr>
        <w:pStyle w:val="Normal1"/>
      </w:pPr>
      <w:r>
        <w:rPr>
          <w:noProof/>
        </w:rPr>
        <w:drawing>
          <wp:inline distT="0" distB="0" distL="0" distR="0" wp14:anchorId="09E2BE44" wp14:editId="680DB4C3">
            <wp:extent cx="5733415" cy="31686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3168650"/>
                    </a:xfrm>
                    <a:prstGeom prst="rect">
                      <a:avLst/>
                    </a:prstGeom>
                  </pic:spPr>
                </pic:pic>
              </a:graphicData>
            </a:graphic>
          </wp:inline>
        </w:drawing>
      </w:r>
    </w:p>
    <w:p w14:paraId="5C9A3F4C" w14:textId="35A63EAA" w:rsidR="000D49D6" w:rsidRPr="000D49D6" w:rsidRDefault="000D49D6" w:rsidP="000D49D6">
      <w:pPr>
        <w:pStyle w:val="Normal1"/>
        <w:jc w:val="center"/>
        <w:rPr>
          <w:b/>
          <w:bCs/>
        </w:rPr>
      </w:pPr>
      <w:r w:rsidRPr="000D49D6">
        <w:rPr>
          <w:b/>
          <w:bCs/>
        </w:rPr>
        <w:t xml:space="preserve">Figure </w:t>
      </w:r>
      <w:r>
        <w:rPr>
          <w:b/>
          <w:bCs/>
        </w:rPr>
        <w:t>10</w:t>
      </w:r>
      <w:r w:rsidRPr="000D49D6">
        <w:rPr>
          <w:b/>
          <w:bCs/>
        </w:rPr>
        <w:t xml:space="preserve">: </w:t>
      </w:r>
      <w:r>
        <w:rPr>
          <w:b/>
          <w:bCs/>
        </w:rPr>
        <w:t>Ratio Analysis</w:t>
      </w:r>
      <w:r w:rsidRPr="000D49D6">
        <w:rPr>
          <w:b/>
          <w:bCs/>
        </w:rPr>
        <w:t xml:space="preserve"> of </w:t>
      </w:r>
      <w:r>
        <w:rPr>
          <w:b/>
          <w:bCs/>
        </w:rPr>
        <w:t>BGH</w:t>
      </w:r>
    </w:p>
    <w:p w14:paraId="65D5F80F" w14:textId="26EE3B88" w:rsidR="000D49D6" w:rsidRDefault="000D49D6" w:rsidP="000D49D6">
      <w:pPr>
        <w:pStyle w:val="Normal1"/>
        <w:jc w:val="center"/>
      </w:pPr>
      <w:r>
        <w:t>(Source: Self-Developed)</w:t>
      </w:r>
    </w:p>
    <w:p w14:paraId="00000017" w14:textId="77777777" w:rsidR="00E929E3" w:rsidRDefault="00FF6EAE">
      <w:pPr>
        <w:pStyle w:val="Normal1"/>
      </w:pPr>
      <w:r>
        <w:rPr>
          <w:b/>
        </w:rPr>
        <w:t>Profitability Ratio</w:t>
      </w:r>
      <w:r>
        <w:t>:</w:t>
      </w:r>
    </w:p>
    <w:p w14:paraId="00000018" w14:textId="77777777" w:rsidR="00E929E3" w:rsidRDefault="00FF6EAE">
      <w:pPr>
        <w:pStyle w:val="Normal1"/>
      </w:pPr>
      <w:r>
        <w:t xml:space="preserve">By using two different profitability ratios of the company the performance of three different companies will be compared in this area. The profitability condition of the BLC is better compared to the other two companies. In 2019, the gross margin of BLC was 31.31%, and in the last year, the ratio improved to 76.90%. On the other hand, the gross margin of LSG will be reduced to 57.65% in 2023. The gross margin ratio of BGH is worse than the two different companies. In 2021, the gross margin of BGH was 28.84%, and in the last year, the ratio declined to 27.33% </w:t>
      </w:r>
      <w:r>
        <w:rPr>
          <w:highlight w:val="white"/>
        </w:rPr>
        <w:t>(YahooFinanceUK, 2024)</w:t>
      </w:r>
      <w:r>
        <w:t>. Thus, it can be evaluated that the BLC company is managing the manufacturing cost and improving the gross profit of the business.</w:t>
      </w:r>
    </w:p>
    <w:p w14:paraId="00000019" w14:textId="77777777" w:rsidR="00E929E3" w:rsidRDefault="00FF6EAE">
      <w:pPr>
        <w:pStyle w:val="Normal1"/>
      </w:pPr>
      <w:r>
        <w:t xml:space="preserve">The ROCE of BGH is better compared to the other two competitors. In 2019 the ratio of the company was 0.23. In  2022, the ratio declined to 0.11. In 2023, it reduced to 0.10. On the other hand, the ratio of BLC has improved in the last few years </w:t>
      </w:r>
      <w:r>
        <w:rPr>
          <w:highlight w:val="white"/>
        </w:rPr>
        <w:t>(YahooFinanceUK, 2020)</w:t>
      </w:r>
      <w:r>
        <w:t xml:space="preserve">. In 2022, the ratio was 0.03, and in 2020, the ratio was enhanced to 0.04. the ratio of the LSG in 2021 was 0.03, and in 2023 was 0.04. LSG and BLC improved the ratio of the company in the last year. On the contrary, the BGH company failed to improve the ratio in 2023 </w:t>
      </w:r>
      <w:r>
        <w:rPr>
          <w:highlight w:val="white"/>
        </w:rPr>
        <w:t>(www.wsj.com, 2024)</w:t>
      </w:r>
      <w:r>
        <w:t xml:space="preserve">. The management of the organisation has introduced a significant strategy through which the company can focus on utilising the capital employed more effectively for generating the profit of the business. </w:t>
      </w:r>
    </w:p>
    <w:p w14:paraId="0000001A" w14:textId="77777777" w:rsidR="00E929E3" w:rsidRDefault="00FF6EAE">
      <w:pPr>
        <w:pStyle w:val="Normal1"/>
        <w:rPr>
          <w:b/>
        </w:rPr>
      </w:pPr>
      <w:r>
        <w:rPr>
          <w:b/>
        </w:rPr>
        <w:t>Liquidity Ratio:</w:t>
      </w:r>
    </w:p>
    <w:p w14:paraId="0000001B" w14:textId="77777777" w:rsidR="00E929E3" w:rsidRDefault="00FF6EAE">
      <w:pPr>
        <w:pStyle w:val="Normal1"/>
      </w:pPr>
      <w:r>
        <w:t xml:space="preserve">By comparing the liquidity position of the company, the financial stability of 3 of the organisations can be compared very quickly. The liquidity position is significant for the construction industry for raising debt from different markets. Organisations can utilise the debt to expand their business in new markets. </w:t>
      </w:r>
    </w:p>
    <w:p w14:paraId="0000001C" w14:textId="77777777" w:rsidR="00E929E3" w:rsidRDefault="00FF6EAE">
      <w:pPr>
        <w:pStyle w:val="Normal1"/>
      </w:pPr>
      <w:r>
        <w:t xml:space="preserve">The CR of the BGH organisation is higher compared to other companies. The management of the organisation has introduced multiple new strategies for paying the short-term debt of creditors very quickly and enhancing the ratio. In 2019, the ratio of the organisation was 2.83 </w:t>
      </w:r>
      <w:r>
        <w:rPr>
          <w:highlight w:val="white"/>
        </w:rPr>
        <w:t>(Yahoo.com, 2024)</w:t>
      </w:r>
      <w:r>
        <w:t xml:space="preserve">. In 2022, the ratio improved to 3.15, and in 2023, the ratio increased to 3.43. on the other hand the CR of the BLC compared to the other two organisations </w:t>
      </w:r>
      <w:r>
        <w:rPr>
          <w:highlight w:val="white"/>
        </w:rPr>
        <w:t>(YahooFinanceUK, 2024)</w:t>
      </w:r>
      <w:r>
        <w:t xml:space="preserve">. The ratio of the company in 2020 is 0.30, and in the last year, the ratio declined to 0.27. The company has to reduce the current liabilities to improve the ratio and manage the financial stability. </w:t>
      </w:r>
    </w:p>
    <w:p w14:paraId="0000001D" w14:textId="77777777" w:rsidR="00E929E3" w:rsidRDefault="00FF6EAE">
      <w:pPr>
        <w:pStyle w:val="Normal1"/>
      </w:pPr>
      <w:r>
        <w:t xml:space="preserve">The QR is one of the crucial liquidity ratios that provides an opportunity to evaluate how quickly the management can convert the asset to pay the debt. A significant difference can be identified between the quick ratio and the current ratio of the BGH company in the last 5 years. The ratio of the organisation in 2020 was 0.89. in 2022, the ratio declined to 0.55. in the last year, that issue was enhanced to 0.62. The primary reason behind the difference between the two liquidity ratios is the inventory </w:t>
      </w:r>
      <w:r>
        <w:rPr>
          <w:highlight w:val="white"/>
        </w:rPr>
        <w:t>(Yahoo.com, 2024)</w:t>
      </w:r>
      <w:r>
        <w:t xml:space="preserve">. The organisation held a massive inventory for managing the oral business operation. The QR of the company was 0.37 in 2022, and the ratio reduced to 0.24 in the next year. The liquidity performance of the LSG was better of the BLC. The ratio of the company in 2021 was 0.32, and in 2023, the ratio improved to 0.64. </w:t>
      </w:r>
    </w:p>
    <w:p w14:paraId="0000001E" w14:textId="77777777" w:rsidR="00E929E3" w:rsidRDefault="00FF6EAE">
      <w:pPr>
        <w:pStyle w:val="Normal1"/>
        <w:rPr>
          <w:b/>
        </w:rPr>
      </w:pPr>
      <w:r>
        <w:rPr>
          <w:b/>
        </w:rPr>
        <w:t>Efficiency Ratio:</w:t>
      </w:r>
    </w:p>
    <w:p w14:paraId="0000001F" w14:textId="77777777" w:rsidR="00E929E3" w:rsidRDefault="00FF6EAE">
      <w:pPr>
        <w:pStyle w:val="Normal1"/>
      </w:pPr>
      <w:r>
        <w:t xml:space="preserve">By using the efficiency ratio of the business, the capability of three different organisations can be evaluated. The ratio has a very crucial role in analysing the performance of the company in other markets and utilising various strategies for assessing business efficiency. The ART ratio of the LSG Organisation in 2019 was 1.73, and in the last year, the ratio remained the same, which is a convenient sign for the business. The ratio of the BLC company was higher compared to the LSG. The ratio of the organisation in 2020 was 13.35. In 2002, the ratio declined heavily, which was 7.92. In the last year, that issue improved to 17.50. The management has implemented multiple new strategies for collecting money from different debtors </w:t>
      </w:r>
      <w:r>
        <w:rPr>
          <w:highlight w:val="white"/>
        </w:rPr>
        <w:t>(YahooFinanceUK, 2024)</w:t>
      </w:r>
      <w:r>
        <w:t xml:space="preserve">. The ratio of the BGH was higher compared to the other two companies. In 2022, the ratio was 15.65. In 2023, the ratio was enhanced to 27.72. The management of the company frequently collected money from different debtors and utilised it in the business. </w:t>
      </w:r>
    </w:p>
    <w:p w14:paraId="00000020" w14:textId="77777777" w:rsidR="00E929E3" w:rsidRDefault="00FF6EAE">
      <w:pPr>
        <w:pStyle w:val="Normal1"/>
      </w:pPr>
      <w:r>
        <w:t xml:space="preserve">The ITR of BLC was higher compared to LSG and BGH. The ratio of the organisation in 2022 was 16.75. In 2020, the ratio declined to 9.61, and in the last year, the ratio reduced more to 4.41. On the other hand, the ratio of the LSG 2020 was 11.42, and in the previous year, the ratio decreased heavily to 2.84. The ratio of BGH companies was not more than two in the last 5 years. In 2019, the ratio of the organisation was 1.59. In the previous year, the ratio of the company was 1.73. </w:t>
      </w:r>
    </w:p>
    <w:p w14:paraId="00000021" w14:textId="77777777" w:rsidR="00E929E3" w:rsidRDefault="00FF6EAE">
      <w:pPr>
        <w:pStyle w:val="Normal1"/>
        <w:rPr>
          <w:b/>
        </w:rPr>
      </w:pPr>
      <w:r>
        <w:rPr>
          <w:b/>
        </w:rPr>
        <w:t xml:space="preserve">Gearing Ratio: </w:t>
      </w:r>
    </w:p>
    <w:p w14:paraId="00000022" w14:textId="77777777" w:rsidR="00E929E3" w:rsidRDefault="00FF6EAE">
      <w:pPr>
        <w:pStyle w:val="Normal1"/>
      </w:pPr>
      <w:r>
        <w:t xml:space="preserve">For evaluating the financial risk in the capital structure the ratio has a very significant role. The debt to equity ratio of the  BLC company is better compared to the other two. The ratio of the company in 2019 was 0.41. In the following year, the ratio improved to 0.57. and in 2023, the ratio was 0.50. The management in the last year raised more dips from the market for managing the financial operation of the business. The ratio of the BGH in the previous two years was more than 1. It has defined that the management has taken high debt for managing the operation of the company. In 2022, the ratio of the organisation was 1.10, and in the next year, the ratio slightly reduced to 1.06 </w:t>
      </w:r>
      <w:r>
        <w:rPr>
          <w:highlight w:val="white"/>
        </w:rPr>
        <w:t>(Yahoo.com, 2024)</w:t>
      </w:r>
      <w:r>
        <w:t xml:space="preserve">. The ratio of the LSG in 2019 was 0.41. in 2023 improved to 0.56. It can be evaluated that the management of this company has introduced more debt in 2023. The investment related risk in the BLC company is lower compared to other different companies. </w:t>
      </w:r>
    </w:p>
    <w:p w14:paraId="00000023" w14:textId="77777777" w:rsidR="00E929E3" w:rsidRDefault="00FF6EAE">
      <w:pPr>
        <w:pStyle w:val="Normal1"/>
      </w:pPr>
      <w:r>
        <w:t xml:space="preserve">The last ratio of this analysis is the total liabilities to asset ratio. By comparing the liabilities and assets of these three companies the financial balance can be recognised very easily. The ratio of the BLC company in 2020 was 0.36. in the last year, that issue declined to 0.33. It indicates that the company was reducing the liabilities of the business by paying quickly to the creditors. The ratio of BGH in 2021 was 0.43. in 2022, the ratio improved to 0.52. The company has to pay the long-term debt to different Financial institutes and improve the financial stability of the business </w:t>
      </w:r>
      <w:r>
        <w:rPr>
          <w:highlight w:val="white"/>
        </w:rPr>
        <w:t>(YahooFinanceUK, 2024)</w:t>
      </w:r>
      <w:r>
        <w:t xml:space="preserve">. The ratio LSG in 2021 was 0.34. In the next year, the ratio slightly improved, and in the last year, the ratio declined to 0.36. </w:t>
      </w:r>
    </w:p>
    <w:p w14:paraId="00000024" w14:textId="77777777" w:rsidR="00E929E3" w:rsidRDefault="00FF6EAE">
      <w:pPr>
        <w:pStyle w:val="Normal1"/>
      </w:pPr>
      <w:r>
        <w:t xml:space="preserve">After analysing the ratio of three different companies it can be said that the financial performance of the LSG is better compared to the BLC and BGH. </w:t>
      </w:r>
    </w:p>
    <w:p w14:paraId="00000025" w14:textId="3ABA616C" w:rsidR="00E929E3" w:rsidRDefault="00FF6EAE" w:rsidP="000D49D6">
      <w:pPr>
        <w:pStyle w:val="Heading2"/>
      </w:pPr>
      <w:bookmarkStart w:id="11" w:name="_Toc175064145"/>
      <w:r>
        <w:t>Recommendations</w:t>
      </w:r>
      <w:bookmarkEnd w:id="11"/>
      <w:r>
        <w:t xml:space="preserve"> </w:t>
      </w:r>
    </w:p>
    <w:p w14:paraId="250EDF85" w14:textId="77777777" w:rsidR="00D1670D" w:rsidRDefault="00D1670D" w:rsidP="00D1670D">
      <w:pPr>
        <w:pStyle w:val="ListParagraph"/>
        <w:numPr>
          <w:ilvl w:val="0"/>
          <w:numId w:val="2"/>
        </w:numPr>
        <w:rPr>
          <w:lang w:val="en-US"/>
        </w:rPr>
      </w:pPr>
      <w:r w:rsidRPr="00332F86">
        <w:rPr>
          <w:lang w:val="en-US"/>
        </w:rPr>
        <w:t>In regards to the significant liquidity ratios of quick ratio and current ratio, it has been observed that the liquidity condition of the land securities group field has been below the ideal threshold for the past 5 years, indicating significant challenges faced in terms of recovering the short-term debt. Therefore Land Securities Group Plc needs to prioritise in terms of ringing optimisation within their working capital management for enhancing the liquidity condition. For this purpose, the organisation should focus on streamlining their accounts receivable earned through the implementation of a structured credit control initiative in order to expedite their receivable collection process</w:t>
      </w:r>
      <w:r>
        <w:rPr>
          <w:lang w:val="en-US"/>
        </w:rPr>
        <w:t xml:space="preserve"> (</w:t>
      </w:r>
      <w:r w:rsidRPr="0019555D">
        <w:rPr>
          <w:rFonts w:cs="Times New Roman"/>
          <w:color w:val="222222"/>
          <w:szCs w:val="24"/>
          <w:shd w:val="clear" w:color="auto" w:fill="FFFFFF"/>
        </w:rPr>
        <w:t>Mellado and Lou, 2020</w:t>
      </w:r>
      <w:r>
        <w:rPr>
          <w:rFonts w:cs="Times New Roman"/>
          <w:color w:val="222222"/>
          <w:szCs w:val="24"/>
          <w:shd w:val="clear" w:color="auto" w:fill="FFFFFF"/>
        </w:rPr>
        <w:t>)</w:t>
      </w:r>
      <w:r w:rsidRPr="00332F86">
        <w:rPr>
          <w:lang w:val="en-US"/>
        </w:rPr>
        <w:t xml:space="preserve">. Other than this the company should also be introducing better payment terms for the suppliers to bring proper alignment within the cash inflow with that of their cash outflow in order to improve the liquidity condition and manage their payables efficiently. </w:t>
      </w:r>
    </w:p>
    <w:p w14:paraId="46A1A95D" w14:textId="77777777" w:rsidR="00D1670D" w:rsidRPr="00332F86" w:rsidRDefault="00D1670D" w:rsidP="00D1670D">
      <w:pPr>
        <w:pStyle w:val="ListParagraph"/>
        <w:numPr>
          <w:ilvl w:val="0"/>
          <w:numId w:val="2"/>
        </w:numPr>
        <w:rPr>
          <w:lang w:val="en-US"/>
        </w:rPr>
      </w:pPr>
      <w:r w:rsidRPr="00332F86">
        <w:rPr>
          <w:lang w:val="en-US"/>
        </w:rPr>
        <w:t>Since the inventory turnover ratio of the company has deteriorated over the years, the company will need to bring optimisation within their stock level in order to prevent the situation of an excess pile-up of inventory, which will tie up their cash for the time being for unnecessary reasons.</w:t>
      </w:r>
    </w:p>
    <w:p w14:paraId="42EB2987" w14:textId="77777777" w:rsidR="00D1670D" w:rsidRDefault="00D1670D" w:rsidP="00D1670D">
      <w:pPr>
        <w:pStyle w:val="ListParagraph"/>
        <w:numPr>
          <w:ilvl w:val="0"/>
          <w:numId w:val="2"/>
        </w:numPr>
        <w:rPr>
          <w:lang w:val="en-US"/>
        </w:rPr>
      </w:pPr>
      <w:r w:rsidRPr="00332F86">
        <w:rPr>
          <w:lang w:val="en-US"/>
        </w:rPr>
        <w:t>Other than this, the Land Security Group Plc should also be focusing on strengthening its capital efficiency and improving its profit-earning ability by implementing initiatives for cost control purposes</w:t>
      </w:r>
      <w:r>
        <w:rPr>
          <w:lang w:val="en-US"/>
        </w:rPr>
        <w:t xml:space="preserve"> (</w:t>
      </w:r>
      <w:r w:rsidRPr="0019555D">
        <w:rPr>
          <w:rFonts w:cs="Times New Roman"/>
          <w:color w:val="222222"/>
          <w:szCs w:val="24"/>
          <w:shd w:val="clear" w:color="auto" w:fill="FFFFFF"/>
        </w:rPr>
        <w:t>Lee, 2021</w:t>
      </w:r>
      <w:r>
        <w:rPr>
          <w:rFonts w:cs="Times New Roman"/>
          <w:color w:val="222222"/>
          <w:szCs w:val="24"/>
          <w:shd w:val="clear" w:color="auto" w:fill="FFFFFF"/>
        </w:rPr>
        <w:t>)</w:t>
      </w:r>
      <w:r w:rsidRPr="00332F86">
        <w:rPr>
          <w:lang w:val="en-US"/>
        </w:rPr>
        <w:t xml:space="preserve">. The deterioration observed in terms of ROCE has effectively pointed out the need to introduce efficient capital utilisation. For this purpose, the company should introduce a plant capital investment review to ensure that the project is being implemented in proper alignment with the strategic goals and that they are expected to attain higher returns. </w:t>
      </w:r>
    </w:p>
    <w:p w14:paraId="52A50A97" w14:textId="77777777" w:rsidR="00D1670D" w:rsidRDefault="00D1670D" w:rsidP="00D1670D">
      <w:pPr>
        <w:pStyle w:val="ListParagraph"/>
        <w:numPr>
          <w:ilvl w:val="0"/>
          <w:numId w:val="2"/>
        </w:numPr>
        <w:rPr>
          <w:lang w:val="en-US"/>
        </w:rPr>
      </w:pPr>
      <w:r w:rsidRPr="00332F86">
        <w:rPr>
          <w:lang w:val="en-US"/>
        </w:rPr>
        <w:t>Other than this, divesting the nonperforming assets and non-core attributes might enable the company to free up its investment capital to invest in profitable ventures</w:t>
      </w:r>
      <w:r>
        <w:rPr>
          <w:lang w:val="en-US"/>
        </w:rPr>
        <w:t xml:space="preserve"> (</w:t>
      </w:r>
      <w:r w:rsidRPr="0019555D">
        <w:rPr>
          <w:rFonts w:cs="Times New Roman"/>
          <w:color w:val="222222"/>
          <w:szCs w:val="24"/>
          <w:shd w:val="clear" w:color="auto" w:fill="FFFFFF"/>
        </w:rPr>
        <w:t>Yi and Yu, 2024</w:t>
      </w:r>
      <w:r>
        <w:rPr>
          <w:rFonts w:cs="Times New Roman"/>
          <w:color w:val="222222"/>
          <w:szCs w:val="24"/>
          <w:shd w:val="clear" w:color="auto" w:fill="FFFFFF"/>
        </w:rPr>
        <w:t>)</w:t>
      </w:r>
      <w:r w:rsidRPr="00332F86">
        <w:rPr>
          <w:lang w:val="en-US"/>
        </w:rPr>
        <w:t>. On the other hand, emphasising highlighting and eliminating efficiencies within the business operations, specifically in terms of renegotiating their supply contracts and implementing cost-saving technology, will help in enhancing cost management. Other than this, the company should also be investing in the differentiation and innovation strategy for maintaining healthy margins and preventing price competition.</w:t>
      </w:r>
    </w:p>
    <w:p w14:paraId="209427F0" w14:textId="77777777" w:rsidR="00D1670D" w:rsidRDefault="00D1670D" w:rsidP="00D1670D">
      <w:pPr>
        <w:pStyle w:val="ListParagraph"/>
        <w:numPr>
          <w:ilvl w:val="0"/>
          <w:numId w:val="2"/>
        </w:numPr>
        <w:rPr>
          <w:lang w:val="en-US"/>
        </w:rPr>
      </w:pPr>
      <w:r>
        <w:t>Enhance efforts in sustainability by adopting green building practices and reducing the carbon footprint of its operations (</w:t>
      </w:r>
      <w:r w:rsidRPr="0019555D">
        <w:rPr>
          <w:rFonts w:cs="Times New Roman"/>
          <w:color w:val="222222"/>
          <w:szCs w:val="24"/>
          <w:shd w:val="clear" w:color="auto" w:fill="FFFFFF"/>
        </w:rPr>
        <w:t>Franco,</w:t>
      </w:r>
      <w:r>
        <w:rPr>
          <w:rFonts w:cs="Times New Roman"/>
          <w:color w:val="222222"/>
          <w:szCs w:val="24"/>
          <w:shd w:val="clear" w:color="auto" w:fill="FFFFFF"/>
        </w:rPr>
        <w:t xml:space="preserve"> </w:t>
      </w:r>
      <w:r w:rsidRPr="0019555D">
        <w:rPr>
          <w:rFonts w:cs="Times New Roman"/>
          <w:color w:val="222222"/>
          <w:szCs w:val="24"/>
          <w:shd w:val="clear" w:color="auto" w:fill="FFFFFF"/>
        </w:rPr>
        <w:t>Pawar and Wu, 2021</w:t>
      </w:r>
      <w:r>
        <w:rPr>
          <w:rFonts w:cs="Times New Roman"/>
          <w:color w:val="222222"/>
          <w:szCs w:val="24"/>
          <w:shd w:val="clear" w:color="auto" w:fill="FFFFFF"/>
        </w:rPr>
        <w:t>)</w:t>
      </w:r>
      <w:r>
        <w:t xml:space="preserve">. It will help in bringing effective alignment within the customer preferences and growing investors applicable for the environmentally concerned company. </w:t>
      </w:r>
      <w:r w:rsidRPr="00332F86">
        <w:rPr>
          <w:lang w:val="en-US"/>
        </w:rPr>
        <w:t>Land Security Group Plc</w:t>
      </w:r>
      <w:r>
        <w:rPr>
          <w:lang w:val="en-US"/>
        </w:rPr>
        <w:t xml:space="preserve"> needs to invest in introducing stringent practices for corporate governance, which are highly significant for the current business landscape. </w:t>
      </w:r>
    </w:p>
    <w:p w14:paraId="1B382C73" w14:textId="6ECCD6EF" w:rsidR="00D1670D" w:rsidRPr="00D1670D" w:rsidRDefault="00D1670D" w:rsidP="00D1670D">
      <w:pPr>
        <w:pStyle w:val="Normal1"/>
        <w:numPr>
          <w:ilvl w:val="0"/>
          <w:numId w:val="2"/>
        </w:numPr>
      </w:pPr>
      <w:r w:rsidRPr="0020048A">
        <w:rPr>
          <w:lang w:val="en-US"/>
        </w:rPr>
        <w:t>T</w:t>
      </w:r>
      <w:r>
        <w:rPr>
          <w:lang w:val="en-US"/>
        </w:rPr>
        <w:t>hrough</w:t>
      </w:r>
      <w:r w:rsidRPr="0020048A">
        <w:rPr>
          <w:lang w:val="en-US"/>
        </w:rPr>
        <w:t xml:space="preserve"> the help of ratio analysis</w:t>
      </w:r>
      <w:r>
        <w:rPr>
          <w:lang w:val="en-US"/>
        </w:rPr>
        <w:t>,</w:t>
      </w:r>
      <w:r w:rsidRPr="0020048A">
        <w:rPr>
          <w:lang w:val="en-US"/>
        </w:rPr>
        <w:t xml:space="preserve"> the declining level of debt to equity ratio of Land Security Group PLC has been evidenced, but further </w:t>
      </w:r>
      <w:r>
        <w:rPr>
          <w:lang w:val="en-US"/>
        </w:rPr>
        <w:t>o</w:t>
      </w:r>
      <w:r w:rsidRPr="0020048A">
        <w:rPr>
          <w:lang w:val="en-US"/>
        </w:rPr>
        <w:t>ptimisation in terms of capital structure will help in bringing reduction within their financial risk and improve the stakeholder valuation</w:t>
      </w:r>
      <w:r>
        <w:rPr>
          <w:lang w:val="en-US"/>
        </w:rPr>
        <w:t xml:space="preserve"> (</w:t>
      </w:r>
      <w:r w:rsidRPr="0019555D">
        <w:rPr>
          <w:color w:val="222222"/>
          <w:shd w:val="clear" w:color="auto" w:fill="FFFFFF"/>
        </w:rPr>
        <w:t>Nukala and Prasada Rao, 2021</w:t>
      </w:r>
      <w:r>
        <w:rPr>
          <w:color w:val="222222"/>
          <w:shd w:val="clear" w:color="auto" w:fill="FFFFFF"/>
        </w:rPr>
        <w:t>)</w:t>
      </w:r>
      <w:r w:rsidRPr="0020048A">
        <w:rPr>
          <w:lang w:val="en-US"/>
        </w:rPr>
        <w:t>. For this purpose, it is highly essential to introduce continuous monitoring in order to bring balance between the equity financing and debt financing of the company, which will help in reducing the cost of capital and will also verify sufficient flexibility in terms of their financial aspect. Land Security Group PLC should also be accounting for alternative financial options, including hybrid instruments or equity financing, in order to invest in their growth proposals for managing their leverage levels</w:t>
      </w:r>
      <w:r>
        <w:rPr>
          <w:lang w:val="en-US"/>
        </w:rPr>
        <w:t>.</w:t>
      </w:r>
    </w:p>
    <w:p w14:paraId="00000026" w14:textId="13895D01" w:rsidR="000D49D6" w:rsidRDefault="00FF6EAE" w:rsidP="000D49D6">
      <w:pPr>
        <w:pStyle w:val="Heading1"/>
      </w:pPr>
      <w:bookmarkStart w:id="12" w:name="_Toc175064146"/>
      <w:r w:rsidRPr="000D49D6">
        <w:t>Part C). Investment appraisal</w:t>
      </w:r>
      <w:bookmarkEnd w:id="12"/>
      <w:r w:rsidRPr="000D49D6">
        <w:t xml:space="preserve"> </w:t>
      </w:r>
    </w:p>
    <w:p w14:paraId="4E315F33" w14:textId="1F5E6E7D" w:rsidR="00D1670D" w:rsidRDefault="00D1670D" w:rsidP="00D1670D">
      <w:pPr>
        <w:pStyle w:val="Heading2"/>
        <w:rPr>
          <w:lang w:val="en-US"/>
        </w:rPr>
      </w:pPr>
      <w:bookmarkStart w:id="13" w:name="_Toc175064147"/>
      <w:r>
        <w:rPr>
          <w:lang w:val="en-US"/>
        </w:rPr>
        <w:t>Calculation of investment appraisal techniques</w:t>
      </w:r>
      <w:bookmarkEnd w:id="13"/>
    </w:p>
    <w:p w14:paraId="04C16604" w14:textId="7F738DD1" w:rsidR="00C63BBA" w:rsidRDefault="00C63BBA" w:rsidP="00C63BBA">
      <w:pPr>
        <w:pStyle w:val="Normal1"/>
        <w:rPr>
          <w:lang w:val="en-US"/>
        </w:rPr>
      </w:pPr>
      <w:r w:rsidRPr="00C63BBA">
        <w:rPr>
          <w:noProof/>
          <w:lang w:val="en-US"/>
        </w:rPr>
        <w:drawing>
          <wp:inline distT="0" distB="0" distL="0" distR="0" wp14:anchorId="124E5714" wp14:editId="1DA5DF48">
            <wp:extent cx="5733415" cy="2797175"/>
            <wp:effectExtent l="0" t="0" r="63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2797175"/>
                    </a:xfrm>
                    <a:prstGeom prst="rect">
                      <a:avLst/>
                    </a:prstGeom>
                  </pic:spPr>
                </pic:pic>
              </a:graphicData>
            </a:graphic>
          </wp:inline>
        </w:drawing>
      </w:r>
    </w:p>
    <w:p w14:paraId="0F1481C4" w14:textId="39745080" w:rsidR="00C63BBA" w:rsidRDefault="00C63BBA" w:rsidP="00C63BBA">
      <w:pPr>
        <w:pStyle w:val="Normal1"/>
        <w:rPr>
          <w:lang w:val="en-US"/>
        </w:rPr>
      </w:pPr>
      <w:r w:rsidRPr="00C63BBA">
        <w:rPr>
          <w:noProof/>
          <w:lang w:val="en-US"/>
        </w:rPr>
        <w:drawing>
          <wp:inline distT="0" distB="0" distL="0" distR="0" wp14:anchorId="0D73F067" wp14:editId="07393A0A">
            <wp:extent cx="5733415" cy="200533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3415" cy="2005330"/>
                    </a:xfrm>
                    <a:prstGeom prst="rect">
                      <a:avLst/>
                    </a:prstGeom>
                  </pic:spPr>
                </pic:pic>
              </a:graphicData>
            </a:graphic>
          </wp:inline>
        </w:drawing>
      </w:r>
    </w:p>
    <w:p w14:paraId="0C5E634D" w14:textId="5078FA01" w:rsidR="00C63BBA" w:rsidRPr="000D49D6" w:rsidRDefault="00C63BBA" w:rsidP="00C63BBA">
      <w:pPr>
        <w:pStyle w:val="Normal1"/>
        <w:jc w:val="center"/>
        <w:rPr>
          <w:b/>
          <w:bCs/>
        </w:rPr>
      </w:pPr>
      <w:r w:rsidRPr="000D49D6">
        <w:rPr>
          <w:b/>
          <w:bCs/>
        </w:rPr>
        <w:t xml:space="preserve">Figure </w:t>
      </w:r>
      <w:r>
        <w:rPr>
          <w:b/>
          <w:bCs/>
        </w:rPr>
        <w:t>11</w:t>
      </w:r>
      <w:r w:rsidRPr="000D49D6">
        <w:rPr>
          <w:b/>
          <w:bCs/>
        </w:rPr>
        <w:t xml:space="preserve">: </w:t>
      </w:r>
      <w:r>
        <w:rPr>
          <w:b/>
          <w:bCs/>
        </w:rPr>
        <w:t xml:space="preserve">Investment appraisal analysis </w:t>
      </w:r>
    </w:p>
    <w:p w14:paraId="1C1437ED" w14:textId="77777777" w:rsidR="00C63BBA" w:rsidRDefault="00C63BBA" w:rsidP="00C63BBA">
      <w:pPr>
        <w:pStyle w:val="Normal1"/>
        <w:jc w:val="center"/>
      </w:pPr>
      <w:r>
        <w:t>(Source: Self-Developed)</w:t>
      </w:r>
    </w:p>
    <w:p w14:paraId="571E0B7B" w14:textId="77777777" w:rsidR="00D1670D" w:rsidRDefault="00D1670D" w:rsidP="00D1670D">
      <w:pPr>
        <w:rPr>
          <w:lang w:val="en-US"/>
        </w:rPr>
      </w:pPr>
      <w:r>
        <w:rPr>
          <w:lang w:val="en-US"/>
        </w:rPr>
        <w:t xml:space="preserve">From the above calculation, it has been observed that the initial investment for Project 1 has been around </w:t>
      </w:r>
      <w:r>
        <w:t>£</w:t>
      </w:r>
      <w:r>
        <w:rPr>
          <w:lang w:val="en-US"/>
        </w:rPr>
        <w:t xml:space="preserve">80 million, while that of the second project has been around </w:t>
      </w:r>
      <w:r>
        <w:t>£</w:t>
      </w:r>
      <w:r>
        <w:rPr>
          <w:lang w:val="en-US"/>
        </w:rPr>
        <w:t>75 million. Considering the consecutive cash inflows, it has been evident that the overall cumulative cash flow becomes positive for 4</w:t>
      </w:r>
      <w:r w:rsidRPr="004A3004">
        <w:rPr>
          <w:vertAlign w:val="superscript"/>
          <w:lang w:val="en-US"/>
        </w:rPr>
        <w:t>th</w:t>
      </w:r>
      <w:r>
        <w:rPr>
          <w:lang w:val="en-US"/>
        </w:rPr>
        <w:t xml:space="preserve"> year for Project 1 while that of Project 2 becomes positive in the 3</w:t>
      </w:r>
      <w:r w:rsidRPr="0042002C">
        <w:rPr>
          <w:vertAlign w:val="superscript"/>
          <w:lang w:val="en-US"/>
        </w:rPr>
        <w:t>rd</w:t>
      </w:r>
      <w:r>
        <w:rPr>
          <w:lang w:val="en-US"/>
        </w:rPr>
        <w:t xml:space="preserve"> year. Therefore for calculating the payback period, the cumulative cash flow before the year of recovery is divided by the cash flow in the year of recovery, which provides the fact that the payback period for Project 1 is 3 years and 18 months. In contrast, that of the 2</w:t>
      </w:r>
      <w:r w:rsidRPr="0042002C">
        <w:rPr>
          <w:vertAlign w:val="superscript"/>
          <w:lang w:val="en-US"/>
        </w:rPr>
        <w:t>nd</w:t>
      </w:r>
      <w:r>
        <w:rPr>
          <w:lang w:val="en-US"/>
        </w:rPr>
        <w:t xml:space="preserve"> project is 2 years 25 months or 3 years 1 month. </w:t>
      </w:r>
    </w:p>
    <w:p w14:paraId="36AB535D" w14:textId="77777777" w:rsidR="00D1670D" w:rsidRDefault="00D1670D" w:rsidP="00D1670D">
      <w:r>
        <w:rPr>
          <w:lang w:val="en-US"/>
        </w:rPr>
        <w:t xml:space="preserve">On the other hand, the Accounting rate of return is being calculated by taking the average cash flow of 4 years, which has been yielded to be </w:t>
      </w:r>
      <w:r>
        <w:t>£31.25m, while that of the 2</w:t>
      </w:r>
      <w:r w:rsidRPr="0042002C">
        <w:rPr>
          <w:vertAlign w:val="superscript"/>
        </w:rPr>
        <w:t>nd</w:t>
      </w:r>
      <w:r>
        <w:t xml:space="preserve"> project has been around £27.5m. In order to calculate the ARR, the average annual cash flow is divided by the initial investment amount, which has been £80m and £75m for the two projects, respectively. Hence the ARR calculated has been 39.06% for the first project while that of the second project has been around 36.67%.</w:t>
      </w:r>
    </w:p>
    <w:p w14:paraId="65A9DCEB" w14:textId="77777777" w:rsidR="00D1670D" w:rsidRPr="004A3004" w:rsidRDefault="00D1670D" w:rsidP="00D1670D">
      <w:pPr>
        <w:rPr>
          <w:lang w:val="en-US"/>
        </w:rPr>
      </w:pPr>
      <w:r>
        <w:t>In terms of calculating NPV, the overall cash inflow is multiplied by the cost of capital rate to find the discounted value of the investment cash inflow (</w:t>
      </w:r>
      <w:r w:rsidRPr="0019555D">
        <w:rPr>
          <w:color w:val="222222"/>
          <w:shd w:val="clear" w:color="auto" w:fill="FFFFFF"/>
        </w:rPr>
        <w:t>Dai</w:t>
      </w:r>
      <w:r>
        <w:rPr>
          <w:color w:val="222222"/>
          <w:shd w:val="clear" w:color="auto" w:fill="FFFFFF"/>
        </w:rPr>
        <w:t xml:space="preserve"> et al., </w:t>
      </w:r>
      <w:r w:rsidRPr="0019555D">
        <w:rPr>
          <w:color w:val="222222"/>
          <w:shd w:val="clear" w:color="auto" w:fill="FFFFFF"/>
        </w:rPr>
        <w:t>2022</w:t>
      </w:r>
      <w:r>
        <w:rPr>
          <w:color w:val="222222"/>
          <w:shd w:val="clear" w:color="auto" w:fill="FFFFFF"/>
        </w:rPr>
        <w:t>)</w:t>
      </w:r>
      <w:r>
        <w:t xml:space="preserve">. The overall cash inflows are then added up and subtracted from their initial investment at a discounted rate to obtain NPV. Hence, at </w:t>
      </w:r>
      <w:r w:rsidRPr="0042002C">
        <w:t>9.75 per cent</w:t>
      </w:r>
      <w:r>
        <w:t xml:space="preserve"> cost of capital, the overall discounted initial investment is being obtained to be £80m and £75m for the two respective projects. In comparison, the cash inflow was added up and deducted to get an NPV of £16.57m and £16.07m. </w:t>
      </w:r>
    </w:p>
    <w:p w14:paraId="408CFDCF" w14:textId="77777777" w:rsidR="00D1670D" w:rsidRDefault="00D1670D" w:rsidP="00D1670D">
      <w:pPr>
        <w:pStyle w:val="Heading2"/>
        <w:rPr>
          <w:lang w:val="en-US"/>
        </w:rPr>
      </w:pPr>
      <w:bookmarkStart w:id="14" w:name="_Toc175064148"/>
      <w:r>
        <w:rPr>
          <w:lang w:val="en-US"/>
        </w:rPr>
        <w:t>Result evaluation</w:t>
      </w:r>
      <w:bookmarkEnd w:id="14"/>
      <w:r>
        <w:rPr>
          <w:lang w:val="en-US"/>
        </w:rPr>
        <w:t xml:space="preserve"> </w:t>
      </w:r>
    </w:p>
    <w:p w14:paraId="7BF1D140" w14:textId="77777777" w:rsidR="00D1670D" w:rsidRDefault="00D1670D" w:rsidP="00D1670D">
      <w:pPr>
        <w:rPr>
          <w:lang w:val="en-US"/>
        </w:rPr>
      </w:pPr>
      <w:r>
        <w:rPr>
          <w:lang w:val="en-US"/>
        </w:rPr>
        <w:t>By evaluating the above findings, it is being observed that the payback period for Project A has been 3.18 years while that of Project B has been 2.25 years. Hence, from the above calculation, it is observed that the payback period for Project B is lower than that of Project A, which thereby shows that Project B will be able to retrieve its initially invested capital within a shorter period while that of Project A indicates that the increased payback period demonstrates that project A might incur significant financial risk (</w:t>
      </w:r>
      <w:r w:rsidRPr="0019555D">
        <w:rPr>
          <w:color w:val="222222"/>
          <w:shd w:val="clear" w:color="auto" w:fill="FFFFFF"/>
        </w:rPr>
        <w:t>Huang</w:t>
      </w:r>
      <w:r>
        <w:rPr>
          <w:color w:val="222222"/>
          <w:shd w:val="clear" w:color="auto" w:fill="FFFFFF"/>
        </w:rPr>
        <w:t xml:space="preserve"> et al., </w:t>
      </w:r>
      <w:r w:rsidRPr="0019555D">
        <w:rPr>
          <w:color w:val="222222"/>
          <w:shd w:val="clear" w:color="auto" w:fill="FFFFFF"/>
        </w:rPr>
        <w:t>2022</w:t>
      </w:r>
      <w:r>
        <w:rPr>
          <w:color w:val="222222"/>
          <w:shd w:val="clear" w:color="auto" w:fill="FFFFFF"/>
        </w:rPr>
        <w:t>)</w:t>
      </w:r>
      <w:r>
        <w:rPr>
          <w:lang w:val="en-US"/>
        </w:rPr>
        <w:t xml:space="preserve">.  </w:t>
      </w:r>
      <w:r w:rsidRPr="0080262B">
        <w:rPr>
          <w:lang w:val="en-US"/>
        </w:rPr>
        <w:t>Al</w:t>
      </w:r>
      <w:r>
        <w:rPr>
          <w:lang w:val="en-US"/>
        </w:rPr>
        <w:t xml:space="preserve">though </w:t>
      </w:r>
      <w:r w:rsidRPr="0080262B">
        <w:rPr>
          <w:lang w:val="en-US"/>
        </w:rPr>
        <w:t xml:space="preserve">the payback period for Project </w:t>
      </w:r>
      <w:r>
        <w:rPr>
          <w:lang w:val="en-US"/>
        </w:rPr>
        <w:t>B</w:t>
      </w:r>
      <w:r w:rsidRPr="0080262B">
        <w:rPr>
          <w:lang w:val="en-US"/>
        </w:rPr>
        <w:t xml:space="preserve"> is shorter than that of Project </w:t>
      </w:r>
      <w:r>
        <w:rPr>
          <w:lang w:val="en-US"/>
        </w:rPr>
        <w:t>A</w:t>
      </w:r>
      <w:r w:rsidRPr="0080262B">
        <w:rPr>
          <w:lang w:val="en-US"/>
        </w:rPr>
        <w:t>, it indicates that the former project will get speaker return on the funds, and their food will be adequate in terms of reducing the uncertainty associated with the investment along with liquidity management</w:t>
      </w:r>
      <w:r>
        <w:rPr>
          <w:lang w:val="en-US"/>
        </w:rPr>
        <w:t xml:space="preserve"> (</w:t>
      </w:r>
      <w:r w:rsidRPr="0019555D">
        <w:rPr>
          <w:color w:val="222222"/>
          <w:shd w:val="clear" w:color="auto" w:fill="FFFFFF"/>
        </w:rPr>
        <w:t>Arjunan, 2022</w:t>
      </w:r>
      <w:r>
        <w:rPr>
          <w:color w:val="222222"/>
          <w:shd w:val="clear" w:color="auto" w:fill="FFFFFF"/>
        </w:rPr>
        <w:t>)</w:t>
      </w:r>
      <w:r w:rsidRPr="0080262B">
        <w:rPr>
          <w:lang w:val="en-US"/>
        </w:rPr>
        <w:t xml:space="preserve">. </w:t>
      </w:r>
      <w:r>
        <w:rPr>
          <w:lang w:val="en-US"/>
        </w:rPr>
        <w:t xml:space="preserve">Though </w:t>
      </w:r>
      <w:r w:rsidRPr="0080262B">
        <w:rPr>
          <w:lang w:val="en-US"/>
        </w:rPr>
        <w:t xml:space="preserve">this </w:t>
      </w:r>
      <w:r>
        <w:rPr>
          <w:lang w:val="en-US"/>
        </w:rPr>
        <w:t>metric</w:t>
      </w:r>
      <w:r w:rsidRPr="0080262B">
        <w:rPr>
          <w:lang w:val="en-US"/>
        </w:rPr>
        <w:t xml:space="preserve"> is used for assessing the project risk, it does not take into consideration the time value of the money.</w:t>
      </w:r>
      <w:r>
        <w:rPr>
          <w:lang w:val="en-US"/>
        </w:rPr>
        <w:t xml:space="preserve"> Therefore the two project proposals, it will be strategically correct to invest in Project B since it will yield the return quickly in comparison to that of Project A. </w:t>
      </w:r>
    </w:p>
    <w:p w14:paraId="06F58967" w14:textId="77777777" w:rsidR="00D1670D" w:rsidRDefault="00D1670D" w:rsidP="00D1670D">
      <w:pPr>
        <w:rPr>
          <w:lang w:val="en-US"/>
        </w:rPr>
      </w:pPr>
      <w:r>
        <w:rPr>
          <w:lang w:val="en-US"/>
        </w:rPr>
        <w:t>Analysing the ARR of both proposals, it has been evident that the ARR for Project A is 39.06% while that of Project B is 36.67%. Therefore, project A has a higher ARR than Project B, which shows that the former project will be earning a marginally higher return upon the initially invested capital in comparison to that of Project B (</w:t>
      </w:r>
      <w:r w:rsidRPr="0019555D">
        <w:rPr>
          <w:color w:val="222222"/>
          <w:shd w:val="clear" w:color="auto" w:fill="FFFFFF"/>
        </w:rPr>
        <w:t>Sinaga</w:t>
      </w:r>
      <w:r>
        <w:rPr>
          <w:color w:val="222222"/>
          <w:shd w:val="clear" w:color="auto" w:fill="FFFFFF"/>
        </w:rPr>
        <w:t xml:space="preserve"> et al., </w:t>
      </w:r>
      <w:r w:rsidRPr="0019555D">
        <w:rPr>
          <w:color w:val="222222"/>
          <w:shd w:val="clear" w:color="auto" w:fill="FFFFFF"/>
        </w:rPr>
        <w:t>2023</w:t>
      </w:r>
      <w:r>
        <w:rPr>
          <w:color w:val="222222"/>
          <w:shd w:val="clear" w:color="auto" w:fill="FFFFFF"/>
        </w:rPr>
        <w:t>)</w:t>
      </w:r>
      <w:r>
        <w:rPr>
          <w:lang w:val="en-US"/>
        </w:rPr>
        <w:t xml:space="preserve">. Therefore, using the investment appraisal technique of ARR, it is observed that Project A will be preferable to Project B, which contradicts the suggestion provided in terms of the payback period metric. </w:t>
      </w:r>
    </w:p>
    <w:p w14:paraId="14A4DF5B" w14:textId="77777777" w:rsidR="00D1670D" w:rsidRDefault="00D1670D" w:rsidP="00D1670D">
      <w:r>
        <w:rPr>
          <w:lang w:val="en-US"/>
        </w:rPr>
        <w:t xml:space="preserve">On the basis of NPV, it has been identified that the NPV of Project 1 has been </w:t>
      </w:r>
      <w:r>
        <w:t>£16.61m while that of Project B is £16.08m, which shows that the overall valuation of Proposal A is higher than that of Proposal B. It is clearly stated in the existing literature that the projects having higher NPV are more likely to generate higher projects than the projects having lower NPV (</w:t>
      </w:r>
      <w:r w:rsidRPr="0019555D">
        <w:rPr>
          <w:color w:val="222222"/>
          <w:shd w:val="clear" w:color="auto" w:fill="FFFFFF"/>
        </w:rPr>
        <w:t>Pawlak and Zarzecki, 2020</w:t>
      </w:r>
      <w:r>
        <w:rPr>
          <w:color w:val="222222"/>
          <w:shd w:val="clear" w:color="auto" w:fill="FFFFFF"/>
        </w:rPr>
        <w:t>)</w:t>
      </w:r>
      <w:r>
        <w:t>. Hence, on the basis of the NPV calculation, it is being interpreted that Project A will be higher in terms of earning a positive return than in comparison to that of project B.</w:t>
      </w:r>
    </w:p>
    <w:p w14:paraId="14195C9C" w14:textId="77777777" w:rsidR="00D1670D" w:rsidRPr="00671DBD" w:rsidRDefault="00D1670D" w:rsidP="00D1670D">
      <w:pPr>
        <w:rPr>
          <w:lang w:val="en-US"/>
        </w:rPr>
      </w:pPr>
      <w:r w:rsidRPr="001C3FAF">
        <w:rPr>
          <w:lang w:val="en-US"/>
        </w:rPr>
        <w:t xml:space="preserve">Therefore, it is evident that </w:t>
      </w:r>
      <w:r>
        <w:rPr>
          <w:lang w:val="en-US"/>
        </w:rPr>
        <w:t>NPV</w:t>
      </w:r>
      <w:r w:rsidRPr="001C3FAF">
        <w:rPr>
          <w:lang w:val="en-US"/>
        </w:rPr>
        <w:t xml:space="preserve"> is considered to be a highly reliable indicator demonstrating the financial feasibility of Project A and Project BB. Since Project A comprises a higher NPV, it is preferable to Project Be even though it has a more extended payback period than the </w:t>
      </w:r>
      <w:r>
        <w:rPr>
          <w:lang w:val="en-US"/>
        </w:rPr>
        <w:t>lat</w:t>
      </w:r>
      <w:r w:rsidRPr="001C3FAF">
        <w:rPr>
          <w:lang w:val="en-US"/>
        </w:rPr>
        <w:t xml:space="preserve">ter. Since it provides a higher return, </w:t>
      </w:r>
      <w:r>
        <w:rPr>
          <w:lang w:val="en-US"/>
        </w:rPr>
        <w:t>therefore</w:t>
      </w:r>
      <w:r w:rsidRPr="001C3FAF">
        <w:rPr>
          <w:lang w:val="en-US"/>
        </w:rPr>
        <w:t xml:space="preserve"> will help the shareholders to maximise their project values</w:t>
      </w:r>
      <w:r>
        <w:rPr>
          <w:lang w:val="en-US"/>
        </w:rPr>
        <w:t xml:space="preserve"> (</w:t>
      </w:r>
      <w:r w:rsidRPr="0019555D">
        <w:rPr>
          <w:color w:val="222222"/>
          <w:shd w:val="clear" w:color="auto" w:fill="FFFFFF"/>
        </w:rPr>
        <w:t>Cotter, 2023</w:t>
      </w:r>
      <w:r>
        <w:rPr>
          <w:color w:val="222222"/>
          <w:shd w:val="clear" w:color="auto" w:fill="FFFFFF"/>
        </w:rPr>
        <w:t>)</w:t>
      </w:r>
      <w:r w:rsidRPr="001C3FAF">
        <w:rPr>
          <w:lang w:val="en-US"/>
        </w:rPr>
        <w:t>. In case of liquidity is a vital concern for the stick stakeholders, and the company considers strategic reasons and market conditions project is feasible. However, viewing the overall situation, since both NPV and ARR suggest that project A will be more effective, it is recommended to be chosen in order to gain higher value creation and long-term profitability in the case of the company</w:t>
      </w:r>
      <w:r>
        <w:rPr>
          <w:lang w:val="en-US"/>
        </w:rPr>
        <w:t xml:space="preserve">. </w:t>
      </w:r>
    </w:p>
    <w:p w14:paraId="2C028924" w14:textId="77777777" w:rsidR="00D1670D" w:rsidRDefault="00D1670D" w:rsidP="00D1670D">
      <w:pPr>
        <w:pStyle w:val="Heading2"/>
        <w:rPr>
          <w:lang w:val="en-US"/>
        </w:rPr>
      </w:pPr>
      <w:bookmarkStart w:id="15" w:name="_Toc175064149"/>
      <w:r>
        <w:rPr>
          <w:lang w:val="en-US"/>
        </w:rPr>
        <w:t>A</w:t>
      </w:r>
      <w:r w:rsidRPr="00091D41">
        <w:rPr>
          <w:lang w:val="en-US"/>
        </w:rPr>
        <w:t xml:space="preserve">dvantages and shortcomings of the </w:t>
      </w:r>
      <w:r>
        <w:rPr>
          <w:lang w:val="en-US"/>
        </w:rPr>
        <w:t>investment appraisal techniques</w:t>
      </w:r>
      <w:bookmarkEnd w:id="15"/>
    </w:p>
    <w:p w14:paraId="7853F3F4" w14:textId="77777777" w:rsidR="00D1670D" w:rsidRDefault="00D1670D" w:rsidP="00D1670D">
      <w:pPr>
        <w:rPr>
          <w:lang w:val="en-US"/>
        </w:rPr>
      </w:pPr>
      <w:r w:rsidRPr="00436EC9">
        <w:rPr>
          <w:lang w:val="en-US"/>
        </w:rPr>
        <w:t>The significant advantage of introducing a payback period is to analyse and evaluate the quick estimates for the time taken in terms of recouping the initial invested capital. It also helps in analysing the liquidity risk associated with the project since the project having a shorter payback period indicates faster recovery and less exposure to financial business</w:t>
      </w:r>
      <w:r>
        <w:rPr>
          <w:lang w:val="en-US"/>
        </w:rPr>
        <w:t xml:space="preserve"> (</w:t>
      </w:r>
      <w:r w:rsidRPr="0019555D">
        <w:rPr>
          <w:color w:val="222222"/>
          <w:shd w:val="clear" w:color="auto" w:fill="FFFFFF"/>
        </w:rPr>
        <w:t>Cotter, 2023</w:t>
      </w:r>
      <w:r>
        <w:rPr>
          <w:color w:val="222222"/>
          <w:shd w:val="clear" w:color="auto" w:fill="FFFFFF"/>
        </w:rPr>
        <w:t>)</w:t>
      </w:r>
      <w:r>
        <w:rPr>
          <w:lang w:val="en-US"/>
        </w:rPr>
        <w:t>. O</w:t>
      </w:r>
      <w:r w:rsidRPr="00436EC9">
        <w:rPr>
          <w:lang w:val="en-US"/>
        </w:rPr>
        <w:t xml:space="preserve">n the other hand, a company having tight low </w:t>
      </w:r>
      <w:r>
        <w:rPr>
          <w:lang w:val="en-US"/>
        </w:rPr>
        <w:t>might</w:t>
      </w:r>
      <w:r w:rsidRPr="00436EC9">
        <w:rPr>
          <w:lang w:val="en-US"/>
        </w:rPr>
        <w:t xml:space="preserve"> give significant reference to the project having shorter payback since it will ensure that an appropriate amount of funds is also being provided for other investments or operational activities, does not take into consideration the time value of money and therefore cash flow are being treated with same valuation. The payback period also needs to pay attention to the return or profit generated beyond the </w:t>
      </w:r>
      <w:r>
        <w:rPr>
          <w:lang w:val="en-US"/>
        </w:rPr>
        <w:t>payback</w:t>
      </w:r>
      <w:r w:rsidRPr="00436EC9">
        <w:rPr>
          <w:lang w:val="en-US"/>
        </w:rPr>
        <w:t xml:space="preserve"> period, which thus contributes towards making a sub-optimal decision.</w:t>
      </w:r>
    </w:p>
    <w:p w14:paraId="47C2DB97" w14:textId="77777777" w:rsidR="00D1670D" w:rsidRDefault="00D1670D" w:rsidP="00D1670D">
      <w:r w:rsidRPr="005C7E39">
        <w:rPr>
          <w:lang w:val="en-US"/>
        </w:rPr>
        <w:t xml:space="preserve">In terms of ARR, it is observed that a precise percentage is being gained in terms of profit earned from the project in comparison to that of its initial cost. </w:t>
      </w:r>
      <w:r>
        <w:rPr>
          <w:lang w:val="en-US"/>
        </w:rPr>
        <w:t>Hence</w:t>
      </w:r>
      <w:r w:rsidRPr="005C7E39">
        <w:rPr>
          <w:lang w:val="en-US"/>
        </w:rPr>
        <w:t xml:space="preserve"> accounting rate of return is treated as a comparative analysis used for evaluating the relative profit from different projects, precisely when capital </w:t>
      </w:r>
      <w:r>
        <w:rPr>
          <w:lang w:val="en-US"/>
        </w:rPr>
        <w:t>invested remains</w:t>
      </w:r>
      <w:r w:rsidRPr="005C7E39">
        <w:rPr>
          <w:lang w:val="en-US"/>
        </w:rPr>
        <w:t xml:space="preserve"> restricted. ARR is used as a return measure which is used for establishing transparent communication among the stakeholders who might need to be more knowledgeable about complex financial metrics</w:t>
      </w:r>
      <w:r>
        <w:rPr>
          <w:lang w:val="en-US"/>
        </w:rPr>
        <w:t xml:space="preserve"> (</w:t>
      </w:r>
      <w:r w:rsidRPr="0019555D">
        <w:rPr>
          <w:color w:val="222222"/>
          <w:shd w:val="clear" w:color="auto" w:fill="FFFFFF"/>
        </w:rPr>
        <w:t>Sinaga</w:t>
      </w:r>
      <w:r>
        <w:rPr>
          <w:color w:val="222222"/>
          <w:shd w:val="clear" w:color="auto" w:fill="FFFFFF"/>
        </w:rPr>
        <w:t xml:space="preserve"> et al., </w:t>
      </w:r>
      <w:r w:rsidRPr="0019555D">
        <w:rPr>
          <w:color w:val="222222"/>
          <w:shd w:val="clear" w:color="auto" w:fill="FFFFFF"/>
        </w:rPr>
        <w:t>2023</w:t>
      </w:r>
      <w:r>
        <w:rPr>
          <w:color w:val="222222"/>
          <w:shd w:val="clear" w:color="auto" w:fill="FFFFFF"/>
        </w:rPr>
        <w:t>)</w:t>
      </w:r>
      <w:r w:rsidRPr="005C7E39">
        <w:rPr>
          <w:lang w:val="en-US"/>
        </w:rPr>
        <w:t>.</w:t>
      </w:r>
      <w:r w:rsidRPr="00D101F9">
        <w:t xml:space="preserve"> </w:t>
      </w:r>
      <w:r w:rsidRPr="00D101F9">
        <w:rPr>
          <w:lang w:val="en-US"/>
        </w:rPr>
        <w:t>On the other hand, similar to the payback period</w:t>
      </w:r>
      <w:r>
        <w:rPr>
          <w:lang w:val="en-US"/>
        </w:rPr>
        <w:t>,</w:t>
      </w:r>
      <w:r w:rsidRPr="00D101F9">
        <w:rPr>
          <w:lang w:val="en-US"/>
        </w:rPr>
        <w:t xml:space="preserve"> </w:t>
      </w:r>
      <w:r>
        <w:rPr>
          <w:lang w:val="en-US"/>
        </w:rPr>
        <w:t>ARR</w:t>
      </w:r>
      <w:r w:rsidRPr="00D101F9">
        <w:rPr>
          <w:lang w:val="en-US"/>
        </w:rPr>
        <w:t xml:space="preserve"> needs to consider the time valuation of money, which can be highly missed, leading in terms of concluding specifically in terms of the project having very cash flow over the years. Since </w:t>
      </w:r>
      <w:r>
        <w:rPr>
          <w:lang w:val="en-US"/>
        </w:rPr>
        <w:t>ARR</w:t>
      </w:r>
      <w:r w:rsidRPr="00D101F9">
        <w:rPr>
          <w:lang w:val="en-US"/>
        </w:rPr>
        <w:t xml:space="preserve"> is being calculated on the grounds of accounting profit, it might be influenced by non-cash attributes like depreciation, which distort the actual profit from the project.</w:t>
      </w:r>
      <w:r>
        <w:rPr>
          <w:lang w:val="en-US"/>
        </w:rPr>
        <w:t xml:space="preserve"> </w:t>
      </w:r>
      <w:r>
        <w:t>ARR needs to differentiate between projects of different lengths, potentially leading to the selection of projects that are profitable on an annual basis but less valuable over their entire lifespan.</w:t>
      </w:r>
    </w:p>
    <w:p w14:paraId="196F04C0" w14:textId="77777777" w:rsidR="00D1670D" w:rsidRPr="00436EC9" w:rsidRDefault="00D1670D" w:rsidP="00D1670D">
      <w:pPr>
        <w:rPr>
          <w:lang w:val="en-US"/>
        </w:rPr>
      </w:pPr>
      <w:r w:rsidRPr="00273190">
        <w:rPr>
          <w:lang w:val="en-US"/>
        </w:rPr>
        <w:t>In the case of net present value, it is observed that the time value of the investment is being taken into account since the discounted future cash flow is extracted in terms of the present value. Hence, this method is more accurate than the other investment appraisal techniques and is also applied directly in order to evaluate the project valuation, which accepts the company profit. The positive return on npv demonstrates that the project expects to earn a higher valuation rather than its cost, and it is carefully considered to be a highly reliable indicator for showing the financial viability of the project</w:t>
      </w:r>
      <w:r>
        <w:rPr>
          <w:lang w:val="en-US"/>
        </w:rPr>
        <w:t xml:space="preserve"> (</w:t>
      </w:r>
      <w:r w:rsidRPr="0019555D">
        <w:rPr>
          <w:color w:val="222222"/>
          <w:shd w:val="clear" w:color="auto" w:fill="FFFFFF"/>
        </w:rPr>
        <w:t>Dai</w:t>
      </w:r>
      <w:r>
        <w:rPr>
          <w:color w:val="222222"/>
          <w:shd w:val="clear" w:color="auto" w:fill="FFFFFF"/>
        </w:rPr>
        <w:t xml:space="preserve"> et al., </w:t>
      </w:r>
      <w:r w:rsidRPr="0019555D">
        <w:rPr>
          <w:color w:val="222222"/>
          <w:shd w:val="clear" w:color="auto" w:fill="FFFFFF"/>
        </w:rPr>
        <w:t>2022</w:t>
      </w:r>
      <w:r>
        <w:rPr>
          <w:color w:val="222222"/>
          <w:shd w:val="clear" w:color="auto" w:fill="FFFFFF"/>
        </w:rPr>
        <w:t>)</w:t>
      </w:r>
      <w:r w:rsidRPr="00273190">
        <w:rPr>
          <w:lang w:val="en-US"/>
        </w:rPr>
        <w:t>. The decision rule applied for NPV is transparent sense it except the projects having higher NPV and rejects those having negative NPV.</w:t>
      </w:r>
      <w:r>
        <w:rPr>
          <w:lang w:val="en-US"/>
        </w:rPr>
        <w:t xml:space="preserve"> However, it is evident that NPV can be highly complex, specifically for the stakeholders to understand and might be unfamiliar with these financial terms. </w:t>
      </w:r>
      <w:r w:rsidRPr="00273190">
        <w:rPr>
          <w:lang w:val="en-US"/>
        </w:rPr>
        <w:t>It is also evidence</w:t>
      </w:r>
      <w:r>
        <w:rPr>
          <w:lang w:val="en-US"/>
        </w:rPr>
        <w:t xml:space="preserve">d that </w:t>
      </w:r>
      <w:r w:rsidRPr="00273190">
        <w:rPr>
          <w:lang w:val="en-US"/>
        </w:rPr>
        <w:t xml:space="preserve">the calculation for </w:t>
      </w:r>
      <w:r>
        <w:rPr>
          <w:lang w:val="en-US"/>
        </w:rPr>
        <w:t>NPV</w:t>
      </w:r>
      <w:r w:rsidRPr="00273190">
        <w:rPr>
          <w:lang w:val="en-US"/>
        </w:rPr>
        <w:t xml:space="preserve"> is highly sensitive towards the choosing discount rate</w:t>
      </w:r>
      <w:r>
        <w:rPr>
          <w:lang w:val="en-US"/>
        </w:rPr>
        <w:t>. Therefore, the</w:t>
      </w:r>
      <w:r w:rsidRPr="00273190">
        <w:rPr>
          <w:lang w:val="en-US"/>
        </w:rPr>
        <w:t xml:space="preserve"> allocation of an in</w:t>
      </w:r>
      <w:r>
        <w:rPr>
          <w:lang w:val="en-US"/>
        </w:rPr>
        <w:t>ef</w:t>
      </w:r>
      <w:r w:rsidRPr="00273190">
        <w:rPr>
          <w:lang w:val="en-US"/>
        </w:rPr>
        <w:t xml:space="preserve">fective discount rate may significantly impact the outcome, leading towards making wrong decisions. This technique also </w:t>
      </w:r>
      <w:r>
        <w:rPr>
          <w:lang w:val="en-US"/>
        </w:rPr>
        <w:t>needs to</w:t>
      </w:r>
      <w:r w:rsidRPr="00273190">
        <w:rPr>
          <w:lang w:val="en-US"/>
        </w:rPr>
        <w:t xml:space="preserve"> take into consideration the scale of the investment and, therefore, develop a capital-constraint environment.</w:t>
      </w:r>
    </w:p>
    <w:p w14:paraId="53160BDF" w14:textId="77777777" w:rsidR="00D1670D" w:rsidRPr="00091D41" w:rsidRDefault="00D1670D" w:rsidP="00D1670D">
      <w:pPr>
        <w:pStyle w:val="Heading2"/>
        <w:rPr>
          <w:lang w:val="en-US"/>
        </w:rPr>
      </w:pPr>
      <w:bookmarkStart w:id="16" w:name="_Toc175064150"/>
      <w:r>
        <w:rPr>
          <w:lang w:val="en-US"/>
        </w:rPr>
        <w:t>N</w:t>
      </w:r>
      <w:r w:rsidRPr="00091D41">
        <w:rPr>
          <w:lang w:val="en-US"/>
        </w:rPr>
        <w:t>on-financial factors</w:t>
      </w:r>
      <w:r>
        <w:rPr>
          <w:lang w:val="en-US"/>
        </w:rPr>
        <w:t xml:space="preserve"> required to be considered</w:t>
      </w:r>
      <w:bookmarkEnd w:id="16"/>
    </w:p>
    <w:p w14:paraId="0FD246DA" w14:textId="77777777" w:rsidR="00D1670D" w:rsidRPr="000F5CE9" w:rsidRDefault="00D1670D" w:rsidP="00D1670D">
      <w:pPr>
        <w:rPr>
          <w:lang w:val="en-US"/>
        </w:rPr>
      </w:pPr>
      <w:r w:rsidRPr="000F5CE9">
        <w:rPr>
          <w:lang w:val="en-US"/>
        </w:rPr>
        <w:t xml:space="preserve">The </w:t>
      </w:r>
      <w:r>
        <w:rPr>
          <w:lang w:val="en-US"/>
        </w:rPr>
        <w:t>o</w:t>
      </w:r>
      <w:r w:rsidRPr="000F5CE9">
        <w:rPr>
          <w:lang w:val="en-US"/>
        </w:rPr>
        <w:t>ther non-financial factors that need to be considered while evaluating project efficiencies are:</w:t>
      </w:r>
    </w:p>
    <w:p w14:paraId="10F4CEB3" w14:textId="77777777" w:rsidR="00D1670D" w:rsidRPr="000F5CE9" w:rsidRDefault="00D1670D" w:rsidP="00D1670D">
      <w:pPr>
        <w:pStyle w:val="ListParagraph"/>
        <w:numPr>
          <w:ilvl w:val="0"/>
          <w:numId w:val="3"/>
        </w:numPr>
        <w:rPr>
          <w:lang w:val="en-US"/>
        </w:rPr>
      </w:pPr>
      <w:r w:rsidRPr="000F5CE9">
        <w:rPr>
          <w:lang w:val="en-US"/>
        </w:rPr>
        <w:t xml:space="preserve">Projects should bring </w:t>
      </w:r>
      <w:r w:rsidRPr="000F5CE9">
        <w:rPr>
          <w:b/>
          <w:bCs/>
          <w:i/>
          <w:iCs/>
          <w:lang w:val="en-US"/>
        </w:rPr>
        <w:t>proper alignment</w:t>
      </w:r>
      <w:r w:rsidRPr="000F5CE9">
        <w:rPr>
          <w:lang w:val="en-US"/>
        </w:rPr>
        <w:t xml:space="preserve"> </w:t>
      </w:r>
      <w:r w:rsidRPr="000F5CE9">
        <w:rPr>
          <w:b/>
          <w:bCs/>
          <w:i/>
          <w:iCs/>
          <w:lang w:val="en-US"/>
        </w:rPr>
        <w:t>within their long-term strategic goals</w:t>
      </w:r>
      <w:r w:rsidRPr="000F5CE9">
        <w:rPr>
          <w:lang w:val="en-US"/>
        </w:rPr>
        <w:t>. Even if the company comprises a feasible financial outlook, it might not be preferred in terms of investing capital in case it does not contribute significantly towards the strategic objectives of the organisation.</w:t>
      </w:r>
    </w:p>
    <w:p w14:paraId="1AAA50AB" w14:textId="77777777" w:rsidR="00D1670D" w:rsidRPr="000F5CE9" w:rsidRDefault="00D1670D" w:rsidP="00D1670D">
      <w:pPr>
        <w:pStyle w:val="ListParagraph"/>
        <w:numPr>
          <w:ilvl w:val="0"/>
          <w:numId w:val="3"/>
        </w:numPr>
        <w:rPr>
          <w:lang w:val="en-US"/>
        </w:rPr>
      </w:pPr>
      <w:r w:rsidRPr="000F5CE9">
        <w:rPr>
          <w:lang w:val="en-US"/>
        </w:rPr>
        <w:t xml:space="preserve">Since companies are becoming highly concerned in terms of </w:t>
      </w:r>
      <w:r w:rsidRPr="000F5CE9">
        <w:rPr>
          <w:b/>
          <w:bCs/>
          <w:i/>
          <w:iCs/>
          <w:lang w:val="en-US"/>
        </w:rPr>
        <w:t>the social and environmental impact of the project</w:t>
      </w:r>
      <w:r w:rsidRPr="000F5CE9">
        <w:rPr>
          <w:lang w:val="en-US"/>
        </w:rPr>
        <w:t xml:space="preserve"> therefore, introducing corporate social responsibility sustainability initiatives and effective regulatory compliance are majorly responsible for impacting the long-term success of the project.</w:t>
      </w:r>
    </w:p>
    <w:p w14:paraId="17C19FD8" w14:textId="12E566F9" w:rsidR="00D1670D" w:rsidRPr="00D1670D" w:rsidRDefault="00D1670D" w:rsidP="00D1670D">
      <w:pPr>
        <w:pStyle w:val="Normal1"/>
        <w:numPr>
          <w:ilvl w:val="0"/>
          <w:numId w:val="3"/>
        </w:numPr>
      </w:pPr>
      <w:r w:rsidRPr="000F5CE9">
        <w:rPr>
          <w:lang w:val="en-US"/>
        </w:rPr>
        <w:t xml:space="preserve">The availability of experienced employees </w:t>
      </w:r>
      <w:r w:rsidRPr="000F5CE9">
        <w:rPr>
          <w:b/>
          <w:bCs/>
          <w:i/>
          <w:iCs/>
          <w:lang w:val="en-US"/>
        </w:rPr>
        <w:t>influences over employee model, and organisational cultural fit</w:t>
      </w:r>
      <w:r w:rsidRPr="000F5CE9">
        <w:rPr>
          <w:lang w:val="en-US"/>
        </w:rPr>
        <w:t xml:space="preserve"> is essential for the success of a project. The adoption of the project, which might disrupt the artistic aspect of the organisation, might also introduce significant implementation issues.</w:t>
      </w:r>
    </w:p>
    <w:p w14:paraId="50EC8BC3" w14:textId="77777777" w:rsidR="000D49D6" w:rsidRDefault="000D49D6">
      <w:pPr>
        <w:rPr>
          <w:b/>
          <w:sz w:val="28"/>
          <w:szCs w:val="28"/>
        </w:rPr>
      </w:pPr>
      <w:r>
        <w:br w:type="page"/>
      </w:r>
    </w:p>
    <w:p w14:paraId="51EC4137" w14:textId="2045AC11" w:rsidR="00E929E3" w:rsidRDefault="000D49D6" w:rsidP="000D49D6">
      <w:pPr>
        <w:pStyle w:val="Heading1"/>
      </w:pPr>
      <w:bookmarkStart w:id="17" w:name="_Toc175064151"/>
      <w:r>
        <w:t>Reference List</w:t>
      </w:r>
      <w:bookmarkEnd w:id="17"/>
    </w:p>
    <w:p w14:paraId="1E6A22C1" w14:textId="77777777" w:rsidR="00403FF4" w:rsidRPr="00403FF4" w:rsidRDefault="00403FF4" w:rsidP="00403FF4">
      <w:pPr>
        <w:rPr>
          <w:shd w:val="clear" w:color="auto" w:fill="FFFFFF"/>
        </w:rPr>
      </w:pPr>
      <w:r w:rsidRPr="00403FF4">
        <w:rPr>
          <w:shd w:val="clear" w:color="auto" w:fill="FFFFFF"/>
        </w:rPr>
        <w:t>Arjunan, K., (2022). A new method to estimate NPV and IRR from the capital amortization schedule and the advantages of the new method. </w:t>
      </w:r>
      <w:r w:rsidRPr="00403FF4">
        <w:rPr>
          <w:i/>
          <w:iCs/>
          <w:shd w:val="clear" w:color="auto" w:fill="FFFFFF"/>
        </w:rPr>
        <w:t>Australasian Accounting, Business and Finance Journal</w:t>
      </w:r>
      <w:r w:rsidRPr="00403FF4">
        <w:rPr>
          <w:shd w:val="clear" w:color="auto" w:fill="FFFFFF"/>
        </w:rPr>
        <w:t>, </w:t>
      </w:r>
      <w:r w:rsidRPr="00403FF4">
        <w:rPr>
          <w:i/>
          <w:iCs/>
          <w:shd w:val="clear" w:color="auto" w:fill="FFFFFF"/>
        </w:rPr>
        <w:t>16</w:t>
      </w:r>
      <w:r w:rsidRPr="00403FF4">
        <w:rPr>
          <w:shd w:val="clear" w:color="auto" w:fill="FFFFFF"/>
        </w:rPr>
        <w:t>(6), pp.23-44.</w:t>
      </w:r>
      <w:r w:rsidRPr="00403FF4">
        <w:t xml:space="preserve"> </w:t>
      </w:r>
      <w:hyperlink r:id="rId21" w:history="1">
        <w:r w:rsidRPr="00403FF4">
          <w:rPr>
            <w:rStyle w:val="Hyperlink"/>
            <w:shd w:val="clear" w:color="auto" w:fill="FFFFFF"/>
          </w:rPr>
          <w:t>https://ro.uow.edu.au/aabfj/vol16/iss6/3/</w:t>
        </w:r>
      </w:hyperlink>
    </w:p>
    <w:p w14:paraId="68C40ABF" w14:textId="77777777" w:rsidR="00403FF4" w:rsidRPr="00403FF4" w:rsidRDefault="00403FF4" w:rsidP="00403FF4">
      <w:pPr>
        <w:rPr>
          <w:shd w:val="clear" w:color="auto" w:fill="FFFFFF"/>
        </w:rPr>
      </w:pPr>
      <w:r w:rsidRPr="00403FF4">
        <w:rPr>
          <w:shd w:val="clear" w:color="auto" w:fill="FFFFFF"/>
        </w:rPr>
        <w:t>Cotter, E., (2023). Net Present Value and Payback Period: An Analysis.</w:t>
      </w:r>
      <w:r w:rsidRPr="00403FF4">
        <w:t xml:space="preserve"> </w:t>
      </w:r>
      <w:hyperlink r:id="rId22" w:history="1">
        <w:r w:rsidRPr="00403FF4">
          <w:rPr>
            <w:rStyle w:val="Hyperlink"/>
            <w:shd w:val="clear" w:color="auto" w:fill="FFFFFF"/>
          </w:rPr>
          <w:t>https://scholarworks.wmich.edu/honors_theses/3796/</w:t>
        </w:r>
      </w:hyperlink>
    </w:p>
    <w:p w14:paraId="43DD29E9" w14:textId="77777777" w:rsidR="00403FF4" w:rsidRPr="00403FF4" w:rsidRDefault="00403FF4" w:rsidP="00403FF4">
      <w:pPr>
        <w:rPr>
          <w:shd w:val="clear" w:color="auto" w:fill="FFFFFF"/>
        </w:rPr>
      </w:pPr>
      <w:r w:rsidRPr="00403FF4">
        <w:rPr>
          <w:shd w:val="clear" w:color="auto" w:fill="FFFFFF"/>
        </w:rPr>
        <w:t>Dai, H., Li, N., Wang, Y. and Zhao, X., (2022, March). The analysis of three main investment criteria: NPV IRR and payback period. In </w:t>
      </w:r>
      <w:r w:rsidRPr="00403FF4">
        <w:rPr>
          <w:i/>
          <w:iCs/>
          <w:shd w:val="clear" w:color="auto" w:fill="FFFFFF"/>
        </w:rPr>
        <w:t>2022 7th International Conference on Financial Innovation and Economic Development (ICFIED 2022)</w:t>
      </w:r>
      <w:r w:rsidRPr="00403FF4">
        <w:rPr>
          <w:shd w:val="clear" w:color="auto" w:fill="FFFFFF"/>
        </w:rPr>
        <w:t> (pp. 185-189). Atlantis Press.</w:t>
      </w:r>
      <w:r w:rsidRPr="00403FF4">
        <w:t xml:space="preserve"> </w:t>
      </w:r>
      <w:hyperlink r:id="rId23" w:history="1">
        <w:r w:rsidRPr="00403FF4">
          <w:rPr>
            <w:rStyle w:val="Hyperlink"/>
            <w:shd w:val="clear" w:color="auto" w:fill="FFFFFF"/>
          </w:rPr>
          <w:t>https://www.atlantis-press.com/proceedings/icfied-22/125971510</w:t>
        </w:r>
      </w:hyperlink>
    </w:p>
    <w:p w14:paraId="169DB866" w14:textId="77777777" w:rsidR="00403FF4" w:rsidRPr="00403FF4" w:rsidRDefault="00403FF4" w:rsidP="00403FF4">
      <w:pPr>
        <w:rPr>
          <w:shd w:val="clear" w:color="auto" w:fill="FFFFFF"/>
        </w:rPr>
      </w:pPr>
      <w:r w:rsidRPr="00403FF4">
        <w:rPr>
          <w:shd w:val="clear" w:color="auto" w:fill="FFFFFF"/>
        </w:rPr>
        <w:t>Franco, M.A.J.Q., Pawar, P. and Wu, X., (2021). Green building policies in cities: A comparative assessment and analysis. </w:t>
      </w:r>
      <w:r w:rsidRPr="00403FF4">
        <w:rPr>
          <w:i/>
          <w:iCs/>
          <w:shd w:val="clear" w:color="auto" w:fill="FFFFFF"/>
        </w:rPr>
        <w:t>Energy and buildings</w:t>
      </w:r>
      <w:r w:rsidRPr="00403FF4">
        <w:rPr>
          <w:shd w:val="clear" w:color="auto" w:fill="FFFFFF"/>
        </w:rPr>
        <w:t>, </w:t>
      </w:r>
      <w:r w:rsidRPr="00403FF4">
        <w:rPr>
          <w:i/>
          <w:iCs/>
          <w:shd w:val="clear" w:color="auto" w:fill="FFFFFF"/>
        </w:rPr>
        <w:t>231</w:t>
      </w:r>
      <w:r w:rsidRPr="00403FF4">
        <w:rPr>
          <w:shd w:val="clear" w:color="auto" w:fill="FFFFFF"/>
        </w:rPr>
        <w:t>, p.110561.</w:t>
      </w:r>
      <w:r w:rsidRPr="00403FF4">
        <w:t xml:space="preserve"> </w:t>
      </w:r>
      <w:hyperlink r:id="rId24" w:history="1">
        <w:r w:rsidRPr="00403FF4">
          <w:rPr>
            <w:rStyle w:val="Hyperlink"/>
            <w:shd w:val="clear" w:color="auto" w:fill="FFFFFF"/>
          </w:rPr>
          <w:t>https://www.academia.edu/download/65202809/pre-print.pdf</w:t>
        </w:r>
      </w:hyperlink>
    </w:p>
    <w:p w14:paraId="3BB7D1FC" w14:textId="77777777" w:rsidR="00403FF4" w:rsidRPr="00403FF4" w:rsidRDefault="00403FF4" w:rsidP="00403FF4">
      <w:pPr>
        <w:rPr>
          <w:shd w:val="clear" w:color="auto" w:fill="FFFFFF"/>
        </w:rPr>
      </w:pPr>
      <w:r w:rsidRPr="00403FF4">
        <w:rPr>
          <w:shd w:val="clear" w:color="auto" w:fill="FFFFFF"/>
        </w:rPr>
        <w:t xml:space="preserve">Gov.uk (2024) LAND SECURITIES GROUP PLC overview - Find and update company information - GOV.UK. </w:t>
      </w:r>
      <w:hyperlink r:id="rId25" w:history="1">
        <w:r w:rsidRPr="00403FF4">
          <w:rPr>
            <w:rStyle w:val="Hyperlink"/>
            <w:shd w:val="clear" w:color="auto" w:fill="FFFFFF"/>
          </w:rPr>
          <w:t>https://find-and-update.company-information.service.gov.uk/company/04369054</w:t>
        </w:r>
      </w:hyperlink>
    </w:p>
    <w:p w14:paraId="15FF7B7A" w14:textId="77777777" w:rsidR="00403FF4" w:rsidRPr="00403FF4" w:rsidRDefault="00403FF4" w:rsidP="00403FF4">
      <w:pPr>
        <w:rPr>
          <w:shd w:val="clear" w:color="auto" w:fill="FFFFFF"/>
        </w:rPr>
      </w:pPr>
      <w:r w:rsidRPr="00403FF4">
        <w:rPr>
          <w:shd w:val="clear" w:color="auto" w:fill="FFFFFF"/>
        </w:rPr>
        <w:t>Huang, J., Tong, J., Wang, P. and Zheng, X., (2022, March). Application and Comparison of NPV and IRR Methods in the Company Investment Decision. In </w:t>
      </w:r>
      <w:r w:rsidRPr="00403FF4">
        <w:rPr>
          <w:i/>
          <w:iCs/>
          <w:shd w:val="clear" w:color="auto" w:fill="FFFFFF"/>
        </w:rPr>
        <w:t>2022 7th International Conference on Financial Innovation and Economic Development (ICFIED 2022)</w:t>
      </w:r>
      <w:r w:rsidRPr="00403FF4">
        <w:rPr>
          <w:shd w:val="clear" w:color="auto" w:fill="FFFFFF"/>
        </w:rPr>
        <w:t> (pp. 71-78). Atlantis Press.</w:t>
      </w:r>
      <w:r w:rsidRPr="00403FF4">
        <w:t xml:space="preserve"> </w:t>
      </w:r>
      <w:hyperlink r:id="rId26" w:history="1">
        <w:r w:rsidRPr="00403FF4">
          <w:rPr>
            <w:rStyle w:val="Hyperlink"/>
            <w:shd w:val="clear" w:color="auto" w:fill="FFFFFF"/>
          </w:rPr>
          <w:t>https://www.atlantis-press.com/proceedings/icfied-22/125971679</w:t>
        </w:r>
      </w:hyperlink>
    </w:p>
    <w:p w14:paraId="0530C360" w14:textId="77777777" w:rsidR="00403FF4" w:rsidRPr="00403FF4" w:rsidRDefault="00403FF4" w:rsidP="00403FF4">
      <w:pPr>
        <w:rPr>
          <w:shd w:val="clear" w:color="auto" w:fill="FFFFFF"/>
        </w:rPr>
      </w:pPr>
      <w:r w:rsidRPr="00403FF4">
        <w:rPr>
          <w:shd w:val="clear" w:color="auto" w:fill="FFFFFF"/>
        </w:rPr>
        <w:t xml:space="preserve">Landsec (2023) Landsec80. </w:t>
      </w:r>
      <w:hyperlink r:id="rId27" w:history="1">
        <w:r w:rsidRPr="00403FF4">
          <w:rPr>
            <w:rStyle w:val="Hyperlink"/>
            <w:shd w:val="clear" w:color="auto" w:fill="FFFFFF"/>
          </w:rPr>
          <w:t>https://landsec.com/</w:t>
        </w:r>
      </w:hyperlink>
    </w:p>
    <w:p w14:paraId="3AC3FB5D" w14:textId="77777777" w:rsidR="00403FF4" w:rsidRPr="00403FF4" w:rsidRDefault="00403FF4" w:rsidP="00403FF4">
      <w:pPr>
        <w:rPr>
          <w:lang w:val="en-IN"/>
        </w:rPr>
      </w:pPr>
      <w:r w:rsidRPr="00403FF4">
        <w:t xml:space="preserve">Landsec. (2020). Available at: </w:t>
      </w:r>
      <w:hyperlink r:id="rId28" w:history="1">
        <w:r w:rsidRPr="00403FF4">
          <w:rPr>
            <w:rStyle w:val="Hyperlink"/>
          </w:rPr>
          <w:t>https://landsec.com/annual-report-2020</w:t>
        </w:r>
      </w:hyperlink>
      <w:r w:rsidRPr="00403FF4">
        <w:t xml:space="preserve">  [Accessed 20 Aug. 2024].</w:t>
      </w:r>
    </w:p>
    <w:p w14:paraId="0B8EEF30" w14:textId="77777777" w:rsidR="00403FF4" w:rsidRPr="00403FF4" w:rsidRDefault="00403FF4" w:rsidP="00403FF4">
      <w:pPr>
        <w:rPr>
          <w:shd w:val="clear" w:color="auto" w:fill="FFFFFF"/>
        </w:rPr>
      </w:pPr>
      <w:r w:rsidRPr="00403FF4">
        <w:rPr>
          <w:shd w:val="clear" w:color="auto" w:fill="FFFFFF"/>
        </w:rPr>
        <w:t>Lee, V.Y., (2021). </w:t>
      </w:r>
      <w:r w:rsidRPr="00403FF4">
        <w:rPr>
          <w:i/>
          <w:iCs/>
          <w:shd w:val="clear" w:color="auto" w:fill="FFFFFF"/>
        </w:rPr>
        <w:t>Corporate asset restructuring through mergers and acquisitions and divestitures</w:t>
      </w:r>
      <w:r w:rsidRPr="00403FF4">
        <w:rPr>
          <w:shd w:val="clear" w:color="auto" w:fill="FFFFFF"/>
        </w:rPr>
        <w:t> (Doctoral dissertation, University of Reading).</w:t>
      </w:r>
      <w:r w:rsidRPr="00403FF4">
        <w:t xml:space="preserve"> </w:t>
      </w:r>
      <w:hyperlink r:id="rId29" w:history="1">
        <w:r w:rsidRPr="00403FF4">
          <w:rPr>
            <w:rStyle w:val="Hyperlink"/>
            <w:shd w:val="clear" w:color="auto" w:fill="FFFFFF"/>
          </w:rPr>
          <w:t>https://centaur.reading.ac.uk/101461/2/23864261_LEE_Thesis_Vicky%20Lee%20%282%29.pdf</w:t>
        </w:r>
      </w:hyperlink>
    </w:p>
    <w:p w14:paraId="057AB419" w14:textId="77777777" w:rsidR="00403FF4" w:rsidRPr="00403FF4" w:rsidRDefault="00403FF4" w:rsidP="00403FF4">
      <w:pPr>
        <w:rPr>
          <w:shd w:val="clear" w:color="auto" w:fill="FFFFFF"/>
        </w:rPr>
      </w:pPr>
      <w:r w:rsidRPr="00403FF4">
        <w:rPr>
          <w:shd w:val="clear" w:color="auto" w:fill="FFFFFF"/>
        </w:rPr>
        <w:t>Mellado, F. and Lou, E.C., (2020). Building information modelling, lean and sustainability: An integration framework to promote performance improvements in the construction industry. </w:t>
      </w:r>
      <w:r w:rsidRPr="00403FF4">
        <w:rPr>
          <w:i/>
          <w:iCs/>
          <w:shd w:val="clear" w:color="auto" w:fill="FFFFFF"/>
        </w:rPr>
        <w:t>Sustainable cities and society</w:t>
      </w:r>
      <w:r w:rsidRPr="00403FF4">
        <w:rPr>
          <w:shd w:val="clear" w:color="auto" w:fill="FFFFFF"/>
        </w:rPr>
        <w:t>, </w:t>
      </w:r>
      <w:r w:rsidRPr="00403FF4">
        <w:rPr>
          <w:i/>
          <w:iCs/>
          <w:shd w:val="clear" w:color="auto" w:fill="FFFFFF"/>
        </w:rPr>
        <w:t>61</w:t>
      </w:r>
      <w:r w:rsidRPr="00403FF4">
        <w:rPr>
          <w:shd w:val="clear" w:color="auto" w:fill="FFFFFF"/>
        </w:rPr>
        <w:t>, p.102355.</w:t>
      </w:r>
      <w:r w:rsidRPr="00403FF4">
        <w:t xml:space="preserve"> </w:t>
      </w:r>
      <w:hyperlink r:id="rId30" w:history="1">
        <w:r w:rsidRPr="00403FF4">
          <w:rPr>
            <w:rStyle w:val="Hyperlink"/>
            <w:shd w:val="clear" w:color="auto" w:fill="FFFFFF"/>
          </w:rPr>
          <w:t>https://www.sciencedirect.com/science/article/pii/S221067072030576X</w:t>
        </w:r>
      </w:hyperlink>
    </w:p>
    <w:p w14:paraId="4F5BC446" w14:textId="77777777" w:rsidR="00403FF4" w:rsidRPr="00403FF4" w:rsidRDefault="00403FF4" w:rsidP="00403FF4">
      <w:pPr>
        <w:rPr>
          <w:shd w:val="clear" w:color="auto" w:fill="FFFFFF"/>
        </w:rPr>
      </w:pPr>
      <w:r w:rsidRPr="00403FF4">
        <w:rPr>
          <w:shd w:val="clear" w:color="auto" w:fill="FFFFFF"/>
        </w:rPr>
        <w:t>Nukala, V.B. and Prasada Rao, S.S., (2021). Role of debt-to-equity ratio in project investment valuation, assessing risk and return in capital markets. </w:t>
      </w:r>
      <w:r w:rsidRPr="00403FF4">
        <w:rPr>
          <w:i/>
          <w:iCs/>
          <w:shd w:val="clear" w:color="auto" w:fill="FFFFFF"/>
        </w:rPr>
        <w:t>Future Business Journal</w:t>
      </w:r>
      <w:r w:rsidRPr="00403FF4">
        <w:rPr>
          <w:shd w:val="clear" w:color="auto" w:fill="FFFFFF"/>
        </w:rPr>
        <w:t>, </w:t>
      </w:r>
      <w:r w:rsidRPr="00403FF4">
        <w:rPr>
          <w:i/>
          <w:iCs/>
          <w:shd w:val="clear" w:color="auto" w:fill="FFFFFF"/>
        </w:rPr>
        <w:t>7</w:t>
      </w:r>
      <w:r w:rsidRPr="00403FF4">
        <w:rPr>
          <w:shd w:val="clear" w:color="auto" w:fill="FFFFFF"/>
        </w:rPr>
        <w:t>(1), p.13.</w:t>
      </w:r>
      <w:r w:rsidRPr="00403FF4">
        <w:t xml:space="preserve"> </w:t>
      </w:r>
      <w:hyperlink r:id="rId31" w:history="1">
        <w:r w:rsidRPr="00403FF4">
          <w:rPr>
            <w:rStyle w:val="Hyperlink"/>
            <w:shd w:val="clear" w:color="auto" w:fill="FFFFFF"/>
          </w:rPr>
          <w:t>https://link.springer.com/article/10.1186/s43093-021-00058-9</w:t>
        </w:r>
      </w:hyperlink>
    </w:p>
    <w:p w14:paraId="0E859D2E" w14:textId="77777777" w:rsidR="00403FF4" w:rsidRPr="00403FF4" w:rsidRDefault="00403FF4" w:rsidP="00403FF4">
      <w:pPr>
        <w:rPr>
          <w:shd w:val="clear" w:color="auto" w:fill="FFFFFF"/>
        </w:rPr>
      </w:pPr>
      <w:r w:rsidRPr="00403FF4">
        <w:rPr>
          <w:shd w:val="clear" w:color="auto" w:fill="FFFFFF"/>
        </w:rPr>
        <w:t>Pawlak, M. and Zarzecki, D., (2020). Investment appraisal practice in the European Union countries. </w:t>
      </w:r>
      <w:r w:rsidRPr="00403FF4">
        <w:rPr>
          <w:i/>
          <w:iCs/>
          <w:shd w:val="clear" w:color="auto" w:fill="FFFFFF"/>
        </w:rPr>
        <w:t>European Research Studies</w:t>
      </w:r>
      <w:r w:rsidRPr="00403FF4">
        <w:rPr>
          <w:shd w:val="clear" w:color="auto" w:fill="FFFFFF"/>
        </w:rPr>
        <w:t>, </w:t>
      </w:r>
      <w:r w:rsidRPr="00403FF4">
        <w:rPr>
          <w:i/>
          <w:iCs/>
          <w:shd w:val="clear" w:color="auto" w:fill="FFFFFF"/>
        </w:rPr>
        <w:t>23</w:t>
      </w:r>
      <w:r w:rsidRPr="00403FF4">
        <w:rPr>
          <w:shd w:val="clear" w:color="auto" w:fill="FFFFFF"/>
        </w:rPr>
        <w:t>(2), pp.687-699.</w:t>
      </w:r>
      <w:r w:rsidRPr="00403FF4">
        <w:t xml:space="preserve"> </w:t>
      </w:r>
      <w:hyperlink r:id="rId32" w:history="1">
        <w:r w:rsidRPr="00403FF4">
          <w:rPr>
            <w:rStyle w:val="Hyperlink"/>
            <w:shd w:val="clear" w:color="auto" w:fill="FFFFFF"/>
          </w:rPr>
          <w:t>https://ersj.eu/journal/1892/download/Investment+Appraisal+Practice+in+the+European+Union+Countries.pdf</w:t>
        </w:r>
      </w:hyperlink>
    </w:p>
    <w:p w14:paraId="36EBA8D5" w14:textId="77777777" w:rsidR="00403FF4" w:rsidRPr="00403FF4" w:rsidRDefault="00403FF4" w:rsidP="00403FF4">
      <w:pPr>
        <w:rPr>
          <w:shd w:val="clear" w:color="auto" w:fill="FFFFFF"/>
        </w:rPr>
      </w:pPr>
      <w:r w:rsidRPr="00403FF4">
        <w:rPr>
          <w:shd w:val="clear" w:color="auto" w:fill="FFFFFF"/>
        </w:rPr>
        <w:t>Sinaga, A.S., Sari, M.M., Hutasuhut, A.A., Zahara, S.T., Amanda, A., Fitri, A. and Caesario, M.A., (2023). Comparison of capital budgeting methods: NPV, IRR, PAYBACK PERIOD. </w:t>
      </w:r>
      <w:r w:rsidRPr="00403FF4">
        <w:rPr>
          <w:i/>
          <w:iCs/>
          <w:shd w:val="clear" w:color="auto" w:fill="FFFFFF"/>
        </w:rPr>
        <w:t>World Journal of Advanced Research and Reviews</w:t>
      </w:r>
      <w:r w:rsidRPr="00403FF4">
        <w:rPr>
          <w:shd w:val="clear" w:color="auto" w:fill="FFFFFF"/>
        </w:rPr>
        <w:t>, </w:t>
      </w:r>
      <w:r w:rsidRPr="00403FF4">
        <w:rPr>
          <w:i/>
          <w:iCs/>
          <w:shd w:val="clear" w:color="auto" w:fill="FFFFFF"/>
        </w:rPr>
        <w:t>19</w:t>
      </w:r>
      <w:r w:rsidRPr="00403FF4">
        <w:rPr>
          <w:shd w:val="clear" w:color="auto" w:fill="FFFFFF"/>
        </w:rPr>
        <w:t>(2), pp.1078-1081.</w:t>
      </w:r>
      <w:r w:rsidRPr="00403FF4">
        <w:t xml:space="preserve"> </w:t>
      </w:r>
      <w:hyperlink r:id="rId33" w:history="1">
        <w:r w:rsidRPr="00403FF4">
          <w:rPr>
            <w:rStyle w:val="Hyperlink"/>
            <w:shd w:val="clear" w:color="auto" w:fill="FFFFFF"/>
          </w:rPr>
          <w:t>https://wjarr.com/content/comparison-capital-budgeting-methods-npv-irr-payback-period</w:t>
        </w:r>
      </w:hyperlink>
    </w:p>
    <w:p w14:paraId="09B8B2EC" w14:textId="77777777" w:rsidR="00403FF4" w:rsidRPr="00403FF4" w:rsidRDefault="00403FF4" w:rsidP="00403FF4">
      <w:pPr>
        <w:rPr>
          <w:lang w:val="en-IN"/>
        </w:rPr>
      </w:pPr>
      <w:r w:rsidRPr="00403FF4">
        <w:t>Team, C. (2023). </w:t>
      </w:r>
      <w:r w:rsidRPr="00403FF4">
        <w:rPr>
          <w:i/>
          <w:iCs/>
        </w:rPr>
        <w:t>Efficiency Ratios</w:t>
      </w:r>
      <w:r w:rsidRPr="00403FF4">
        <w:t xml:space="preserve">. [online] Corporate Finance Institute. Available at: </w:t>
      </w:r>
      <w:hyperlink r:id="rId34" w:history="1">
        <w:r w:rsidRPr="00403FF4">
          <w:rPr>
            <w:rStyle w:val="Hyperlink"/>
          </w:rPr>
          <w:t>https://corporatefinanceinstitute.com/resources/accounting/efficiency-ratios/</w:t>
        </w:r>
      </w:hyperlink>
      <w:r w:rsidRPr="00403FF4">
        <w:t xml:space="preserve">  [Accessed 20 Aug. 2024].</w:t>
      </w:r>
    </w:p>
    <w:p w14:paraId="0DB4BC6A" w14:textId="77777777" w:rsidR="00403FF4" w:rsidRPr="00403FF4" w:rsidRDefault="00403FF4" w:rsidP="00403FF4">
      <w:pPr>
        <w:rPr>
          <w:lang w:val="en-IN"/>
        </w:rPr>
      </w:pPr>
      <w:r w:rsidRPr="00403FF4">
        <w:t>Team, C. (2023). </w:t>
      </w:r>
      <w:r w:rsidRPr="00403FF4">
        <w:rPr>
          <w:i/>
          <w:iCs/>
        </w:rPr>
        <w:t>Gearing</w:t>
      </w:r>
      <w:r w:rsidRPr="00403FF4">
        <w:t xml:space="preserve">. [online] Corporate Finance Institute. Available at: </w:t>
      </w:r>
      <w:hyperlink r:id="rId35" w:history="1">
        <w:r w:rsidRPr="00403FF4">
          <w:rPr>
            <w:rStyle w:val="Hyperlink"/>
          </w:rPr>
          <w:t>https://corporatefinanceinstitute.com/resources/accounting/gearing/</w:t>
        </w:r>
      </w:hyperlink>
      <w:r w:rsidRPr="00403FF4">
        <w:t xml:space="preserve">  [Accessed 20 Aug. 2024].</w:t>
      </w:r>
    </w:p>
    <w:p w14:paraId="69ACD638" w14:textId="77777777" w:rsidR="00403FF4" w:rsidRPr="00403FF4" w:rsidRDefault="00403FF4" w:rsidP="00403FF4">
      <w:r w:rsidRPr="00403FF4">
        <w:t>‌Team, C. (2023). </w:t>
      </w:r>
      <w:r w:rsidRPr="00403FF4">
        <w:rPr>
          <w:i/>
          <w:iCs/>
        </w:rPr>
        <w:t>Liquidity Ratio</w:t>
      </w:r>
      <w:r w:rsidRPr="00403FF4">
        <w:t xml:space="preserve">. [online] Corporate Finance Institute. Available at: </w:t>
      </w:r>
      <w:hyperlink r:id="rId36" w:history="1">
        <w:r w:rsidRPr="00403FF4">
          <w:rPr>
            <w:rStyle w:val="Hyperlink"/>
          </w:rPr>
          <w:t>https://corporatefinanceinstitute.com/resources/accounting/liquidity-ratio/</w:t>
        </w:r>
      </w:hyperlink>
      <w:r w:rsidRPr="00403FF4">
        <w:t xml:space="preserve">  [Accessed 20 Aug. 2024].</w:t>
      </w:r>
    </w:p>
    <w:p w14:paraId="26A30686" w14:textId="77777777" w:rsidR="00403FF4" w:rsidRPr="00403FF4" w:rsidRDefault="00403FF4" w:rsidP="00403FF4">
      <w:pPr>
        <w:rPr>
          <w:lang w:val="en-IN"/>
        </w:rPr>
      </w:pPr>
      <w:r w:rsidRPr="00403FF4">
        <w:t>Vipond, T. (2024). </w:t>
      </w:r>
      <w:r w:rsidRPr="00403FF4">
        <w:rPr>
          <w:i/>
          <w:iCs/>
        </w:rPr>
        <w:t>Profitability Ratios</w:t>
      </w:r>
      <w:r w:rsidRPr="00403FF4">
        <w:t xml:space="preserve">. [online] Corporate Finance Institute. Available at: </w:t>
      </w:r>
      <w:hyperlink r:id="rId37" w:history="1">
        <w:r w:rsidRPr="00403FF4">
          <w:rPr>
            <w:rStyle w:val="Hyperlink"/>
          </w:rPr>
          <w:t>https://corporatefinanceinstitute.com/resources/accounting/profitability-ratios/</w:t>
        </w:r>
      </w:hyperlink>
      <w:r w:rsidRPr="00403FF4">
        <w:t xml:space="preserve">  [Accessed 20 Aug. 2024].</w:t>
      </w:r>
    </w:p>
    <w:p w14:paraId="573E16E6" w14:textId="77777777" w:rsidR="00403FF4" w:rsidRPr="00403FF4" w:rsidRDefault="00403FF4" w:rsidP="00403FF4">
      <w:r w:rsidRPr="00403FF4">
        <w:t xml:space="preserve">www.wsj.com (2024) </w:t>
      </w:r>
      <w:r w:rsidRPr="00403FF4">
        <w:rPr>
          <w:i/>
          <w:iCs/>
        </w:rPr>
        <w:t>British Land Co. PLC</w:t>
      </w:r>
      <w:r w:rsidRPr="00403FF4">
        <w:t xml:space="preserve">, </w:t>
      </w:r>
      <w:r w:rsidRPr="00403FF4">
        <w:rPr>
          <w:i/>
          <w:iCs/>
        </w:rPr>
        <w:t xml:space="preserve">Markets &amp; Finance </w:t>
      </w:r>
      <w:r w:rsidRPr="00403FF4">
        <w:t xml:space="preserve">. Available at:  </w:t>
      </w:r>
      <w:hyperlink r:id="rId38" w:history="1">
        <w:r w:rsidRPr="00403FF4">
          <w:rPr>
            <w:rStyle w:val="Hyperlink"/>
            <w:color w:val="1155CC"/>
          </w:rPr>
          <w:t>https://www.wsj.com/market-data/quotes/UK/BLND/financials/annual/income-statement</w:t>
        </w:r>
      </w:hyperlink>
      <w:r w:rsidRPr="00403FF4">
        <w:t>  (Accessed: 2024).</w:t>
      </w:r>
    </w:p>
    <w:p w14:paraId="040155B1" w14:textId="77777777" w:rsidR="00403FF4" w:rsidRPr="00403FF4" w:rsidRDefault="00403FF4" w:rsidP="00403FF4">
      <w:pPr>
        <w:rPr>
          <w:lang w:val="en-IN"/>
        </w:rPr>
      </w:pPr>
      <w:r w:rsidRPr="00403FF4">
        <w:t xml:space="preserve">www.wsj.com (2024) </w:t>
      </w:r>
      <w:r w:rsidRPr="00403FF4">
        <w:rPr>
          <w:i/>
          <w:iCs/>
        </w:rPr>
        <w:t>Land Securities Group PLC</w:t>
      </w:r>
      <w:r w:rsidRPr="00403FF4">
        <w:t xml:space="preserve">, </w:t>
      </w:r>
      <w:r w:rsidRPr="00403FF4">
        <w:rPr>
          <w:i/>
          <w:iCs/>
        </w:rPr>
        <w:t xml:space="preserve">Market &amp; Finance </w:t>
      </w:r>
      <w:hyperlink r:id="rId39" w:history="1">
        <w:r w:rsidRPr="00403FF4">
          <w:rPr>
            <w:rStyle w:val="Hyperlink"/>
            <w:color w:val="1155CC"/>
          </w:rPr>
          <w:t>https://www.wsj.com/market-data/quotes/UK/LAND/financials/annual/balance-sheet</w:t>
        </w:r>
      </w:hyperlink>
      <w:r w:rsidRPr="00403FF4">
        <w:t xml:space="preserve"> (Accessed: 2024). </w:t>
      </w:r>
    </w:p>
    <w:p w14:paraId="42411C80" w14:textId="77777777" w:rsidR="00403FF4" w:rsidRPr="00403FF4" w:rsidRDefault="00403FF4" w:rsidP="00403FF4">
      <w:pPr>
        <w:rPr>
          <w:lang w:val="en-IN"/>
        </w:rPr>
      </w:pPr>
      <w:r w:rsidRPr="00403FF4">
        <w:t>‌www.wsj.com. (2024). </w:t>
      </w:r>
      <w:r w:rsidRPr="00403FF4">
        <w:rPr>
          <w:i/>
          <w:iCs/>
        </w:rPr>
        <w:t>BKG.UK | Berkeley Group Holdings PLC Annual Income Statement - WSJ</w:t>
      </w:r>
      <w:r w:rsidRPr="00403FF4">
        <w:t xml:space="preserve">. [online] Available at: </w:t>
      </w:r>
      <w:hyperlink r:id="rId40" w:history="1">
        <w:r w:rsidRPr="00403FF4">
          <w:rPr>
            <w:rStyle w:val="Hyperlink"/>
          </w:rPr>
          <w:t>https://www.wsj.com/market-data/quotes/UK/XLON/BKG/financials/annual/income-statement</w:t>
        </w:r>
      </w:hyperlink>
      <w:r w:rsidRPr="00403FF4">
        <w:t xml:space="preserve">. </w:t>
      </w:r>
    </w:p>
    <w:p w14:paraId="56EF32FD" w14:textId="77777777" w:rsidR="00403FF4" w:rsidRPr="00403FF4" w:rsidRDefault="00403FF4" w:rsidP="00403FF4">
      <w:pPr>
        <w:rPr>
          <w:lang w:val="en-IN"/>
        </w:rPr>
      </w:pPr>
      <w:r w:rsidRPr="00403FF4">
        <w:t>Yahoo.com. (2024). </w:t>
      </w:r>
      <w:r w:rsidRPr="00403FF4">
        <w:rPr>
          <w:i/>
          <w:iCs/>
        </w:rPr>
        <w:t>The Berkeley Group Holdings plc (BKG.L) Income Statement - Yahoo Finance</w:t>
      </w:r>
      <w:r w:rsidRPr="00403FF4">
        <w:t xml:space="preserve">. [online] Available at: </w:t>
      </w:r>
      <w:hyperlink r:id="rId41" w:history="1">
        <w:r w:rsidRPr="00403FF4">
          <w:rPr>
            <w:rStyle w:val="Hyperlink"/>
          </w:rPr>
          <w:t>https://finance.yahoo.com/quote/BKG.L/financials/</w:t>
        </w:r>
      </w:hyperlink>
      <w:r w:rsidRPr="00403FF4">
        <w:t xml:space="preserve">  [Accessed 20 Aug. 2024].</w:t>
      </w:r>
    </w:p>
    <w:p w14:paraId="3184019B" w14:textId="77777777" w:rsidR="00403FF4" w:rsidRPr="00403FF4" w:rsidRDefault="00403FF4" w:rsidP="00403FF4">
      <w:pPr>
        <w:rPr>
          <w:lang w:val="en-IN"/>
        </w:rPr>
      </w:pPr>
      <w:r w:rsidRPr="00403FF4">
        <w:t>‌YahooFinanceUK. (2024). </w:t>
      </w:r>
      <w:r w:rsidRPr="00403FF4">
        <w:rPr>
          <w:i/>
          <w:iCs/>
        </w:rPr>
        <w:t>British Land Company Plc (BLND.L) income statement – Yahoo Finance</w:t>
      </w:r>
      <w:r w:rsidRPr="00403FF4">
        <w:t xml:space="preserve">. [online] Available at: </w:t>
      </w:r>
      <w:hyperlink r:id="rId42" w:history="1">
        <w:r w:rsidRPr="00403FF4">
          <w:rPr>
            <w:rStyle w:val="Hyperlink"/>
          </w:rPr>
          <w:t>https://uk.finance.yahoo.com/quote/BLND.L/financials/</w:t>
        </w:r>
      </w:hyperlink>
      <w:r w:rsidRPr="00403FF4">
        <w:t xml:space="preserve">  [Accessed 20 Aug. 2024].</w:t>
      </w:r>
    </w:p>
    <w:p w14:paraId="303E6E27" w14:textId="77777777" w:rsidR="00403FF4" w:rsidRPr="00403FF4" w:rsidRDefault="00403FF4" w:rsidP="00403FF4">
      <w:pPr>
        <w:rPr>
          <w:lang w:val="en-IN"/>
        </w:rPr>
      </w:pPr>
      <w:r w:rsidRPr="00403FF4">
        <w:t>‌YahooFinanceUK. (2024). </w:t>
      </w:r>
      <w:r w:rsidRPr="00403FF4">
        <w:rPr>
          <w:i/>
          <w:iCs/>
        </w:rPr>
        <w:t>Land Securities Group plc (LAND.L) income statement – Yahoo Finance</w:t>
      </w:r>
      <w:r w:rsidRPr="00403FF4">
        <w:t xml:space="preserve">. [online] Available at: </w:t>
      </w:r>
      <w:hyperlink r:id="rId43" w:history="1">
        <w:r w:rsidRPr="00403FF4">
          <w:rPr>
            <w:rStyle w:val="Hyperlink"/>
          </w:rPr>
          <w:t>https://uk.finance.yahoo.com/quote/LAND.L/financials/</w:t>
        </w:r>
      </w:hyperlink>
      <w:r w:rsidRPr="00403FF4">
        <w:t xml:space="preserve">  [Accessed 20 Aug. 2024].</w:t>
      </w:r>
    </w:p>
    <w:p w14:paraId="661495A6" w14:textId="77777777" w:rsidR="00403FF4" w:rsidRPr="00403FF4" w:rsidRDefault="00403FF4" w:rsidP="00403FF4">
      <w:pPr>
        <w:rPr>
          <w:shd w:val="clear" w:color="auto" w:fill="FFFFFF"/>
        </w:rPr>
      </w:pPr>
      <w:r w:rsidRPr="00403FF4">
        <w:rPr>
          <w:shd w:val="clear" w:color="auto" w:fill="FFFFFF"/>
        </w:rPr>
        <w:t>Yi, F. and Yu, Y., (2024). Research on Disposal of Non-Performing Assets of Listed Companies. </w:t>
      </w:r>
      <w:r w:rsidRPr="00403FF4">
        <w:rPr>
          <w:i/>
          <w:iCs/>
          <w:shd w:val="clear" w:color="auto" w:fill="FFFFFF"/>
        </w:rPr>
        <w:t>Frontiers in Business, Economics and Management</w:t>
      </w:r>
      <w:r w:rsidRPr="00403FF4">
        <w:rPr>
          <w:shd w:val="clear" w:color="auto" w:fill="FFFFFF"/>
        </w:rPr>
        <w:t>, </w:t>
      </w:r>
      <w:r w:rsidRPr="00403FF4">
        <w:rPr>
          <w:i/>
          <w:iCs/>
          <w:shd w:val="clear" w:color="auto" w:fill="FFFFFF"/>
        </w:rPr>
        <w:t>14</w:t>
      </w:r>
      <w:r w:rsidRPr="00403FF4">
        <w:rPr>
          <w:shd w:val="clear" w:color="auto" w:fill="FFFFFF"/>
        </w:rPr>
        <w:t>(3), pp.287-294.</w:t>
      </w:r>
      <w:r w:rsidRPr="00403FF4">
        <w:t xml:space="preserve"> </w:t>
      </w:r>
      <w:hyperlink r:id="rId44" w:history="1">
        <w:r w:rsidRPr="00403FF4">
          <w:rPr>
            <w:rStyle w:val="Hyperlink"/>
            <w:shd w:val="clear" w:color="auto" w:fill="FFFFFF"/>
          </w:rPr>
          <w:t>https://drpress.org/ojs/index.php/fbem/article/view/20507</w:t>
        </w:r>
      </w:hyperlink>
    </w:p>
    <w:p w14:paraId="3EBDE615" w14:textId="77777777" w:rsidR="00403FF4" w:rsidRPr="00403FF4" w:rsidRDefault="00403FF4" w:rsidP="00403FF4">
      <w:r w:rsidRPr="00403FF4">
        <w:rPr>
          <w:shd w:val="clear" w:color="auto" w:fill="FFFFFF"/>
        </w:rPr>
        <w:t xml:space="preserve">ZoomInfo (2024) Landsec - Overview, News &amp; Similar companies | ZoomInfo.com. </w:t>
      </w:r>
      <w:hyperlink r:id="rId45" w:history="1">
        <w:r w:rsidRPr="00403FF4">
          <w:rPr>
            <w:rStyle w:val="Hyperlink"/>
            <w:shd w:val="clear" w:color="auto" w:fill="FFFFFF"/>
          </w:rPr>
          <w:t>https://www.zoominfo.com/c/land-securities-group-plc/83232379</w:t>
        </w:r>
      </w:hyperlink>
    </w:p>
    <w:p w14:paraId="00000027" w14:textId="77777777" w:rsidR="00E929E3" w:rsidRDefault="00E929E3">
      <w:pPr>
        <w:pStyle w:val="Normal1"/>
        <w:rPr>
          <w:b/>
          <w:highlight w:val="yellow"/>
        </w:rPr>
      </w:pPr>
    </w:p>
    <w:sectPr w:rsidR="00E929E3">
      <w:footerReference w:type="default" r:id="rId4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FCE5E5" w14:textId="77777777" w:rsidR="002A5177" w:rsidRDefault="002A5177" w:rsidP="0055563E">
      <w:pPr>
        <w:spacing w:before="0" w:after="0" w:line="240" w:lineRule="auto"/>
      </w:pPr>
      <w:r>
        <w:separator/>
      </w:r>
    </w:p>
  </w:endnote>
  <w:endnote w:type="continuationSeparator" w:id="0">
    <w:p w14:paraId="7B44AFCD" w14:textId="77777777" w:rsidR="002A5177" w:rsidRDefault="002A5177" w:rsidP="005556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5305779"/>
      <w:docPartObj>
        <w:docPartGallery w:val="Page Numbers (Bottom of Page)"/>
        <w:docPartUnique/>
      </w:docPartObj>
    </w:sdtPr>
    <w:sdtEndPr>
      <w:rPr>
        <w:noProof/>
      </w:rPr>
    </w:sdtEndPr>
    <w:sdtContent>
      <w:p w14:paraId="18E74318" w14:textId="25382579" w:rsidR="0055563E" w:rsidRDefault="005556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FF315" w14:textId="77777777" w:rsidR="0055563E" w:rsidRDefault="00555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DB1007" w14:textId="77777777" w:rsidR="002A5177" w:rsidRDefault="002A5177" w:rsidP="0055563E">
      <w:pPr>
        <w:spacing w:before="0" w:after="0" w:line="240" w:lineRule="auto"/>
      </w:pPr>
      <w:r>
        <w:separator/>
      </w:r>
    </w:p>
  </w:footnote>
  <w:footnote w:type="continuationSeparator" w:id="0">
    <w:p w14:paraId="3540A6B9" w14:textId="77777777" w:rsidR="002A5177" w:rsidRDefault="002A5177" w:rsidP="0055563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8D302D"/>
    <w:multiLevelType w:val="hybridMultilevel"/>
    <w:tmpl w:val="83F83524"/>
    <w:lvl w:ilvl="0" w:tplc="AB241298">
      <w:start w:val="1"/>
      <w:numFmt w:val="bullet"/>
      <w:lvlText w:val=""/>
      <w:lvlJc w:val="left"/>
      <w:pPr>
        <w:ind w:left="720" w:hanging="360"/>
      </w:pPr>
      <w:rPr>
        <w:rFonts w:ascii="Symbol" w:hAnsi="Symbol" w:hint="default"/>
      </w:rPr>
    </w:lvl>
    <w:lvl w:ilvl="1" w:tplc="BFA0D6E6" w:tentative="1">
      <w:start w:val="1"/>
      <w:numFmt w:val="bullet"/>
      <w:lvlText w:val="o"/>
      <w:lvlJc w:val="left"/>
      <w:pPr>
        <w:ind w:left="1440" w:hanging="360"/>
      </w:pPr>
      <w:rPr>
        <w:rFonts w:ascii="Courier New" w:hAnsi="Courier New" w:cs="Courier New" w:hint="default"/>
      </w:rPr>
    </w:lvl>
    <w:lvl w:ilvl="2" w:tplc="E5CC793A" w:tentative="1">
      <w:start w:val="1"/>
      <w:numFmt w:val="bullet"/>
      <w:lvlText w:val=""/>
      <w:lvlJc w:val="left"/>
      <w:pPr>
        <w:ind w:left="2160" w:hanging="360"/>
      </w:pPr>
      <w:rPr>
        <w:rFonts w:ascii="Wingdings" w:hAnsi="Wingdings" w:hint="default"/>
      </w:rPr>
    </w:lvl>
    <w:lvl w:ilvl="3" w:tplc="2A9E5A5E" w:tentative="1">
      <w:start w:val="1"/>
      <w:numFmt w:val="bullet"/>
      <w:lvlText w:val=""/>
      <w:lvlJc w:val="left"/>
      <w:pPr>
        <w:ind w:left="2880" w:hanging="360"/>
      </w:pPr>
      <w:rPr>
        <w:rFonts w:ascii="Symbol" w:hAnsi="Symbol" w:hint="default"/>
      </w:rPr>
    </w:lvl>
    <w:lvl w:ilvl="4" w:tplc="5AA8563E" w:tentative="1">
      <w:start w:val="1"/>
      <w:numFmt w:val="bullet"/>
      <w:lvlText w:val="o"/>
      <w:lvlJc w:val="left"/>
      <w:pPr>
        <w:ind w:left="3600" w:hanging="360"/>
      </w:pPr>
      <w:rPr>
        <w:rFonts w:ascii="Courier New" w:hAnsi="Courier New" w:cs="Courier New" w:hint="default"/>
      </w:rPr>
    </w:lvl>
    <w:lvl w:ilvl="5" w:tplc="2450811C" w:tentative="1">
      <w:start w:val="1"/>
      <w:numFmt w:val="bullet"/>
      <w:lvlText w:val=""/>
      <w:lvlJc w:val="left"/>
      <w:pPr>
        <w:ind w:left="4320" w:hanging="360"/>
      </w:pPr>
      <w:rPr>
        <w:rFonts w:ascii="Wingdings" w:hAnsi="Wingdings" w:hint="default"/>
      </w:rPr>
    </w:lvl>
    <w:lvl w:ilvl="6" w:tplc="7F22CFBA" w:tentative="1">
      <w:start w:val="1"/>
      <w:numFmt w:val="bullet"/>
      <w:lvlText w:val=""/>
      <w:lvlJc w:val="left"/>
      <w:pPr>
        <w:ind w:left="5040" w:hanging="360"/>
      </w:pPr>
      <w:rPr>
        <w:rFonts w:ascii="Symbol" w:hAnsi="Symbol" w:hint="default"/>
      </w:rPr>
    </w:lvl>
    <w:lvl w:ilvl="7" w:tplc="BD56FE04" w:tentative="1">
      <w:start w:val="1"/>
      <w:numFmt w:val="bullet"/>
      <w:lvlText w:val="o"/>
      <w:lvlJc w:val="left"/>
      <w:pPr>
        <w:ind w:left="5760" w:hanging="360"/>
      </w:pPr>
      <w:rPr>
        <w:rFonts w:ascii="Courier New" w:hAnsi="Courier New" w:cs="Courier New" w:hint="default"/>
      </w:rPr>
    </w:lvl>
    <w:lvl w:ilvl="8" w:tplc="87460D5A" w:tentative="1">
      <w:start w:val="1"/>
      <w:numFmt w:val="bullet"/>
      <w:lvlText w:val=""/>
      <w:lvlJc w:val="left"/>
      <w:pPr>
        <w:ind w:left="6480" w:hanging="360"/>
      </w:pPr>
      <w:rPr>
        <w:rFonts w:ascii="Wingdings" w:hAnsi="Wingdings" w:hint="default"/>
      </w:rPr>
    </w:lvl>
  </w:abstractNum>
  <w:abstractNum w:abstractNumId="1" w15:restartNumberingAfterBreak="0">
    <w:nsid w:val="5361026D"/>
    <w:multiLevelType w:val="hybridMultilevel"/>
    <w:tmpl w:val="54222DCC"/>
    <w:lvl w:ilvl="0" w:tplc="C7B0349A">
      <w:start w:val="1"/>
      <w:numFmt w:val="bullet"/>
      <w:lvlText w:val=""/>
      <w:lvlJc w:val="left"/>
      <w:pPr>
        <w:ind w:left="720" w:hanging="360"/>
      </w:pPr>
      <w:rPr>
        <w:rFonts w:ascii="Symbol" w:hAnsi="Symbol" w:hint="default"/>
      </w:rPr>
    </w:lvl>
    <w:lvl w:ilvl="1" w:tplc="4DBCA0C0" w:tentative="1">
      <w:start w:val="1"/>
      <w:numFmt w:val="bullet"/>
      <w:lvlText w:val="o"/>
      <w:lvlJc w:val="left"/>
      <w:pPr>
        <w:ind w:left="1440" w:hanging="360"/>
      </w:pPr>
      <w:rPr>
        <w:rFonts w:ascii="Courier New" w:hAnsi="Courier New" w:cs="Courier New" w:hint="default"/>
      </w:rPr>
    </w:lvl>
    <w:lvl w:ilvl="2" w:tplc="7EDE785E" w:tentative="1">
      <w:start w:val="1"/>
      <w:numFmt w:val="bullet"/>
      <w:lvlText w:val=""/>
      <w:lvlJc w:val="left"/>
      <w:pPr>
        <w:ind w:left="2160" w:hanging="360"/>
      </w:pPr>
      <w:rPr>
        <w:rFonts w:ascii="Wingdings" w:hAnsi="Wingdings" w:hint="default"/>
      </w:rPr>
    </w:lvl>
    <w:lvl w:ilvl="3" w:tplc="1BA4D2AE" w:tentative="1">
      <w:start w:val="1"/>
      <w:numFmt w:val="bullet"/>
      <w:lvlText w:val=""/>
      <w:lvlJc w:val="left"/>
      <w:pPr>
        <w:ind w:left="2880" w:hanging="360"/>
      </w:pPr>
      <w:rPr>
        <w:rFonts w:ascii="Symbol" w:hAnsi="Symbol" w:hint="default"/>
      </w:rPr>
    </w:lvl>
    <w:lvl w:ilvl="4" w:tplc="FCE235B2" w:tentative="1">
      <w:start w:val="1"/>
      <w:numFmt w:val="bullet"/>
      <w:lvlText w:val="o"/>
      <w:lvlJc w:val="left"/>
      <w:pPr>
        <w:ind w:left="3600" w:hanging="360"/>
      </w:pPr>
      <w:rPr>
        <w:rFonts w:ascii="Courier New" w:hAnsi="Courier New" w:cs="Courier New" w:hint="default"/>
      </w:rPr>
    </w:lvl>
    <w:lvl w:ilvl="5" w:tplc="707E2538" w:tentative="1">
      <w:start w:val="1"/>
      <w:numFmt w:val="bullet"/>
      <w:lvlText w:val=""/>
      <w:lvlJc w:val="left"/>
      <w:pPr>
        <w:ind w:left="4320" w:hanging="360"/>
      </w:pPr>
      <w:rPr>
        <w:rFonts w:ascii="Wingdings" w:hAnsi="Wingdings" w:hint="default"/>
      </w:rPr>
    </w:lvl>
    <w:lvl w:ilvl="6" w:tplc="1FA08D72" w:tentative="1">
      <w:start w:val="1"/>
      <w:numFmt w:val="bullet"/>
      <w:lvlText w:val=""/>
      <w:lvlJc w:val="left"/>
      <w:pPr>
        <w:ind w:left="5040" w:hanging="360"/>
      </w:pPr>
      <w:rPr>
        <w:rFonts w:ascii="Symbol" w:hAnsi="Symbol" w:hint="default"/>
      </w:rPr>
    </w:lvl>
    <w:lvl w:ilvl="7" w:tplc="E67CAD0C" w:tentative="1">
      <w:start w:val="1"/>
      <w:numFmt w:val="bullet"/>
      <w:lvlText w:val="o"/>
      <w:lvlJc w:val="left"/>
      <w:pPr>
        <w:ind w:left="5760" w:hanging="360"/>
      </w:pPr>
      <w:rPr>
        <w:rFonts w:ascii="Courier New" w:hAnsi="Courier New" w:cs="Courier New" w:hint="default"/>
      </w:rPr>
    </w:lvl>
    <w:lvl w:ilvl="8" w:tplc="27BCA50C" w:tentative="1">
      <w:start w:val="1"/>
      <w:numFmt w:val="bullet"/>
      <w:lvlText w:val=""/>
      <w:lvlJc w:val="left"/>
      <w:pPr>
        <w:ind w:left="6480" w:hanging="360"/>
      </w:pPr>
      <w:rPr>
        <w:rFonts w:ascii="Wingdings" w:hAnsi="Wingdings" w:hint="default"/>
      </w:rPr>
    </w:lvl>
  </w:abstractNum>
  <w:abstractNum w:abstractNumId="2" w15:restartNumberingAfterBreak="0">
    <w:nsid w:val="5D350EDF"/>
    <w:multiLevelType w:val="hybridMultilevel"/>
    <w:tmpl w:val="A496B174"/>
    <w:lvl w:ilvl="0" w:tplc="3B7A3A0C">
      <w:start w:val="1"/>
      <w:numFmt w:val="bullet"/>
      <w:lvlText w:val=""/>
      <w:lvlJc w:val="left"/>
      <w:pPr>
        <w:ind w:left="720" w:hanging="360"/>
      </w:pPr>
      <w:rPr>
        <w:rFonts w:ascii="Symbol" w:hAnsi="Symbol" w:hint="default"/>
      </w:rPr>
    </w:lvl>
    <w:lvl w:ilvl="1" w:tplc="381010AC" w:tentative="1">
      <w:start w:val="1"/>
      <w:numFmt w:val="bullet"/>
      <w:lvlText w:val="o"/>
      <w:lvlJc w:val="left"/>
      <w:pPr>
        <w:ind w:left="1440" w:hanging="360"/>
      </w:pPr>
      <w:rPr>
        <w:rFonts w:ascii="Courier New" w:hAnsi="Courier New" w:cs="Courier New" w:hint="default"/>
      </w:rPr>
    </w:lvl>
    <w:lvl w:ilvl="2" w:tplc="0E32FA10" w:tentative="1">
      <w:start w:val="1"/>
      <w:numFmt w:val="bullet"/>
      <w:lvlText w:val=""/>
      <w:lvlJc w:val="left"/>
      <w:pPr>
        <w:ind w:left="2160" w:hanging="360"/>
      </w:pPr>
      <w:rPr>
        <w:rFonts w:ascii="Wingdings" w:hAnsi="Wingdings" w:hint="default"/>
      </w:rPr>
    </w:lvl>
    <w:lvl w:ilvl="3" w:tplc="EADE05E2" w:tentative="1">
      <w:start w:val="1"/>
      <w:numFmt w:val="bullet"/>
      <w:lvlText w:val=""/>
      <w:lvlJc w:val="left"/>
      <w:pPr>
        <w:ind w:left="2880" w:hanging="360"/>
      </w:pPr>
      <w:rPr>
        <w:rFonts w:ascii="Symbol" w:hAnsi="Symbol" w:hint="default"/>
      </w:rPr>
    </w:lvl>
    <w:lvl w:ilvl="4" w:tplc="1B9C7872" w:tentative="1">
      <w:start w:val="1"/>
      <w:numFmt w:val="bullet"/>
      <w:lvlText w:val="o"/>
      <w:lvlJc w:val="left"/>
      <w:pPr>
        <w:ind w:left="3600" w:hanging="360"/>
      </w:pPr>
      <w:rPr>
        <w:rFonts w:ascii="Courier New" w:hAnsi="Courier New" w:cs="Courier New" w:hint="default"/>
      </w:rPr>
    </w:lvl>
    <w:lvl w:ilvl="5" w:tplc="38C6891E" w:tentative="1">
      <w:start w:val="1"/>
      <w:numFmt w:val="bullet"/>
      <w:lvlText w:val=""/>
      <w:lvlJc w:val="left"/>
      <w:pPr>
        <w:ind w:left="4320" w:hanging="360"/>
      </w:pPr>
      <w:rPr>
        <w:rFonts w:ascii="Wingdings" w:hAnsi="Wingdings" w:hint="default"/>
      </w:rPr>
    </w:lvl>
    <w:lvl w:ilvl="6" w:tplc="D3E481E8" w:tentative="1">
      <w:start w:val="1"/>
      <w:numFmt w:val="bullet"/>
      <w:lvlText w:val=""/>
      <w:lvlJc w:val="left"/>
      <w:pPr>
        <w:ind w:left="5040" w:hanging="360"/>
      </w:pPr>
      <w:rPr>
        <w:rFonts w:ascii="Symbol" w:hAnsi="Symbol" w:hint="default"/>
      </w:rPr>
    </w:lvl>
    <w:lvl w:ilvl="7" w:tplc="45FC63A0" w:tentative="1">
      <w:start w:val="1"/>
      <w:numFmt w:val="bullet"/>
      <w:lvlText w:val="o"/>
      <w:lvlJc w:val="left"/>
      <w:pPr>
        <w:ind w:left="5760" w:hanging="360"/>
      </w:pPr>
      <w:rPr>
        <w:rFonts w:ascii="Courier New" w:hAnsi="Courier New" w:cs="Courier New" w:hint="default"/>
      </w:rPr>
    </w:lvl>
    <w:lvl w:ilvl="8" w:tplc="8C88AAFE" w:tentative="1">
      <w:start w:val="1"/>
      <w:numFmt w:val="bullet"/>
      <w:lvlText w:val=""/>
      <w:lvlJc w:val="left"/>
      <w:pPr>
        <w:ind w:left="6480" w:hanging="360"/>
      </w:pPr>
      <w:rPr>
        <w:rFonts w:ascii="Wingdings" w:hAnsi="Wingdings" w:hint="default"/>
      </w:rPr>
    </w:lvl>
  </w:abstractNum>
  <w:num w:numId="1" w16cid:durableId="653536014">
    <w:abstractNumId w:val="1"/>
  </w:num>
  <w:num w:numId="2" w16cid:durableId="834876420">
    <w:abstractNumId w:val="2"/>
  </w:num>
  <w:num w:numId="3" w16cid:durableId="721177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zAzMjWwNDQyMjU2MLRU0lEKTi0uzszPAykwqgUAc91Y9SwAAAA="/>
  </w:docVars>
  <w:rsids>
    <w:rsidRoot w:val="00E929E3"/>
    <w:rsid w:val="000D49D6"/>
    <w:rsid w:val="002A5177"/>
    <w:rsid w:val="00355170"/>
    <w:rsid w:val="003E0BBB"/>
    <w:rsid w:val="003F7A75"/>
    <w:rsid w:val="00403FF4"/>
    <w:rsid w:val="004B73CC"/>
    <w:rsid w:val="004D4CB9"/>
    <w:rsid w:val="0055563E"/>
    <w:rsid w:val="007A62E1"/>
    <w:rsid w:val="008C3BA4"/>
    <w:rsid w:val="00C63BBA"/>
    <w:rsid w:val="00D068C7"/>
    <w:rsid w:val="00D1670D"/>
    <w:rsid w:val="00D573A5"/>
    <w:rsid w:val="00D8566A"/>
    <w:rsid w:val="00DB59F3"/>
    <w:rsid w:val="00DD471C"/>
    <w:rsid w:val="00DD560C"/>
    <w:rsid w:val="00DE2F4F"/>
    <w:rsid w:val="00E929E3"/>
    <w:rsid w:val="00F23F6C"/>
    <w:rsid w:val="00FF6E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26DC2A"/>
  <w15:docId w15:val="{C6E20AD9-2CFE-49E7-BBF0-49235D71E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after="80"/>
      <w:outlineLvl w:val="4"/>
    </w:pPr>
    <w:rPr>
      <w:color w:val="666666"/>
      <w:sz w:val="22"/>
      <w:szCs w:val="22"/>
    </w:rPr>
  </w:style>
  <w:style w:type="paragraph" w:styleId="Heading6">
    <w:name w:val="heading 6"/>
    <w:basedOn w:val="Normal1"/>
    <w:next w:val="Normal1"/>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NormalWeb">
    <w:name w:val="Normal (Web)"/>
    <w:basedOn w:val="Normal"/>
    <w:uiPriority w:val="99"/>
    <w:semiHidden/>
    <w:unhideWhenUsed/>
    <w:rsid w:val="000D49D6"/>
    <w:pPr>
      <w:spacing w:before="100" w:beforeAutospacing="1" w:after="100" w:afterAutospacing="1" w:line="240" w:lineRule="auto"/>
      <w:jc w:val="left"/>
    </w:pPr>
    <w:rPr>
      <w:lang w:val="en-IN" w:eastAsia="en-IN"/>
    </w:rPr>
  </w:style>
  <w:style w:type="character" w:styleId="Hyperlink">
    <w:name w:val="Hyperlink"/>
    <w:basedOn w:val="DefaultParagraphFont"/>
    <w:uiPriority w:val="99"/>
    <w:unhideWhenUsed/>
    <w:rsid w:val="000D49D6"/>
    <w:rPr>
      <w:color w:val="0000FF"/>
      <w:u w:val="single"/>
    </w:rPr>
  </w:style>
  <w:style w:type="character" w:styleId="UnresolvedMention">
    <w:name w:val="Unresolved Mention"/>
    <w:basedOn w:val="DefaultParagraphFont"/>
    <w:uiPriority w:val="99"/>
    <w:semiHidden/>
    <w:unhideWhenUsed/>
    <w:rsid w:val="000D49D6"/>
    <w:rPr>
      <w:color w:val="605E5C"/>
      <w:shd w:val="clear" w:color="auto" w:fill="E1DFDD"/>
    </w:rPr>
  </w:style>
  <w:style w:type="paragraph" w:styleId="TOCHeading">
    <w:name w:val="TOC Heading"/>
    <w:basedOn w:val="Heading1"/>
    <w:next w:val="Normal"/>
    <w:uiPriority w:val="39"/>
    <w:unhideWhenUsed/>
    <w:qFormat/>
    <w:rsid w:val="004B73CC"/>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B73CC"/>
    <w:pPr>
      <w:spacing w:after="100"/>
    </w:pPr>
  </w:style>
  <w:style w:type="paragraph" w:styleId="TOC2">
    <w:name w:val="toc 2"/>
    <w:basedOn w:val="Normal"/>
    <w:next w:val="Normal"/>
    <w:autoRedefine/>
    <w:uiPriority w:val="39"/>
    <w:unhideWhenUsed/>
    <w:rsid w:val="004B73CC"/>
    <w:pPr>
      <w:spacing w:after="100"/>
      <w:ind w:left="240"/>
    </w:pPr>
  </w:style>
  <w:style w:type="paragraph" w:styleId="Header">
    <w:name w:val="header"/>
    <w:basedOn w:val="Normal"/>
    <w:link w:val="HeaderChar"/>
    <w:uiPriority w:val="99"/>
    <w:unhideWhenUsed/>
    <w:rsid w:val="0055563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5563E"/>
  </w:style>
  <w:style w:type="paragraph" w:styleId="Footer">
    <w:name w:val="footer"/>
    <w:basedOn w:val="Normal"/>
    <w:link w:val="FooterChar"/>
    <w:uiPriority w:val="99"/>
    <w:unhideWhenUsed/>
    <w:rsid w:val="0055563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5563E"/>
  </w:style>
  <w:style w:type="character" w:customStyle="1" w:styleId="Heading1Char">
    <w:name w:val="Heading 1 Char"/>
    <w:basedOn w:val="DefaultParagraphFont"/>
    <w:link w:val="Heading1"/>
    <w:uiPriority w:val="9"/>
    <w:rsid w:val="00DD471C"/>
    <w:rPr>
      <w:b/>
      <w:sz w:val="28"/>
      <w:szCs w:val="28"/>
    </w:rPr>
  </w:style>
  <w:style w:type="paragraph" w:styleId="ListParagraph">
    <w:name w:val="List Paragraph"/>
    <w:basedOn w:val="Normal"/>
    <w:uiPriority w:val="34"/>
    <w:qFormat/>
    <w:rsid w:val="00DD471C"/>
    <w:pPr>
      <w:ind w:left="720"/>
      <w:contextualSpacing/>
    </w:pPr>
    <w:rPr>
      <w:rFonts w:eastAsiaTheme="minorHAnsi" w:cstheme="minorBidi"/>
      <w:kern w:val="2"/>
      <w:szCs w:val="28"/>
      <w:lang w:val="en-IN"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tlantis-press.com/proceedings/icfied-22/125971679" TargetMode="External"/><Relationship Id="rId39" Type="http://schemas.openxmlformats.org/officeDocument/2006/relationships/hyperlink" Target="https://www.wsj.com/market-data/quotes/UK/LAND/financials/annual/balance-sheet" TargetMode="External"/><Relationship Id="rId21" Type="http://schemas.openxmlformats.org/officeDocument/2006/relationships/hyperlink" Target="https://ro.uow.edu.au/aabfj/vol16/iss6/3/" TargetMode="External"/><Relationship Id="rId34" Type="http://schemas.openxmlformats.org/officeDocument/2006/relationships/hyperlink" Target="https://corporatefinanceinstitute.com/resources/accounting/efficiency-ratios/" TargetMode="External"/><Relationship Id="rId42" Type="http://schemas.openxmlformats.org/officeDocument/2006/relationships/hyperlink" Target="https://uk.finance.yahoo.com/quote/BLND.L/financials/"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centaur.reading.ac.uk/101461/2/23864261_LEE_Thesis_Vicky%20Lee%20%282%2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cademia.edu/download/65202809/pre-print.pdf" TargetMode="External"/><Relationship Id="rId32" Type="http://schemas.openxmlformats.org/officeDocument/2006/relationships/hyperlink" Target="https://ersj.eu/journal/1892/download/Investment+Appraisal+Practice+in+the+European+Union+Countries.pdf" TargetMode="External"/><Relationship Id="rId37" Type="http://schemas.openxmlformats.org/officeDocument/2006/relationships/hyperlink" Target="https://corporatefinanceinstitute.com/resources/accounting/profitability-ratios/" TargetMode="External"/><Relationship Id="rId40" Type="http://schemas.openxmlformats.org/officeDocument/2006/relationships/hyperlink" Target="https://www.wsj.com/market-data/quotes/UK/XLON/BKG/financials/annual/income-statement" TargetMode="External"/><Relationship Id="rId45" Type="http://schemas.openxmlformats.org/officeDocument/2006/relationships/hyperlink" Target="https://www.zoominfo.com/c/land-securities-group-plc/83232379"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tlantis-press.com/proceedings/icfied-22/125971510" TargetMode="External"/><Relationship Id="rId28" Type="http://schemas.openxmlformats.org/officeDocument/2006/relationships/hyperlink" Target="https://landsec.com/annual-report-2020" TargetMode="External"/><Relationship Id="rId36" Type="http://schemas.openxmlformats.org/officeDocument/2006/relationships/hyperlink" Target="https://corporatefinanceinstitute.com/resources/accounting/liquidity-ratio/"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link.springer.com/article/10.1186/s43093-021-00058-9" TargetMode="External"/><Relationship Id="rId44" Type="http://schemas.openxmlformats.org/officeDocument/2006/relationships/hyperlink" Target="https://drpress.org/ojs/index.php/fbem/article/view/205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cholarworks.wmich.edu/honors_theses/3796/" TargetMode="External"/><Relationship Id="rId27" Type="http://schemas.openxmlformats.org/officeDocument/2006/relationships/hyperlink" Target="https://landsec.com/" TargetMode="External"/><Relationship Id="rId30" Type="http://schemas.openxmlformats.org/officeDocument/2006/relationships/hyperlink" Target="https://www.sciencedirect.com/science/article/pii/S221067072030576X" TargetMode="External"/><Relationship Id="rId35" Type="http://schemas.openxmlformats.org/officeDocument/2006/relationships/hyperlink" Target="https://corporatefinanceinstitute.com/resources/accounting/gearing/" TargetMode="External"/><Relationship Id="rId43" Type="http://schemas.openxmlformats.org/officeDocument/2006/relationships/hyperlink" Target="https://uk.finance.yahoo.com/quote/LAND.L/financials/"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find-and-update.company-information.service.gov.uk/company/04369054" TargetMode="External"/><Relationship Id="rId33" Type="http://schemas.openxmlformats.org/officeDocument/2006/relationships/hyperlink" Target="https://wjarr.com/content/comparison-capital-budgeting-methods-npv-irr-payback-period" TargetMode="External"/><Relationship Id="rId38" Type="http://schemas.openxmlformats.org/officeDocument/2006/relationships/hyperlink" Target="https://www.wsj.com/market-data/quotes/UK/BLND/financials/annual/income-statement" TargetMode="External"/><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finance.yahoo.com/quote/BKG.L/financ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68C3E-58A6-4AF0-A4ED-0E163EBF0D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5657</Words>
  <Characters>34502</Characters>
  <Application>Microsoft Office Word</Application>
  <DocSecurity>0</DocSecurity>
  <Lines>287</Lines>
  <Paragraphs>80</Paragraphs>
  <ScaleCrop>false</ScaleCrop>
  <Company/>
  <LinksUpToDate>false</LinksUpToDate>
  <CharactersWithSpaces>40079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Naman Singh</cp:lastModifiedBy>
  <cp:revision>2</cp:revision>
  <dcterms:created xsi:type="dcterms:W3CDTF">2024-08-21T07:35:00Z</dcterms:created>
  <dcterms:modified xsi:type="dcterms:W3CDTF">2024-08-21T07:35:00Z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1ba7f2717fe9b2c163313a58126c6139549453d718a3ec7fad91333e023a2f55</vt:lpwstr>
  </property>
</Properties>
</file>