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2D987" w14:textId="77777777" w:rsidR="000E5046" w:rsidRDefault="000E5046" w:rsidP="0073068E">
      <w:pPr>
        <w:pStyle w:val="Heading1"/>
        <w:spacing w:line="360" w:lineRule="auto"/>
        <w:jc w:val="both"/>
        <w:rPr>
          <w:rFonts w:ascii="Arial" w:hAnsi="Arial" w:cs="Arial"/>
          <w:b/>
          <w:color w:val="auto"/>
          <w:sz w:val="24"/>
          <w:szCs w:val="24"/>
        </w:rPr>
      </w:pPr>
      <w:r>
        <w:rPr>
          <w:rFonts w:ascii="Arial" w:hAnsi="Arial" w:cs="Arial"/>
          <w:b/>
          <w:color w:val="auto"/>
          <w:sz w:val="24"/>
          <w:szCs w:val="24"/>
        </w:rPr>
        <w:t>Student name: Kevin Tomko</w:t>
      </w:r>
    </w:p>
    <w:p w14:paraId="4404A7DE" w14:textId="4BD7D5E0" w:rsidR="000E5046" w:rsidRDefault="000E5046" w:rsidP="0073068E">
      <w:pPr>
        <w:pStyle w:val="Heading1"/>
        <w:spacing w:line="360" w:lineRule="auto"/>
        <w:jc w:val="both"/>
        <w:rPr>
          <w:rFonts w:ascii="Arial" w:hAnsi="Arial" w:cs="Arial"/>
          <w:b/>
          <w:color w:val="auto"/>
          <w:sz w:val="24"/>
          <w:szCs w:val="24"/>
        </w:rPr>
      </w:pPr>
      <w:r>
        <w:rPr>
          <w:rFonts w:ascii="Arial" w:hAnsi="Arial" w:cs="Arial"/>
          <w:b/>
          <w:color w:val="auto"/>
          <w:sz w:val="24"/>
          <w:szCs w:val="24"/>
        </w:rPr>
        <w:t xml:space="preserve">Date: </w:t>
      </w:r>
      <w:r w:rsidR="00343CDD">
        <w:rPr>
          <w:rFonts w:ascii="Arial" w:hAnsi="Arial" w:cs="Arial"/>
          <w:b/>
          <w:color w:val="auto"/>
          <w:sz w:val="24"/>
          <w:szCs w:val="24"/>
        </w:rPr>
        <w:t>10</w:t>
      </w:r>
      <w:r>
        <w:rPr>
          <w:rFonts w:ascii="Arial" w:hAnsi="Arial" w:cs="Arial"/>
          <w:b/>
          <w:color w:val="auto"/>
          <w:sz w:val="24"/>
          <w:szCs w:val="24"/>
        </w:rPr>
        <w:t>/0</w:t>
      </w:r>
      <w:r w:rsidR="00343CDD">
        <w:rPr>
          <w:rFonts w:ascii="Arial" w:hAnsi="Arial" w:cs="Arial"/>
          <w:b/>
          <w:color w:val="auto"/>
          <w:sz w:val="24"/>
          <w:szCs w:val="24"/>
        </w:rPr>
        <w:t>3</w:t>
      </w:r>
      <w:r>
        <w:rPr>
          <w:rFonts w:ascii="Arial" w:hAnsi="Arial" w:cs="Arial"/>
          <w:b/>
          <w:color w:val="auto"/>
          <w:sz w:val="24"/>
          <w:szCs w:val="24"/>
        </w:rPr>
        <w:t>/2024</w:t>
      </w:r>
    </w:p>
    <w:p w14:paraId="40CE2E89" w14:textId="77777777" w:rsidR="000E5046" w:rsidRDefault="000E5046" w:rsidP="0073068E">
      <w:pPr>
        <w:pStyle w:val="Heading1"/>
        <w:spacing w:line="360" w:lineRule="auto"/>
        <w:jc w:val="both"/>
        <w:rPr>
          <w:rFonts w:ascii="Arial" w:hAnsi="Arial" w:cs="Arial"/>
          <w:b/>
          <w:color w:val="auto"/>
          <w:sz w:val="24"/>
          <w:szCs w:val="24"/>
        </w:rPr>
      </w:pPr>
    </w:p>
    <w:p w14:paraId="20F816E4" w14:textId="01A8B902" w:rsidR="0073068E" w:rsidRPr="0073068E" w:rsidRDefault="0073068E" w:rsidP="0073068E">
      <w:pPr>
        <w:pStyle w:val="Heading1"/>
        <w:spacing w:line="360" w:lineRule="auto"/>
        <w:jc w:val="both"/>
        <w:rPr>
          <w:rFonts w:ascii="Arial" w:hAnsi="Arial" w:cs="Arial"/>
          <w:b/>
          <w:color w:val="auto"/>
          <w:sz w:val="24"/>
          <w:szCs w:val="24"/>
        </w:rPr>
      </w:pPr>
      <w:r w:rsidRPr="0073068E">
        <w:rPr>
          <w:rFonts w:ascii="Arial" w:hAnsi="Arial" w:cs="Arial"/>
          <w:b/>
          <w:color w:val="auto"/>
          <w:sz w:val="24"/>
          <w:szCs w:val="24"/>
        </w:rPr>
        <w:t>Hybrid Workplace</w:t>
      </w:r>
    </w:p>
    <w:p w14:paraId="6892F8D9" w14:textId="77777777" w:rsidR="004111F3" w:rsidRPr="0073068E" w:rsidRDefault="00636A5F" w:rsidP="0073068E">
      <w:pPr>
        <w:spacing w:line="360" w:lineRule="auto"/>
        <w:jc w:val="both"/>
        <w:rPr>
          <w:rFonts w:ascii="Arial" w:hAnsi="Arial" w:cs="Arial"/>
          <w:sz w:val="24"/>
          <w:szCs w:val="24"/>
        </w:rPr>
      </w:pPr>
      <w:r w:rsidRPr="00636A5F">
        <w:rPr>
          <w:rFonts w:ascii="Arial" w:hAnsi="Arial" w:cs="Arial"/>
          <w:sz w:val="24"/>
          <w:szCs w:val="24"/>
        </w:rPr>
        <w:t>Suhonen</w:t>
      </w:r>
      <w:r w:rsidR="001F7C5E" w:rsidRPr="0073068E">
        <w:rPr>
          <w:rFonts w:ascii="Arial" w:hAnsi="Arial" w:cs="Arial"/>
          <w:sz w:val="24"/>
          <w:szCs w:val="24"/>
        </w:rPr>
        <w:t xml:space="preserve"> (202</w:t>
      </w:r>
      <w:r>
        <w:rPr>
          <w:rFonts w:ascii="Arial" w:hAnsi="Arial" w:cs="Arial"/>
          <w:sz w:val="24"/>
          <w:szCs w:val="24"/>
        </w:rPr>
        <w:t>3</w:t>
      </w:r>
      <w:r w:rsidR="001F7C5E" w:rsidRPr="0073068E">
        <w:rPr>
          <w:rFonts w:ascii="Arial" w:hAnsi="Arial" w:cs="Arial"/>
          <w:sz w:val="24"/>
          <w:szCs w:val="24"/>
        </w:rPr>
        <w:t xml:space="preserve">) </w:t>
      </w:r>
      <w:r>
        <w:rPr>
          <w:rFonts w:ascii="Arial" w:hAnsi="Arial" w:cs="Arial"/>
          <w:sz w:val="24"/>
          <w:szCs w:val="24"/>
        </w:rPr>
        <w:t>reports</w:t>
      </w:r>
      <w:r w:rsidR="001F7C5E" w:rsidRPr="0073068E">
        <w:rPr>
          <w:rFonts w:ascii="Arial" w:hAnsi="Arial" w:cs="Arial"/>
          <w:sz w:val="24"/>
          <w:szCs w:val="24"/>
        </w:rPr>
        <w:t xml:space="preserve"> an increasing requirement for hybrid work models that require on-site and remote work. These methods improve flexibility, work-life balance, and digital communication. The technique increases collaboration by bringing together people with various tastes and methods. Hybrid work models enhance when Tuckman's group growth phases and Belbin's team duties are added. This shows how collaborative modern offices are. Tuckman's five stages of team development—forming, surging, norming, acting, and adjourning—explain team advancement and cohesiveness. </w:t>
      </w:r>
      <w:proofErr w:type="spellStart"/>
      <w:r w:rsidRPr="00636A5F">
        <w:rPr>
          <w:rFonts w:ascii="Arial" w:hAnsi="Arial" w:cs="Arial"/>
          <w:sz w:val="24"/>
          <w:szCs w:val="24"/>
        </w:rPr>
        <w:t>Zolotina</w:t>
      </w:r>
      <w:proofErr w:type="spellEnd"/>
      <w:r w:rsidR="001F7C5E" w:rsidRPr="0073068E">
        <w:rPr>
          <w:rFonts w:ascii="Arial" w:hAnsi="Arial" w:cs="Arial"/>
          <w:sz w:val="24"/>
          <w:szCs w:val="24"/>
        </w:rPr>
        <w:t xml:space="preserve"> et al. (2022) employ Tuckman's approach to create hybrid workplaces with digital and physical teams. Belbin says well-balanced teams work best. Groups function better when they </w:t>
      </w:r>
      <w:proofErr w:type="spellStart"/>
      <w:r w:rsidR="001F7C5E" w:rsidRPr="0073068E">
        <w:rPr>
          <w:rFonts w:ascii="Arial" w:hAnsi="Arial" w:cs="Arial"/>
          <w:sz w:val="24"/>
          <w:szCs w:val="24"/>
        </w:rPr>
        <w:t>maximise</w:t>
      </w:r>
      <w:proofErr w:type="spellEnd"/>
      <w:r w:rsidR="001F7C5E" w:rsidRPr="0073068E">
        <w:rPr>
          <w:rFonts w:ascii="Arial" w:hAnsi="Arial" w:cs="Arial"/>
          <w:sz w:val="24"/>
          <w:szCs w:val="24"/>
        </w:rPr>
        <w:t xml:space="preserve"> their strengths and </w:t>
      </w:r>
      <w:proofErr w:type="spellStart"/>
      <w:r w:rsidR="001F7C5E" w:rsidRPr="0073068E">
        <w:rPr>
          <w:rFonts w:ascii="Arial" w:hAnsi="Arial" w:cs="Arial"/>
          <w:sz w:val="24"/>
          <w:szCs w:val="24"/>
        </w:rPr>
        <w:t>minimise</w:t>
      </w:r>
      <w:proofErr w:type="spellEnd"/>
      <w:r w:rsidR="001F7C5E" w:rsidRPr="0073068E">
        <w:rPr>
          <w:rFonts w:ascii="Arial" w:hAnsi="Arial" w:cs="Arial"/>
          <w:sz w:val="24"/>
          <w:szCs w:val="24"/>
        </w:rPr>
        <w:t xml:space="preserve"> their weaknesses.  </w:t>
      </w:r>
      <w:r w:rsidRPr="00636A5F">
        <w:rPr>
          <w:rFonts w:ascii="Arial" w:hAnsi="Arial" w:cs="Arial"/>
          <w:sz w:val="24"/>
          <w:szCs w:val="24"/>
        </w:rPr>
        <w:t xml:space="preserve">Poser </w:t>
      </w:r>
      <w:r>
        <w:rPr>
          <w:rFonts w:ascii="Arial" w:hAnsi="Arial" w:cs="Arial"/>
          <w:sz w:val="24"/>
          <w:szCs w:val="24"/>
        </w:rPr>
        <w:t xml:space="preserve">et al. </w:t>
      </w:r>
      <w:r w:rsidR="001F7C5E" w:rsidRPr="0073068E">
        <w:rPr>
          <w:rFonts w:ascii="Arial" w:hAnsi="Arial" w:cs="Arial"/>
          <w:sz w:val="24"/>
          <w:szCs w:val="24"/>
        </w:rPr>
        <w:t>(202</w:t>
      </w:r>
      <w:r>
        <w:rPr>
          <w:rFonts w:ascii="Arial" w:hAnsi="Arial" w:cs="Arial"/>
          <w:sz w:val="24"/>
          <w:szCs w:val="24"/>
        </w:rPr>
        <w:t>2</w:t>
      </w:r>
      <w:r w:rsidR="001F7C5E" w:rsidRPr="0073068E">
        <w:rPr>
          <w:rFonts w:ascii="Arial" w:hAnsi="Arial" w:cs="Arial"/>
          <w:sz w:val="24"/>
          <w:szCs w:val="24"/>
        </w:rPr>
        <w:t>) discuss the pros and pitfalls of hybrid work models in their analysis of various approaches. These reforms encourage open communication, differentiated duties, and appropriate technology use to increase collaboration. These principles help managers transition between online and in-office work in the 21st century's dynamic environment.</w:t>
      </w:r>
    </w:p>
    <w:p w14:paraId="69619CBB" w14:textId="77777777" w:rsidR="004111F3" w:rsidRPr="0073068E" w:rsidRDefault="0073068E" w:rsidP="0073068E">
      <w:pPr>
        <w:pStyle w:val="Heading1"/>
        <w:spacing w:line="360" w:lineRule="auto"/>
        <w:rPr>
          <w:rFonts w:ascii="Arial" w:hAnsi="Arial" w:cs="Arial"/>
          <w:b/>
          <w:color w:val="auto"/>
          <w:sz w:val="24"/>
          <w:szCs w:val="24"/>
        </w:rPr>
      </w:pPr>
      <w:r w:rsidRPr="0073068E">
        <w:rPr>
          <w:rFonts w:ascii="Arial" w:hAnsi="Arial" w:cs="Arial"/>
          <w:b/>
          <w:color w:val="auto"/>
          <w:sz w:val="24"/>
          <w:szCs w:val="24"/>
        </w:rPr>
        <w:t xml:space="preserve">Understanding </w:t>
      </w:r>
      <w:r w:rsidR="00636A5F">
        <w:rPr>
          <w:rFonts w:ascii="Arial" w:hAnsi="Arial" w:cs="Arial"/>
          <w:b/>
          <w:color w:val="auto"/>
          <w:sz w:val="24"/>
          <w:szCs w:val="24"/>
        </w:rPr>
        <w:t>Teams and</w:t>
      </w:r>
      <w:r w:rsidRPr="0073068E">
        <w:rPr>
          <w:rFonts w:ascii="Arial" w:hAnsi="Arial" w:cs="Arial"/>
          <w:b/>
          <w:color w:val="auto"/>
          <w:sz w:val="24"/>
          <w:szCs w:val="24"/>
        </w:rPr>
        <w:t xml:space="preserve"> Their Dynamics</w:t>
      </w:r>
    </w:p>
    <w:p w14:paraId="60C6B475" w14:textId="77777777" w:rsidR="004111F3" w:rsidRPr="0073068E" w:rsidRDefault="004111F3" w:rsidP="0073068E">
      <w:pPr>
        <w:autoSpaceDE w:val="0"/>
        <w:autoSpaceDN w:val="0"/>
        <w:adjustRightInd w:val="0"/>
        <w:spacing w:after="0" w:line="360" w:lineRule="auto"/>
        <w:jc w:val="both"/>
        <w:rPr>
          <w:rFonts w:ascii="Arial" w:hAnsi="Arial" w:cs="Arial"/>
          <w:color w:val="000000"/>
          <w:sz w:val="24"/>
          <w:szCs w:val="24"/>
        </w:rPr>
      </w:pPr>
      <w:r w:rsidRPr="0073068E">
        <w:rPr>
          <w:rFonts w:ascii="Arial" w:hAnsi="Arial" w:cs="Arial"/>
          <w:color w:val="000000"/>
          <w:sz w:val="24"/>
          <w:szCs w:val="24"/>
        </w:rPr>
        <w:t xml:space="preserve">Cooperative groupings and teams are not synonymous in the context of human interaction. These periods are exemplified by the stages of group development identified by Tuckman: forming, rampaging, norming, performing, and adjourning. The implementation of these strategies by groups yields </w:t>
      </w:r>
      <w:proofErr w:type="spellStart"/>
      <w:r w:rsidRPr="0073068E">
        <w:rPr>
          <w:rFonts w:ascii="Arial" w:hAnsi="Arial" w:cs="Arial"/>
          <w:color w:val="000000"/>
          <w:sz w:val="24"/>
          <w:szCs w:val="24"/>
        </w:rPr>
        <w:t>favourable</w:t>
      </w:r>
      <w:proofErr w:type="spellEnd"/>
      <w:r w:rsidRPr="0073068E">
        <w:rPr>
          <w:rFonts w:ascii="Arial" w:hAnsi="Arial" w:cs="Arial"/>
          <w:color w:val="000000"/>
          <w:sz w:val="24"/>
          <w:szCs w:val="24"/>
        </w:rPr>
        <w:t xml:space="preserve"> inception, progression, and conclusion (</w:t>
      </w:r>
      <w:r w:rsidR="00636A5F" w:rsidRPr="00636A5F">
        <w:rPr>
          <w:rFonts w:ascii="Arial" w:hAnsi="Arial" w:cs="Arial"/>
          <w:color w:val="000000"/>
          <w:sz w:val="24"/>
          <w:szCs w:val="24"/>
        </w:rPr>
        <w:t>Cliff</w:t>
      </w:r>
      <w:r w:rsidRPr="0073068E">
        <w:rPr>
          <w:rFonts w:ascii="Arial" w:hAnsi="Arial" w:cs="Arial"/>
          <w:color w:val="000000"/>
          <w:sz w:val="24"/>
          <w:szCs w:val="24"/>
        </w:rPr>
        <w:t xml:space="preserve"> et al., 2021). Innovative groups accomplish objectives, resolve problems, and enhance overall performance. Enhanced communication, trust, and regard among team members can be advantageous (</w:t>
      </w:r>
      <w:r w:rsidR="00636A5F" w:rsidRPr="00636A5F">
        <w:rPr>
          <w:rFonts w:ascii="Arial" w:eastAsia="Times New Roman" w:hAnsi="Arial" w:cs="Arial"/>
          <w:color w:val="000000"/>
          <w:sz w:val="24"/>
          <w:szCs w:val="24"/>
        </w:rPr>
        <w:t>Contreras</w:t>
      </w:r>
      <w:r w:rsidR="00636A5F">
        <w:rPr>
          <w:rFonts w:ascii="Arial" w:eastAsia="Times New Roman" w:hAnsi="Arial" w:cs="Arial"/>
          <w:color w:val="000000"/>
          <w:sz w:val="24"/>
          <w:szCs w:val="24"/>
        </w:rPr>
        <w:t xml:space="preserve"> et al.</w:t>
      </w:r>
      <w:r w:rsidRPr="0073068E">
        <w:rPr>
          <w:rFonts w:ascii="Arial" w:hAnsi="Arial" w:cs="Arial"/>
          <w:color w:val="000000"/>
          <w:sz w:val="24"/>
          <w:szCs w:val="24"/>
        </w:rPr>
        <w:t>, 202</w:t>
      </w:r>
      <w:r w:rsidR="00636A5F">
        <w:rPr>
          <w:rFonts w:ascii="Arial" w:hAnsi="Arial" w:cs="Arial"/>
          <w:color w:val="000000"/>
          <w:sz w:val="24"/>
          <w:szCs w:val="24"/>
        </w:rPr>
        <w:t>0</w:t>
      </w:r>
      <w:r w:rsidRPr="0073068E">
        <w:rPr>
          <w:rFonts w:ascii="Arial" w:hAnsi="Arial" w:cs="Arial"/>
          <w:color w:val="000000"/>
          <w:sz w:val="24"/>
          <w:szCs w:val="24"/>
        </w:rPr>
        <w:t xml:space="preserve">). The dynamic is enhanced through the delineation of precise obligations for each team member to maintain harmony and productivity, as facilitated by Belbin's three roles—shapers, </w:t>
      </w:r>
      <w:r w:rsidRPr="0073068E">
        <w:rPr>
          <w:rFonts w:ascii="Arial" w:hAnsi="Arial" w:cs="Arial"/>
          <w:color w:val="000000"/>
          <w:sz w:val="24"/>
          <w:szCs w:val="24"/>
        </w:rPr>
        <w:lastRenderedPageBreak/>
        <w:t xml:space="preserve">implementers, and coordinators. By </w:t>
      </w:r>
      <w:proofErr w:type="spellStart"/>
      <w:r w:rsidRPr="0073068E">
        <w:rPr>
          <w:rFonts w:ascii="Arial" w:hAnsi="Arial" w:cs="Arial"/>
          <w:color w:val="000000"/>
          <w:sz w:val="24"/>
          <w:szCs w:val="24"/>
        </w:rPr>
        <w:t>utilising</w:t>
      </w:r>
      <w:proofErr w:type="spellEnd"/>
      <w:r w:rsidRPr="0073068E">
        <w:rPr>
          <w:rFonts w:ascii="Arial" w:hAnsi="Arial" w:cs="Arial"/>
          <w:color w:val="000000"/>
          <w:sz w:val="24"/>
          <w:szCs w:val="24"/>
        </w:rPr>
        <w:t xml:space="preserve"> this data, the process of establishing strategic teams becomes effortless, allowing for equal participation from all members (</w:t>
      </w:r>
      <w:r w:rsidR="00636A5F" w:rsidRPr="00636A5F">
        <w:rPr>
          <w:rFonts w:ascii="Arial" w:hAnsi="Arial" w:cs="Arial"/>
          <w:color w:val="000000"/>
          <w:sz w:val="24"/>
          <w:szCs w:val="24"/>
        </w:rPr>
        <w:t xml:space="preserve">Best </w:t>
      </w:r>
      <w:r w:rsidRPr="0073068E">
        <w:rPr>
          <w:rFonts w:ascii="Arial" w:hAnsi="Arial" w:cs="Arial"/>
          <w:color w:val="000000"/>
          <w:sz w:val="24"/>
          <w:szCs w:val="24"/>
        </w:rPr>
        <w:t>et al., 202</w:t>
      </w:r>
      <w:r w:rsidR="00636A5F">
        <w:rPr>
          <w:rFonts w:ascii="Arial" w:hAnsi="Arial" w:cs="Arial"/>
          <w:color w:val="000000"/>
          <w:sz w:val="24"/>
          <w:szCs w:val="24"/>
        </w:rPr>
        <w:t>1</w:t>
      </w:r>
      <w:r w:rsidRPr="0073068E">
        <w:rPr>
          <w:rFonts w:ascii="Arial" w:hAnsi="Arial" w:cs="Arial"/>
          <w:color w:val="000000"/>
          <w:sz w:val="24"/>
          <w:szCs w:val="24"/>
        </w:rPr>
        <w:t xml:space="preserve">). By integrating Belbin's roles with Tuckman's developmental framework, a holistic approach can be adopted to </w:t>
      </w:r>
      <w:proofErr w:type="spellStart"/>
      <w:r w:rsidRPr="0073068E">
        <w:rPr>
          <w:rFonts w:ascii="Arial" w:hAnsi="Arial" w:cs="Arial"/>
          <w:color w:val="000000"/>
          <w:sz w:val="24"/>
          <w:szCs w:val="24"/>
        </w:rPr>
        <w:t>optimise</w:t>
      </w:r>
      <w:proofErr w:type="spellEnd"/>
      <w:r w:rsidRPr="0073068E">
        <w:rPr>
          <w:rFonts w:ascii="Arial" w:hAnsi="Arial" w:cs="Arial"/>
          <w:color w:val="000000"/>
          <w:sz w:val="24"/>
          <w:szCs w:val="24"/>
        </w:rPr>
        <w:t xml:space="preserve"> collaboration and achieve goals.</w:t>
      </w:r>
    </w:p>
    <w:p w14:paraId="4205D661" w14:textId="77777777" w:rsidR="0073068E" w:rsidRPr="0073068E" w:rsidRDefault="0073068E" w:rsidP="0073068E">
      <w:pPr>
        <w:pStyle w:val="Heading1"/>
        <w:spacing w:line="360" w:lineRule="auto"/>
        <w:rPr>
          <w:rFonts w:ascii="Arial" w:hAnsi="Arial" w:cs="Arial"/>
          <w:b/>
          <w:color w:val="auto"/>
          <w:sz w:val="24"/>
          <w:szCs w:val="24"/>
        </w:rPr>
      </w:pPr>
      <w:r w:rsidRPr="0073068E">
        <w:rPr>
          <w:rFonts w:ascii="Arial" w:hAnsi="Arial" w:cs="Arial"/>
          <w:b/>
          <w:color w:val="auto"/>
          <w:sz w:val="24"/>
          <w:szCs w:val="24"/>
        </w:rPr>
        <w:t>Building Blocks of Effective Teamwork</w:t>
      </w:r>
    </w:p>
    <w:p w14:paraId="74FE13F6" w14:textId="77777777" w:rsidR="004111F3" w:rsidRPr="0073068E" w:rsidRDefault="004111F3" w:rsidP="0073068E">
      <w:pPr>
        <w:spacing w:line="360" w:lineRule="auto"/>
        <w:jc w:val="both"/>
        <w:rPr>
          <w:rFonts w:ascii="Arial" w:hAnsi="Arial" w:cs="Arial"/>
          <w:b/>
          <w:sz w:val="24"/>
          <w:szCs w:val="24"/>
        </w:rPr>
      </w:pPr>
      <w:r w:rsidRPr="0073068E">
        <w:rPr>
          <w:rFonts w:ascii="Arial" w:hAnsi="Arial" w:cs="Arial"/>
          <w:color w:val="000000"/>
          <w:sz w:val="24"/>
          <w:szCs w:val="24"/>
        </w:rPr>
        <w:t>Hybrid work environments effectively aid personnel by implementing motivation techniques, steady unit bonds, and considerate behavior. An internet-based technique permitting colleagues to endorse one another's work, "Online applause</w:t>
      </w:r>
      <w:r w:rsidR="00636A5F">
        <w:rPr>
          <w:rFonts w:ascii="Arial" w:hAnsi="Arial" w:cs="Arial"/>
          <w:color w:val="000000"/>
          <w:sz w:val="24"/>
          <w:szCs w:val="24"/>
        </w:rPr>
        <w:t>," boosted workplace engagement and esprit de corps,</w:t>
      </w:r>
      <w:r w:rsidRPr="0073068E">
        <w:rPr>
          <w:rFonts w:ascii="Arial" w:hAnsi="Arial" w:cs="Arial"/>
          <w:color w:val="000000"/>
          <w:sz w:val="24"/>
          <w:szCs w:val="24"/>
        </w:rPr>
        <w:t xml:space="preserve"> as reported by </w:t>
      </w:r>
      <w:r w:rsidR="00237703" w:rsidRPr="00237703">
        <w:rPr>
          <w:rFonts w:ascii="Arial" w:hAnsi="Arial" w:cs="Arial"/>
          <w:color w:val="000000"/>
          <w:sz w:val="24"/>
          <w:szCs w:val="24"/>
        </w:rPr>
        <w:t xml:space="preserve">Manthorpe </w:t>
      </w:r>
      <w:r w:rsidR="00237703">
        <w:rPr>
          <w:rFonts w:ascii="Arial" w:hAnsi="Arial" w:cs="Arial"/>
          <w:color w:val="000000"/>
          <w:sz w:val="24"/>
          <w:szCs w:val="24"/>
        </w:rPr>
        <w:t xml:space="preserve">et al. </w:t>
      </w:r>
      <w:r w:rsidRPr="0073068E">
        <w:rPr>
          <w:rFonts w:ascii="Arial" w:hAnsi="Arial" w:cs="Arial"/>
          <w:color w:val="000000"/>
          <w:sz w:val="24"/>
          <w:szCs w:val="24"/>
        </w:rPr>
        <w:t>(20</w:t>
      </w:r>
      <w:r w:rsidR="00237703">
        <w:rPr>
          <w:rFonts w:ascii="Arial" w:hAnsi="Arial" w:cs="Arial"/>
          <w:color w:val="000000"/>
          <w:sz w:val="24"/>
          <w:szCs w:val="24"/>
        </w:rPr>
        <w:t>22</w:t>
      </w:r>
      <w:r w:rsidRPr="0073068E">
        <w:rPr>
          <w:rFonts w:ascii="Arial" w:hAnsi="Arial" w:cs="Arial"/>
          <w:color w:val="000000"/>
          <w:sz w:val="24"/>
          <w:szCs w:val="24"/>
        </w:rPr>
        <w:t xml:space="preserve">). Offering staff admittance to electronic communication is one method. As a means to strengthen team cohesion, Belbin proposes a selection of mutual responsibilities. To boost output of projects and accelerate finish times, thriving university work teams elect overseers and implementers who distribute duties reasonably and keep the group informed of updates through periodic online meetings, as expressed by </w:t>
      </w:r>
      <w:r w:rsidR="00237703" w:rsidRPr="00237703">
        <w:rPr>
          <w:rFonts w:ascii="Arial" w:hAnsi="Arial" w:cs="Arial"/>
          <w:color w:val="000000"/>
          <w:sz w:val="24"/>
          <w:szCs w:val="24"/>
        </w:rPr>
        <w:t xml:space="preserve">Ngoc </w:t>
      </w:r>
      <w:r w:rsidRPr="0073068E">
        <w:rPr>
          <w:rFonts w:ascii="Arial" w:hAnsi="Arial" w:cs="Arial"/>
          <w:color w:val="000000"/>
          <w:sz w:val="24"/>
          <w:szCs w:val="24"/>
        </w:rPr>
        <w:t>et al., (202</w:t>
      </w:r>
      <w:r w:rsidR="00237703">
        <w:rPr>
          <w:rFonts w:ascii="Arial" w:hAnsi="Arial" w:cs="Arial"/>
          <w:color w:val="000000"/>
          <w:sz w:val="24"/>
          <w:szCs w:val="24"/>
        </w:rPr>
        <w:t>3</w:t>
      </w:r>
      <w:r w:rsidRPr="0073068E">
        <w:rPr>
          <w:rFonts w:ascii="Arial" w:hAnsi="Arial" w:cs="Arial"/>
          <w:color w:val="000000"/>
          <w:sz w:val="24"/>
          <w:szCs w:val="24"/>
        </w:rPr>
        <w:t>). Sharing obligations and solving issues become indispensable in digital correspondence. The significance of responsibility and openness in accomplishing objectives and satisfying the team is underscored by adaptable strategies for dividing work and leadership</w:t>
      </w:r>
      <w:r w:rsidR="00237703">
        <w:rPr>
          <w:rFonts w:ascii="Arial" w:hAnsi="Arial" w:cs="Arial"/>
          <w:color w:val="000000"/>
          <w:sz w:val="24"/>
          <w:szCs w:val="24"/>
        </w:rPr>
        <w:t xml:space="preserve"> and frequent virtual gatherings to address matters, respectively, consistent with </w:t>
      </w:r>
      <w:proofErr w:type="spellStart"/>
      <w:r w:rsidR="00237703" w:rsidRPr="00237703">
        <w:rPr>
          <w:rFonts w:ascii="Arial" w:hAnsi="Arial" w:cs="Arial"/>
          <w:color w:val="000000"/>
          <w:sz w:val="24"/>
          <w:szCs w:val="24"/>
        </w:rPr>
        <w:t>Stratone</w:t>
      </w:r>
      <w:proofErr w:type="spellEnd"/>
      <w:r w:rsidR="00237703">
        <w:rPr>
          <w:rFonts w:ascii="Arial" w:hAnsi="Arial" w:cs="Arial"/>
          <w:color w:val="000000"/>
          <w:sz w:val="24"/>
          <w:szCs w:val="24"/>
        </w:rPr>
        <w:t xml:space="preserve"> et al.</w:t>
      </w:r>
      <w:r w:rsidRPr="0073068E">
        <w:rPr>
          <w:rFonts w:ascii="Arial" w:hAnsi="Arial" w:cs="Arial"/>
          <w:color w:val="000000"/>
          <w:sz w:val="24"/>
          <w:szCs w:val="24"/>
        </w:rPr>
        <w:t xml:space="preserve"> (202</w:t>
      </w:r>
      <w:r w:rsidR="00237703">
        <w:rPr>
          <w:rFonts w:ascii="Arial" w:hAnsi="Arial" w:cs="Arial"/>
          <w:color w:val="000000"/>
          <w:sz w:val="24"/>
          <w:szCs w:val="24"/>
        </w:rPr>
        <w:t>2</w:t>
      </w:r>
      <w:r w:rsidRPr="0073068E">
        <w:rPr>
          <w:rFonts w:ascii="Arial" w:hAnsi="Arial" w:cs="Arial"/>
          <w:color w:val="000000"/>
          <w:sz w:val="24"/>
          <w:szCs w:val="24"/>
        </w:rPr>
        <w:t>). For hybrid work to conquer its obstacles and maximize its advantages, teamwork, smart reward systems, and transparent interaction are fundamental.</w:t>
      </w:r>
    </w:p>
    <w:p w14:paraId="5250C492" w14:textId="77777777" w:rsidR="004111F3" w:rsidRPr="0073068E" w:rsidRDefault="0073068E" w:rsidP="0073068E">
      <w:pPr>
        <w:pStyle w:val="Heading1"/>
        <w:spacing w:line="360" w:lineRule="auto"/>
        <w:rPr>
          <w:rFonts w:ascii="Arial" w:hAnsi="Arial" w:cs="Arial"/>
          <w:b/>
          <w:color w:val="auto"/>
          <w:sz w:val="24"/>
          <w:szCs w:val="24"/>
        </w:rPr>
      </w:pPr>
      <w:r w:rsidRPr="0073068E">
        <w:rPr>
          <w:rFonts w:ascii="Arial" w:hAnsi="Arial" w:cs="Arial"/>
          <w:b/>
          <w:color w:val="auto"/>
          <w:sz w:val="24"/>
          <w:szCs w:val="24"/>
        </w:rPr>
        <w:t>Overcoming Challenges</w:t>
      </w:r>
    </w:p>
    <w:p w14:paraId="7F91E6C8" w14:textId="77777777" w:rsidR="004111F3" w:rsidRPr="0073068E" w:rsidRDefault="004111F3" w:rsidP="0073068E">
      <w:pPr>
        <w:autoSpaceDE w:val="0"/>
        <w:autoSpaceDN w:val="0"/>
        <w:adjustRightInd w:val="0"/>
        <w:spacing w:after="0" w:line="360" w:lineRule="auto"/>
        <w:jc w:val="both"/>
        <w:rPr>
          <w:rFonts w:ascii="Arial" w:hAnsi="Arial" w:cs="Arial"/>
          <w:color w:val="000000"/>
          <w:sz w:val="24"/>
          <w:szCs w:val="24"/>
        </w:rPr>
      </w:pPr>
      <w:r w:rsidRPr="0073068E">
        <w:rPr>
          <w:rFonts w:ascii="Arial" w:hAnsi="Arial" w:cs="Arial"/>
          <w:color w:val="000000"/>
          <w:sz w:val="24"/>
          <w:szCs w:val="24"/>
        </w:rPr>
        <w:t>In hybrid contexts, teams have a hard time working together and dealing with remote situations. To adapt and find the right combination of people for digital success, teams can use Tuckman's phases of group development and Belbin's team responsibilities (</w:t>
      </w:r>
      <w:r w:rsidR="00237703" w:rsidRPr="00237703">
        <w:rPr>
          <w:rFonts w:ascii="Arial" w:hAnsi="Arial" w:cs="Arial"/>
          <w:color w:val="000000"/>
          <w:sz w:val="24"/>
          <w:szCs w:val="24"/>
        </w:rPr>
        <w:t>Nylund</w:t>
      </w:r>
      <w:r w:rsidRPr="0073068E">
        <w:rPr>
          <w:rFonts w:ascii="Arial" w:hAnsi="Arial" w:cs="Arial"/>
          <w:color w:val="000000"/>
          <w:sz w:val="24"/>
          <w:szCs w:val="24"/>
        </w:rPr>
        <w:t xml:space="preserve">, 2022). Hybrid meetings are now more interesting thanks to new XR technology. The development of XR technology has opened up new avenues for human communication. In order to eradicate bias and boost productivity, establish a culture that embraces different work styles and encourages both online and in-person contacts. </w:t>
      </w:r>
      <w:r w:rsidRPr="0073068E">
        <w:rPr>
          <w:rFonts w:ascii="Arial" w:hAnsi="Arial" w:cs="Arial"/>
          <w:color w:val="000000"/>
          <w:sz w:val="24"/>
          <w:szCs w:val="24"/>
        </w:rPr>
        <w:lastRenderedPageBreak/>
        <w:t xml:space="preserve">According to </w:t>
      </w:r>
      <w:r w:rsidR="00237703" w:rsidRPr="00237703">
        <w:rPr>
          <w:rFonts w:ascii="Arial" w:hAnsi="Arial" w:cs="Arial"/>
          <w:color w:val="000000"/>
          <w:sz w:val="24"/>
          <w:szCs w:val="24"/>
        </w:rPr>
        <w:t xml:space="preserve">Alirezaei </w:t>
      </w:r>
      <w:r w:rsidR="00237703">
        <w:rPr>
          <w:rFonts w:ascii="Arial" w:hAnsi="Arial" w:cs="Arial"/>
          <w:color w:val="000000"/>
          <w:sz w:val="24"/>
          <w:szCs w:val="24"/>
        </w:rPr>
        <w:t xml:space="preserve">et al. </w:t>
      </w:r>
      <w:r w:rsidRPr="0073068E">
        <w:rPr>
          <w:rFonts w:ascii="Arial" w:hAnsi="Arial" w:cs="Arial"/>
          <w:color w:val="000000"/>
          <w:sz w:val="24"/>
          <w:szCs w:val="24"/>
        </w:rPr>
        <w:t>(202</w:t>
      </w:r>
      <w:r w:rsidR="00237703">
        <w:rPr>
          <w:rFonts w:ascii="Arial" w:hAnsi="Arial" w:cs="Arial"/>
          <w:color w:val="000000"/>
          <w:sz w:val="24"/>
          <w:szCs w:val="24"/>
        </w:rPr>
        <w:t>2</w:t>
      </w:r>
      <w:r w:rsidRPr="0073068E">
        <w:rPr>
          <w:rFonts w:ascii="Arial" w:hAnsi="Arial" w:cs="Arial"/>
          <w:color w:val="000000"/>
          <w:sz w:val="24"/>
          <w:szCs w:val="24"/>
        </w:rPr>
        <w:t>), this approach enables team members to collaborate on the project regardless of their location effectively. This highlights the diversity of group project participants. In the hybrid workplace, these techniques can increase team involvement, innovation, and output.</w:t>
      </w:r>
    </w:p>
    <w:p w14:paraId="1B4F8D61" w14:textId="77777777" w:rsidR="004111F3" w:rsidRPr="0073068E" w:rsidRDefault="004111F3" w:rsidP="0073068E">
      <w:pPr>
        <w:autoSpaceDE w:val="0"/>
        <w:autoSpaceDN w:val="0"/>
        <w:adjustRightInd w:val="0"/>
        <w:spacing w:after="0" w:line="360" w:lineRule="auto"/>
        <w:jc w:val="both"/>
        <w:rPr>
          <w:rFonts w:ascii="Arial" w:hAnsi="Arial" w:cs="Arial"/>
          <w:sz w:val="24"/>
          <w:szCs w:val="24"/>
        </w:rPr>
      </w:pPr>
    </w:p>
    <w:p w14:paraId="55EF8C7E" w14:textId="77777777" w:rsidR="0073068E" w:rsidRDefault="0073068E" w:rsidP="00237703">
      <w:pPr>
        <w:pStyle w:val="Heading1"/>
        <w:spacing w:line="360" w:lineRule="auto"/>
        <w:rPr>
          <w:rFonts w:ascii="Arial" w:hAnsi="Arial" w:cs="Arial"/>
          <w:b/>
          <w:color w:val="auto"/>
          <w:sz w:val="24"/>
          <w:szCs w:val="24"/>
        </w:rPr>
      </w:pPr>
      <w:r w:rsidRPr="0073068E">
        <w:rPr>
          <w:rFonts w:ascii="Arial" w:hAnsi="Arial" w:cs="Arial"/>
          <w:b/>
          <w:color w:val="auto"/>
          <w:sz w:val="24"/>
          <w:szCs w:val="24"/>
        </w:rPr>
        <w:t>References</w:t>
      </w:r>
    </w:p>
    <w:p w14:paraId="61ED97D6" w14:textId="77777777" w:rsidR="00237703" w:rsidRPr="00237703" w:rsidRDefault="00237703" w:rsidP="00237703">
      <w:pPr>
        <w:spacing w:line="360" w:lineRule="auto"/>
        <w:ind w:left="720" w:hanging="720"/>
        <w:jc w:val="both"/>
        <w:rPr>
          <w:rFonts w:ascii="Arial" w:hAnsi="Arial" w:cs="Arial"/>
          <w:sz w:val="24"/>
          <w:szCs w:val="24"/>
        </w:rPr>
      </w:pPr>
      <w:r w:rsidRPr="00237703">
        <w:rPr>
          <w:rFonts w:ascii="Arial" w:hAnsi="Arial" w:cs="Arial"/>
          <w:sz w:val="24"/>
          <w:szCs w:val="24"/>
        </w:rPr>
        <w:t xml:space="preserve">Alirezaei, S., </w:t>
      </w:r>
      <w:proofErr w:type="spellStart"/>
      <w:r w:rsidRPr="00237703">
        <w:rPr>
          <w:rFonts w:ascii="Arial" w:hAnsi="Arial" w:cs="Arial"/>
          <w:sz w:val="24"/>
          <w:szCs w:val="24"/>
        </w:rPr>
        <w:t>Taghaddos</w:t>
      </w:r>
      <w:proofErr w:type="spellEnd"/>
      <w:r w:rsidRPr="00237703">
        <w:rPr>
          <w:rFonts w:ascii="Arial" w:hAnsi="Arial" w:cs="Arial"/>
          <w:sz w:val="24"/>
          <w:szCs w:val="24"/>
        </w:rPr>
        <w:t>, H., Ghorab, K., Tak, A.N. and Alirezaei, S., 2022. BIM-augmented reality integrated approach to risk management. </w:t>
      </w:r>
      <w:r w:rsidRPr="00237703">
        <w:rPr>
          <w:rFonts w:ascii="Arial" w:hAnsi="Arial" w:cs="Arial"/>
          <w:i/>
          <w:iCs/>
          <w:sz w:val="24"/>
          <w:szCs w:val="24"/>
        </w:rPr>
        <w:t>Automation in Construction</w:t>
      </w:r>
      <w:r w:rsidRPr="00237703">
        <w:rPr>
          <w:rFonts w:ascii="Arial" w:hAnsi="Arial" w:cs="Arial"/>
          <w:sz w:val="24"/>
          <w:szCs w:val="24"/>
        </w:rPr>
        <w:t>, </w:t>
      </w:r>
      <w:r w:rsidRPr="00237703">
        <w:rPr>
          <w:rFonts w:ascii="Arial" w:hAnsi="Arial" w:cs="Arial"/>
          <w:i/>
          <w:iCs/>
          <w:sz w:val="24"/>
          <w:szCs w:val="24"/>
        </w:rPr>
        <w:t>141</w:t>
      </w:r>
      <w:r w:rsidRPr="00237703">
        <w:rPr>
          <w:rFonts w:ascii="Arial" w:hAnsi="Arial" w:cs="Arial"/>
          <w:sz w:val="24"/>
          <w:szCs w:val="24"/>
        </w:rPr>
        <w:t>, p.104458.</w:t>
      </w:r>
    </w:p>
    <w:p w14:paraId="72E6D351" w14:textId="77777777" w:rsidR="00237703" w:rsidRPr="00237703" w:rsidRDefault="00237703" w:rsidP="00237703">
      <w:pPr>
        <w:spacing w:line="360" w:lineRule="auto"/>
        <w:ind w:left="720" w:hanging="720"/>
        <w:jc w:val="both"/>
        <w:rPr>
          <w:rFonts w:ascii="Arial" w:hAnsi="Arial" w:cs="Arial"/>
          <w:sz w:val="24"/>
          <w:szCs w:val="24"/>
        </w:rPr>
      </w:pPr>
      <w:r w:rsidRPr="00237703">
        <w:rPr>
          <w:rFonts w:ascii="Arial" w:hAnsi="Arial" w:cs="Arial"/>
          <w:sz w:val="24"/>
          <w:szCs w:val="24"/>
        </w:rPr>
        <w:t>Best, S., Brown, H., Stark, Z., Long, J.C., Ng, L., Braithwaite, J. and Taylor, N., 2021. Teamwork in clinical genomics: A dynamic sociotechnical healthcare setting. </w:t>
      </w:r>
      <w:r w:rsidRPr="00237703">
        <w:rPr>
          <w:rFonts w:ascii="Arial" w:hAnsi="Arial" w:cs="Arial"/>
          <w:i/>
          <w:iCs/>
          <w:sz w:val="24"/>
          <w:szCs w:val="24"/>
        </w:rPr>
        <w:t>Journal of Evaluation in Clinical Practice</w:t>
      </w:r>
      <w:r w:rsidRPr="00237703">
        <w:rPr>
          <w:rFonts w:ascii="Arial" w:hAnsi="Arial" w:cs="Arial"/>
          <w:sz w:val="24"/>
          <w:szCs w:val="24"/>
        </w:rPr>
        <w:t>, </w:t>
      </w:r>
      <w:r w:rsidRPr="00237703">
        <w:rPr>
          <w:rFonts w:ascii="Arial" w:hAnsi="Arial" w:cs="Arial"/>
          <w:i/>
          <w:iCs/>
          <w:sz w:val="24"/>
          <w:szCs w:val="24"/>
        </w:rPr>
        <w:t>27</w:t>
      </w:r>
      <w:r w:rsidRPr="00237703">
        <w:rPr>
          <w:rFonts w:ascii="Arial" w:hAnsi="Arial" w:cs="Arial"/>
          <w:sz w:val="24"/>
          <w:szCs w:val="24"/>
        </w:rPr>
        <w:t>(6), pp.1369-1380.</w:t>
      </w:r>
    </w:p>
    <w:p w14:paraId="1C45BDD1" w14:textId="77777777" w:rsidR="00237703" w:rsidRPr="00237703" w:rsidRDefault="00237703" w:rsidP="00237703">
      <w:pPr>
        <w:spacing w:line="360" w:lineRule="auto"/>
        <w:ind w:left="720" w:hanging="720"/>
        <w:jc w:val="both"/>
        <w:rPr>
          <w:rFonts w:ascii="Arial" w:hAnsi="Arial" w:cs="Arial"/>
          <w:sz w:val="24"/>
          <w:szCs w:val="24"/>
        </w:rPr>
      </w:pPr>
      <w:r w:rsidRPr="00237703">
        <w:rPr>
          <w:rFonts w:ascii="Arial" w:hAnsi="Arial" w:cs="Arial"/>
          <w:sz w:val="24"/>
          <w:szCs w:val="24"/>
        </w:rPr>
        <w:t>Cliff, B.Q., Avancena, A.L., Hirth, R.A. and Lee, S.Y.D., 2021. The impact of Choosing Wisely interventions on low</w:t>
      </w:r>
      <w:r w:rsidRPr="00237703">
        <w:rPr>
          <w:rFonts w:ascii="Cambria Math" w:hAnsi="Cambria Math" w:cs="Cambria Math"/>
          <w:sz w:val="24"/>
          <w:szCs w:val="24"/>
        </w:rPr>
        <w:t>‐</w:t>
      </w:r>
      <w:r w:rsidRPr="00237703">
        <w:rPr>
          <w:rFonts w:ascii="Arial" w:hAnsi="Arial" w:cs="Arial"/>
          <w:sz w:val="24"/>
          <w:szCs w:val="24"/>
        </w:rPr>
        <w:t>value medical services: a systematic review. </w:t>
      </w:r>
      <w:r w:rsidRPr="00237703">
        <w:rPr>
          <w:rFonts w:ascii="Arial" w:hAnsi="Arial" w:cs="Arial"/>
          <w:i/>
          <w:iCs/>
          <w:sz w:val="24"/>
          <w:szCs w:val="24"/>
        </w:rPr>
        <w:t>The Milbank Quarterly</w:t>
      </w:r>
      <w:r w:rsidRPr="00237703">
        <w:rPr>
          <w:rFonts w:ascii="Arial" w:hAnsi="Arial" w:cs="Arial"/>
          <w:sz w:val="24"/>
          <w:szCs w:val="24"/>
        </w:rPr>
        <w:t>, </w:t>
      </w:r>
      <w:r w:rsidRPr="00237703">
        <w:rPr>
          <w:rFonts w:ascii="Arial" w:hAnsi="Arial" w:cs="Arial"/>
          <w:i/>
          <w:iCs/>
          <w:sz w:val="24"/>
          <w:szCs w:val="24"/>
        </w:rPr>
        <w:t>99</w:t>
      </w:r>
      <w:r w:rsidRPr="00237703">
        <w:rPr>
          <w:rFonts w:ascii="Arial" w:hAnsi="Arial" w:cs="Arial"/>
          <w:sz w:val="24"/>
          <w:szCs w:val="24"/>
        </w:rPr>
        <w:t>(4), pp.1024-1058.</w:t>
      </w:r>
    </w:p>
    <w:p w14:paraId="3A8FCA47" w14:textId="77777777" w:rsidR="00237703" w:rsidRPr="00237703" w:rsidRDefault="00237703" w:rsidP="00237703">
      <w:pPr>
        <w:spacing w:line="360" w:lineRule="auto"/>
        <w:ind w:left="720" w:hanging="720"/>
        <w:jc w:val="both"/>
        <w:rPr>
          <w:rFonts w:ascii="Arial" w:hAnsi="Arial" w:cs="Arial"/>
          <w:sz w:val="24"/>
          <w:szCs w:val="24"/>
        </w:rPr>
      </w:pPr>
      <w:r w:rsidRPr="00237703">
        <w:rPr>
          <w:rFonts w:ascii="Arial" w:hAnsi="Arial" w:cs="Arial"/>
          <w:sz w:val="24"/>
          <w:szCs w:val="24"/>
        </w:rPr>
        <w:t>Contreras, F., Baykal, E. and Abid, G., 2020. E-leadership and teleworking in times of COVID-19 and beyond: What we know and where do we go. </w:t>
      </w:r>
      <w:r w:rsidRPr="00237703">
        <w:rPr>
          <w:rFonts w:ascii="Arial" w:hAnsi="Arial" w:cs="Arial"/>
          <w:i/>
          <w:iCs/>
          <w:sz w:val="24"/>
          <w:szCs w:val="24"/>
        </w:rPr>
        <w:t>Frontiers in psychology</w:t>
      </w:r>
      <w:r w:rsidRPr="00237703">
        <w:rPr>
          <w:rFonts w:ascii="Arial" w:hAnsi="Arial" w:cs="Arial"/>
          <w:sz w:val="24"/>
          <w:szCs w:val="24"/>
        </w:rPr>
        <w:t>, </w:t>
      </w:r>
      <w:r w:rsidRPr="00237703">
        <w:rPr>
          <w:rFonts w:ascii="Arial" w:hAnsi="Arial" w:cs="Arial"/>
          <w:i/>
          <w:iCs/>
          <w:sz w:val="24"/>
          <w:szCs w:val="24"/>
        </w:rPr>
        <w:t>11</w:t>
      </w:r>
      <w:r w:rsidRPr="00237703">
        <w:rPr>
          <w:rFonts w:ascii="Arial" w:hAnsi="Arial" w:cs="Arial"/>
          <w:sz w:val="24"/>
          <w:szCs w:val="24"/>
        </w:rPr>
        <w:t>, p.590271.</w:t>
      </w:r>
    </w:p>
    <w:p w14:paraId="394FC6FB" w14:textId="77777777" w:rsidR="00237703" w:rsidRPr="00237703" w:rsidRDefault="00237703" w:rsidP="00237703">
      <w:pPr>
        <w:spacing w:line="360" w:lineRule="auto"/>
        <w:ind w:left="720" w:hanging="720"/>
        <w:jc w:val="both"/>
        <w:rPr>
          <w:rFonts w:ascii="Arial" w:hAnsi="Arial" w:cs="Arial"/>
          <w:sz w:val="24"/>
          <w:szCs w:val="24"/>
        </w:rPr>
      </w:pPr>
      <w:r w:rsidRPr="00237703">
        <w:rPr>
          <w:rFonts w:ascii="Arial" w:hAnsi="Arial" w:cs="Arial"/>
          <w:sz w:val="24"/>
          <w:szCs w:val="24"/>
        </w:rPr>
        <w:t xml:space="preserve">Manthorpe, J., Iliffe, S., Gillen, P., Moriarty, J., Mallett, J., Schroder, H., Currie, D., </w:t>
      </w:r>
      <w:proofErr w:type="spellStart"/>
      <w:r w:rsidRPr="00237703">
        <w:rPr>
          <w:rFonts w:ascii="Arial" w:hAnsi="Arial" w:cs="Arial"/>
          <w:sz w:val="24"/>
          <w:szCs w:val="24"/>
        </w:rPr>
        <w:t>Ravalier</w:t>
      </w:r>
      <w:proofErr w:type="spellEnd"/>
      <w:r w:rsidRPr="00237703">
        <w:rPr>
          <w:rFonts w:ascii="Arial" w:hAnsi="Arial" w:cs="Arial"/>
          <w:sz w:val="24"/>
          <w:szCs w:val="24"/>
        </w:rPr>
        <w:t>, J. and McFadden, P., 2022. Clapping for carers in the Covid</w:t>
      </w:r>
      <w:r w:rsidRPr="00237703">
        <w:rPr>
          <w:rFonts w:ascii="Cambria Math" w:hAnsi="Cambria Math" w:cs="Cambria Math"/>
          <w:sz w:val="24"/>
          <w:szCs w:val="24"/>
        </w:rPr>
        <w:t>‐</w:t>
      </w:r>
      <w:r w:rsidRPr="00237703">
        <w:rPr>
          <w:rFonts w:ascii="Arial" w:hAnsi="Arial" w:cs="Arial"/>
          <w:sz w:val="24"/>
          <w:szCs w:val="24"/>
        </w:rPr>
        <w:t>19 crisis: Carers' reflections in a UK survey. </w:t>
      </w:r>
      <w:r w:rsidRPr="00237703">
        <w:rPr>
          <w:rFonts w:ascii="Arial" w:hAnsi="Arial" w:cs="Arial"/>
          <w:i/>
          <w:iCs/>
          <w:sz w:val="24"/>
          <w:szCs w:val="24"/>
        </w:rPr>
        <w:t>Health &amp; Social Care in the Community</w:t>
      </w:r>
      <w:r w:rsidRPr="00237703">
        <w:rPr>
          <w:rFonts w:ascii="Arial" w:hAnsi="Arial" w:cs="Arial"/>
          <w:sz w:val="24"/>
          <w:szCs w:val="24"/>
        </w:rPr>
        <w:t>, </w:t>
      </w:r>
      <w:r w:rsidRPr="00237703">
        <w:rPr>
          <w:rFonts w:ascii="Arial" w:hAnsi="Arial" w:cs="Arial"/>
          <w:i/>
          <w:iCs/>
          <w:sz w:val="24"/>
          <w:szCs w:val="24"/>
        </w:rPr>
        <w:t>30</w:t>
      </w:r>
      <w:r w:rsidRPr="00237703">
        <w:rPr>
          <w:rFonts w:ascii="Arial" w:hAnsi="Arial" w:cs="Arial"/>
          <w:sz w:val="24"/>
          <w:szCs w:val="24"/>
        </w:rPr>
        <w:t>(4), pp.1442-1449.</w:t>
      </w:r>
    </w:p>
    <w:p w14:paraId="44916612" w14:textId="77777777" w:rsidR="00237703" w:rsidRPr="00237703" w:rsidRDefault="00237703" w:rsidP="00237703">
      <w:pPr>
        <w:spacing w:line="360" w:lineRule="auto"/>
        <w:ind w:left="720" w:hanging="720"/>
        <w:jc w:val="both"/>
        <w:rPr>
          <w:rFonts w:ascii="Arial" w:hAnsi="Arial" w:cs="Arial"/>
          <w:sz w:val="24"/>
          <w:szCs w:val="24"/>
        </w:rPr>
      </w:pPr>
      <w:r w:rsidRPr="00237703">
        <w:rPr>
          <w:rFonts w:ascii="Arial" w:hAnsi="Arial" w:cs="Arial"/>
          <w:sz w:val="24"/>
          <w:szCs w:val="24"/>
        </w:rPr>
        <w:t>Ngoc, N.M., Tien, N.H. and Hieu, V.M., 2023. The relevance of factors affecting real estate investment decisions for post pandemic time. </w:t>
      </w:r>
      <w:r w:rsidRPr="00237703">
        <w:rPr>
          <w:rFonts w:ascii="Arial" w:hAnsi="Arial" w:cs="Arial"/>
          <w:i/>
          <w:iCs/>
          <w:sz w:val="24"/>
          <w:szCs w:val="24"/>
        </w:rPr>
        <w:t xml:space="preserve">International journal of business and </w:t>
      </w:r>
      <w:proofErr w:type="spellStart"/>
      <w:r w:rsidRPr="00237703">
        <w:rPr>
          <w:rFonts w:ascii="Arial" w:hAnsi="Arial" w:cs="Arial"/>
          <w:i/>
          <w:iCs/>
          <w:sz w:val="24"/>
          <w:szCs w:val="24"/>
        </w:rPr>
        <w:t>globalisation</w:t>
      </w:r>
      <w:proofErr w:type="spellEnd"/>
      <w:r w:rsidRPr="00237703">
        <w:rPr>
          <w:rFonts w:ascii="Arial" w:hAnsi="Arial" w:cs="Arial"/>
          <w:sz w:val="24"/>
          <w:szCs w:val="24"/>
        </w:rPr>
        <w:t>.</w:t>
      </w:r>
    </w:p>
    <w:p w14:paraId="1905A70B" w14:textId="77777777" w:rsidR="00237703" w:rsidRPr="00237703" w:rsidRDefault="00237703" w:rsidP="00237703">
      <w:pPr>
        <w:spacing w:line="360" w:lineRule="auto"/>
        <w:ind w:left="720" w:hanging="720"/>
        <w:jc w:val="both"/>
        <w:rPr>
          <w:rFonts w:ascii="Arial" w:hAnsi="Arial" w:cs="Arial"/>
          <w:sz w:val="24"/>
          <w:szCs w:val="24"/>
        </w:rPr>
      </w:pPr>
      <w:r w:rsidRPr="00237703">
        <w:rPr>
          <w:rFonts w:ascii="Arial" w:hAnsi="Arial" w:cs="Arial"/>
          <w:sz w:val="24"/>
          <w:szCs w:val="24"/>
        </w:rPr>
        <w:t>Nylund, R., 2022. Teambuilding and Efficient Teamwork. In </w:t>
      </w:r>
      <w:r w:rsidRPr="00237703">
        <w:rPr>
          <w:rFonts w:ascii="Arial" w:hAnsi="Arial" w:cs="Arial"/>
          <w:i/>
          <w:iCs/>
          <w:sz w:val="24"/>
          <w:szCs w:val="24"/>
        </w:rPr>
        <w:t xml:space="preserve">Handbook of Research on Improving Engineering Education </w:t>
      </w:r>
      <w:proofErr w:type="gramStart"/>
      <w:r w:rsidRPr="00237703">
        <w:rPr>
          <w:rFonts w:ascii="Arial" w:hAnsi="Arial" w:cs="Arial"/>
          <w:i/>
          <w:iCs/>
          <w:sz w:val="24"/>
          <w:szCs w:val="24"/>
        </w:rPr>
        <w:t>With</w:t>
      </w:r>
      <w:proofErr w:type="gramEnd"/>
      <w:r w:rsidRPr="00237703">
        <w:rPr>
          <w:rFonts w:ascii="Arial" w:hAnsi="Arial" w:cs="Arial"/>
          <w:i/>
          <w:iCs/>
          <w:sz w:val="24"/>
          <w:szCs w:val="24"/>
        </w:rPr>
        <w:t xml:space="preserve"> the European Project Semester</w:t>
      </w:r>
      <w:r w:rsidRPr="00237703">
        <w:rPr>
          <w:rFonts w:ascii="Arial" w:hAnsi="Arial" w:cs="Arial"/>
          <w:sz w:val="24"/>
          <w:szCs w:val="24"/>
        </w:rPr>
        <w:t> (pp. 44-58). IGI Global.</w:t>
      </w:r>
    </w:p>
    <w:p w14:paraId="08E6170F" w14:textId="77777777" w:rsidR="00237703" w:rsidRPr="00237703" w:rsidRDefault="00237703" w:rsidP="00237703">
      <w:pPr>
        <w:spacing w:line="360" w:lineRule="auto"/>
        <w:ind w:left="720" w:hanging="720"/>
        <w:jc w:val="both"/>
        <w:rPr>
          <w:rFonts w:ascii="Arial" w:hAnsi="Arial" w:cs="Arial"/>
          <w:sz w:val="24"/>
          <w:szCs w:val="24"/>
        </w:rPr>
      </w:pPr>
      <w:r w:rsidRPr="00237703">
        <w:rPr>
          <w:rFonts w:ascii="Arial" w:hAnsi="Arial" w:cs="Arial"/>
          <w:sz w:val="24"/>
          <w:szCs w:val="24"/>
        </w:rPr>
        <w:lastRenderedPageBreak/>
        <w:t xml:space="preserve">Poser, M., </w:t>
      </w:r>
      <w:proofErr w:type="spellStart"/>
      <w:r w:rsidRPr="00237703">
        <w:rPr>
          <w:rFonts w:ascii="Arial" w:hAnsi="Arial" w:cs="Arial"/>
          <w:sz w:val="24"/>
          <w:szCs w:val="24"/>
        </w:rPr>
        <w:t>Küstermann</w:t>
      </w:r>
      <w:proofErr w:type="spellEnd"/>
      <w:r w:rsidRPr="00237703">
        <w:rPr>
          <w:rFonts w:ascii="Arial" w:hAnsi="Arial" w:cs="Arial"/>
          <w:sz w:val="24"/>
          <w:szCs w:val="24"/>
        </w:rPr>
        <w:t xml:space="preserve">, G.C., </w:t>
      </w:r>
      <w:proofErr w:type="spellStart"/>
      <w:r w:rsidRPr="00237703">
        <w:rPr>
          <w:rFonts w:ascii="Arial" w:hAnsi="Arial" w:cs="Arial"/>
          <w:sz w:val="24"/>
          <w:szCs w:val="24"/>
        </w:rPr>
        <w:t>Tavanapour</w:t>
      </w:r>
      <w:proofErr w:type="spellEnd"/>
      <w:r w:rsidRPr="00237703">
        <w:rPr>
          <w:rFonts w:ascii="Arial" w:hAnsi="Arial" w:cs="Arial"/>
          <w:sz w:val="24"/>
          <w:szCs w:val="24"/>
        </w:rPr>
        <w:t>, N. and Bittner, E.A., 2022. Design and evaluation of a conversational agent for facilitating idea generation in organizational innovation processes. </w:t>
      </w:r>
      <w:r w:rsidRPr="00237703">
        <w:rPr>
          <w:rFonts w:ascii="Arial" w:hAnsi="Arial" w:cs="Arial"/>
          <w:i/>
          <w:iCs/>
          <w:sz w:val="24"/>
          <w:szCs w:val="24"/>
        </w:rPr>
        <w:t>Information Systems Frontiers</w:t>
      </w:r>
      <w:r w:rsidRPr="00237703">
        <w:rPr>
          <w:rFonts w:ascii="Arial" w:hAnsi="Arial" w:cs="Arial"/>
          <w:sz w:val="24"/>
          <w:szCs w:val="24"/>
        </w:rPr>
        <w:t>, </w:t>
      </w:r>
      <w:r w:rsidRPr="00237703">
        <w:rPr>
          <w:rFonts w:ascii="Arial" w:hAnsi="Arial" w:cs="Arial"/>
          <w:i/>
          <w:iCs/>
          <w:sz w:val="24"/>
          <w:szCs w:val="24"/>
        </w:rPr>
        <w:t>24</w:t>
      </w:r>
      <w:r w:rsidRPr="00237703">
        <w:rPr>
          <w:rFonts w:ascii="Arial" w:hAnsi="Arial" w:cs="Arial"/>
          <w:sz w:val="24"/>
          <w:szCs w:val="24"/>
        </w:rPr>
        <w:t>(3), pp.771-796.</w:t>
      </w:r>
    </w:p>
    <w:p w14:paraId="7E0F478D" w14:textId="77777777" w:rsidR="00237703" w:rsidRPr="00237703" w:rsidRDefault="00237703" w:rsidP="00237703">
      <w:pPr>
        <w:spacing w:line="360" w:lineRule="auto"/>
        <w:ind w:left="720" w:hanging="720"/>
        <w:jc w:val="both"/>
        <w:rPr>
          <w:rFonts w:ascii="Arial" w:hAnsi="Arial" w:cs="Arial"/>
          <w:sz w:val="24"/>
          <w:szCs w:val="24"/>
        </w:rPr>
      </w:pPr>
      <w:proofErr w:type="spellStart"/>
      <w:r w:rsidRPr="00237703">
        <w:rPr>
          <w:rFonts w:ascii="Arial" w:hAnsi="Arial" w:cs="Arial"/>
          <w:sz w:val="24"/>
          <w:szCs w:val="24"/>
        </w:rPr>
        <w:t>Stratone</w:t>
      </w:r>
      <w:proofErr w:type="spellEnd"/>
      <w:r w:rsidRPr="00237703">
        <w:rPr>
          <w:rFonts w:ascii="Arial" w:hAnsi="Arial" w:cs="Arial"/>
          <w:sz w:val="24"/>
          <w:szCs w:val="24"/>
        </w:rPr>
        <w:t xml:space="preserve">, M.E., </w:t>
      </w:r>
      <w:proofErr w:type="spellStart"/>
      <w:r w:rsidRPr="00237703">
        <w:rPr>
          <w:rFonts w:ascii="Arial" w:hAnsi="Arial" w:cs="Arial"/>
          <w:sz w:val="24"/>
          <w:szCs w:val="24"/>
        </w:rPr>
        <w:t>Vătămănescu</w:t>
      </w:r>
      <w:proofErr w:type="spellEnd"/>
      <w:r w:rsidRPr="00237703">
        <w:rPr>
          <w:rFonts w:ascii="Arial" w:hAnsi="Arial" w:cs="Arial"/>
          <w:sz w:val="24"/>
          <w:szCs w:val="24"/>
        </w:rPr>
        <w:t xml:space="preserve">, E.M., </w:t>
      </w:r>
      <w:proofErr w:type="spellStart"/>
      <w:r w:rsidRPr="00237703">
        <w:rPr>
          <w:rFonts w:ascii="Arial" w:hAnsi="Arial" w:cs="Arial"/>
          <w:sz w:val="24"/>
          <w:szCs w:val="24"/>
        </w:rPr>
        <w:t>Treapăt</w:t>
      </w:r>
      <w:proofErr w:type="spellEnd"/>
      <w:r w:rsidRPr="00237703">
        <w:rPr>
          <w:rFonts w:ascii="Arial" w:hAnsi="Arial" w:cs="Arial"/>
          <w:sz w:val="24"/>
          <w:szCs w:val="24"/>
        </w:rPr>
        <w:t>, L.M., Rusu, M. and Vidu, C.M., 2022. Contrasting traditional and virtual teams within the context of COVID-19 pandemic: from team culture towards objectives achievement. </w:t>
      </w:r>
      <w:r w:rsidRPr="00237703">
        <w:rPr>
          <w:rFonts w:ascii="Arial" w:hAnsi="Arial" w:cs="Arial"/>
          <w:i/>
          <w:iCs/>
          <w:sz w:val="24"/>
          <w:szCs w:val="24"/>
        </w:rPr>
        <w:t>Sustainability</w:t>
      </w:r>
      <w:r w:rsidRPr="00237703">
        <w:rPr>
          <w:rFonts w:ascii="Arial" w:hAnsi="Arial" w:cs="Arial"/>
          <w:sz w:val="24"/>
          <w:szCs w:val="24"/>
        </w:rPr>
        <w:t>, </w:t>
      </w:r>
      <w:r w:rsidRPr="00237703">
        <w:rPr>
          <w:rFonts w:ascii="Arial" w:hAnsi="Arial" w:cs="Arial"/>
          <w:i/>
          <w:iCs/>
          <w:sz w:val="24"/>
          <w:szCs w:val="24"/>
        </w:rPr>
        <w:t>14</w:t>
      </w:r>
      <w:r w:rsidRPr="00237703">
        <w:rPr>
          <w:rFonts w:ascii="Arial" w:hAnsi="Arial" w:cs="Arial"/>
          <w:sz w:val="24"/>
          <w:szCs w:val="24"/>
        </w:rPr>
        <w:t>(8), p.4558.</w:t>
      </w:r>
    </w:p>
    <w:p w14:paraId="2B38F9C4" w14:textId="77777777" w:rsidR="00237703" w:rsidRPr="00237703" w:rsidRDefault="00237703" w:rsidP="00237703">
      <w:pPr>
        <w:spacing w:line="360" w:lineRule="auto"/>
        <w:ind w:left="720" w:hanging="720"/>
        <w:jc w:val="both"/>
        <w:rPr>
          <w:rFonts w:ascii="Arial" w:hAnsi="Arial" w:cs="Arial"/>
          <w:sz w:val="24"/>
          <w:szCs w:val="24"/>
        </w:rPr>
      </w:pPr>
      <w:r w:rsidRPr="00237703">
        <w:rPr>
          <w:rFonts w:ascii="Arial" w:hAnsi="Arial" w:cs="Arial"/>
          <w:sz w:val="24"/>
          <w:szCs w:val="24"/>
        </w:rPr>
        <w:t>Suhonen, S., 2023. ’’New normal’’–the effects of the hybrid working model on leadership.</w:t>
      </w:r>
    </w:p>
    <w:p w14:paraId="43D28C53" w14:textId="77777777" w:rsidR="00237703" w:rsidRPr="00237703" w:rsidRDefault="00237703" w:rsidP="00237703">
      <w:pPr>
        <w:spacing w:line="360" w:lineRule="auto"/>
        <w:ind w:left="720" w:hanging="720"/>
        <w:jc w:val="both"/>
        <w:rPr>
          <w:rFonts w:ascii="Arial" w:hAnsi="Arial" w:cs="Arial"/>
          <w:sz w:val="24"/>
          <w:szCs w:val="24"/>
        </w:rPr>
      </w:pPr>
      <w:proofErr w:type="spellStart"/>
      <w:r w:rsidRPr="00237703">
        <w:rPr>
          <w:rFonts w:ascii="Arial" w:hAnsi="Arial" w:cs="Arial"/>
          <w:sz w:val="24"/>
          <w:szCs w:val="24"/>
        </w:rPr>
        <w:t>Zolotina</w:t>
      </w:r>
      <w:proofErr w:type="spellEnd"/>
      <w:r w:rsidRPr="00237703">
        <w:rPr>
          <w:rFonts w:ascii="Arial" w:hAnsi="Arial" w:cs="Arial"/>
          <w:sz w:val="24"/>
          <w:szCs w:val="24"/>
        </w:rPr>
        <w:t xml:space="preserve">, O.A., </w:t>
      </w:r>
      <w:proofErr w:type="spellStart"/>
      <w:r w:rsidRPr="00237703">
        <w:rPr>
          <w:rFonts w:ascii="Arial" w:hAnsi="Arial" w:cs="Arial"/>
          <w:sz w:val="24"/>
          <w:szCs w:val="24"/>
        </w:rPr>
        <w:t>Razumova</w:t>
      </w:r>
      <w:proofErr w:type="spellEnd"/>
      <w:r w:rsidRPr="00237703">
        <w:rPr>
          <w:rFonts w:ascii="Arial" w:hAnsi="Arial" w:cs="Arial"/>
          <w:sz w:val="24"/>
          <w:szCs w:val="24"/>
        </w:rPr>
        <w:t xml:space="preserve">, T.O., Sotnikov, Y.A., </w:t>
      </w:r>
      <w:proofErr w:type="spellStart"/>
      <w:r w:rsidRPr="00237703">
        <w:rPr>
          <w:rFonts w:ascii="Arial" w:hAnsi="Arial" w:cs="Arial"/>
          <w:sz w:val="24"/>
          <w:szCs w:val="24"/>
        </w:rPr>
        <w:t>Nastavnyuk</w:t>
      </w:r>
      <w:proofErr w:type="spellEnd"/>
      <w:r w:rsidRPr="00237703">
        <w:rPr>
          <w:rFonts w:ascii="Arial" w:hAnsi="Arial" w:cs="Arial"/>
          <w:sz w:val="24"/>
          <w:szCs w:val="24"/>
        </w:rPr>
        <w:t>, A.V. and Frerichs, H., 2023. Digital transformation of high-performing teams. </w:t>
      </w:r>
      <w:r w:rsidRPr="00237703">
        <w:rPr>
          <w:rFonts w:ascii="Arial" w:hAnsi="Arial" w:cs="Arial"/>
          <w:i/>
          <w:iCs/>
          <w:sz w:val="24"/>
          <w:szCs w:val="24"/>
        </w:rPr>
        <w:t>Population and Economics</w:t>
      </w:r>
      <w:r w:rsidRPr="00237703">
        <w:rPr>
          <w:rFonts w:ascii="Arial" w:hAnsi="Arial" w:cs="Arial"/>
          <w:sz w:val="24"/>
          <w:szCs w:val="24"/>
        </w:rPr>
        <w:t>, </w:t>
      </w:r>
      <w:r w:rsidRPr="00237703">
        <w:rPr>
          <w:rFonts w:ascii="Arial" w:hAnsi="Arial" w:cs="Arial"/>
          <w:i/>
          <w:iCs/>
          <w:sz w:val="24"/>
          <w:szCs w:val="24"/>
        </w:rPr>
        <w:t>7</w:t>
      </w:r>
      <w:r w:rsidRPr="00237703">
        <w:rPr>
          <w:rFonts w:ascii="Arial" w:hAnsi="Arial" w:cs="Arial"/>
          <w:sz w:val="24"/>
          <w:szCs w:val="24"/>
        </w:rPr>
        <w:t>(2), pp.60-93.</w:t>
      </w:r>
    </w:p>
    <w:p w14:paraId="7F5E27DC" w14:textId="77777777" w:rsidR="00237703" w:rsidRPr="00237703" w:rsidRDefault="00237703" w:rsidP="00237703">
      <w:pPr>
        <w:spacing w:line="360" w:lineRule="auto"/>
        <w:jc w:val="both"/>
        <w:rPr>
          <w:rFonts w:ascii="Arial" w:hAnsi="Arial" w:cs="Arial"/>
          <w:sz w:val="24"/>
          <w:szCs w:val="24"/>
        </w:rPr>
      </w:pPr>
    </w:p>
    <w:p w14:paraId="5A2C2FB6" w14:textId="77777777" w:rsidR="004111F3" w:rsidRPr="0073068E" w:rsidRDefault="004111F3" w:rsidP="0073068E">
      <w:pPr>
        <w:spacing w:line="360" w:lineRule="auto"/>
        <w:jc w:val="both"/>
        <w:rPr>
          <w:rFonts w:ascii="Arial" w:hAnsi="Arial" w:cs="Arial"/>
          <w:sz w:val="24"/>
          <w:szCs w:val="24"/>
        </w:rPr>
      </w:pPr>
    </w:p>
    <w:p w14:paraId="6C2F3EA5" w14:textId="77777777" w:rsidR="004111F3" w:rsidRPr="0073068E" w:rsidRDefault="004111F3" w:rsidP="0073068E">
      <w:pPr>
        <w:spacing w:line="360" w:lineRule="auto"/>
        <w:jc w:val="both"/>
        <w:rPr>
          <w:rFonts w:ascii="Arial" w:hAnsi="Arial" w:cs="Arial"/>
          <w:sz w:val="24"/>
          <w:szCs w:val="24"/>
        </w:rPr>
      </w:pPr>
    </w:p>
    <w:p w14:paraId="6B831E80" w14:textId="77777777" w:rsidR="004111F3" w:rsidRPr="0073068E" w:rsidRDefault="004111F3" w:rsidP="0073068E">
      <w:pPr>
        <w:spacing w:line="360" w:lineRule="auto"/>
        <w:jc w:val="both"/>
        <w:rPr>
          <w:rFonts w:ascii="Arial" w:hAnsi="Arial" w:cs="Arial"/>
          <w:sz w:val="24"/>
          <w:szCs w:val="24"/>
        </w:rPr>
      </w:pPr>
    </w:p>
    <w:p w14:paraId="2035F755" w14:textId="77777777" w:rsidR="004111F3" w:rsidRPr="0073068E" w:rsidRDefault="004111F3" w:rsidP="0073068E">
      <w:pPr>
        <w:spacing w:line="360" w:lineRule="auto"/>
        <w:jc w:val="both"/>
        <w:rPr>
          <w:rFonts w:ascii="Arial" w:hAnsi="Arial" w:cs="Arial"/>
          <w:sz w:val="24"/>
          <w:szCs w:val="24"/>
        </w:rPr>
      </w:pPr>
    </w:p>
    <w:sectPr w:rsidR="004111F3" w:rsidRPr="0073068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AAA91" w14:textId="77777777" w:rsidR="00673B62" w:rsidRDefault="00673B62" w:rsidP="00E83562">
      <w:pPr>
        <w:spacing w:after="0" w:line="240" w:lineRule="auto"/>
      </w:pPr>
      <w:r>
        <w:separator/>
      </w:r>
    </w:p>
  </w:endnote>
  <w:endnote w:type="continuationSeparator" w:id="0">
    <w:p w14:paraId="32042870" w14:textId="77777777" w:rsidR="00673B62" w:rsidRDefault="00673B62" w:rsidP="00E83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unito">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EAEB6" w14:textId="77777777" w:rsidR="00673B62" w:rsidRDefault="00673B62" w:rsidP="00E83562">
      <w:pPr>
        <w:spacing w:after="0" w:line="240" w:lineRule="auto"/>
      </w:pPr>
      <w:r>
        <w:separator/>
      </w:r>
    </w:p>
  </w:footnote>
  <w:footnote w:type="continuationSeparator" w:id="0">
    <w:p w14:paraId="0D960536" w14:textId="77777777" w:rsidR="00673B62" w:rsidRDefault="00673B62" w:rsidP="00E835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A04E80B8"/>
    <w:lvl w:ilvl="0">
      <w:numFmt w:val="bullet"/>
      <w:lvlText w:val="*"/>
      <w:lvlJc w:val="left"/>
    </w:lvl>
  </w:abstractNum>
  <w:abstractNum w:abstractNumId="1" w15:restartNumberingAfterBreak="0">
    <w:nsid w:val="5C683D19"/>
    <w:multiLevelType w:val="hybridMultilevel"/>
    <w:tmpl w:val="4A1EEC8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6E0158E6"/>
    <w:multiLevelType w:val="hybridMultilevel"/>
    <w:tmpl w:val="70D65D1C"/>
    <w:lvl w:ilvl="0" w:tplc="99BC46EC">
      <w:start w:val="1"/>
      <w:numFmt w:val="bullet"/>
      <w:lvlText w:val="●"/>
      <w:lvlJc w:val="left"/>
      <w:pPr>
        <w:tabs>
          <w:tab w:val="num" w:pos="720"/>
        </w:tabs>
        <w:ind w:left="720" w:hanging="360"/>
      </w:pPr>
      <w:rPr>
        <w:rFonts w:ascii="Nunito" w:hAnsi="Nunito" w:hint="default"/>
      </w:rPr>
    </w:lvl>
    <w:lvl w:ilvl="1" w:tplc="3E7A61CE" w:tentative="1">
      <w:start w:val="1"/>
      <w:numFmt w:val="bullet"/>
      <w:lvlText w:val="●"/>
      <w:lvlJc w:val="left"/>
      <w:pPr>
        <w:tabs>
          <w:tab w:val="num" w:pos="1440"/>
        </w:tabs>
        <w:ind w:left="1440" w:hanging="360"/>
      </w:pPr>
      <w:rPr>
        <w:rFonts w:ascii="Nunito" w:hAnsi="Nunito" w:hint="default"/>
      </w:rPr>
    </w:lvl>
    <w:lvl w:ilvl="2" w:tplc="B8761216" w:tentative="1">
      <w:start w:val="1"/>
      <w:numFmt w:val="bullet"/>
      <w:lvlText w:val="●"/>
      <w:lvlJc w:val="left"/>
      <w:pPr>
        <w:tabs>
          <w:tab w:val="num" w:pos="2160"/>
        </w:tabs>
        <w:ind w:left="2160" w:hanging="360"/>
      </w:pPr>
      <w:rPr>
        <w:rFonts w:ascii="Nunito" w:hAnsi="Nunito" w:hint="default"/>
      </w:rPr>
    </w:lvl>
    <w:lvl w:ilvl="3" w:tplc="1C52F138" w:tentative="1">
      <w:start w:val="1"/>
      <w:numFmt w:val="bullet"/>
      <w:lvlText w:val="●"/>
      <w:lvlJc w:val="left"/>
      <w:pPr>
        <w:tabs>
          <w:tab w:val="num" w:pos="2880"/>
        </w:tabs>
        <w:ind w:left="2880" w:hanging="360"/>
      </w:pPr>
      <w:rPr>
        <w:rFonts w:ascii="Nunito" w:hAnsi="Nunito" w:hint="default"/>
      </w:rPr>
    </w:lvl>
    <w:lvl w:ilvl="4" w:tplc="A6DCE696" w:tentative="1">
      <w:start w:val="1"/>
      <w:numFmt w:val="bullet"/>
      <w:lvlText w:val="●"/>
      <w:lvlJc w:val="left"/>
      <w:pPr>
        <w:tabs>
          <w:tab w:val="num" w:pos="3600"/>
        </w:tabs>
        <w:ind w:left="3600" w:hanging="360"/>
      </w:pPr>
      <w:rPr>
        <w:rFonts w:ascii="Nunito" w:hAnsi="Nunito" w:hint="default"/>
      </w:rPr>
    </w:lvl>
    <w:lvl w:ilvl="5" w:tplc="9B4AD1CC" w:tentative="1">
      <w:start w:val="1"/>
      <w:numFmt w:val="bullet"/>
      <w:lvlText w:val="●"/>
      <w:lvlJc w:val="left"/>
      <w:pPr>
        <w:tabs>
          <w:tab w:val="num" w:pos="4320"/>
        </w:tabs>
        <w:ind w:left="4320" w:hanging="360"/>
      </w:pPr>
      <w:rPr>
        <w:rFonts w:ascii="Nunito" w:hAnsi="Nunito" w:hint="default"/>
      </w:rPr>
    </w:lvl>
    <w:lvl w:ilvl="6" w:tplc="F5DEC8A8" w:tentative="1">
      <w:start w:val="1"/>
      <w:numFmt w:val="bullet"/>
      <w:lvlText w:val="●"/>
      <w:lvlJc w:val="left"/>
      <w:pPr>
        <w:tabs>
          <w:tab w:val="num" w:pos="5040"/>
        </w:tabs>
        <w:ind w:left="5040" w:hanging="360"/>
      </w:pPr>
      <w:rPr>
        <w:rFonts w:ascii="Nunito" w:hAnsi="Nunito" w:hint="default"/>
      </w:rPr>
    </w:lvl>
    <w:lvl w:ilvl="7" w:tplc="8B48E1A2" w:tentative="1">
      <w:start w:val="1"/>
      <w:numFmt w:val="bullet"/>
      <w:lvlText w:val="●"/>
      <w:lvlJc w:val="left"/>
      <w:pPr>
        <w:tabs>
          <w:tab w:val="num" w:pos="5760"/>
        </w:tabs>
        <w:ind w:left="5760" w:hanging="360"/>
      </w:pPr>
      <w:rPr>
        <w:rFonts w:ascii="Nunito" w:hAnsi="Nunito" w:hint="default"/>
      </w:rPr>
    </w:lvl>
    <w:lvl w:ilvl="8" w:tplc="B86CA97C" w:tentative="1">
      <w:start w:val="1"/>
      <w:numFmt w:val="bullet"/>
      <w:lvlText w:val="●"/>
      <w:lvlJc w:val="left"/>
      <w:pPr>
        <w:tabs>
          <w:tab w:val="num" w:pos="6480"/>
        </w:tabs>
        <w:ind w:left="6480" w:hanging="360"/>
      </w:pPr>
      <w:rPr>
        <w:rFonts w:ascii="Nunito" w:hAnsi="Nunito" w:hint="default"/>
      </w:rPr>
    </w:lvl>
  </w:abstractNum>
  <w:num w:numId="1" w16cid:durableId="621958657">
    <w:abstractNumId w:val="0"/>
    <w:lvlOverride w:ilvl="0">
      <w:lvl w:ilvl="0">
        <w:numFmt w:val="bullet"/>
        <w:lvlText w:val="●"/>
        <w:legacy w:legacy="1" w:legacySpace="0" w:legacyIndent="0"/>
        <w:lvlJc w:val="left"/>
        <w:rPr>
          <w:rFonts w:ascii="Arial" w:hAnsi="Arial" w:cs="Arial" w:hint="default"/>
          <w:sz w:val="22"/>
        </w:rPr>
      </w:lvl>
    </w:lvlOverride>
  </w:num>
  <w:num w:numId="2" w16cid:durableId="724835654">
    <w:abstractNumId w:val="2"/>
  </w:num>
  <w:num w:numId="3" w16cid:durableId="1110919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1F3"/>
    <w:rsid w:val="000E5046"/>
    <w:rsid w:val="001F7C5E"/>
    <w:rsid w:val="00237703"/>
    <w:rsid w:val="002A0714"/>
    <w:rsid w:val="00343CDD"/>
    <w:rsid w:val="004111F3"/>
    <w:rsid w:val="00472FB8"/>
    <w:rsid w:val="005C0AE6"/>
    <w:rsid w:val="00603782"/>
    <w:rsid w:val="00636A5F"/>
    <w:rsid w:val="00673B62"/>
    <w:rsid w:val="00716878"/>
    <w:rsid w:val="0073068E"/>
    <w:rsid w:val="00982104"/>
    <w:rsid w:val="00A64D3D"/>
    <w:rsid w:val="00BC286B"/>
    <w:rsid w:val="00C60A06"/>
    <w:rsid w:val="00E83562"/>
    <w:rsid w:val="00FB6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8573C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6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35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3562"/>
  </w:style>
  <w:style w:type="paragraph" w:styleId="Footer">
    <w:name w:val="footer"/>
    <w:basedOn w:val="Normal"/>
    <w:link w:val="FooterChar"/>
    <w:uiPriority w:val="99"/>
    <w:unhideWhenUsed/>
    <w:rsid w:val="00E835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3562"/>
  </w:style>
  <w:style w:type="character" w:customStyle="1" w:styleId="Heading1Char">
    <w:name w:val="Heading 1 Char"/>
    <w:basedOn w:val="DefaultParagraphFont"/>
    <w:link w:val="Heading1"/>
    <w:uiPriority w:val="9"/>
    <w:rsid w:val="0073068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306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258020">
      <w:bodyDiv w:val="1"/>
      <w:marLeft w:val="0"/>
      <w:marRight w:val="0"/>
      <w:marTop w:val="0"/>
      <w:marBottom w:val="0"/>
      <w:divBdr>
        <w:top w:val="none" w:sz="0" w:space="0" w:color="auto"/>
        <w:left w:val="none" w:sz="0" w:space="0" w:color="auto"/>
        <w:bottom w:val="none" w:sz="0" w:space="0" w:color="auto"/>
        <w:right w:val="none" w:sz="0" w:space="0" w:color="auto"/>
      </w:divBdr>
      <w:divsChild>
        <w:div w:id="1781145354">
          <w:marLeft w:val="274"/>
          <w:marRight w:val="0"/>
          <w:marTop w:val="0"/>
          <w:marBottom w:val="0"/>
          <w:divBdr>
            <w:top w:val="none" w:sz="0" w:space="0" w:color="auto"/>
            <w:left w:val="none" w:sz="0" w:space="0" w:color="auto"/>
            <w:bottom w:val="none" w:sz="0" w:space="0" w:color="auto"/>
            <w:right w:val="none" w:sz="0" w:space="0" w:color="auto"/>
          </w:divBdr>
        </w:div>
        <w:div w:id="1890606301">
          <w:marLeft w:val="274"/>
          <w:marRight w:val="0"/>
          <w:marTop w:val="0"/>
          <w:marBottom w:val="0"/>
          <w:divBdr>
            <w:top w:val="none" w:sz="0" w:space="0" w:color="auto"/>
            <w:left w:val="none" w:sz="0" w:space="0" w:color="auto"/>
            <w:bottom w:val="none" w:sz="0" w:space="0" w:color="auto"/>
            <w:right w:val="none" w:sz="0" w:space="0" w:color="auto"/>
          </w:divBdr>
        </w:div>
        <w:div w:id="1029139043">
          <w:marLeft w:val="274"/>
          <w:marRight w:val="0"/>
          <w:marTop w:val="0"/>
          <w:marBottom w:val="0"/>
          <w:divBdr>
            <w:top w:val="none" w:sz="0" w:space="0" w:color="auto"/>
            <w:left w:val="none" w:sz="0" w:space="0" w:color="auto"/>
            <w:bottom w:val="none" w:sz="0" w:space="0" w:color="auto"/>
            <w:right w:val="none" w:sz="0" w:space="0" w:color="auto"/>
          </w:divBdr>
        </w:div>
        <w:div w:id="2074234697">
          <w:marLeft w:val="274"/>
          <w:marRight w:val="0"/>
          <w:marTop w:val="0"/>
          <w:marBottom w:val="0"/>
          <w:divBdr>
            <w:top w:val="none" w:sz="0" w:space="0" w:color="auto"/>
            <w:left w:val="none" w:sz="0" w:space="0" w:color="auto"/>
            <w:bottom w:val="none" w:sz="0" w:space="0" w:color="auto"/>
            <w:right w:val="none" w:sz="0" w:space="0" w:color="auto"/>
          </w:divBdr>
        </w:div>
        <w:div w:id="744646869">
          <w:marLeft w:val="274"/>
          <w:marRight w:val="0"/>
          <w:marTop w:val="0"/>
          <w:marBottom w:val="0"/>
          <w:divBdr>
            <w:top w:val="none" w:sz="0" w:space="0" w:color="auto"/>
            <w:left w:val="none" w:sz="0" w:space="0" w:color="auto"/>
            <w:bottom w:val="none" w:sz="0" w:space="0" w:color="auto"/>
            <w:right w:val="none" w:sz="0" w:space="0" w:color="auto"/>
          </w:divBdr>
        </w:div>
        <w:div w:id="251551190">
          <w:marLeft w:val="274"/>
          <w:marRight w:val="0"/>
          <w:marTop w:val="0"/>
          <w:marBottom w:val="0"/>
          <w:divBdr>
            <w:top w:val="none" w:sz="0" w:space="0" w:color="auto"/>
            <w:left w:val="none" w:sz="0" w:space="0" w:color="auto"/>
            <w:bottom w:val="none" w:sz="0" w:space="0" w:color="auto"/>
            <w:right w:val="none" w:sz="0" w:space="0" w:color="auto"/>
          </w:divBdr>
        </w:div>
        <w:div w:id="993602666">
          <w:marLeft w:val="274"/>
          <w:marRight w:val="0"/>
          <w:marTop w:val="0"/>
          <w:marBottom w:val="0"/>
          <w:divBdr>
            <w:top w:val="none" w:sz="0" w:space="0" w:color="auto"/>
            <w:left w:val="none" w:sz="0" w:space="0" w:color="auto"/>
            <w:bottom w:val="none" w:sz="0" w:space="0" w:color="auto"/>
            <w:right w:val="none" w:sz="0" w:space="0" w:color="auto"/>
          </w:divBdr>
        </w:div>
        <w:div w:id="1207061538">
          <w:marLeft w:val="274"/>
          <w:marRight w:val="0"/>
          <w:marTop w:val="0"/>
          <w:marBottom w:val="0"/>
          <w:divBdr>
            <w:top w:val="none" w:sz="0" w:space="0" w:color="auto"/>
            <w:left w:val="none" w:sz="0" w:space="0" w:color="auto"/>
            <w:bottom w:val="none" w:sz="0" w:space="0" w:color="auto"/>
            <w:right w:val="none" w:sz="0" w:space="0" w:color="auto"/>
          </w:divBdr>
        </w:div>
        <w:div w:id="1680809637">
          <w:marLeft w:val="274"/>
          <w:marRight w:val="0"/>
          <w:marTop w:val="0"/>
          <w:marBottom w:val="0"/>
          <w:divBdr>
            <w:top w:val="none" w:sz="0" w:space="0" w:color="auto"/>
            <w:left w:val="none" w:sz="0" w:space="0" w:color="auto"/>
            <w:bottom w:val="none" w:sz="0" w:space="0" w:color="auto"/>
            <w:right w:val="none" w:sz="0" w:space="0" w:color="auto"/>
          </w:divBdr>
        </w:div>
        <w:div w:id="331032450">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1009</Words>
  <Characters>5754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2024-02-28T19:57:00Z</dcterms:created>
  <dcterms:modified xsi:type="dcterms:W3CDTF">2024-03-10T21:57:00Z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c8e98767b2e8c9c7faeae18be2e3c0867c263b070f74624154cba8395426c27c</vt:lpwstr>
  </property>
</Properties>
</file>