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53A7C" w14:textId="3B192F0F" w:rsidR="00FA7F71" w:rsidRPr="00B16960" w:rsidRDefault="003C0E83" w:rsidP="00FA7F71">
      <w:pPr>
        <w:spacing w:line="360" w:lineRule="auto"/>
        <w:jc w:val="center"/>
        <w:rPr>
          <w:rFonts w:ascii="Arial" w:hAnsi="Arial" w:cs="Arial"/>
          <w:b/>
          <w:bCs/>
        </w:rPr>
      </w:pPr>
      <w:r>
        <w:rPr>
          <w:rFonts w:ascii="Arial" w:hAnsi="Arial" w:cs="Arial"/>
          <w:b/>
          <w:bCs/>
        </w:rPr>
        <w:t xml:space="preserve"> </w:t>
      </w:r>
      <w:r w:rsidR="00FA7F71" w:rsidRPr="00B16960">
        <w:rPr>
          <w:rFonts w:ascii="Arial" w:hAnsi="Arial" w:cs="Arial"/>
          <w:noProof/>
        </w:rPr>
        <w:drawing>
          <wp:inline distT="0" distB="0" distL="0" distR="0" wp14:anchorId="3C0F6A91" wp14:editId="34E3DF13">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72B17771" w14:textId="77777777" w:rsidR="00FA7F71" w:rsidRPr="00B16960" w:rsidRDefault="00FA7F71" w:rsidP="00FA7F71">
      <w:pPr>
        <w:spacing w:line="360" w:lineRule="auto"/>
        <w:jc w:val="center"/>
        <w:rPr>
          <w:rFonts w:ascii="Arial" w:hAnsi="Arial" w:cs="Arial"/>
          <w:b/>
          <w:bCs/>
        </w:rPr>
      </w:pPr>
      <w:r w:rsidRPr="00B16960">
        <w:rPr>
          <w:rFonts w:ascii="Arial" w:hAnsi="Arial" w:cs="Arial"/>
          <w:b/>
          <w:bCs/>
        </w:rPr>
        <w:t>University of Wales Trinity Saint David Birmingham</w:t>
      </w:r>
    </w:p>
    <w:p w14:paraId="1D40266F" w14:textId="77777777" w:rsidR="00FA7F71" w:rsidRPr="00B16960" w:rsidRDefault="00FA7F71" w:rsidP="00FA7F71">
      <w:pPr>
        <w:spacing w:line="360" w:lineRule="auto"/>
        <w:jc w:val="center"/>
        <w:rPr>
          <w:rFonts w:ascii="Arial" w:hAnsi="Arial" w:cs="Arial"/>
          <w:b/>
          <w:bCs/>
        </w:rPr>
      </w:pPr>
    </w:p>
    <w:p w14:paraId="410F37E2" w14:textId="77777777" w:rsidR="00FA7F71" w:rsidRPr="00B16960" w:rsidRDefault="00FA7F71" w:rsidP="00FA7F71">
      <w:pPr>
        <w:spacing w:line="360" w:lineRule="auto"/>
        <w:jc w:val="center"/>
        <w:rPr>
          <w:rFonts w:ascii="Arial" w:hAnsi="Arial" w:cs="Arial"/>
          <w:b/>
          <w:bCs/>
          <w:color w:val="000000" w:themeColor="text1"/>
        </w:rPr>
      </w:pPr>
      <w:r w:rsidRPr="00B16960">
        <w:rPr>
          <w:rFonts w:ascii="Arial" w:hAnsi="Arial" w:cs="Arial"/>
          <w:b/>
          <w:bCs/>
        </w:rPr>
        <w:t>Module:</w:t>
      </w:r>
      <w:r w:rsidRPr="00B16960">
        <w:rPr>
          <w:rFonts w:ascii="Arial" w:hAnsi="Arial" w:cs="Arial"/>
          <w:b/>
          <w:bCs/>
          <w:color w:val="000000" w:themeColor="text1"/>
        </w:rPr>
        <w:t xml:space="preserve"> </w:t>
      </w:r>
      <w:hyperlink r:id="rId9" w:history="1">
        <w:r w:rsidRPr="00B16960">
          <w:rPr>
            <w:rStyle w:val="multiline"/>
            <w:rFonts w:ascii="Arial" w:hAnsi="Arial" w:cs="Arial"/>
            <w:b/>
            <w:bCs/>
            <w:color w:val="000000" w:themeColor="text1"/>
          </w:rPr>
          <w:t>Introduction to Health and Social Care</w:t>
        </w:r>
      </w:hyperlink>
    </w:p>
    <w:p w14:paraId="7FDF9E7B" w14:textId="77777777" w:rsidR="00FA7F71" w:rsidRPr="00B16960" w:rsidRDefault="00FA7F71" w:rsidP="00FA7F71">
      <w:pPr>
        <w:spacing w:line="360" w:lineRule="auto"/>
        <w:jc w:val="center"/>
        <w:rPr>
          <w:rFonts w:ascii="Arial" w:hAnsi="Arial" w:cs="Arial"/>
          <w:b/>
          <w:bCs/>
        </w:rPr>
      </w:pPr>
      <w:r w:rsidRPr="00B16960">
        <w:rPr>
          <w:rFonts w:ascii="Arial" w:hAnsi="Arial" w:cs="Arial"/>
          <w:b/>
          <w:bCs/>
        </w:rPr>
        <w:t>Module Code: LCHS4003</w:t>
      </w:r>
    </w:p>
    <w:p w14:paraId="40CFDC87" w14:textId="77777777" w:rsidR="00FA7F71" w:rsidRPr="00B16960" w:rsidRDefault="00FA7F71" w:rsidP="00FA7F71">
      <w:pPr>
        <w:spacing w:line="360" w:lineRule="auto"/>
        <w:jc w:val="center"/>
        <w:rPr>
          <w:rFonts w:ascii="Arial" w:hAnsi="Arial" w:cs="Arial"/>
          <w:b/>
          <w:bCs/>
        </w:rPr>
      </w:pPr>
      <w:r w:rsidRPr="00B16960">
        <w:rPr>
          <w:rFonts w:ascii="Arial" w:hAnsi="Arial" w:cs="Arial"/>
          <w:b/>
          <w:bCs/>
          <w:color w:val="242424"/>
          <w:sz w:val="27"/>
          <w:szCs w:val="27"/>
          <w:shd w:val="clear" w:color="auto" w:fill="FFFFFF"/>
        </w:rPr>
        <w:t>Community Mental Health Services</w:t>
      </w:r>
    </w:p>
    <w:p w14:paraId="014C0D06" w14:textId="77777777" w:rsidR="00FA7F71" w:rsidRPr="00B16960" w:rsidRDefault="00FA7F71" w:rsidP="00FA7F71">
      <w:pPr>
        <w:spacing w:line="360" w:lineRule="auto"/>
        <w:jc w:val="center"/>
        <w:rPr>
          <w:rFonts w:ascii="Arial" w:hAnsi="Arial" w:cs="Arial"/>
          <w:b/>
          <w:bCs/>
        </w:rPr>
      </w:pPr>
      <w:r w:rsidRPr="00B16960">
        <w:rPr>
          <w:rFonts w:ascii="Arial" w:hAnsi="Arial" w:cs="Arial"/>
          <w:b/>
          <w:bCs/>
        </w:rPr>
        <w:t>Submitted by</w:t>
      </w:r>
    </w:p>
    <w:p w14:paraId="5D9C5AD2" w14:textId="77777777" w:rsidR="00FA7F71" w:rsidRPr="00B16960" w:rsidRDefault="00FA7F71" w:rsidP="00FA7F71">
      <w:pPr>
        <w:spacing w:line="360" w:lineRule="auto"/>
        <w:jc w:val="center"/>
        <w:rPr>
          <w:rFonts w:ascii="Arial" w:hAnsi="Arial" w:cs="Arial"/>
          <w:b/>
          <w:bCs/>
        </w:rPr>
      </w:pPr>
      <w:r w:rsidRPr="00B16960">
        <w:rPr>
          <w:rFonts w:ascii="Arial" w:hAnsi="Arial" w:cs="Arial"/>
          <w:b/>
          <w:bCs/>
        </w:rPr>
        <w:t>Name of the student: Hina Ilyas</w:t>
      </w:r>
    </w:p>
    <w:p w14:paraId="52551A9B" w14:textId="77777777" w:rsidR="00FA7F71" w:rsidRPr="00B16960" w:rsidRDefault="00FA7F71" w:rsidP="00FA7F71">
      <w:pPr>
        <w:spacing w:line="360" w:lineRule="auto"/>
        <w:jc w:val="center"/>
        <w:rPr>
          <w:rFonts w:ascii="Arial" w:hAnsi="Arial" w:cs="Arial"/>
          <w:b/>
          <w:bCs/>
        </w:rPr>
      </w:pPr>
      <w:r w:rsidRPr="00B16960">
        <w:rPr>
          <w:rFonts w:ascii="Arial" w:hAnsi="Arial" w:cs="Arial"/>
          <w:b/>
          <w:bCs/>
        </w:rPr>
        <w:t>ID number: 2511486</w:t>
      </w:r>
    </w:p>
    <w:p w14:paraId="25EA9C54" w14:textId="77777777" w:rsidR="00FA7F71" w:rsidRPr="00B16960" w:rsidRDefault="00FA7F71" w:rsidP="00FA7F71">
      <w:pPr>
        <w:spacing w:line="360" w:lineRule="auto"/>
        <w:jc w:val="center"/>
        <w:rPr>
          <w:rFonts w:ascii="Arial" w:hAnsi="Arial" w:cs="Arial"/>
          <w:b/>
          <w:bCs/>
        </w:rPr>
      </w:pPr>
    </w:p>
    <w:p w14:paraId="347C0B32" w14:textId="77777777" w:rsidR="00FA7F71" w:rsidRPr="00B16960" w:rsidRDefault="00FA7F71" w:rsidP="00FA7F71">
      <w:pPr>
        <w:spacing w:line="360" w:lineRule="auto"/>
        <w:jc w:val="center"/>
        <w:rPr>
          <w:rFonts w:ascii="Arial" w:hAnsi="Arial" w:cs="Arial"/>
          <w:b/>
          <w:bCs/>
        </w:rPr>
      </w:pPr>
      <w:r w:rsidRPr="00B16960">
        <w:rPr>
          <w:rFonts w:ascii="Arial" w:hAnsi="Arial" w:cs="Arial"/>
          <w:b/>
          <w:bCs/>
        </w:rPr>
        <w:t>Submitted to</w:t>
      </w:r>
    </w:p>
    <w:p w14:paraId="15C65E59" w14:textId="77777777" w:rsidR="00FA7F71" w:rsidRPr="00B16960" w:rsidRDefault="00FA7F71" w:rsidP="00FA7F71">
      <w:pPr>
        <w:spacing w:line="360" w:lineRule="auto"/>
        <w:jc w:val="center"/>
        <w:rPr>
          <w:rFonts w:ascii="Arial" w:hAnsi="Arial" w:cs="Arial"/>
          <w:b/>
          <w:bCs/>
        </w:rPr>
      </w:pPr>
      <w:r w:rsidRPr="00B16960">
        <w:rPr>
          <w:rFonts w:ascii="Arial" w:hAnsi="Arial" w:cs="Arial"/>
          <w:b/>
          <w:bCs/>
        </w:rPr>
        <w:t>Name of the lecturer: Mumtaz Goolam</w:t>
      </w:r>
    </w:p>
    <w:p w14:paraId="761E465C" w14:textId="77777777" w:rsidR="00FA7F71" w:rsidRPr="00B16960" w:rsidRDefault="00FA7F71" w:rsidP="00FA7F71">
      <w:pPr>
        <w:spacing w:line="360" w:lineRule="auto"/>
        <w:jc w:val="center"/>
        <w:rPr>
          <w:rFonts w:ascii="Arial" w:hAnsi="Arial" w:cs="Arial"/>
          <w:b/>
          <w:bCs/>
        </w:rPr>
      </w:pPr>
      <w:r w:rsidRPr="00B16960">
        <w:rPr>
          <w:rFonts w:ascii="Arial" w:hAnsi="Arial" w:cs="Arial"/>
          <w:b/>
          <w:bCs/>
        </w:rPr>
        <w:t>Submitted on</w:t>
      </w:r>
    </w:p>
    <w:p w14:paraId="027E22F3" w14:textId="1F06CEF4" w:rsidR="00276AEA" w:rsidRPr="00B16960" w:rsidRDefault="00FA7F71" w:rsidP="00FA7F71">
      <w:pPr>
        <w:spacing w:line="360" w:lineRule="auto"/>
        <w:jc w:val="center"/>
        <w:rPr>
          <w:rFonts w:ascii="Arial" w:hAnsi="Arial" w:cs="Arial"/>
          <w:b/>
          <w:bCs/>
        </w:rPr>
      </w:pPr>
      <w:r w:rsidRPr="00B16960">
        <w:rPr>
          <w:rFonts w:ascii="Arial" w:hAnsi="Arial" w:cs="Arial"/>
          <w:b/>
          <w:bCs/>
        </w:rPr>
        <w:t>Date:</w:t>
      </w:r>
      <w:r w:rsidR="000D291E">
        <w:rPr>
          <w:rFonts w:ascii="Arial" w:hAnsi="Arial" w:cs="Arial"/>
          <w:b/>
          <w:bCs/>
        </w:rPr>
        <w:t>21-03-2026</w:t>
      </w:r>
    </w:p>
    <w:p w14:paraId="21BAAEDD" w14:textId="77777777" w:rsidR="00276AEA" w:rsidRPr="00B16960" w:rsidRDefault="00276AEA">
      <w:pPr>
        <w:rPr>
          <w:rFonts w:ascii="Arial" w:hAnsi="Arial" w:cs="Arial"/>
          <w:b/>
          <w:bCs/>
        </w:rPr>
      </w:pPr>
      <w:r w:rsidRPr="00B16960">
        <w:rPr>
          <w:rFonts w:ascii="Arial" w:hAnsi="Arial" w:cs="Arial"/>
          <w:b/>
          <w:bCs/>
        </w:rPr>
        <w:br w:type="page"/>
      </w:r>
    </w:p>
    <w:p w14:paraId="055C420B" w14:textId="77777777" w:rsidR="00FA7F71" w:rsidRPr="00B16960" w:rsidRDefault="00FA7F71" w:rsidP="00FA7F71">
      <w:pPr>
        <w:spacing w:line="360" w:lineRule="auto"/>
        <w:jc w:val="center"/>
        <w:rPr>
          <w:rFonts w:ascii="Arial" w:hAnsi="Arial" w:cs="Arial"/>
          <w:b/>
          <w:bCs/>
        </w:rPr>
      </w:pPr>
    </w:p>
    <w:p w14:paraId="08C034CD" w14:textId="77777777" w:rsidR="00F2211C" w:rsidRPr="00B16960" w:rsidRDefault="00F2211C" w:rsidP="00F2211C">
      <w:pPr>
        <w:spacing w:line="360" w:lineRule="auto"/>
        <w:rPr>
          <w:rFonts w:ascii="Arial" w:hAnsi="Arial" w:cs="Arial"/>
          <w:sz w:val="32"/>
          <w:szCs w:val="32"/>
        </w:rPr>
      </w:pPr>
    </w:p>
    <w:p w14:paraId="42B247B6" w14:textId="50B646E2" w:rsidR="00FA7F71" w:rsidRPr="00B16960" w:rsidRDefault="00F2211C" w:rsidP="00B431F1">
      <w:pPr>
        <w:jc w:val="center"/>
        <w:rPr>
          <w:rFonts w:ascii="Arial" w:hAnsi="Arial" w:cs="Arial"/>
          <w:b/>
          <w:bCs/>
          <w:sz w:val="32"/>
          <w:szCs w:val="32"/>
        </w:rPr>
      </w:pPr>
      <w:r w:rsidRPr="00B16960">
        <w:rPr>
          <w:rFonts w:ascii="Arial" w:hAnsi="Arial" w:cs="Arial"/>
          <w:b/>
          <w:bCs/>
          <w:sz w:val="32"/>
          <w:szCs w:val="32"/>
        </w:rPr>
        <w:t>Table of contents</w:t>
      </w:r>
    </w:p>
    <w:p w14:paraId="219218E7" w14:textId="72405823" w:rsidR="006D0C4F" w:rsidRPr="00B16960" w:rsidRDefault="00FD687B" w:rsidP="006D0C4F">
      <w:pPr>
        <w:pStyle w:val="ListParagraph"/>
        <w:numPr>
          <w:ilvl w:val="0"/>
          <w:numId w:val="1"/>
        </w:numPr>
        <w:jc w:val="center"/>
        <w:rPr>
          <w:rFonts w:ascii="Arial" w:hAnsi="Arial" w:cs="Arial"/>
          <w:sz w:val="32"/>
          <w:szCs w:val="32"/>
        </w:rPr>
      </w:pPr>
      <w:r w:rsidRPr="00B16960">
        <w:rPr>
          <w:rFonts w:ascii="Arial" w:hAnsi="Arial" w:cs="Arial"/>
          <w:sz w:val="32"/>
          <w:szCs w:val="32"/>
        </w:rPr>
        <w:t>Introduction</w:t>
      </w:r>
      <w:r w:rsidR="00037091" w:rsidRPr="00B16960">
        <w:rPr>
          <w:rFonts w:ascii="Arial" w:hAnsi="Arial" w:cs="Arial"/>
          <w:sz w:val="32"/>
          <w:szCs w:val="32"/>
        </w:rPr>
        <w:t>______________________________</w:t>
      </w:r>
      <w:r w:rsidR="006D0C4F" w:rsidRPr="00B16960">
        <w:rPr>
          <w:rFonts w:ascii="Arial" w:hAnsi="Arial" w:cs="Arial"/>
          <w:sz w:val="32"/>
          <w:szCs w:val="32"/>
        </w:rPr>
        <w:t>_______</w:t>
      </w:r>
    </w:p>
    <w:p w14:paraId="72D3EED9" w14:textId="5A7D1F7A" w:rsidR="006D0C4F" w:rsidRPr="00B16960" w:rsidRDefault="00B82261" w:rsidP="006D0C4F">
      <w:pPr>
        <w:pStyle w:val="ListParagraph"/>
        <w:numPr>
          <w:ilvl w:val="0"/>
          <w:numId w:val="1"/>
        </w:numPr>
        <w:jc w:val="center"/>
        <w:rPr>
          <w:rFonts w:ascii="Arial" w:hAnsi="Arial" w:cs="Arial"/>
          <w:sz w:val="32"/>
          <w:szCs w:val="32"/>
        </w:rPr>
      </w:pPr>
      <w:r w:rsidRPr="00B16960">
        <w:rPr>
          <w:rFonts w:ascii="Arial" w:hAnsi="Arial" w:cs="Arial"/>
          <w:sz w:val="32"/>
          <w:szCs w:val="32"/>
        </w:rPr>
        <w:t xml:space="preserve">Section 1. </w:t>
      </w:r>
      <w:r w:rsidR="00ED6091" w:rsidRPr="00B16960">
        <w:rPr>
          <w:rFonts w:ascii="Arial" w:hAnsi="Arial" w:cs="Arial"/>
          <w:sz w:val="32"/>
          <w:szCs w:val="32"/>
        </w:rPr>
        <w:t>Effective Communication</w:t>
      </w:r>
      <w:r w:rsidR="00037091" w:rsidRPr="00B16960">
        <w:rPr>
          <w:rFonts w:ascii="Arial" w:hAnsi="Arial" w:cs="Arial"/>
          <w:sz w:val="32"/>
          <w:szCs w:val="32"/>
        </w:rPr>
        <w:t>_____________</w:t>
      </w:r>
      <w:r w:rsidR="006D0C4F" w:rsidRPr="00B16960">
        <w:rPr>
          <w:rFonts w:ascii="Arial" w:hAnsi="Arial" w:cs="Arial"/>
          <w:sz w:val="32"/>
          <w:szCs w:val="32"/>
        </w:rPr>
        <w:t>____</w:t>
      </w:r>
    </w:p>
    <w:p w14:paraId="712BCA05" w14:textId="52D97A58" w:rsidR="00037091" w:rsidRPr="00B16960" w:rsidRDefault="00037091" w:rsidP="00EF5756">
      <w:pPr>
        <w:pStyle w:val="ListParagraph"/>
        <w:numPr>
          <w:ilvl w:val="0"/>
          <w:numId w:val="1"/>
        </w:numPr>
        <w:jc w:val="center"/>
        <w:rPr>
          <w:rFonts w:ascii="Arial" w:hAnsi="Arial" w:cs="Arial"/>
          <w:sz w:val="32"/>
          <w:szCs w:val="32"/>
        </w:rPr>
      </w:pPr>
      <w:r w:rsidRPr="00B16960">
        <w:rPr>
          <w:rFonts w:ascii="Arial" w:hAnsi="Arial" w:cs="Arial"/>
          <w:sz w:val="32"/>
          <w:szCs w:val="32"/>
        </w:rPr>
        <w:t xml:space="preserve">Section </w:t>
      </w:r>
      <w:r w:rsidR="006D0C4F" w:rsidRPr="00B16960">
        <w:rPr>
          <w:rFonts w:ascii="Arial" w:hAnsi="Arial" w:cs="Arial"/>
          <w:sz w:val="32"/>
          <w:szCs w:val="32"/>
        </w:rPr>
        <w:t>2.</w:t>
      </w:r>
      <w:r w:rsidRPr="00B16960">
        <w:rPr>
          <w:rFonts w:ascii="Arial" w:hAnsi="Arial" w:cs="Arial"/>
          <w:sz w:val="32"/>
          <w:szCs w:val="32"/>
        </w:rPr>
        <w:t xml:space="preserve"> Administrative Skills &amp; Recor</w:t>
      </w:r>
      <w:r w:rsidR="006D0C4F" w:rsidRPr="00B16960">
        <w:rPr>
          <w:rFonts w:ascii="Arial" w:hAnsi="Arial" w:cs="Arial"/>
          <w:sz w:val="32"/>
          <w:szCs w:val="32"/>
        </w:rPr>
        <w:t>d Keeping______</w:t>
      </w:r>
    </w:p>
    <w:p w14:paraId="7345617A" w14:textId="2B4A6FA1" w:rsidR="00037091" w:rsidRPr="00B16960" w:rsidRDefault="006D0C4F" w:rsidP="006D0C4F">
      <w:pPr>
        <w:pStyle w:val="ListParagraph"/>
        <w:numPr>
          <w:ilvl w:val="0"/>
          <w:numId w:val="1"/>
        </w:numPr>
        <w:rPr>
          <w:rFonts w:ascii="Arial" w:hAnsi="Arial" w:cs="Arial"/>
          <w:sz w:val="32"/>
          <w:szCs w:val="32"/>
        </w:rPr>
      </w:pPr>
      <w:r w:rsidRPr="00B16960">
        <w:rPr>
          <w:rFonts w:ascii="Arial" w:hAnsi="Arial" w:cs="Arial"/>
          <w:sz w:val="32"/>
          <w:szCs w:val="32"/>
        </w:rPr>
        <w:t xml:space="preserve">Section 3. </w:t>
      </w:r>
      <w:r w:rsidR="00037091" w:rsidRPr="00B16960">
        <w:rPr>
          <w:rFonts w:ascii="Arial" w:hAnsi="Arial" w:cs="Arial"/>
          <w:sz w:val="32"/>
          <w:szCs w:val="32"/>
        </w:rPr>
        <w:t>Collaborativ</w:t>
      </w:r>
      <w:r w:rsidRPr="00B16960">
        <w:rPr>
          <w:rFonts w:ascii="Arial" w:hAnsi="Arial" w:cs="Arial"/>
          <w:sz w:val="32"/>
          <w:szCs w:val="32"/>
        </w:rPr>
        <w:t xml:space="preserve">e </w:t>
      </w:r>
      <w:r w:rsidR="00037091" w:rsidRPr="00B16960">
        <w:rPr>
          <w:rFonts w:ascii="Arial" w:hAnsi="Arial" w:cs="Arial"/>
          <w:sz w:val="32"/>
          <w:szCs w:val="32"/>
        </w:rPr>
        <w:t>working_____</w:t>
      </w:r>
    </w:p>
    <w:p w14:paraId="561C9689" w14:textId="3C0B3799" w:rsidR="00037091" w:rsidRPr="00B16960" w:rsidRDefault="00037091" w:rsidP="00EF5756">
      <w:pPr>
        <w:pStyle w:val="ListParagraph"/>
        <w:numPr>
          <w:ilvl w:val="0"/>
          <w:numId w:val="1"/>
        </w:numPr>
        <w:jc w:val="center"/>
        <w:rPr>
          <w:rFonts w:ascii="Arial" w:hAnsi="Arial" w:cs="Arial"/>
          <w:sz w:val="32"/>
          <w:szCs w:val="32"/>
        </w:rPr>
      </w:pPr>
      <w:r w:rsidRPr="00B16960">
        <w:rPr>
          <w:rFonts w:ascii="Arial" w:hAnsi="Arial" w:cs="Arial"/>
          <w:sz w:val="32"/>
          <w:szCs w:val="32"/>
        </w:rPr>
        <w:t>Conclusion____________________________________</w:t>
      </w:r>
    </w:p>
    <w:p w14:paraId="1FBF2B33" w14:textId="3C7E51D1" w:rsidR="00037091" w:rsidRPr="00B16960" w:rsidRDefault="00037091" w:rsidP="00EF5756">
      <w:pPr>
        <w:pStyle w:val="ListParagraph"/>
        <w:numPr>
          <w:ilvl w:val="0"/>
          <w:numId w:val="1"/>
        </w:numPr>
        <w:jc w:val="center"/>
        <w:rPr>
          <w:rFonts w:ascii="Arial" w:hAnsi="Arial" w:cs="Arial"/>
          <w:sz w:val="32"/>
          <w:szCs w:val="32"/>
        </w:rPr>
      </w:pPr>
      <w:r w:rsidRPr="00B16960">
        <w:rPr>
          <w:rFonts w:ascii="Arial" w:hAnsi="Arial" w:cs="Arial"/>
          <w:sz w:val="32"/>
          <w:szCs w:val="32"/>
        </w:rPr>
        <w:t>References____________________________________</w:t>
      </w:r>
      <w:r w:rsidR="006D0C4F" w:rsidRPr="00B16960">
        <w:rPr>
          <w:rFonts w:ascii="Arial" w:hAnsi="Arial" w:cs="Arial"/>
          <w:sz w:val="32"/>
          <w:szCs w:val="32"/>
        </w:rPr>
        <w:t>_</w:t>
      </w:r>
    </w:p>
    <w:p w14:paraId="13D1FE73" w14:textId="7F446263" w:rsidR="00EF5756" w:rsidRPr="00B16960" w:rsidRDefault="00EF5756" w:rsidP="00EF5756">
      <w:pPr>
        <w:ind w:left="360"/>
        <w:rPr>
          <w:rFonts w:ascii="Arial" w:hAnsi="Arial" w:cs="Arial"/>
          <w:sz w:val="32"/>
          <w:szCs w:val="32"/>
        </w:rPr>
      </w:pPr>
    </w:p>
    <w:p w14:paraId="6916E76A" w14:textId="77777777" w:rsidR="00276AEA" w:rsidRPr="00B16960" w:rsidRDefault="00276AEA" w:rsidP="00276AEA">
      <w:pPr>
        <w:rPr>
          <w:rFonts w:ascii="Arial" w:hAnsi="Arial" w:cs="Arial"/>
        </w:rPr>
      </w:pPr>
    </w:p>
    <w:p w14:paraId="7E93E082" w14:textId="77777777" w:rsidR="00276AEA" w:rsidRPr="00B16960" w:rsidRDefault="00276AEA" w:rsidP="00276AEA">
      <w:pPr>
        <w:rPr>
          <w:rFonts w:ascii="Arial" w:hAnsi="Arial" w:cs="Arial"/>
        </w:rPr>
      </w:pPr>
    </w:p>
    <w:p w14:paraId="7481D555" w14:textId="77777777" w:rsidR="00276AEA" w:rsidRPr="00B16960" w:rsidRDefault="00276AEA" w:rsidP="00276AEA">
      <w:pPr>
        <w:rPr>
          <w:rFonts w:ascii="Arial" w:hAnsi="Arial" w:cs="Arial"/>
        </w:rPr>
      </w:pPr>
    </w:p>
    <w:p w14:paraId="01D19E2D" w14:textId="77777777" w:rsidR="00276AEA" w:rsidRPr="00B16960" w:rsidRDefault="00276AEA" w:rsidP="00276AEA">
      <w:pPr>
        <w:rPr>
          <w:rFonts w:ascii="Arial" w:hAnsi="Arial" w:cs="Arial"/>
        </w:rPr>
      </w:pPr>
    </w:p>
    <w:p w14:paraId="6288CA7E" w14:textId="77777777" w:rsidR="00276AEA" w:rsidRPr="00B16960" w:rsidRDefault="00276AEA" w:rsidP="00276AEA">
      <w:pPr>
        <w:rPr>
          <w:rFonts w:ascii="Arial" w:hAnsi="Arial" w:cs="Arial"/>
        </w:rPr>
      </w:pPr>
    </w:p>
    <w:p w14:paraId="3EB34227" w14:textId="77777777" w:rsidR="00276AEA" w:rsidRPr="00B16960" w:rsidRDefault="00276AEA" w:rsidP="00276AEA">
      <w:pPr>
        <w:rPr>
          <w:rFonts w:ascii="Arial" w:hAnsi="Arial" w:cs="Arial"/>
        </w:rPr>
      </w:pPr>
    </w:p>
    <w:p w14:paraId="0674E925" w14:textId="77777777" w:rsidR="00276AEA" w:rsidRPr="00B16960" w:rsidRDefault="00276AEA" w:rsidP="00276AEA">
      <w:pPr>
        <w:rPr>
          <w:rFonts w:ascii="Arial" w:hAnsi="Arial" w:cs="Arial"/>
        </w:rPr>
      </w:pPr>
    </w:p>
    <w:p w14:paraId="602D7086" w14:textId="77777777" w:rsidR="00276AEA" w:rsidRPr="00B16960" w:rsidRDefault="00276AEA" w:rsidP="00276AEA">
      <w:pPr>
        <w:rPr>
          <w:rFonts w:ascii="Arial" w:hAnsi="Arial" w:cs="Arial"/>
        </w:rPr>
      </w:pPr>
    </w:p>
    <w:p w14:paraId="7957DF85" w14:textId="77777777" w:rsidR="00276AEA" w:rsidRPr="00B16960" w:rsidRDefault="00276AEA" w:rsidP="00276AEA">
      <w:pPr>
        <w:rPr>
          <w:rFonts w:ascii="Arial" w:hAnsi="Arial" w:cs="Arial"/>
        </w:rPr>
      </w:pPr>
    </w:p>
    <w:p w14:paraId="5DD8E669" w14:textId="77777777" w:rsidR="00276AEA" w:rsidRPr="00B16960" w:rsidRDefault="00276AEA" w:rsidP="00276AEA">
      <w:pPr>
        <w:rPr>
          <w:rFonts w:ascii="Arial" w:hAnsi="Arial" w:cs="Arial"/>
        </w:rPr>
      </w:pPr>
    </w:p>
    <w:p w14:paraId="1F17DD59" w14:textId="77777777" w:rsidR="00276AEA" w:rsidRPr="00B16960" w:rsidRDefault="00276AEA" w:rsidP="00276AEA">
      <w:pPr>
        <w:rPr>
          <w:rFonts w:ascii="Arial" w:hAnsi="Arial" w:cs="Arial"/>
        </w:rPr>
      </w:pPr>
    </w:p>
    <w:p w14:paraId="3F82D6D7" w14:textId="77777777" w:rsidR="00276AEA" w:rsidRPr="00B16960" w:rsidRDefault="00276AEA" w:rsidP="00276AEA">
      <w:pPr>
        <w:rPr>
          <w:rFonts w:ascii="Arial" w:hAnsi="Arial" w:cs="Arial"/>
        </w:rPr>
      </w:pPr>
    </w:p>
    <w:p w14:paraId="4B41436A" w14:textId="77777777" w:rsidR="00276AEA" w:rsidRPr="00B16960" w:rsidRDefault="00276AEA" w:rsidP="00276AEA">
      <w:pPr>
        <w:rPr>
          <w:rFonts w:ascii="Arial" w:hAnsi="Arial" w:cs="Arial"/>
        </w:rPr>
      </w:pPr>
    </w:p>
    <w:p w14:paraId="7860E36F" w14:textId="77777777" w:rsidR="00276AEA" w:rsidRPr="00B16960" w:rsidRDefault="00276AEA" w:rsidP="00276AEA">
      <w:pPr>
        <w:rPr>
          <w:rFonts w:ascii="Arial" w:hAnsi="Arial" w:cs="Arial"/>
        </w:rPr>
      </w:pPr>
    </w:p>
    <w:p w14:paraId="4360A460" w14:textId="77777777" w:rsidR="00276AEA" w:rsidRPr="00B16960" w:rsidRDefault="00276AEA" w:rsidP="00276AEA">
      <w:pPr>
        <w:rPr>
          <w:rFonts w:ascii="Arial" w:hAnsi="Arial" w:cs="Arial"/>
        </w:rPr>
      </w:pPr>
    </w:p>
    <w:p w14:paraId="1CBE5913" w14:textId="77777777" w:rsidR="00276AEA" w:rsidRPr="00B16960" w:rsidRDefault="00276AEA" w:rsidP="00276AEA">
      <w:pPr>
        <w:rPr>
          <w:rFonts w:ascii="Arial" w:hAnsi="Arial" w:cs="Arial"/>
        </w:rPr>
      </w:pPr>
    </w:p>
    <w:p w14:paraId="41753819" w14:textId="77777777" w:rsidR="00276AEA" w:rsidRPr="00B16960" w:rsidRDefault="00276AEA" w:rsidP="00276AEA">
      <w:pPr>
        <w:rPr>
          <w:rFonts w:ascii="Arial" w:hAnsi="Arial" w:cs="Arial"/>
        </w:rPr>
      </w:pPr>
    </w:p>
    <w:p w14:paraId="1BA47C61" w14:textId="58E6C472" w:rsidR="00276AEA" w:rsidRPr="00B16960" w:rsidRDefault="00276AEA" w:rsidP="00276AEA">
      <w:pPr>
        <w:tabs>
          <w:tab w:val="left" w:pos="6520"/>
        </w:tabs>
        <w:rPr>
          <w:rFonts w:ascii="Arial" w:hAnsi="Arial" w:cs="Arial"/>
        </w:rPr>
      </w:pPr>
      <w:r w:rsidRPr="00B16960">
        <w:rPr>
          <w:rFonts w:ascii="Arial" w:hAnsi="Arial" w:cs="Arial"/>
        </w:rPr>
        <w:tab/>
      </w:r>
    </w:p>
    <w:p w14:paraId="280B2CB2" w14:textId="4D924710" w:rsidR="00276AEA" w:rsidRPr="00A7594E" w:rsidRDefault="00036E42">
      <w:pPr>
        <w:rPr>
          <w:rFonts w:ascii="Arial" w:hAnsi="Arial" w:cs="Arial"/>
          <w:b/>
          <w:bCs/>
          <w:sz w:val="44"/>
          <w:szCs w:val="44"/>
        </w:rPr>
      </w:pPr>
      <w:r w:rsidRPr="00A7594E">
        <w:rPr>
          <w:rFonts w:ascii="Arial" w:hAnsi="Arial" w:cs="Arial"/>
          <w:b/>
          <w:bCs/>
          <w:sz w:val="44"/>
          <w:szCs w:val="44"/>
        </w:rPr>
        <w:lastRenderedPageBreak/>
        <w:t>Co</w:t>
      </w:r>
      <w:r w:rsidR="00A7594E" w:rsidRPr="00A7594E">
        <w:rPr>
          <w:rFonts w:ascii="Arial" w:hAnsi="Arial" w:cs="Arial"/>
          <w:b/>
          <w:bCs/>
          <w:sz w:val="44"/>
          <w:szCs w:val="44"/>
        </w:rPr>
        <w:t>mponent 2</w:t>
      </w:r>
      <w:r w:rsidR="00276AEA" w:rsidRPr="00A7594E">
        <w:rPr>
          <w:rFonts w:ascii="Arial" w:hAnsi="Arial" w:cs="Arial"/>
          <w:b/>
          <w:bCs/>
          <w:sz w:val="44"/>
          <w:szCs w:val="44"/>
        </w:rPr>
        <w:br w:type="page"/>
      </w:r>
    </w:p>
    <w:p w14:paraId="789A44A0" w14:textId="0436EADA" w:rsidR="008F6DD1" w:rsidRPr="00B16960" w:rsidRDefault="008F6DD1" w:rsidP="008F6DD1">
      <w:pPr>
        <w:pStyle w:val="NormalWeb"/>
        <w:shd w:val="clear" w:color="auto" w:fill="FFFFFF"/>
        <w:spacing w:before="0" w:beforeAutospacing="0" w:after="0" w:afterAutospacing="0"/>
        <w:rPr>
          <w:rFonts w:ascii="Arial" w:hAnsi="Arial" w:cs="Arial"/>
          <w:color w:val="242424"/>
          <w:sz w:val="45"/>
          <w:szCs w:val="45"/>
        </w:rPr>
      </w:pPr>
      <w:r w:rsidRPr="00B16960">
        <w:rPr>
          <w:rFonts w:ascii="Arial" w:hAnsi="Arial" w:cs="Arial"/>
          <w:b/>
          <w:bCs/>
          <w:color w:val="242424"/>
          <w:sz w:val="45"/>
          <w:szCs w:val="45"/>
          <w:bdr w:val="none" w:sz="0" w:space="0" w:color="auto" w:frame="1"/>
        </w:rPr>
        <w:lastRenderedPageBreak/>
        <w:t>Mr Ahmed</w:t>
      </w:r>
    </w:p>
    <w:p w14:paraId="514795FA" w14:textId="77777777" w:rsidR="008F6DD1" w:rsidRPr="00B16960" w:rsidRDefault="008F6DD1" w:rsidP="008F6DD1">
      <w:pPr>
        <w:pStyle w:val="NormalWeb"/>
        <w:shd w:val="clear" w:color="auto" w:fill="FFFFFF"/>
        <w:spacing w:before="0" w:beforeAutospacing="0" w:after="0" w:afterAutospacing="0"/>
        <w:rPr>
          <w:rFonts w:ascii="Arial" w:hAnsi="Arial" w:cs="Arial"/>
          <w:color w:val="242424"/>
          <w:sz w:val="18"/>
          <w:szCs w:val="18"/>
        </w:rPr>
      </w:pPr>
    </w:p>
    <w:p w14:paraId="4251685E" w14:textId="77777777" w:rsidR="008F6DD1" w:rsidRPr="00B16960" w:rsidRDefault="008F6DD1" w:rsidP="008F6DD1">
      <w:pPr>
        <w:pStyle w:val="NormalWeb"/>
        <w:shd w:val="clear" w:color="auto" w:fill="FFFFFF"/>
        <w:spacing w:before="0" w:beforeAutospacing="0" w:after="0" w:afterAutospacing="0"/>
        <w:rPr>
          <w:rFonts w:ascii="Arial" w:hAnsi="Arial" w:cs="Arial"/>
          <w:color w:val="242424"/>
          <w:sz w:val="18"/>
          <w:szCs w:val="18"/>
        </w:rPr>
      </w:pPr>
    </w:p>
    <w:p w14:paraId="481DC21A" w14:textId="77777777" w:rsidR="008F6DD1" w:rsidRPr="00B16960" w:rsidRDefault="008F6DD1" w:rsidP="008F6DD1">
      <w:pPr>
        <w:pStyle w:val="NormalWeb"/>
        <w:shd w:val="clear" w:color="auto" w:fill="FFFFFF"/>
        <w:spacing w:before="0" w:beforeAutospacing="0" w:after="0" w:afterAutospacing="0"/>
        <w:rPr>
          <w:rFonts w:ascii="Arial" w:hAnsi="Arial" w:cs="Arial"/>
          <w:color w:val="242424"/>
          <w:sz w:val="18"/>
          <w:szCs w:val="18"/>
        </w:rPr>
      </w:pPr>
    </w:p>
    <w:p w14:paraId="38AC4520" w14:textId="3942AA50" w:rsidR="008F6DD1" w:rsidRPr="00EC2823" w:rsidRDefault="008F6DD1" w:rsidP="008F6DD1">
      <w:pPr>
        <w:pStyle w:val="NormalWeb"/>
        <w:shd w:val="clear" w:color="auto" w:fill="FFFFFF"/>
        <w:spacing w:before="0" w:beforeAutospacing="0" w:after="0" w:afterAutospacing="0"/>
        <w:rPr>
          <w:rFonts w:ascii="Arial" w:hAnsi="Arial" w:cs="Arial"/>
          <w:color w:val="242424"/>
          <w:sz w:val="36"/>
          <w:szCs w:val="36"/>
        </w:rPr>
      </w:pPr>
      <w:r w:rsidRPr="00EC2823">
        <w:rPr>
          <w:rFonts w:ascii="Arial" w:hAnsi="Arial" w:cs="Arial"/>
          <w:b/>
          <w:bCs/>
          <w:color w:val="242424"/>
          <w:sz w:val="36"/>
          <w:szCs w:val="36"/>
          <w:bdr w:val="none" w:sz="0" w:space="0" w:color="auto" w:frame="1"/>
        </w:rPr>
        <w:t xml:space="preserve">Introduction </w:t>
      </w:r>
    </w:p>
    <w:p w14:paraId="43E4A2C2" w14:textId="77777777" w:rsidR="008F6DD1" w:rsidRPr="00B16960" w:rsidRDefault="008F6DD1" w:rsidP="008F6DD1">
      <w:pPr>
        <w:pStyle w:val="NormalWeb"/>
        <w:shd w:val="clear" w:color="auto" w:fill="FFFFFF"/>
        <w:spacing w:before="0" w:beforeAutospacing="0" w:after="0" w:afterAutospacing="0"/>
        <w:rPr>
          <w:rFonts w:ascii="Arial" w:hAnsi="Arial" w:cs="Arial"/>
          <w:color w:val="242424"/>
          <w:sz w:val="18"/>
          <w:szCs w:val="18"/>
        </w:rPr>
      </w:pPr>
    </w:p>
    <w:p w14:paraId="69A49B6C" w14:textId="77777777" w:rsidR="00E34459" w:rsidRPr="00B16960" w:rsidRDefault="00E34459" w:rsidP="008F6DD1">
      <w:pPr>
        <w:pStyle w:val="NormalWeb"/>
        <w:shd w:val="clear" w:color="auto" w:fill="FFFFFF"/>
        <w:spacing w:before="0" w:beforeAutospacing="0" w:after="0" w:afterAutospacing="0"/>
        <w:rPr>
          <w:rFonts w:ascii="Arial" w:hAnsi="Arial" w:cs="Arial"/>
          <w:color w:val="242424"/>
          <w:sz w:val="18"/>
          <w:szCs w:val="18"/>
        </w:rPr>
      </w:pPr>
    </w:p>
    <w:p w14:paraId="6780DECE" w14:textId="77777777" w:rsidR="00E34459" w:rsidRPr="00B16960" w:rsidRDefault="00E34459" w:rsidP="008F6DD1">
      <w:pPr>
        <w:pStyle w:val="NormalWeb"/>
        <w:shd w:val="clear" w:color="auto" w:fill="FFFFFF"/>
        <w:spacing w:before="0" w:beforeAutospacing="0" w:after="0" w:afterAutospacing="0"/>
        <w:rPr>
          <w:rFonts w:ascii="Arial" w:hAnsi="Arial" w:cs="Arial"/>
          <w:color w:val="242424"/>
          <w:sz w:val="18"/>
          <w:szCs w:val="18"/>
        </w:rPr>
      </w:pPr>
    </w:p>
    <w:p w14:paraId="3544C6EA" w14:textId="77777777" w:rsidR="008F6DD1" w:rsidRPr="00B16960" w:rsidRDefault="008F6DD1" w:rsidP="008F6DD1">
      <w:pPr>
        <w:pStyle w:val="NormalWeb"/>
        <w:shd w:val="clear" w:color="auto" w:fill="FFFFFF"/>
        <w:spacing w:before="0" w:beforeAutospacing="0" w:after="0" w:afterAutospacing="0"/>
        <w:rPr>
          <w:rFonts w:ascii="Arial" w:hAnsi="Arial" w:cs="Arial"/>
          <w:color w:val="242424"/>
          <w:sz w:val="18"/>
          <w:szCs w:val="18"/>
        </w:rPr>
      </w:pPr>
    </w:p>
    <w:p w14:paraId="2A8FE211" w14:textId="77777777" w:rsidR="008F6DD1" w:rsidRPr="00B16960" w:rsidRDefault="008F6DD1" w:rsidP="008F6DD1">
      <w:pPr>
        <w:pStyle w:val="NormalWeb"/>
        <w:shd w:val="clear" w:color="auto" w:fill="FFFFFF"/>
        <w:spacing w:before="0" w:beforeAutospacing="0" w:after="0" w:afterAutospacing="0"/>
        <w:rPr>
          <w:rFonts w:ascii="Arial" w:hAnsi="Arial" w:cs="Arial"/>
          <w:color w:val="242424"/>
          <w:sz w:val="30"/>
          <w:szCs w:val="30"/>
          <w:bdr w:val="none" w:sz="0" w:space="0" w:color="auto" w:frame="1"/>
        </w:rPr>
      </w:pPr>
      <w:r w:rsidRPr="00B16960">
        <w:rPr>
          <w:rFonts w:ascii="Arial" w:hAnsi="Arial" w:cs="Arial"/>
          <w:color w:val="242424"/>
          <w:sz w:val="30"/>
          <w:szCs w:val="30"/>
          <w:bdr w:val="none" w:sz="0" w:space="0" w:color="auto" w:frame="1"/>
        </w:rPr>
        <w:t>Mr Ahmed is a 68-year-old man who has recently been discharged from hospital following treatment for a stroke. After returning home, he now depends on support from several healthcare professionals as well as his wife to manage daily activities and medical needs. He receives visits from a domiciliary care agency three times a day to assist with personal care, medication administration, and meal preparation. In addition, his care involves input from a GP, a district nurse who monitors his blood pressure and wound care, and a speech and language therapist who helps improve his communication and swallowing abilities.</w:t>
      </w:r>
    </w:p>
    <w:p w14:paraId="2548ADCD" w14:textId="77777777" w:rsidR="00E34459" w:rsidRPr="00B16960" w:rsidRDefault="00E34459" w:rsidP="008F6DD1">
      <w:pPr>
        <w:pStyle w:val="NormalWeb"/>
        <w:shd w:val="clear" w:color="auto" w:fill="FFFFFF"/>
        <w:spacing w:before="0" w:beforeAutospacing="0" w:after="0" w:afterAutospacing="0"/>
        <w:rPr>
          <w:rFonts w:ascii="Arial" w:hAnsi="Arial" w:cs="Arial"/>
          <w:color w:val="242424"/>
          <w:sz w:val="30"/>
          <w:szCs w:val="30"/>
          <w:bdr w:val="none" w:sz="0" w:space="0" w:color="auto" w:frame="1"/>
        </w:rPr>
      </w:pPr>
    </w:p>
    <w:p w14:paraId="6CE05E98" w14:textId="77777777" w:rsidR="008F6DD1" w:rsidRPr="00B16960" w:rsidRDefault="008F6DD1" w:rsidP="008F6DD1">
      <w:pPr>
        <w:pStyle w:val="NormalWeb"/>
        <w:shd w:val="clear" w:color="auto" w:fill="FFFFFF"/>
        <w:spacing w:before="0" w:beforeAutospacing="0" w:after="0" w:afterAutospacing="0"/>
        <w:rPr>
          <w:rFonts w:ascii="Arial" w:hAnsi="Arial" w:cs="Arial"/>
          <w:color w:val="242424"/>
          <w:sz w:val="18"/>
          <w:szCs w:val="18"/>
        </w:rPr>
      </w:pPr>
    </w:p>
    <w:p w14:paraId="7699E4CD" w14:textId="77777777" w:rsidR="008F6DD1" w:rsidRPr="00B16960" w:rsidRDefault="008F6DD1" w:rsidP="008F6DD1">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One important factor in Mr Ahmed’s care is that Bengali is his first language. Although he understands some English, he finds complex conversations difficult, which can create challenges when discussing healthcare information. Recently, concerns were raised when a scheduled care visit was missed, resulting in Mr Ahmed not receiving his medication on time. This incident highlights the importance of effective communication, accurate record keeping, and collaborative working in ensuring safe and high-quality patient care (NHS England, 2023).</w:t>
      </w:r>
    </w:p>
    <w:p w14:paraId="0BD080B8" w14:textId="7E664F94" w:rsidR="008F6DD1" w:rsidRPr="00B16960" w:rsidRDefault="008F6DD1" w:rsidP="00276AEA">
      <w:pPr>
        <w:tabs>
          <w:tab w:val="left" w:pos="6520"/>
        </w:tabs>
        <w:rPr>
          <w:rFonts w:ascii="Arial" w:hAnsi="Arial" w:cs="Arial"/>
        </w:rPr>
      </w:pPr>
    </w:p>
    <w:p w14:paraId="3607DD5F" w14:textId="77777777" w:rsidR="008F6DD1" w:rsidRPr="00B16960" w:rsidRDefault="008F6DD1">
      <w:pPr>
        <w:rPr>
          <w:rFonts w:ascii="Arial" w:hAnsi="Arial" w:cs="Arial"/>
        </w:rPr>
      </w:pPr>
      <w:r w:rsidRPr="00B16960">
        <w:rPr>
          <w:rFonts w:ascii="Arial" w:hAnsi="Arial" w:cs="Arial"/>
        </w:rPr>
        <w:br w:type="page"/>
      </w:r>
    </w:p>
    <w:p w14:paraId="0D26DBC5" w14:textId="1F38E650" w:rsidR="00675BDA" w:rsidRPr="00EC2823" w:rsidRDefault="00675BDA" w:rsidP="00675BDA">
      <w:pPr>
        <w:pStyle w:val="NormalWeb"/>
        <w:shd w:val="clear" w:color="auto" w:fill="FFFFFF"/>
        <w:spacing w:before="0" w:beforeAutospacing="0" w:after="0" w:afterAutospacing="0"/>
        <w:rPr>
          <w:rFonts w:ascii="Arial" w:hAnsi="Arial" w:cs="Arial"/>
          <w:color w:val="242424"/>
          <w:sz w:val="36"/>
          <w:szCs w:val="36"/>
        </w:rPr>
      </w:pPr>
      <w:r w:rsidRPr="00EC2823">
        <w:rPr>
          <w:rFonts w:ascii="Arial" w:hAnsi="Arial" w:cs="Arial"/>
          <w:b/>
          <w:bCs/>
          <w:color w:val="242424"/>
          <w:sz w:val="36"/>
          <w:szCs w:val="36"/>
          <w:bdr w:val="none" w:sz="0" w:space="0" w:color="auto" w:frame="1"/>
        </w:rPr>
        <w:lastRenderedPageBreak/>
        <w:t>Section 1: Effective Communication</w:t>
      </w:r>
    </w:p>
    <w:p w14:paraId="26C9BEC1"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18"/>
          <w:szCs w:val="18"/>
        </w:rPr>
      </w:pPr>
    </w:p>
    <w:p w14:paraId="24A7AFB5"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18"/>
          <w:szCs w:val="18"/>
        </w:rPr>
      </w:pPr>
    </w:p>
    <w:p w14:paraId="500C7211"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Effective communication is one of the most important aspects of healthcare practice. It allows professionals to understand patients’ needs, provide clear instructions, and ensure that individuals feel respected and involved in decisions about their care. In Mr Ahmed’s situation, communication plays a particularly important role because he is recovering from a stroke and has limited English proficiency.</w:t>
      </w:r>
    </w:p>
    <w:p w14:paraId="0880E2AD"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18"/>
          <w:szCs w:val="18"/>
        </w:rPr>
      </w:pPr>
    </w:p>
    <w:p w14:paraId="5384BAEC"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 xml:space="preserve">Stroke can affect a person’s ability to speak, understand language, or process information. This means that healthcare professionals must adapt the way they communicate </w:t>
      </w:r>
      <w:proofErr w:type="gramStart"/>
      <w:r w:rsidRPr="00B16960">
        <w:rPr>
          <w:rFonts w:ascii="Arial" w:hAnsi="Arial" w:cs="Arial"/>
          <w:color w:val="242424"/>
          <w:sz w:val="30"/>
          <w:szCs w:val="30"/>
          <w:bdr w:val="none" w:sz="0" w:space="0" w:color="auto" w:frame="1"/>
        </w:rPr>
        <w:t>in order to</w:t>
      </w:r>
      <w:proofErr w:type="gramEnd"/>
      <w:r w:rsidRPr="00B16960">
        <w:rPr>
          <w:rFonts w:ascii="Arial" w:hAnsi="Arial" w:cs="Arial"/>
          <w:color w:val="242424"/>
          <w:sz w:val="30"/>
          <w:szCs w:val="30"/>
          <w:bdr w:val="none" w:sz="0" w:space="0" w:color="auto" w:frame="1"/>
        </w:rPr>
        <w:t xml:space="preserve"> support the patient effectively. For Mr Ahmed, conversations about medication, treatment plans, or therapy goals may be difficult to understand if they are delivered too quickly or in complex language. Healthcare workers should therefore speak clearly, avoid medical jargon, and check that Mr Ahmed has understood the information being given.</w:t>
      </w:r>
    </w:p>
    <w:p w14:paraId="2603D2CB"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18"/>
          <w:szCs w:val="18"/>
        </w:rPr>
      </w:pPr>
    </w:p>
    <w:p w14:paraId="7BBA6E2A"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Language barriers are another significant factor. While Mr Ahmed’s wife speaks fluent English and often communicates with the care team on his behalf, professionals should ensure that Mr Ahmed himself is included in discussions about his care. Relying entirely on family members to interpret medical information can sometimes lead to misunderstandings or incomplete communication. Under the </w:t>
      </w:r>
      <w:r w:rsidRPr="00B16960">
        <w:rPr>
          <w:rFonts w:ascii="Arial" w:hAnsi="Arial" w:cs="Arial"/>
          <w:color w:val="0000EE"/>
          <w:sz w:val="30"/>
          <w:szCs w:val="30"/>
          <w:bdr w:val="none" w:sz="0" w:space="0" w:color="auto" w:frame="1"/>
        </w:rPr>
        <w:t>Equality Act 2010</w:t>
      </w:r>
      <w:r w:rsidRPr="00B16960">
        <w:rPr>
          <w:rFonts w:ascii="Arial" w:hAnsi="Arial" w:cs="Arial"/>
          <w:color w:val="242424"/>
          <w:sz w:val="30"/>
          <w:szCs w:val="30"/>
          <w:bdr w:val="none" w:sz="0" w:space="0" w:color="auto" w:frame="1"/>
        </w:rPr>
        <w:t>, healthcare providers have a responsibility to make reasonable adjustments to ensure individuals are not disadvantaged because of language barriers or disabilities. In practice, this may involve arranging professional interpreters, providing translated written information, or using visual communication tools.</w:t>
      </w:r>
    </w:p>
    <w:p w14:paraId="3A2138D8"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18"/>
          <w:szCs w:val="18"/>
        </w:rPr>
      </w:pPr>
    </w:p>
    <w:p w14:paraId="278E8C6A"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 xml:space="preserve">Cultural awareness is also an important aspect of communication. Mr Ahmed’s cultural background may influence his views about health, family roles, and independence. Healthcare professionals should demonstrate respect for these factors </w:t>
      </w:r>
      <w:proofErr w:type="gramStart"/>
      <w:r w:rsidRPr="00B16960">
        <w:rPr>
          <w:rFonts w:ascii="Arial" w:hAnsi="Arial" w:cs="Arial"/>
          <w:color w:val="242424"/>
          <w:sz w:val="30"/>
          <w:szCs w:val="30"/>
          <w:bdr w:val="none" w:sz="0" w:space="0" w:color="auto" w:frame="1"/>
        </w:rPr>
        <w:t>in order to</w:t>
      </w:r>
      <w:proofErr w:type="gramEnd"/>
      <w:r w:rsidRPr="00B16960">
        <w:rPr>
          <w:rFonts w:ascii="Arial" w:hAnsi="Arial" w:cs="Arial"/>
          <w:color w:val="242424"/>
          <w:sz w:val="30"/>
          <w:szCs w:val="30"/>
          <w:bdr w:val="none" w:sz="0" w:space="0" w:color="auto" w:frame="1"/>
        </w:rPr>
        <w:t xml:space="preserve"> build trust and provide person-centred care. Simple actions such as addressing the patient respectfully, acknowledging family involvement, and being aware of dietary or religious considerations can improve the overall care experience (NICE, 2019).</w:t>
      </w:r>
    </w:p>
    <w:p w14:paraId="22AD7F19"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18"/>
          <w:szCs w:val="18"/>
        </w:rPr>
      </w:pPr>
    </w:p>
    <w:p w14:paraId="74F1AB95"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lastRenderedPageBreak/>
        <w:t>Communication models can help explain how misunderstandings occur. The Shannon and Weaver communication model describes communication as a process where a message is sent by a sender and received by a receiver, but external factors can interfere with the message (Shannon and Weaver, 1949). These interferences are referred to as “noise.” In Mr Ahmed’s case, noise could include language barriers, speech difficulties following his stroke, or environmental distractions during care visits. Healthcare professionals must therefore confirm understanding by encouraging feedback from the patient.</w:t>
      </w:r>
    </w:p>
    <w:p w14:paraId="76507A99"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18"/>
          <w:szCs w:val="18"/>
        </w:rPr>
      </w:pPr>
    </w:p>
    <w:p w14:paraId="087C2903" w14:textId="77777777" w:rsidR="00675BDA" w:rsidRPr="00B16960" w:rsidRDefault="00675BDA" w:rsidP="00675BDA">
      <w:pPr>
        <w:pStyle w:val="NormalWeb"/>
        <w:shd w:val="clear" w:color="auto" w:fill="FFFFFF"/>
        <w:spacing w:before="0" w:beforeAutospacing="0" w:after="0" w:afterAutospacing="0"/>
        <w:rPr>
          <w:rFonts w:ascii="Arial" w:hAnsi="Arial" w:cs="Arial"/>
          <w:color w:val="242424"/>
          <w:sz w:val="30"/>
          <w:szCs w:val="30"/>
          <w:bdr w:val="none" w:sz="0" w:space="0" w:color="auto" w:frame="1"/>
        </w:rPr>
      </w:pPr>
      <w:r w:rsidRPr="00B16960">
        <w:rPr>
          <w:rFonts w:ascii="Arial" w:hAnsi="Arial" w:cs="Arial"/>
          <w:color w:val="242424"/>
          <w:sz w:val="30"/>
          <w:szCs w:val="30"/>
          <w:bdr w:val="none" w:sz="0" w:space="0" w:color="auto" w:frame="1"/>
        </w:rPr>
        <w:t>The missed home visit in Mr Ahmed’s case also demonstrates the importance of communication between professionals. If scheduling information or handovers are unclear, patients may miss essential care. Effective communication within healthcare teams helps ensure that important information is shared and that patient safety is maintained.</w:t>
      </w:r>
    </w:p>
    <w:p w14:paraId="3575A54F" w14:textId="77777777" w:rsidR="00AA50BB" w:rsidRPr="00B16960" w:rsidRDefault="00AA50BB" w:rsidP="00675BDA">
      <w:pPr>
        <w:pStyle w:val="NormalWeb"/>
        <w:shd w:val="clear" w:color="auto" w:fill="FFFFFF"/>
        <w:spacing w:before="0" w:beforeAutospacing="0" w:after="0" w:afterAutospacing="0"/>
        <w:rPr>
          <w:rFonts w:ascii="Arial" w:hAnsi="Arial" w:cs="Arial"/>
          <w:color w:val="242424"/>
          <w:sz w:val="30"/>
          <w:szCs w:val="30"/>
          <w:bdr w:val="none" w:sz="0" w:space="0" w:color="auto" w:frame="1"/>
        </w:rPr>
      </w:pPr>
    </w:p>
    <w:p w14:paraId="09BFBB75" w14:textId="77777777" w:rsidR="00AA50BB" w:rsidRPr="00EC2823" w:rsidRDefault="00AA50BB" w:rsidP="00675BDA">
      <w:pPr>
        <w:pStyle w:val="NormalWeb"/>
        <w:shd w:val="clear" w:color="auto" w:fill="FFFFFF"/>
        <w:spacing w:before="0" w:beforeAutospacing="0" w:after="0" w:afterAutospacing="0"/>
        <w:rPr>
          <w:rFonts w:ascii="Arial" w:hAnsi="Arial" w:cs="Arial"/>
          <w:color w:val="242424"/>
          <w:sz w:val="36"/>
          <w:szCs w:val="36"/>
          <w:bdr w:val="none" w:sz="0" w:space="0" w:color="auto" w:frame="1"/>
        </w:rPr>
      </w:pPr>
    </w:p>
    <w:p w14:paraId="2E1DD31D" w14:textId="77777777" w:rsidR="00AA50BB" w:rsidRPr="00EC2823" w:rsidRDefault="00AA50BB" w:rsidP="00675BDA">
      <w:pPr>
        <w:pStyle w:val="NormalWeb"/>
        <w:shd w:val="clear" w:color="auto" w:fill="FFFFFF"/>
        <w:spacing w:before="0" w:beforeAutospacing="0" w:after="0" w:afterAutospacing="0"/>
        <w:rPr>
          <w:rFonts w:ascii="Arial" w:hAnsi="Arial" w:cs="Arial"/>
          <w:color w:val="242424"/>
          <w:sz w:val="36"/>
          <w:szCs w:val="36"/>
        </w:rPr>
      </w:pPr>
    </w:p>
    <w:p w14:paraId="52D37D59" w14:textId="2F62FE73" w:rsidR="00AA50BB" w:rsidRPr="00EC2823" w:rsidRDefault="00AA50BB" w:rsidP="00AA50BB">
      <w:pPr>
        <w:pStyle w:val="NormalWeb"/>
        <w:shd w:val="clear" w:color="auto" w:fill="FFFFFF"/>
        <w:spacing w:before="0" w:beforeAutospacing="0" w:after="0" w:afterAutospacing="0"/>
        <w:rPr>
          <w:rFonts w:ascii="Arial" w:hAnsi="Arial" w:cs="Arial"/>
          <w:color w:val="242424"/>
          <w:sz w:val="36"/>
          <w:szCs w:val="36"/>
        </w:rPr>
      </w:pPr>
      <w:r w:rsidRPr="00EC2823">
        <w:rPr>
          <w:rFonts w:ascii="Arial" w:hAnsi="Arial" w:cs="Arial"/>
          <w:b/>
          <w:bCs/>
          <w:color w:val="242424"/>
          <w:sz w:val="36"/>
          <w:szCs w:val="36"/>
          <w:bdr w:val="none" w:sz="0" w:space="0" w:color="auto" w:frame="1"/>
        </w:rPr>
        <w:t xml:space="preserve">Section 2: Administrative Skills and Record Keeping </w:t>
      </w:r>
    </w:p>
    <w:p w14:paraId="167C9FD8"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18"/>
          <w:szCs w:val="18"/>
        </w:rPr>
      </w:pPr>
    </w:p>
    <w:p w14:paraId="460CD325"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18"/>
          <w:szCs w:val="18"/>
        </w:rPr>
      </w:pPr>
    </w:p>
    <w:p w14:paraId="750D1CB0"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Administrative skills and accurate documentation are essential components of safe healthcare practice. In community care settings, where several professionals may be involved in supporting one patient, clear record keeping helps ensure continuity and consistency of care. In Mr Ahmed’s case, documentation allows each member of the care team to understand his health status, medication schedule, and treatment progress.</w:t>
      </w:r>
    </w:p>
    <w:p w14:paraId="13127B82"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18"/>
          <w:szCs w:val="18"/>
        </w:rPr>
      </w:pPr>
    </w:p>
    <w:p w14:paraId="4718EF89"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Accurate records provide important information about the care that has been delivered. For example, medication administration records (MAR charts) confirm whether medication has been given at the correct time and in the correct dosage. If documentation is incomplete or inaccurate, there is an increased risk of medication errors or missed treatments. In Mr Ahmed’s situation, the missed home visit resulted in delayed medication, which could have serious health consequences for someone recovering from a stroke.</w:t>
      </w:r>
    </w:p>
    <w:p w14:paraId="22AA3549"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18"/>
          <w:szCs w:val="18"/>
        </w:rPr>
      </w:pPr>
    </w:p>
    <w:p w14:paraId="76CAF52D"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lastRenderedPageBreak/>
        <w:t>Another important role of documentation is accountability. When incidents occur, clear records allow organisations to investigate what happened and identify ways to prevent similar situations in the future. Poor record keeping can create confusion among healthcare professionals and may reduce trust between patients, families, and care providers.</w:t>
      </w:r>
    </w:p>
    <w:p w14:paraId="632CC05F"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18"/>
          <w:szCs w:val="18"/>
        </w:rPr>
      </w:pPr>
    </w:p>
    <w:p w14:paraId="46DCF49F"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Healthcare professionals must also ensure that patient information is handled securely and confidentially. The </w:t>
      </w:r>
      <w:r w:rsidRPr="00B16960">
        <w:rPr>
          <w:rFonts w:ascii="Arial" w:hAnsi="Arial" w:cs="Arial"/>
          <w:color w:val="0000EE"/>
          <w:sz w:val="30"/>
          <w:szCs w:val="30"/>
          <w:bdr w:val="none" w:sz="0" w:space="0" w:color="auto" w:frame="1"/>
        </w:rPr>
        <w:t>Data Protection Act 2018</w:t>
      </w:r>
      <w:r w:rsidRPr="00B16960">
        <w:rPr>
          <w:rFonts w:ascii="Arial" w:hAnsi="Arial" w:cs="Arial"/>
          <w:color w:val="242424"/>
          <w:sz w:val="30"/>
          <w:szCs w:val="30"/>
          <w:bdr w:val="none" w:sz="0" w:space="0" w:color="auto" w:frame="1"/>
        </w:rPr>
        <w:t> outlines how personal data should be processed and protected within organisations. This legislation ensures that sensitive health information is stored safely and shared only when necessary.</w:t>
      </w:r>
    </w:p>
    <w:p w14:paraId="25A1581F"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18"/>
          <w:szCs w:val="18"/>
        </w:rPr>
      </w:pPr>
    </w:p>
    <w:p w14:paraId="39BE675E"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In addition to legal requirements, healthcare professionals must follow professional guidelines. The </w:t>
      </w:r>
      <w:r w:rsidRPr="00B16960">
        <w:rPr>
          <w:rFonts w:ascii="Arial" w:hAnsi="Arial" w:cs="Arial"/>
          <w:color w:val="0000EE"/>
          <w:sz w:val="30"/>
          <w:szCs w:val="30"/>
          <w:bdr w:val="none" w:sz="0" w:space="0" w:color="auto" w:frame="1"/>
        </w:rPr>
        <w:t>Nursing and Midwifery Council</w:t>
      </w:r>
      <w:r w:rsidRPr="00B16960">
        <w:rPr>
          <w:rFonts w:ascii="Arial" w:hAnsi="Arial" w:cs="Arial"/>
          <w:color w:val="242424"/>
          <w:sz w:val="30"/>
          <w:szCs w:val="30"/>
          <w:bdr w:val="none" w:sz="0" w:space="0" w:color="auto" w:frame="1"/>
        </w:rPr>
        <w:t> Code states that nurses and other registered professionals must maintain clear, accurate, and timely records of care provided. Similarly, the </w:t>
      </w:r>
      <w:r w:rsidRPr="00B16960">
        <w:rPr>
          <w:rFonts w:ascii="Arial" w:hAnsi="Arial" w:cs="Arial"/>
          <w:color w:val="0000EE"/>
          <w:sz w:val="30"/>
          <w:szCs w:val="30"/>
          <w:bdr w:val="none" w:sz="0" w:space="0" w:color="auto" w:frame="1"/>
        </w:rPr>
        <w:t>Care Quality Commission</w:t>
      </w:r>
      <w:r w:rsidRPr="00B16960">
        <w:rPr>
          <w:rFonts w:ascii="Arial" w:hAnsi="Arial" w:cs="Arial"/>
          <w:color w:val="242424"/>
          <w:sz w:val="30"/>
          <w:szCs w:val="30"/>
          <w:bdr w:val="none" w:sz="0" w:space="0" w:color="auto" w:frame="1"/>
        </w:rPr>
        <w:t> sets standards to ensure that healthcare services operate safely and effectively (Care Quality Commission, 2023).</w:t>
      </w:r>
    </w:p>
    <w:p w14:paraId="58904D46"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18"/>
          <w:szCs w:val="18"/>
        </w:rPr>
      </w:pPr>
    </w:p>
    <w:p w14:paraId="32F16540"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The Caldicott Principles also provide guidance on the appropriate use and sharing of confidential patient information. These principles emphasise that information should only be shared when necessary and that the minimum amount of personal data should be used to support patient care (Department of Health and Social Care, 2013).</w:t>
      </w:r>
    </w:p>
    <w:p w14:paraId="71C61486"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18"/>
          <w:szCs w:val="18"/>
        </w:rPr>
      </w:pPr>
    </w:p>
    <w:p w14:paraId="570E556F" w14:textId="77777777" w:rsidR="00AA50BB" w:rsidRPr="00B16960" w:rsidRDefault="00AA50BB" w:rsidP="00AA50BB">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Administrative systems such as electronic care records, clear scheduling systems, and incident reporting procedures can help improve communication between healthcare professionals. In Mr Ahmed’s case, improved monitoring of scheduled visits or digital alerts may help prevent missed appointments in the future. Effective administration therefore plays a vital role in supporting safe and high-quality patient care.</w:t>
      </w:r>
    </w:p>
    <w:p w14:paraId="7FEB3BE9" w14:textId="555AE17C" w:rsidR="00AA50BB" w:rsidRPr="00B16960" w:rsidRDefault="00AA50BB" w:rsidP="00276AEA">
      <w:pPr>
        <w:tabs>
          <w:tab w:val="left" w:pos="6520"/>
        </w:tabs>
        <w:rPr>
          <w:rFonts w:ascii="Arial" w:hAnsi="Arial" w:cs="Arial"/>
        </w:rPr>
      </w:pPr>
    </w:p>
    <w:p w14:paraId="1A892FDC" w14:textId="77777777" w:rsidR="00AA50BB" w:rsidRPr="00B16960" w:rsidRDefault="00AA50BB">
      <w:pPr>
        <w:rPr>
          <w:rFonts w:ascii="Arial" w:hAnsi="Arial" w:cs="Arial"/>
        </w:rPr>
      </w:pPr>
      <w:r w:rsidRPr="00B16960">
        <w:rPr>
          <w:rFonts w:ascii="Arial" w:hAnsi="Arial" w:cs="Arial"/>
        </w:rPr>
        <w:br w:type="page"/>
      </w:r>
    </w:p>
    <w:p w14:paraId="53E17A31" w14:textId="68E55144" w:rsidR="00E34459" w:rsidRPr="00EC2823" w:rsidRDefault="00E34459" w:rsidP="00E34459">
      <w:pPr>
        <w:pStyle w:val="NormalWeb"/>
        <w:shd w:val="clear" w:color="auto" w:fill="FFFFFF"/>
        <w:spacing w:before="0" w:beforeAutospacing="0" w:after="0" w:afterAutospacing="0"/>
        <w:rPr>
          <w:rFonts w:ascii="Arial" w:hAnsi="Arial" w:cs="Arial"/>
          <w:color w:val="242424"/>
          <w:sz w:val="36"/>
          <w:szCs w:val="36"/>
        </w:rPr>
      </w:pPr>
      <w:r w:rsidRPr="00EC2823">
        <w:rPr>
          <w:rFonts w:ascii="Arial" w:hAnsi="Arial" w:cs="Arial"/>
          <w:b/>
          <w:bCs/>
          <w:color w:val="242424"/>
          <w:sz w:val="36"/>
          <w:szCs w:val="36"/>
          <w:bdr w:val="none" w:sz="0" w:space="0" w:color="auto" w:frame="1"/>
        </w:rPr>
        <w:lastRenderedPageBreak/>
        <w:t xml:space="preserve">Section 3: Collaborative Working </w:t>
      </w:r>
    </w:p>
    <w:p w14:paraId="0C198451"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49F5DB16"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77E2B5A7"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Collaborative working is an essential aspect of providing effective healthcare, particularly for individuals with complex needs. Mr Ahmed’s care involves several professionals, including his GP, district nurse, speech and language therapist, and domiciliary carers. Each professional has a specific role in supporting his recovery and wellbeing.</w:t>
      </w:r>
    </w:p>
    <w:p w14:paraId="4F5FBFA1"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274755FC"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The GP is responsible for overseeing Mr Ahmed’s overall medical management and prescribing medication. The district nurse monitors his physical health, including blood pressure and wound care. The speech and language therapist focuses on improving his communication and swallowing abilities following the stroke. Meanwhile, domiciliary carers assist with personal care, medication support, and meal preparation.</w:t>
      </w:r>
    </w:p>
    <w:p w14:paraId="76BA7DDC"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6B7B4E8A"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 xml:space="preserve">When professionals work together effectively, they can provide holistic care that addresses both the physical and emotional needs of the patient. Shared care plans help ensure that everyone involved understands the patient’s goals and the actions required to achieve them (NHS England, 2023). Regular communication between professionals allows them to discuss concerns, monitor progress, and </w:t>
      </w:r>
      <w:proofErr w:type="gramStart"/>
      <w:r w:rsidRPr="00B16960">
        <w:rPr>
          <w:rFonts w:ascii="Arial" w:hAnsi="Arial" w:cs="Arial"/>
          <w:color w:val="242424"/>
          <w:sz w:val="30"/>
          <w:szCs w:val="30"/>
          <w:bdr w:val="none" w:sz="0" w:space="0" w:color="auto" w:frame="1"/>
        </w:rPr>
        <w:t>make adjustments to</w:t>
      </w:r>
      <w:proofErr w:type="gramEnd"/>
      <w:r w:rsidRPr="00B16960">
        <w:rPr>
          <w:rFonts w:ascii="Arial" w:hAnsi="Arial" w:cs="Arial"/>
          <w:color w:val="242424"/>
          <w:sz w:val="30"/>
          <w:szCs w:val="30"/>
          <w:bdr w:val="none" w:sz="0" w:space="0" w:color="auto" w:frame="1"/>
        </w:rPr>
        <w:t xml:space="preserve"> treatment plans when necessary.</w:t>
      </w:r>
    </w:p>
    <w:p w14:paraId="7480FA71"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1314BA10"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However, collaborative working can sometimes present challenges. Differences in working schedules, communication methods, or organisational systems may create gaps in information sharing. In Mr Ahmed’s case, the missed home visit may indicate a breakdown in communication or scheduling between staff members.</w:t>
      </w:r>
    </w:p>
    <w:p w14:paraId="1D32B8C7"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3DE77047"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To improve collaboration, healthcare organisations should encourage clear communication channels, shared documentation systems, and regular multidisciplinary meetings. Involving Mr Ahmed and his wife in discussions about his care can also help ensure that care remains person-centred and responsive to his needs.</w:t>
      </w:r>
    </w:p>
    <w:p w14:paraId="20D63924" w14:textId="147E700F" w:rsidR="00E34459" w:rsidRPr="00B16960" w:rsidRDefault="00E34459" w:rsidP="00276AEA">
      <w:pPr>
        <w:tabs>
          <w:tab w:val="left" w:pos="6520"/>
        </w:tabs>
        <w:rPr>
          <w:rFonts w:ascii="Arial" w:hAnsi="Arial" w:cs="Arial"/>
        </w:rPr>
      </w:pPr>
    </w:p>
    <w:p w14:paraId="519D9F54" w14:textId="77777777" w:rsidR="00E34459" w:rsidRPr="00B16960" w:rsidRDefault="00E34459">
      <w:pPr>
        <w:rPr>
          <w:rFonts w:ascii="Arial" w:hAnsi="Arial" w:cs="Arial"/>
        </w:rPr>
      </w:pPr>
      <w:r w:rsidRPr="00B16960">
        <w:rPr>
          <w:rFonts w:ascii="Arial" w:hAnsi="Arial" w:cs="Arial"/>
        </w:rPr>
        <w:br w:type="page"/>
      </w:r>
    </w:p>
    <w:p w14:paraId="6897371A" w14:textId="35EF21FF" w:rsidR="00E34459" w:rsidRPr="00EC2823" w:rsidRDefault="00E34459" w:rsidP="00E34459">
      <w:pPr>
        <w:pStyle w:val="NormalWeb"/>
        <w:shd w:val="clear" w:color="auto" w:fill="FFFFFF"/>
        <w:spacing w:before="0" w:beforeAutospacing="0" w:after="0" w:afterAutospacing="0"/>
        <w:rPr>
          <w:rFonts w:ascii="Arial" w:hAnsi="Arial" w:cs="Arial"/>
          <w:b/>
          <w:bCs/>
          <w:color w:val="242424"/>
          <w:sz w:val="36"/>
          <w:szCs w:val="36"/>
          <w:bdr w:val="none" w:sz="0" w:space="0" w:color="auto" w:frame="1"/>
        </w:rPr>
      </w:pPr>
      <w:r w:rsidRPr="00EC2823">
        <w:rPr>
          <w:rFonts w:ascii="Arial" w:hAnsi="Arial" w:cs="Arial"/>
          <w:b/>
          <w:bCs/>
          <w:color w:val="242424"/>
          <w:sz w:val="36"/>
          <w:szCs w:val="36"/>
          <w:bdr w:val="none" w:sz="0" w:space="0" w:color="auto" w:frame="1"/>
        </w:rPr>
        <w:lastRenderedPageBreak/>
        <w:t>Conclusion</w:t>
      </w:r>
    </w:p>
    <w:p w14:paraId="11445BC8"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45"/>
          <w:szCs w:val="45"/>
        </w:rPr>
      </w:pPr>
    </w:p>
    <w:p w14:paraId="0C29C71A"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39C7DE14"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439F707E"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Mr Ahmed’s case highlights the importance of effective communication, strong administrative systems, and collaborative working within healthcare. Because he is recovering from a stroke and faces language barriers, clear communication is essential to ensure he understands his care and feels involved in decisions affecting his health.</w:t>
      </w:r>
    </w:p>
    <w:p w14:paraId="56AB79B3"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0B689F66"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Accurate documentation and good administrative practices support patient safety by ensuring that all professionals involved in care have access to the same information. The missed visit that resulted in delayed medication demonstrates how weaknesses in scheduling or communication can place vulnerable patients at risk.</w:t>
      </w:r>
    </w:p>
    <w:p w14:paraId="47B7B796"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6E0AE3C9"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30"/>
          <w:szCs w:val="30"/>
        </w:rPr>
      </w:pPr>
      <w:r w:rsidRPr="00B16960">
        <w:rPr>
          <w:rFonts w:ascii="Arial" w:hAnsi="Arial" w:cs="Arial"/>
          <w:color w:val="242424"/>
          <w:sz w:val="30"/>
          <w:szCs w:val="30"/>
          <w:bdr w:val="none" w:sz="0" w:space="0" w:color="auto" w:frame="1"/>
        </w:rPr>
        <w:t>Collaborative working between healthcare professionals ensures that patients receive coordinated and holistic care. By improving communication strategies, maintaining accurate records, and strengthening teamwork, healthcare providers can enhance patient safety and quality of care. Mr Ahmed’s case provides valuable lessons for healthcare professionals about the importance of working together to support individuals living with complex health needs.</w:t>
      </w:r>
    </w:p>
    <w:p w14:paraId="596BB7FE" w14:textId="3D1E1D84" w:rsidR="00E34459" w:rsidRPr="00B16960" w:rsidRDefault="00E34459" w:rsidP="00276AEA">
      <w:pPr>
        <w:tabs>
          <w:tab w:val="left" w:pos="6520"/>
        </w:tabs>
        <w:rPr>
          <w:rFonts w:ascii="Arial" w:hAnsi="Arial" w:cs="Arial"/>
        </w:rPr>
      </w:pPr>
    </w:p>
    <w:p w14:paraId="475F2818" w14:textId="77777777" w:rsidR="00E34459" w:rsidRPr="00B16960" w:rsidRDefault="00E34459">
      <w:pPr>
        <w:rPr>
          <w:rFonts w:ascii="Arial" w:hAnsi="Arial" w:cs="Arial"/>
        </w:rPr>
      </w:pPr>
      <w:r w:rsidRPr="00B16960">
        <w:rPr>
          <w:rFonts w:ascii="Arial" w:hAnsi="Arial" w:cs="Arial"/>
        </w:rPr>
        <w:br w:type="page"/>
      </w:r>
    </w:p>
    <w:p w14:paraId="1B42F6A8" w14:textId="62A56796" w:rsidR="00E34459" w:rsidRPr="00EC2823" w:rsidRDefault="00E34459" w:rsidP="00E34459">
      <w:pPr>
        <w:pStyle w:val="NormalWeb"/>
        <w:shd w:val="clear" w:color="auto" w:fill="FFFFFF"/>
        <w:spacing w:before="0" w:beforeAutospacing="0" w:after="0" w:afterAutospacing="0"/>
        <w:rPr>
          <w:rFonts w:ascii="Arial" w:hAnsi="Arial" w:cs="Arial"/>
          <w:color w:val="242424"/>
          <w:sz w:val="36"/>
          <w:szCs w:val="36"/>
        </w:rPr>
      </w:pPr>
      <w:r w:rsidRPr="00B16960">
        <w:rPr>
          <w:rFonts w:ascii="Arial" w:hAnsi="Arial" w:cs="Arial"/>
          <w:b/>
          <w:bCs/>
          <w:color w:val="242424"/>
          <w:sz w:val="45"/>
          <w:szCs w:val="45"/>
          <w:bdr w:val="none" w:sz="0" w:space="0" w:color="auto" w:frame="1"/>
        </w:rPr>
        <w:lastRenderedPageBreak/>
        <w:br/>
      </w:r>
      <w:r w:rsidRPr="00EC2823">
        <w:rPr>
          <w:rFonts w:ascii="Arial" w:hAnsi="Arial" w:cs="Arial"/>
          <w:b/>
          <w:bCs/>
          <w:color w:val="242424"/>
          <w:sz w:val="36"/>
          <w:szCs w:val="36"/>
          <w:bdr w:val="none" w:sz="0" w:space="0" w:color="auto" w:frame="1"/>
        </w:rPr>
        <w:t>Reference List</w:t>
      </w:r>
    </w:p>
    <w:p w14:paraId="72FD50C9"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7B113357"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sz w:val="18"/>
          <w:szCs w:val="18"/>
        </w:rPr>
      </w:pPr>
    </w:p>
    <w:p w14:paraId="5DEB886A" w14:textId="77777777" w:rsidR="00E34459" w:rsidRDefault="00E34459" w:rsidP="00E34459">
      <w:pPr>
        <w:pStyle w:val="NormalWeb"/>
        <w:shd w:val="clear" w:color="auto" w:fill="FFFFFF"/>
        <w:spacing w:before="0" w:beforeAutospacing="0" w:after="0" w:afterAutospacing="0"/>
        <w:rPr>
          <w:rFonts w:ascii="Arial" w:hAnsi="Arial" w:cs="Arial"/>
          <w:color w:val="242424"/>
          <w:bdr w:val="none" w:sz="0" w:space="0" w:color="auto" w:frame="1"/>
        </w:rPr>
      </w:pPr>
      <w:r w:rsidRPr="00B16960">
        <w:rPr>
          <w:rFonts w:ascii="Arial" w:hAnsi="Arial" w:cs="Arial"/>
          <w:color w:val="0000EE"/>
          <w:bdr w:val="none" w:sz="0" w:space="0" w:color="auto" w:frame="1"/>
        </w:rPr>
        <w:t>Care Quality Commission</w:t>
      </w:r>
      <w:r w:rsidRPr="00B16960">
        <w:rPr>
          <w:rFonts w:ascii="Arial" w:hAnsi="Arial" w:cs="Arial"/>
          <w:color w:val="242424"/>
          <w:bdr w:val="none" w:sz="0" w:space="0" w:color="auto" w:frame="1"/>
        </w:rPr>
        <w:t> (2023) Fundamental standards. London: CQC.</w:t>
      </w:r>
    </w:p>
    <w:p w14:paraId="4A9C5782" w14:textId="77777777" w:rsidR="000D291E" w:rsidRPr="00B16960" w:rsidRDefault="000D291E" w:rsidP="00E34459">
      <w:pPr>
        <w:pStyle w:val="NormalWeb"/>
        <w:shd w:val="clear" w:color="auto" w:fill="FFFFFF"/>
        <w:spacing w:before="0" w:beforeAutospacing="0" w:after="0" w:afterAutospacing="0"/>
        <w:rPr>
          <w:rFonts w:ascii="Arial" w:hAnsi="Arial" w:cs="Arial"/>
          <w:color w:val="242424"/>
        </w:rPr>
      </w:pPr>
    </w:p>
    <w:p w14:paraId="2FDD356F"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rPr>
      </w:pPr>
    </w:p>
    <w:p w14:paraId="54579E84" w14:textId="77777777" w:rsidR="00E34459" w:rsidRDefault="00E34459" w:rsidP="00E34459">
      <w:pPr>
        <w:pStyle w:val="NormalWeb"/>
        <w:shd w:val="clear" w:color="auto" w:fill="FFFFFF"/>
        <w:spacing w:before="0" w:beforeAutospacing="0" w:after="0" w:afterAutospacing="0"/>
        <w:rPr>
          <w:rFonts w:ascii="Arial" w:hAnsi="Arial" w:cs="Arial"/>
          <w:color w:val="242424"/>
          <w:bdr w:val="none" w:sz="0" w:space="0" w:color="auto" w:frame="1"/>
        </w:rPr>
      </w:pPr>
      <w:r w:rsidRPr="00B16960">
        <w:rPr>
          <w:rFonts w:ascii="Arial" w:hAnsi="Arial" w:cs="Arial"/>
          <w:color w:val="0000EE"/>
          <w:bdr w:val="none" w:sz="0" w:space="0" w:color="auto" w:frame="1"/>
        </w:rPr>
        <w:t>Data Protection Act 2018</w:t>
      </w:r>
      <w:r w:rsidRPr="00B16960">
        <w:rPr>
          <w:rFonts w:ascii="Arial" w:hAnsi="Arial" w:cs="Arial"/>
          <w:color w:val="242424"/>
          <w:bdr w:val="none" w:sz="0" w:space="0" w:color="auto" w:frame="1"/>
        </w:rPr>
        <w:t> UK Government (2018) Data Protection Act 2018. London: The Stationery Office.</w:t>
      </w:r>
    </w:p>
    <w:p w14:paraId="2EB4D356" w14:textId="77777777" w:rsidR="000D291E" w:rsidRPr="00B16960" w:rsidRDefault="000D291E" w:rsidP="00E34459">
      <w:pPr>
        <w:pStyle w:val="NormalWeb"/>
        <w:shd w:val="clear" w:color="auto" w:fill="FFFFFF"/>
        <w:spacing w:before="0" w:beforeAutospacing="0" w:after="0" w:afterAutospacing="0"/>
        <w:rPr>
          <w:rFonts w:ascii="Arial" w:hAnsi="Arial" w:cs="Arial"/>
          <w:color w:val="242424"/>
        </w:rPr>
      </w:pPr>
    </w:p>
    <w:p w14:paraId="40691AD3"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rPr>
      </w:pPr>
    </w:p>
    <w:p w14:paraId="1B36E792" w14:textId="77777777" w:rsidR="00E34459" w:rsidRDefault="00E34459" w:rsidP="00E34459">
      <w:pPr>
        <w:pStyle w:val="NormalWeb"/>
        <w:shd w:val="clear" w:color="auto" w:fill="FFFFFF"/>
        <w:spacing w:before="0" w:beforeAutospacing="0" w:after="0" w:afterAutospacing="0"/>
        <w:rPr>
          <w:rFonts w:ascii="Arial" w:hAnsi="Arial" w:cs="Arial"/>
          <w:color w:val="242424"/>
          <w:bdr w:val="none" w:sz="0" w:space="0" w:color="auto" w:frame="1"/>
        </w:rPr>
      </w:pPr>
      <w:r w:rsidRPr="00B16960">
        <w:rPr>
          <w:rFonts w:ascii="Arial" w:hAnsi="Arial" w:cs="Arial"/>
          <w:color w:val="242424"/>
          <w:bdr w:val="none" w:sz="0" w:space="0" w:color="auto" w:frame="1"/>
        </w:rPr>
        <w:t>Department of Health and Social Care (2013) The Caldicott Principles: Information governance in health and social care. London: DHSC.</w:t>
      </w:r>
    </w:p>
    <w:p w14:paraId="5E0A4D5E" w14:textId="77777777" w:rsidR="000D291E" w:rsidRPr="00B16960" w:rsidRDefault="000D291E" w:rsidP="00E34459">
      <w:pPr>
        <w:pStyle w:val="NormalWeb"/>
        <w:shd w:val="clear" w:color="auto" w:fill="FFFFFF"/>
        <w:spacing w:before="0" w:beforeAutospacing="0" w:after="0" w:afterAutospacing="0"/>
        <w:rPr>
          <w:rFonts w:ascii="Arial" w:hAnsi="Arial" w:cs="Arial"/>
          <w:color w:val="242424"/>
        </w:rPr>
      </w:pPr>
    </w:p>
    <w:p w14:paraId="245E9A7E"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rPr>
      </w:pPr>
    </w:p>
    <w:p w14:paraId="5C598E11" w14:textId="77777777" w:rsidR="00E34459" w:rsidRDefault="00E34459" w:rsidP="00E34459">
      <w:pPr>
        <w:pStyle w:val="NormalWeb"/>
        <w:shd w:val="clear" w:color="auto" w:fill="FFFFFF"/>
        <w:spacing w:before="0" w:beforeAutospacing="0" w:after="0" w:afterAutospacing="0"/>
        <w:rPr>
          <w:rFonts w:ascii="Arial" w:hAnsi="Arial" w:cs="Arial"/>
          <w:color w:val="242424"/>
          <w:bdr w:val="none" w:sz="0" w:space="0" w:color="auto" w:frame="1"/>
        </w:rPr>
      </w:pPr>
      <w:r w:rsidRPr="00B16960">
        <w:rPr>
          <w:rFonts w:ascii="Arial" w:hAnsi="Arial" w:cs="Arial"/>
          <w:color w:val="0000EE"/>
          <w:bdr w:val="none" w:sz="0" w:space="0" w:color="auto" w:frame="1"/>
        </w:rPr>
        <w:t>Equality Act 2010</w:t>
      </w:r>
      <w:r w:rsidRPr="00B16960">
        <w:rPr>
          <w:rFonts w:ascii="Arial" w:hAnsi="Arial" w:cs="Arial"/>
          <w:color w:val="242424"/>
          <w:bdr w:val="none" w:sz="0" w:space="0" w:color="auto" w:frame="1"/>
        </w:rPr>
        <w:t> UK Government (2010) Equality Act 2010. London: The Stationery Office.</w:t>
      </w:r>
    </w:p>
    <w:p w14:paraId="5B7594C4" w14:textId="77777777" w:rsidR="000D291E" w:rsidRPr="00B16960" w:rsidRDefault="000D291E" w:rsidP="00E34459">
      <w:pPr>
        <w:pStyle w:val="NormalWeb"/>
        <w:shd w:val="clear" w:color="auto" w:fill="FFFFFF"/>
        <w:spacing w:before="0" w:beforeAutospacing="0" w:after="0" w:afterAutospacing="0"/>
        <w:rPr>
          <w:rFonts w:ascii="Arial" w:hAnsi="Arial" w:cs="Arial"/>
          <w:color w:val="242424"/>
        </w:rPr>
      </w:pPr>
    </w:p>
    <w:p w14:paraId="72AC0827"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rPr>
      </w:pPr>
    </w:p>
    <w:p w14:paraId="4CC1A22C"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rPr>
      </w:pPr>
      <w:r w:rsidRPr="00B16960">
        <w:rPr>
          <w:rFonts w:ascii="Arial" w:hAnsi="Arial" w:cs="Arial"/>
          <w:color w:val="0000EE"/>
          <w:bdr w:val="none" w:sz="0" w:space="0" w:color="auto" w:frame="1"/>
        </w:rPr>
        <w:t>National Institute for Health and Care Excellence</w:t>
      </w:r>
      <w:r w:rsidRPr="00B16960">
        <w:rPr>
          <w:rFonts w:ascii="Arial" w:hAnsi="Arial" w:cs="Arial"/>
          <w:color w:val="242424"/>
          <w:bdr w:val="none" w:sz="0" w:space="0" w:color="auto" w:frame="1"/>
        </w:rPr>
        <w:t> (2019) Patient experience in adult NHS services. London: NICE.</w:t>
      </w:r>
    </w:p>
    <w:p w14:paraId="3B77624D" w14:textId="77777777" w:rsidR="00E34459" w:rsidRDefault="00E34459" w:rsidP="00E34459">
      <w:pPr>
        <w:pStyle w:val="NormalWeb"/>
        <w:shd w:val="clear" w:color="auto" w:fill="FFFFFF"/>
        <w:spacing w:before="0" w:beforeAutospacing="0" w:after="0" w:afterAutospacing="0"/>
        <w:rPr>
          <w:rFonts w:ascii="Arial" w:hAnsi="Arial" w:cs="Arial"/>
          <w:color w:val="242424"/>
        </w:rPr>
      </w:pPr>
    </w:p>
    <w:p w14:paraId="4805D9F1" w14:textId="77777777" w:rsidR="000D291E" w:rsidRPr="00B16960" w:rsidRDefault="000D291E" w:rsidP="00E34459">
      <w:pPr>
        <w:pStyle w:val="NormalWeb"/>
        <w:shd w:val="clear" w:color="auto" w:fill="FFFFFF"/>
        <w:spacing w:before="0" w:beforeAutospacing="0" w:after="0" w:afterAutospacing="0"/>
        <w:rPr>
          <w:rFonts w:ascii="Arial" w:hAnsi="Arial" w:cs="Arial"/>
          <w:color w:val="242424"/>
        </w:rPr>
      </w:pPr>
    </w:p>
    <w:p w14:paraId="6E030886" w14:textId="77777777" w:rsidR="00E34459" w:rsidRDefault="00E34459" w:rsidP="00E34459">
      <w:pPr>
        <w:pStyle w:val="NormalWeb"/>
        <w:shd w:val="clear" w:color="auto" w:fill="FFFFFF"/>
        <w:spacing w:before="0" w:beforeAutospacing="0" w:after="0" w:afterAutospacing="0"/>
        <w:rPr>
          <w:rFonts w:ascii="Arial" w:hAnsi="Arial" w:cs="Arial"/>
          <w:color w:val="242424"/>
          <w:bdr w:val="none" w:sz="0" w:space="0" w:color="auto" w:frame="1"/>
        </w:rPr>
      </w:pPr>
      <w:r w:rsidRPr="00B16960">
        <w:rPr>
          <w:rFonts w:ascii="Arial" w:hAnsi="Arial" w:cs="Arial"/>
          <w:color w:val="0000EE"/>
          <w:bdr w:val="none" w:sz="0" w:space="0" w:color="auto" w:frame="1"/>
        </w:rPr>
        <w:t>NHS England</w:t>
      </w:r>
      <w:r w:rsidRPr="00B16960">
        <w:rPr>
          <w:rFonts w:ascii="Arial" w:hAnsi="Arial" w:cs="Arial"/>
          <w:color w:val="242424"/>
          <w:bdr w:val="none" w:sz="0" w:space="0" w:color="auto" w:frame="1"/>
        </w:rPr>
        <w:t> (2023) Working in partnership with people and communities. London: NHS England.</w:t>
      </w:r>
    </w:p>
    <w:p w14:paraId="07AC0F5D" w14:textId="77777777" w:rsidR="000D291E" w:rsidRPr="00B16960" w:rsidRDefault="000D291E" w:rsidP="00E34459">
      <w:pPr>
        <w:pStyle w:val="NormalWeb"/>
        <w:shd w:val="clear" w:color="auto" w:fill="FFFFFF"/>
        <w:spacing w:before="0" w:beforeAutospacing="0" w:after="0" w:afterAutospacing="0"/>
        <w:rPr>
          <w:rFonts w:ascii="Arial" w:hAnsi="Arial" w:cs="Arial"/>
          <w:color w:val="242424"/>
        </w:rPr>
      </w:pPr>
    </w:p>
    <w:p w14:paraId="056AF3BF"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rPr>
      </w:pPr>
    </w:p>
    <w:p w14:paraId="73158BA0"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rPr>
      </w:pPr>
      <w:r w:rsidRPr="00B16960">
        <w:rPr>
          <w:rFonts w:ascii="Arial" w:hAnsi="Arial" w:cs="Arial"/>
          <w:color w:val="0000EE"/>
          <w:bdr w:val="none" w:sz="0" w:space="0" w:color="auto" w:frame="1"/>
        </w:rPr>
        <w:t>Nursing and Midwifery Council</w:t>
      </w:r>
      <w:r w:rsidRPr="00B16960">
        <w:rPr>
          <w:rFonts w:ascii="Arial" w:hAnsi="Arial" w:cs="Arial"/>
          <w:color w:val="242424"/>
          <w:bdr w:val="none" w:sz="0" w:space="0" w:color="auto" w:frame="1"/>
        </w:rPr>
        <w:t> (2018) The Code: Professional standards of practice and behaviour for nurses, midwives and nursing associates. London: NMC.</w:t>
      </w:r>
    </w:p>
    <w:p w14:paraId="1C9A5D88" w14:textId="77777777" w:rsidR="00E34459" w:rsidRDefault="00E34459" w:rsidP="00E34459">
      <w:pPr>
        <w:pStyle w:val="NormalWeb"/>
        <w:shd w:val="clear" w:color="auto" w:fill="FFFFFF"/>
        <w:spacing w:before="0" w:beforeAutospacing="0" w:after="0" w:afterAutospacing="0"/>
        <w:rPr>
          <w:rFonts w:ascii="Arial" w:hAnsi="Arial" w:cs="Arial"/>
          <w:color w:val="242424"/>
        </w:rPr>
      </w:pPr>
    </w:p>
    <w:p w14:paraId="2551E353" w14:textId="77777777" w:rsidR="000D291E" w:rsidRPr="00B16960" w:rsidRDefault="000D291E" w:rsidP="00E34459">
      <w:pPr>
        <w:pStyle w:val="NormalWeb"/>
        <w:shd w:val="clear" w:color="auto" w:fill="FFFFFF"/>
        <w:spacing w:before="0" w:beforeAutospacing="0" w:after="0" w:afterAutospacing="0"/>
        <w:rPr>
          <w:rFonts w:ascii="Arial" w:hAnsi="Arial" w:cs="Arial"/>
          <w:color w:val="242424"/>
        </w:rPr>
      </w:pPr>
    </w:p>
    <w:p w14:paraId="6902ED2A" w14:textId="77777777" w:rsidR="00E34459" w:rsidRPr="00B16960" w:rsidRDefault="00E34459" w:rsidP="00E34459">
      <w:pPr>
        <w:pStyle w:val="NormalWeb"/>
        <w:shd w:val="clear" w:color="auto" w:fill="FFFFFF"/>
        <w:spacing w:before="0" w:beforeAutospacing="0" w:after="0" w:afterAutospacing="0"/>
        <w:rPr>
          <w:rFonts w:ascii="Arial" w:hAnsi="Arial" w:cs="Arial"/>
          <w:color w:val="242424"/>
        </w:rPr>
      </w:pPr>
      <w:r w:rsidRPr="00B16960">
        <w:rPr>
          <w:rFonts w:ascii="Arial" w:hAnsi="Arial" w:cs="Arial"/>
          <w:color w:val="242424"/>
          <w:bdr w:val="none" w:sz="0" w:space="0" w:color="auto" w:frame="1"/>
        </w:rPr>
        <w:t>Shannon, C. and Weaver, W. (1949) The Mathematical Theory of Communication. Urbana: University of Illinois Press.</w:t>
      </w:r>
    </w:p>
    <w:p w14:paraId="1AF4D1B7" w14:textId="77777777" w:rsidR="00276AEA" w:rsidRPr="00276AEA" w:rsidRDefault="00276AEA" w:rsidP="00276AEA">
      <w:pPr>
        <w:tabs>
          <w:tab w:val="left" w:pos="6520"/>
        </w:tabs>
      </w:pPr>
    </w:p>
    <w:sectPr w:rsidR="00276AEA" w:rsidRPr="00276A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050C3"/>
    <w:multiLevelType w:val="hybridMultilevel"/>
    <w:tmpl w:val="F208A31C"/>
    <w:lvl w:ilvl="0" w:tplc="F4483698">
      <w:start w:val="1"/>
      <w:numFmt w:val="decimal"/>
      <w:lvlText w:val="%1."/>
      <w:lvlJc w:val="left"/>
      <w:pPr>
        <w:ind w:left="720" w:hanging="360"/>
      </w:pPr>
      <w:rPr>
        <w:rFonts w:ascii="Arial"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5012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F71"/>
    <w:rsid w:val="00036E42"/>
    <w:rsid w:val="00037091"/>
    <w:rsid w:val="000D291E"/>
    <w:rsid w:val="00276AEA"/>
    <w:rsid w:val="003C0E83"/>
    <w:rsid w:val="003C5417"/>
    <w:rsid w:val="003F4799"/>
    <w:rsid w:val="004B7A69"/>
    <w:rsid w:val="00675BDA"/>
    <w:rsid w:val="006D0C4F"/>
    <w:rsid w:val="008F6DD1"/>
    <w:rsid w:val="00A7594E"/>
    <w:rsid w:val="00AA50BB"/>
    <w:rsid w:val="00B01CB5"/>
    <w:rsid w:val="00B16960"/>
    <w:rsid w:val="00B431F1"/>
    <w:rsid w:val="00B82261"/>
    <w:rsid w:val="00E34459"/>
    <w:rsid w:val="00EC2823"/>
    <w:rsid w:val="00ED6091"/>
    <w:rsid w:val="00EF5756"/>
    <w:rsid w:val="00F2211C"/>
    <w:rsid w:val="00FA7F71"/>
    <w:rsid w:val="00FD6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F9115"/>
  <w15:chartTrackingRefBased/>
  <w15:docId w15:val="{91CC70D2-DE54-4E18-8419-91D22E395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F71"/>
  </w:style>
  <w:style w:type="paragraph" w:styleId="Heading1">
    <w:name w:val="heading 1"/>
    <w:basedOn w:val="Normal"/>
    <w:next w:val="Normal"/>
    <w:link w:val="Heading1Char"/>
    <w:uiPriority w:val="9"/>
    <w:qFormat/>
    <w:rsid w:val="00FA7F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7F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7F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7F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7F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7F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7F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7F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7F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F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7F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7F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7F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7F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7F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7F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7F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7F71"/>
    <w:rPr>
      <w:rFonts w:eastAsiaTheme="majorEastAsia" w:cstheme="majorBidi"/>
      <w:color w:val="272727" w:themeColor="text1" w:themeTint="D8"/>
    </w:rPr>
  </w:style>
  <w:style w:type="paragraph" w:styleId="Title">
    <w:name w:val="Title"/>
    <w:basedOn w:val="Normal"/>
    <w:next w:val="Normal"/>
    <w:link w:val="TitleChar"/>
    <w:uiPriority w:val="10"/>
    <w:qFormat/>
    <w:rsid w:val="00FA7F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F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7F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7F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7F71"/>
    <w:pPr>
      <w:spacing w:before="160"/>
      <w:jc w:val="center"/>
    </w:pPr>
    <w:rPr>
      <w:i/>
      <w:iCs/>
      <w:color w:val="404040" w:themeColor="text1" w:themeTint="BF"/>
    </w:rPr>
  </w:style>
  <w:style w:type="character" w:customStyle="1" w:styleId="QuoteChar">
    <w:name w:val="Quote Char"/>
    <w:basedOn w:val="DefaultParagraphFont"/>
    <w:link w:val="Quote"/>
    <w:uiPriority w:val="29"/>
    <w:rsid w:val="00FA7F71"/>
    <w:rPr>
      <w:i/>
      <w:iCs/>
      <w:color w:val="404040" w:themeColor="text1" w:themeTint="BF"/>
    </w:rPr>
  </w:style>
  <w:style w:type="paragraph" w:styleId="ListParagraph">
    <w:name w:val="List Paragraph"/>
    <w:basedOn w:val="Normal"/>
    <w:uiPriority w:val="34"/>
    <w:qFormat/>
    <w:rsid w:val="00FA7F71"/>
    <w:pPr>
      <w:ind w:left="720"/>
      <w:contextualSpacing/>
    </w:pPr>
  </w:style>
  <w:style w:type="character" w:styleId="IntenseEmphasis">
    <w:name w:val="Intense Emphasis"/>
    <w:basedOn w:val="DefaultParagraphFont"/>
    <w:uiPriority w:val="21"/>
    <w:qFormat/>
    <w:rsid w:val="00FA7F71"/>
    <w:rPr>
      <w:i/>
      <w:iCs/>
      <w:color w:val="0F4761" w:themeColor="accent1" w:themeShade="BF"/>
    </w:rPr>
  </w:style>
  <w:style w:type="paragraph" w:styleId="IntenseQuote">
    <w:name w:val="Intense Quote"/>
    <w:basedOn w:val="Normal"/>
    <w:next w:val="Normal"/>
    <w:link w:val="IntenseQuoteChar"/>
    <w:uiPriority w:val="30"/>
    <w:qFormat/>
    <w:rsid w:val="00FA7F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7F71"/>
    <w:rPr>
      <w:i/>
      <w:iCs/>
      <w:color w:val="0F4761" w:themeColor="accent1" w:themeShade="BF"/>
    </w:rPr>
  </w:style>
  <w:style w:type="character" w:styleId="IntenseReference">
    <w:name w:val="Intense Reference"/>
    <w:basedOn w:val="DefaultParagraphFont"/>
    <w:uiPriority w:val="32"/>
    <w:qFormat/>
    <w:rsid w:val="00FA7F71"/>
    <w:rPr>
      <w:b/>
      <w:bCs/>
      <w:smallCaps/>
      <w:color w:val="0F4761" w:themeColor="accent1" w:themeShade="BF"/>
      <w:spacing w:val="5"/>
    </w:rPr>
  </w:style>
  <w:style w:type="character" w:customStyle="1" w:styleId="multiline">
    <w:name w:val="multiline"/>
    <w:basedOn w:val="DefaultParagraphFont"/>
    <w:rsid w:val="00FA7F71"/>
  </w:style>
  <w:style w:type="paragraph" w:styleId="NormalWeb">
    <w:name w:val="Normal (Web)"/>
    <w:basedOn w:val="Normal"/>
    <w:uiPriority w:val="99"/>
    <w:semiHidden/>
    <w:unhideWhenUsed/>
    <w:rsid w:val="008F6DD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oodle.uwtsd.ac.uk/course/view.php?id=106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c0c2c4e14f68eff23794126f38b6231">
  <xsd:schema xmlns:xsd="http://www.w3.org/2001/XMLSchema" xmlns:xs="http://www.w3.org/2001/XMLSchema" xmlns:p="http://schemas.microsoft.com/office/2006/metadata/properties" xmlns:ns3="3ef5847a-e696-4fee-a2c0-6c3f87568321" targetNamespace="http://schemas.microsoft.com/office/2006/metadata/properties" ma:root="true" ma:fieldsID="29c4c0419ed24d97cac96b903525c21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64ECB9-693B-4AEC-A138-4903AE5D8C52}">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FC8A732F-1A6B-46DA-8087-2653978636CD}">
  <ds:schemaRefs>
    <ds:schemaRef ds:uri="http://schemas.microsoft.com/sharepoint/v3/contenttype/forms"/>
  </ds:schemaRefs>
</ds:datastoreItem>
</file>

<file path=customXml/itemProps3.xml><?xml version="1.0" encoding="utf-8"?>
<ds:datastoreItem xmlns:ds="http://schemas.openxmlformats.org/officeDocument/2006/customXml" ds:itemID="{670078C5-8CAC-4C41-9AA3-168082D106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4019</TotalTime>
  <Pages>10</Pages>
  <Words>1614</Words>
  <Characters>10142</Characters>
  <Application>Microsoft Office Word</Application>
  <DocSecurity>0</DocSecurity>
  <Lines>327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Hina Ilyas (2511486)</dc:creator>
  <cp:keywords/>
  <dc:description/>
  <cp:lastModifiedBy>Hina Ilyas (2511486)</cp:lastModifiedBy>
  <cp:revision>22</cp:revision>
  <dcterms:created xsi:type="dcterms:W3CDTF">2026-02-26T16:19:00Z</dcterms:created>
  <dcterms:modified xsi:type="dcterms:W3CDTF">2026-03-21T12:18:00Z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