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240"/>
        <w:ind w:left="525" w:right="525"/>
        <w:jc w:val="center"/>
        <w:rPr>
          <w:rFonts w:cs="Times New Roman"/>
          <w:b/>
          <w:bCs/>
          <w:sz w:val="24"/>
        </w:rPr>
      </w:pPr>
      <w:bookmarkStart w:id="0" w:name="OLE_LINK213"/>
      <w:bookmarkStart w:id="1" w:name="OLE_LINK195"/>
      <w:bookmarkStart w:id="2" w:name="OLE_LINK196"/>
      <w:bookmarkStart w:id="3" w:name="OLE_LINK214"/>
    </w:p>
    <w:p>
      <w:pPr>
        <w:autoSpaceDE w:val="0"/>
        <w:autoSpaceDN w:val="0"/>
        <w:adjustRightInd w:val="0"/>
        <w:spacing w:after="240"/>
        <w:ind w:left="525" w:right="525"/>
        <w:jc w:val="center"/>
        <w:rPr>
          <w:rFonts w:cs="Times New Roman"/>
          <w:b/>
          <w:bCs/>
          <w:sz w:val="24"/>
        </w:rPr>
      </w:pPr>
      <w:r>
        <w:rPr>
          <w:rFonts w:cs="Times New Roman"/>
          <w:b/>
          <w:bCs/>
          <w:sz w:val="24"/>
        </w:rPr>
        <w:t>Report of Global Marketing Mix Analysis of</w:t>
      </w:r>
      <w:r>
        <w:rPr>
          <w:rFonts w:hint="eastAsia" w:eastAsia="宋体" w:cs="Times New Roman"/>
          <w:b/>
          <w:bCs/>
          <w:sz w:val="24"/>
        </w:rPr>
        <w:t xml:space="preserve"> </w:t>
      </w:r>
      <w:r>
        <w:rPr>
          <w:rFonts w:cs="Times New Roman"/>
          <w:b/>
          <w:bCs/>
          <w:sz w:val="24"/>
        </w:rPr>
        <w:t>Tomos Watkin</w:t>
      </w:r>
    </w:p>
    <w:p>
      <w:pPr>
        <w:autoSpaceDE w:val="0"/>
        <w:autoSpaceDN w:val="0"/>
        <w:adjustRightInd w:val="0"/>
        <w:spacing w:after="240"/>
        <w:ind w:left="525" w:right="525"/>
        <w:jc w:val="center"/>
        <w:rPr>
          <w:rFonts w:cs="Times New Roman"/>
          <w:b/>
          <w:bCs/>
          <w:sz w:val="24"/>
        </w:rPr>
      </w:pPr>
    </w:p>
    <w:p>
      <w:pPr>
        <w:autoSpaceDE w:val="0"/>
        <w:autoSpaceDN w:val="0"/>
        <w:adjustRightInd w:val="0"/>
        <w:spacing w:after="240"/>
        <w:ind w:left="525" w:right="525"/>
        <w:jc w:val="center"/>
        <w:rPr>
          <w:rFonts w:cs="Times New Roman"/>
          <w:b/>
          <w:bCs/>
          <w:sz w:val="24"/>
        </w:rPr>
      </w:pPr>
    </w:p>
    <w:p>
      <w:pPr>
        <w:autoSpaceDE w:val="0"/>
        <w:autoSpaceDN w:val="0"/>
        <w:adjustRightInd w:val="0"/>
        <w:spacing w:after="240"/>
        <w:ind w:left="525" w:right="525"/>
        <w:jc w:val="center"/>
        <w:rPr>
          <w:rFonts w:cs="Times New Roman"/>
          <w:b/>
          <w:bCs/>
          <w:sz w:val="24"/>
        </w:rPr>
      </w:pPr>
    </w:p>
    <w:p>
      <w:pPr>
        <w:autoSpaceDE w:val="0"/>
        <w:autoSpaceDN w:val="0"/>
        <w:adjustRightInd w:val="0"/>
        <w:spacing w:after="240"/>
        <w:ind w:left="525" w:right="525"/>
        <w:jc w:val="center"/>
        <w:rPr>
          <w:rFonts w:cs="Times New Roman"/>
          <w:b/>
          <w:bCs/>
          <w:sz w:val="24"/>
        </w:rPr>
      </w:pPr>
    </w:p>
    <w:p>
      <w:pPr>
        <w:autoSpaceDE w:val="0"/>
        <w:autoSpaceDN w:val="0"/>
        <w:adjustRightInd w:val="0"/>
        <w:spacing w:after="240"/>
        <w:ind w:left="525" w:right="525"/>
        <w:jc w:val="center"/>
        <w:rPr>
          <w:rFonts w:hint="eastAsia" w:eastAsia="宋体" w:cs="Times New Roman"/>
          <w:b/>
          <w:bCs/>
          <w:sz w:val="24"/>
          <w:lang w:val="en-US" w:eastAsia="zh-CN"/>
        </w:rPr>
      </w:pPr>
      <w:r>
        <w:rPr>
          <w:rFonts w:cs="Times New Roman"/>
          <w:b/>
          <w:bCs/>
          <w:sz w:val="24"/>
        </w:rPr>
        <w:t xml:space="preserve">Student </w:t>
      </w:r>
      <w:r>
        <w:rPr>
          <w:rFonts w:hint="eastAsia" w:eastAsia="宋体" w:cs="Times New Roman"/>
          <w:b/>
          <w:bCs/>
          <w:sz w:val="24"/>
          <w:lang w:val="en-US" w:eastAsia="zh-CN"/>
        </w:rPr>
        <w:t>N</w:t>
      </w:r>
      <w:r>
        <w:rPr>
          <w:rFonts w:cs="Times New Roman"/>
          <w:b/>
          <w:bCs/>
          <w:sz w:val="24"/>
        </w:rPr>
        <w:t>ame:</w:t>
      </w:r>
      <w:r>
        <w:rPr>
          <w:rFonts w:hint="eastAsia" w:eastAsia="宋体" w:cs="Times New Roman"/>
          <w:b/>
          <w:bCs/>
          <w:sz w:val="24"/>
          <w:lang w:val="en-US" w:eastAsia="zh-CN"/>
        </w:rPr>
        <w:t xml:space="preserve"> Xueqian Shi</w:t>
      </w:r>
    </w:p>
    <w:p>
      <w:pPr>
        <w:autoSpaceDE w:val="0"/>
        <w:autoSpaceDN w:val="0"/>
        <w:adjustRightInd w:val="0"/>
        <w:spacing w:after="240"/>
        <w:ind w:left="525" w:right="525"/>
        <w:jc w:val="center"/>
        <w:rPr>
          <w:rFonts w:hint="default" w:eastAsia="宋体" w:cs="Times New Roman"/>
          <w:b/>
          <w:bCs/>
          <w:sz w:val="24"/>
          <w:lang w:val="en-US" w:eastAsia="zh-CN"/>
        </w:rPr>
      </w:pPr>
      <w:r>
        <w:rPr>
          <w:rFonts w:hint="eastAsia" w:eastAsia="宋体" w:cs="Times New Roman"/>
          <w:b/>
          <w:bCs/>
          <w:sz w:val="24"/>
          <w:lang w:val="en-US" w:eastAsia="zh-CN"/>
        </w:rPr>
        <w:t>Student Number：1804451</w:t>
      </w:r>
    </w:p>
    <w:p>
      <w:pPr>
        <w:autoSpaceDE w:val="0"/>
        <w:autoSpaceDN w:val="0"/>
        <w:adjustRightInd w:val="0"/>
        <w:spacing w:after="240"/>
        <w:ind w:left="525" w:right="525"/>
        <w:jc w:val="center"/>
        <w:rPr>
          <w:rFonts w:cs="Times New Roman"/>
          <w:b/>
          <w:bCs/>
          <w:sz w:val="24"/>
        </w:rPr>
      </w:pPr>
    </w:p>
    <w:p>
      <w:pPr>
        <w:autoSpaceDE w:val="0"/>
        <w:autoSpaceDN w:val="0"/>
        <w:adjustRightInd w:val="0"/>
        <w:spacing w:after="240"/>
        <w:ind w:left="0" w:leftChars="0" w:right="525"/>
        <w:rPr>
          <w:rFonts w:cs="Times New Roman"/>
          <w:b/>
          <w:bCs/>
          <w:sz w:val="24"/>
        </w:rPr>
      </w:pPr>
    </w:p>
    <w:p>
      <w:pPr>
        <w:autoSpaceDE w:val="0"/>
        <w:autoSpaceDN w:val="0"/>
        <w:adjustRightInd w:val="0"/>
        <w:spacing w:after="240"/>
        <w:ind w:left="525" w:right="525"/>
        <w:jc w:val="center"/>
        <w:rPr>
          <w:rFonts w:cs="Times New Roman"/>
          <w:b/>
          <w:bCs/>
          <w:sz w:val="24"/>
        </w:rPr>
      </w:pPr>
    </w:p>
    <w:p>
      <w:pPr>
        <w:autoSpaceDE w:val="0"/>
        <w:autoSpaceDN w:val="0"/>
        <w:adjustRightInd w:val="0"/>
        <w:spacing w:after="240"/>
        <w:ind w:left="525" w:right="525"/>
        <w:jc w:val="center"/>
        <w:rPr>
          <w:rFonts w:cs="Times New Roman"/>
          <w:b/>
          <w:sz w:val="24"/>
        </w:rPr>
      </w:pPr>
    </w:p>
    <w:p>
      <w:pPr>
        <w:autoSpaceDE w:val="0"/>
        <w:autoSpaceDN w:val="0"/>
        <w:adjustRightInd w:val="0"/>
        <w:spacing w:after="240"/>
        <w:ind w:left="525" w:right="525"/>
        <w:jc w:val="center"/>
        <w:rPr>
          <w:rFonts w:cs="Times New Roman"/>
          <w:b/>
          <w:sz w:val="24"/>
        </w:rPr>
      </w:pPr>
    </w:p>
    <w:bookmarkEnd w:id="0"/>
    <w:bookmarkEnd w:id="1"/>
    <w:bookmarkEnd w:id="2"/>
    <w:bookmarkEnd w:id="3"/>
    <w:p>
      <w:pPr>
        <w:ind w:left="525" w:right="525"/>
        <w:jc w:val="center"/>
        <w:rPr>
          <w:rFonts w:cs="Times New Roman"/>
          <w:sz w:val="24"/>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ind w:left="525" w:right="525"/>
        <w:rPr>
          <w:rFonts w:cs="Times New Roman"/>
          <w:sz w:val="22"/>
          <w:szCs w:val="22"/>
          <w:lang w:val="en-GB"/>
        </w:rPr>
      </w:pPr>
    </w:p>
    <w:p>
      <w:pPr>
        <w:pStyle w:val="7"/>
        <w:tabs>
          <w:tab w:val="right" w:leader="dot" w:pos="8300"/>
        </w:tabs>
        <w:ind w:left="525" w:right="525"/>
        <w:jc w:val="center"/>
        <w:rPr>
          <w:rFonts w:eastAsia="宋体"/>
          <w:b/>
          <w:bCs/>
          <w:sz w:val="24"/>
        </w:rPr>
      </w:pPr>
      <w:r>
        <w:rPr>
          <w:rFonts w:hint="eastAsia" w:eastAsia="宋体"/>
          <w:b/>
          <w:bCs/>
          <w:sz w:val="24"/>
        </w:rPr>
        <w:t>Table of Contents</w:t>
      </w:r>
    </w:p>
    <w:p>
      <w:pPr>
        <w:ind w:left="525" w:right="525"/>
      </w:pPr>
    </w:p>
    <w:p>
      <w:pPr>
        <w:pStyle w:val="7"/>
        <w:tabs>
          <w:tab w:val="right" w:leader="dot" w:pos="8300"/>
        </w:tabs>
        <w:ind w:left="525" w:right="525"/>
      </w:pPr>
      <w:r>
        <w:rPr>
          <w:lang w:val="en-GB"/>
        </w:rPr>
        <w:fldChar w:fldCharType="begin"/>
      </w:r>
      <w:r>
        <w:rPr>
          <w:lang w:val="en-GB"/>
        </w:rPr>
        <w:instrText xml:space="preserve">TOC \o "1-3" \h \u </w:instrText>
      </w:r>
      <w:r>
        <w:rPr>
          <w:lang w:val="en-GB"/>
        </w:rPr>
        <w:fldChar w:fldCharType="separate"/>
      </w:r>
      <w:r>
        <w:fldChar w:fldCharType="begin"/>
      </w:r>
      <w:r>
        <w:instrText xml:space="preserve"> HYPERLINK \l "_Toc25608" </w:instrText>
      </w:r>
      <w:r>
        <w:fldChar w:fldCharType="separate"/>
      </w:r>
      <w:r>
        <w:rPr>
          <w:lang w:val="en-GB"/>
        </w:rPr>
        <w:t>Executive Summary</w:t>
      </w:r>
      <w:r>
        <w:tab/>
      </w:r>
      <w:r>
        <w:fldChar w:fldCharType="begin"/>
      </w:r>
      <w:r>
        <w:instrText xml:space="preserve"> PAGEREF _Toc25608 </w:instrText>
      </w:r>
      <w:r>
        <w:fldChar w:fldCharType="separate"/>
      </w:r>
      <w:r>
        <w:t>2</w:t>
      </w:r>
      <w:r>
        <w:fldChar w:fldCharType="end"/>
      </w:r>
      <w:r>
        <w:fldChar w:fldCharType="end"/>
      </w:r>
    </w:p>
    <w:p>
      <w:pPr>
        <w:pStyle w:val="7"/>
        <w:tabs>
          <w:tab w:val="right" w:leader="dot" w:pos="8300"/>
        </w:tabs>
        <w:ind w:left="525" w:right="525"/>
      </w:pPr>
      <w:r>
        <w:fldChar w:fldCharType="begin"/>
      </w:r>
      <w:r>
        <w:instrText xml:space="preserve"> HYPERLINK \l "_Toc32017" </w:instrText>
      </w:r>
      <w:r>
        <w:fldChar w:fldCharType="separate"/>
      </w:r>
      <w:r>
        <w:t xml:space="preserve">1. </w:t>
      </w:r>
      <w:r>
        <w:rPr>
          <w:lang w:eastAsia="en-US"/>
        </w:rPr>
        <w:t>Introduction</w:t>
      </w:r>
      <w:r>
        <w:tab/>
      </w:r>
      <w:r>
        <w:fldChar w:fldCharType="begin"/>
      </w:r>
      <w:r>
        <w:instrText xml:space="preserve"> PAGEREF _Toc32017 </w:instrText>
      </w:r>
      <w:r>
        <w:fldChar w:fldCharType="separate"/>
      </w:r>
      <w:r>
        <w:t>3</w:t>
      </w:r>
      <w:r>
        <w:fldChar w:fldCharType="end"/>
      </w:r>
      <w:r>
        <w:fldChar w:fldCharType="end"/>
      </w:r>
    </w:p>
    <w:p>
      <w:pPr>
        <w:pStyle w:val="7"/>
        <w:tabs>
          <w:tab w:val="right" w:leader="dot" w:pos="8300"/>
        </w:tabs>
        <w:ind w:left="525" w:right="525"/>
      </w:pPr>
      <w:r>
        <w:fldChar w:fldCharType="begin"/>
      </w:r>
      <w:r>
        <w:instrText xml:space="preserve"> HYPERLINK \l "_Toc9422" </w:instrText>
      </w:r>
      <w:r>
        <w:fldChar w:fldCharType="separate"/>
      </w:r>
      <w:r>
        <w:rPr>
          <w:lang w:val="en-GB"/>
        </w:rPr>
        <w:t>2. Analysis of existing marketing mix</w:t>
      </w:r>
      <w:r>
        <w:tab/>
      </w:r>
      <w:r>
        <w:fldChar w:fldCharType="begin"/>
      </w:r>
      <w:r>
        <w:instrText xml:space="preserve"> PAGEREF _Toc9422 </w:instrText>
      </w:r>
      <w:r>
        <w:fldChar w:fldCharType="separate"/>
      </w:r>
      <w:r>
        <w:t>3</w:t>
      </w:r>
      <w:r>
        <w:fldChar w:fldCharType="end"/>
      </w:r>
      <w:r>
        <w:fldChar w:fldCharType="end"/>
      </w:r>
    </w:p>
    <w:p>
      <w:pPr>
        <w:pStyle w:val="7"/>
        <w:tabs>
          <w:tab w:val="right" w:leader="dot" w:pos="8300"/>
        </w:tabs>
        <w:ind w:left="525" w:right="525"/>
      </w:pPr>
      <w:r>
        <w:fldChar w:fldCharType="begin"/>
      </w:r>
      <w:r>
        <w:instrText xml:space="preserve"> HYPERLINK \l "_Toc7552" </w:instrText>
      </w:r>
      <w:r>
        <w:fldChar w:fldCharType="separate"/>
      </w:r>
      <w:r>
        <w:rPr>
          <w:rFonts w:cs="Times New Roman"/>
          <w:lang w:val="en-GB"/>
        </w:rPr>
        <w:t>3. Marketing mix designed for</w:t>
      </w:r>
      <w:r>
        <w:rPr>
          <w:rFonts w:cs="Times New Roman"/>
        </w:rPr>
        <w:t xml:space="preserve"> German </w:t>
      </w:r>
      <w:r>
        <w:rPr>
          <w:rFonts w:hint="eastAsia" w:eastAsia="宋体" w:cs="Times New Roman"/>
        </w:rPr>
        <w:t>m</w:t>
      </w:r>
      <w:r>
        <w:rPr>
          <w:rFonts w:cs="Times New Roman"/>
        </w:rPr>
        <w:t xml:space="preserve">arket and Brazilian </w:t>
      </w:r>
      <w:r>
        <w:rPr>
          <w:rFonts w:hint="eastAsia" w:eastAsia="宋体" w:cs="Times New Roman"/>
        </w:rPr>
        <w:t>m</w:t>
      </w:r>
      <w:r>
        <w:rPr>
          <w:rFonts w:cs="Times New Roman"/>
        </w:rPr>
        <w:t>arket</w:t>
      </w:r>
      <w:r>
        <w:tab/>
      </w:r>
      <w:r>
        <w:fldChar w:fldCharType="begin"/>
      </w:r>
      <w:r>
        <w:instrText xml:space="preserve"> PAGEREF _Toc7552 </w:instrText>
      </w:r>
      <w:r>
        <w:fldChar w:fldCharType="separate"/>
      </w:r>
      <w:r>
        <w:t>5</w:t>
      </w:r>
      <w:r>
        <w:fldChar w:fldCharType="end"/>
      </w:r>
      <w:r>
        <w:fldChar w:fldCharType="end"/>
      </w:r>
    </w:p>
    <w:p>
      <w:pPr>
        <w:pStyle w:val="8"/>
        <w:tabs>
          <w:tab w:val="right" w:leader="dot" w:pos="8300"/>
        </w:tabs>
        <w:ind w:right="525"/>
      </w:pPr>
      <w:r>
        <w:fldChar w:fldCharType="begin"/>
      </w:r>
      <w:r>
        <w:instrText xml:space="preserve"> HYPERLINK \l "_Toc19035" </w:instrText>
      </w:r>
      <w:r>
        <w:fldChar w:fldCharType="separate"/>
      </w:r>
      <w:r>
        <w:rPr>
          <w:rFonts w:cs="Times New Roman"/>
        </w:rPr>
        <w:t>3.1 Standardization and adaptation</w:t>
      </w:r>
      <w:r>
        <w:tab/>
      </w:r>
      <w:r>
        <w:fldChar w:fldCharType="begin"/>
      </w:r>
      <w:r>
        <w:instrText xml:space="preserve"> PAGEREF _Toc19035 </w:instrText>
      </w:r>
      <w:r>
        <w:fldChar w:fldCharType="separate"/>
      </w:r>
      <w:r>
        <w:t>5</w:t>
      </w:r>
      <w:r>
        <w:fldChar w:fldCharType="end"/>
      </w:r>
      <w:r>
        <w:fldChar w:fldCharType="end"/>
      </w:r>
    </w:p>
    <w:p>
      <w:pPr>
        <w:pStyle w:val="5"/>
        <w:tabs>
          <w:tab w:val="right" w:leader="dot" w:pos="8300"/>
        </w:tabs>
        <w:ind w:right="525"/>
      </w:pPr>
      <w:r>
        <w:fldChar w:fldCharType="begin"/>
      </w:r>
      <w:r>
        <w:instrText xml:space="preserve"> HYPERLINK \l "_Toc2786" </w:instrText>
      </w:r>
      <w:r>
        <w:fldChar w:fldCharType="separate"/>
      </w:r>
      <w:r>
        <w:t xml:space="preserve">3.11 Standardization or adaptation in German </w:t>
      </w:r>
      <w:r>
        <w:rPr>
          <w:rFonts w:hint="eastAsia" w:eastAsia="宋体"/>
        </w:rPr>
        <w:t>m</w:t>
      </w:r>
      <w:r>
        <w:t>arket</w:t>
      </w:r>
      <w:r>
        <w:tab/>
      </w:r>
      <w:r>
        <w:fldChar w:fldCharType="begin"/>
      </w:r>
      <w:r>
        <w:instrText xml:space="preserve"> PAGEREF _Toc2786 </w:instrText>
      </w:r>
      <w:r>
        <w:fldChar w:fldCharType="separate"/>
      </w:r>
      <w:r>
        <w:t>5</w:t>
      </w:r>
      <w:r>
        <w:fldChar w:fldCharType="end"/>
      </w:r>
      <w:r>
        <w:fldChar w:fldCharType="end"/>
      </w:r>
    </w:p>
    <w:p>
      <w:pPr>
        <w:pStyle w:val="5"/>
        <w:tabs>
          <w:tab w:val="right" w:leader="dot" w:pos="8300"/>
        </w:tabs>
        <w:ind w:right="525"/>
      </w:pPr>
      <w:r>
        <w:fldChar w:fldCharType="begin"/>
      </w:r>
      <w:r>
        <w:instrText xml:space="preserve"> HYPERLINK \l "_Toc4146" </w:instrText>
      </w:r>
      <w:r>
        <w:fldChar w:fldCharType="separate"/>
      </w:r>
      <w:r>
        <w:t>3.12 Standardization or adaptation in Brazilian market</w:t>
      </w:r>
      <w:r>
        <w:tab/>
      </w:r>
      <w:r>
        <w:fldChar w:fldCharType="begin"/>
      </w:r>
      <w:r>
        <w:instrText xml:space="preserve"> PAGEREF _Toc4146 </w:instrText>
      </w:r>
      <w:r>
        <w:fldChar w:fldCharType="separate"/>
      </w:r>
      <w:r>
        <w:t>6</w:t>
      </w:r>
      <w:r>
        <w:fldChar w:fldCharType="end"/>
      </w:r>
      <w:r>
        <w:fldChar w:fldCharType="end"/>
      </w:r>
    </w:p>
    <w:p>
      <w:pPr>
        <w:pStyle w:val="8"/>
        <w:tabs>
          <w:tab w:val="right" w:leader="dot" w:pos="8300"/>
        </w:tabs>
        <w:ind w:right="525"/>
      </w:pPr>
      <w:r>
        <w:fldChar w:fldCharType="begin"/>
      </w:r>
      <w:r>
        <w:instrText xml:space="preserve"> HYPERLINK \l "_Toc5895" </w:instrText>
      </w:r>
      <w:r>
        <w:fldChar w:fldCharType="separate"/>
      </w:r>
      <w:r>
        <w:rPr>
          <w:rFonts w:cs="Times New Roman"/>
        </w:rPr>
        <w:t>3.2 Cultural forces</w:t>
      </w:r>
      <w:r>
        <w:tab/>
      </w:r>
      <w:r>
        <w:fldChar w:fldCharType="begin"/>
      </w:r>
      <w:r>
        <w:instrText xml:space="preserve"> PAGEREF _Toc5895 </w:instrText>
      </w:r>
      <w:r>
        <w:fldChar w:fldCharType="separate"/>
      </w:r>
      <w:r>
        <w:t>6</w:t>
      </w:r>
      <w:r>
        <w:fldChar w:fldCharType="end"/>
      </w:r>
      <w:r>
        <w:fldChar w:fldCharType="end"/>
      </w:r>
    </w:p>
    <w:p>
      <w:pPr>
        <w:pStyle w:val="5"/>
        <w:tabs>
          <w:tab w:val="right" w:leader="dot" w:pos="8300"/>
        </w:tabs>
        <w:ind w:right="525"/>
      </w:pPr>
      <w:r>
        <w:fldChar w:fldCharType="begin"/>
      </w:r>
      <w:r>
        <w:instrText xml:space="preserve"> HYPERLINK \l "_Toc15341" </w:instrText>
      </w:r>
      <w:r>
        <w:fldChar w:fldCharType="separate"/>
      </w:r>
      <w:r>
        <w:t>3.2</w:t>
      </w:r>
      <w:r>
        <w:rPr>
          <w:rFonts w:hint="eastAsia"/>
        </w:rPr>
        <w:t>.1</w:t>
      </w:r>
      <w:r>
        <w:t xml:space="preserve"> Analysis of key cultural forces in Germany</w:t>
      </w:r>
      <w:r>
        <w:tab/>
      </w:r>
      <w:r>
        <w:fldChar w:fldCharType="begin"/>
      </w:r>
      <w:r>
        <w:instrText xml:space="preserve"> PAGEREF _Toc15341 </w:instrText>
      </w:r>
      <w:r>
        <w:fldChar w:fldCharType="separate"/>
      </w:r>
      <w:r>
        <w:t>7</w:t>
      </w:r>
      <w:r>
        <w:fldChar w:fldCharType="end"/>
      </w:r>
      <w:r>
        <w:fldChar w:fldCharType="end"/>
      </w:r>
    </w:p>
    <w:p>
      <w:pPr>
        <w:pStyle w:val="5"/>
        <w:tabs>
          <w:tab w:val="right" w:leader="dot" w:pos="8300"/>
        </w:tabs>
        <w:ind w:right="525"/>
      </w:pPr>
      <w:r>
        <w:fldChar w:fldCharType="begin"/>
      </w:r>
      <w:r>
        <w:instrText xml:space="preserve"> HYPERLINK \l "_Toc26618" </w:instrText>
      </w:r>
      <w:r>
        <w:fldChar w:fldCharType="separate"/>
      </w:r>
      <w:r>
        <w:t>3.2</w:t>
      </w:r>
      <w:r>
        <w:rPr>
          <w:rFonts w:hint="eastAsia"/>
        </w:rPr>
        <w:t>.</w:t>
      </w:r>
      <w:r>
        <w:t>2 Analysis of key cultural forces in Brazil</w:t>
      </w:r>
      <w:r>
        <w:tab/>
      </w:r>
      <w:r>
        <w:fldChar w:fldCharType="begin"/>
      </w:r>
      <w:r>
        <w:instrText xml:space="preserve"> PAGEREF _Toc26618 </w:instrText>
      </w:r>
      <w:r>
        <w:fldChar w:fldCharType="separate"/>
      </w:r>
      <w:r>
        <w:t>7</w:t>
      </w:r>
      <w:r>
        <w:fldChar w:fldCharType="end"/>
      </w:r>
      <w:r>
        <w:fldChar w:fldCharType="end"/>
      </w:r>
    </w:p>
    <w:p>
      <w:pPr>
        <w:pStyle w:val="7"/>
        <w:tabs>
          <w:tab w:val="right" w:leader="dot" w:pos="8300"/>
        </w:tabs>
        <w:ind w:left="525" w:right="525"/>
      </w:pPr>
      <w:r>
        <w:fldChar w:fldCharType="begin"/>
      </w:r>
      <w:r>
        <w:instrText xml:space="preserve"> HYPERLINK \l "_Toc32449" </w:instrText>
      </w:r>
      <w:r>
        <w:fldChar w:fldCharType="separate"/>
      </w:r>
      <w:r>
        <w:t>4. Analysis of competitors’ entering foreign markets</w:t>
      </w:r>
      <w:r>
        <w:tab/>
      </w:r>
      <w:r>
        <w:fldChar w:fldCharType="begin"/>
      </w:r>
      <w:r>
        <w:instrText xml:space="preserve"> PAGEREF _Toc32449 </w:instrText>
      </w:r>
      <w:r>
        <w:fldChar w:fldCharType="separate"/>
      </w:r>
      <w:r>
        <w:t>8</w:t>
      </w:r>
      <w:r>
        <w:fldChar w:fldCharType="end"/>
      </w:r>
      <w:r>
        <w:fldChar w:fldCharType="end"/>
      </w:r>
    </w:p>
    <w:p>
      <w:pPr>
        <w:pStyle w:val="7"/>
        <w:tabs>
          <w:tab w:val="right" w:leader="dot" w:pos="8300"/>
        </w:tabs>
        <w:ind w:left="525" w:right="525"/>
      </w:pPr>
      <w:r>
        <w:fldChar w:fldCharType="begin"/>
      </w:r>
      <w:r>
        <w:instrText xml:space="preserve"> HYPERLINK \l "_Toc26646" </w:instrText>
      </w:r>
      <w:r>
        <w:fldChar w:fldCharType="separate"/>
      </w:r>
      <w:r>
        <w:t>5. Conclusion</w:t>
      </w:r>
      <w:r>
        <w:tab/>
      </w:r>
      <w:r>
        <w:fldChar w:fldCharType="begin"/>
      </w:r>
      <w:r>
        <w:instrText xml:space="preserve"> PAGEREF _Toc26646 </w:instrText>
      </w:r>
      <w:r>
        <w:fldChar w:fldCharType="separate"/>
      </w:r>
      <w:r>
        <w:t>8</w:t>
      </w:r>
      <w:r>
        <w:fldChar w:fldCharType="end"/>
      </w:r>
      <w:r>
        <w:fldChar w:fldCharType="end"/>
      </w:r>
    </w:p>
    <w:p>
      <w:pPr>
        <w:pStyle w:val="7"/>
        <w:tabs>
          <w:tab w:val="right" w:leader="dot" w:pos="8300"/>
        </w:tabs>
        <w:ind w:left="525" w:right="525"/>
      </w:pPr>
      <w:r>
        <w:fldChar w:fldCharType="begin"/>
      </w:r>
      <w:r>
        <w:instrText xml:space="preserve"> HYPERLINK \l "_Toc26570" </w:instrText>
      </w:r>
      <w:r>
        <w:fldChar w:fldCharType="separate"/>
      </w:r>
      <w:r>
        <w:t xml:space="preserve">6. </w:t>
      </w:r>
      <w:r>
        <w:rPr>
          <w:lang w:eastAsia="en-US"/>
        </w:rPr>
        <w:t>Recommendations</w:t>
      </w:r>
      <w:r>
        <w:tab/>
      </w:r>
      <w:r>
        <w:fldChar w:fldCharType="begin"/>
      </w:r>
      <w:r>
        <w:instrText xml:space="preserve"> PAGEREF _Toc26570 </w:instrText>
      </w:r>
      <w:r>
        <w:fldChar w:fldCharType="separate"/>
      </w:r>
      <w:r>
        <w:t>9</w:t>
      </w:r>
      <w:r>
        <w:fldChar w:fldCharType="end"/>
      </w:r>
      <w:r>
        <w:fldChar w:fldCharType="end"/>
      </w:r>
    </w:p>
    <w:p>
      <w:pPr>
        <w:pStyle w:val="7"/>
        <w:tabs>
          <w:tab w:val="right" w:leader="dot" w:pos="8300"/>
        </w:tabs>
        <w:ind w:left="525" w:right="525"/>
      </w:pPr>
      <w:r>
        <w:fldChar w:fldCharType="begin"/>
      </w:r>
      <w:r>
        <w:instrText xml:space="preserve"> HYPERLINK \l "_Toc10117" </w:instrText>
      </w:r>
      <w:r>
        <w:fldChar w:fldCharType="separate"/>
      </w:r>
      <w:r>
        <w:rPr>
          <w:lang w:eastAsia="en-US"/>
        </w:rPr>
        <w:t>References</w:t>
      </w:r>
      <w:r>
        <w:tab/>
      </w:r>
      <w:r>
        <w:fldChar w:fldCharType="begin"/>
      </w:r>
      <w:r>
        <w:instrText xml:space="preserve"> PAGEREF _Toc10117 </w:instrText>
      </w:r>
      <w:r>
        <w:fldChar w:fldCharType="separate"/>
      </w:r>
      <w:r>
        <w:t>10</w:t>
      </w:r>
      <w:r>
        <w:fldChar w:fldCharType="end"/>
      </w:r>
      <w:r>
        <w:fldChar w:fldCharType="end"/>
      </w:r>
    </w:p>
    <w:p>
      <w:pPr>
        <w:pStyle w:val="2"/>
        <w:ind w:left="525" w:right="525"/>
        <w:rPr>
          <w:lang w:val="en-GB"/>
        </w:rPr>
      </w:pPr>
      <w:r>
        <w:rPr>
          <w:lang w:val="en-GB"/>
        </w:rPr>
        <w:fldChar w:fldCharType="end"/>
      </w:r>
    </w:p>
    <w:p>
      <w:pPr>
        <w:pStyle w:val="2"/>
        <w:ind w:left="525" w:right="525"/>
        <w:rPr>
          <w:lang w:val="en-GB"/>
        </w:rPr>
      </w:pPr>
    </w:p>
    <w:p>
      <w:pPr>
        <w:pStyle w:val="2"/>
        <w:ind w:left="525" w:right="525"/>
        <w:rPr>
          <w:lang w:val="en-GB"/>
        </w:rPr>
      </w:pPr>
    </w:p>
    <w:p>
      <w:pPr>
        <w:pStyle w:val="2"/>
        <w:ind w:left="0" w:leftChars="0" w:right="525"/>
        <w:rPr>
          <w:lang w:val="en-GB"/>
        </w:rPr>
      </w:pPr>
      <w:bookmarkStart w:id="4" w:name="_Toc25608"/>
    </w:p>
    <w:p>
      <w:pPr>
        <w:ind w:left="525" w:right="525"/>
        <w:rPr>
          <w:lang w:val="en-GB"/>
        </w:rPr>
      </w:pPr>
    </w:p>
    <w:p>
      <w:pPr>
        <w:ind w:left="525" w:right="525"/>
        <w:rPr>
          <w:lang w:val="en-GB"/>
        </w:rPr>
      </w:pPr>
    </w:p>
    <w:p>
      <w:pPr>
        <w:ind w:left="525" w:right="525"/>
        <w:rPr>
          <w:lang w:val="en-GB"/>
        </w:rPr>
      </w:pPr>
    </w:p>
    <w:p>
      <w:pPr>
        <w:ind w:left="0" w:leftChars="0" w:right="525"/>
        <w:rPr>
          <w:lang w:val="en-GB"/>
        </w:rPr>
      </w:pPr>
    </w:p>
    <w:p>
      <w:pPr>
        <w:pStyle w:val="2"/>
        <w:ind w:left="525" w:right="525"/>
        <w:rPr>
          <w:lang w:val="en-GB"/>
        </w:rPr>
      </w:pPr>
      <w:r>
        <w:rPr>
          <w:lang w:val="en-GB"/>
        </w:rPr>
        <w:t>Executive Summary</w:t>
      </w:r>
      <w:bookmarkEnd w:id="4"/>
    </w:p>
    <w:p>
      <w:pPr>
        <w:ind w:left="525" w:right="525"/>
        <w:rPr>
          <w:rFonts w:cs="Times New Roman"/>
        </w:rPr>
      </w:pPr>
      <w:r>
        <w:rPr>
          <w:rFonts w:cs="Times New Roman"/>
          <w:lang w:val="en-GB"/>
        </w:rPr>
        <w:t xml:space="preserve">This report aims at developing marketing mix designs of German market and Brazilian market respectively for </w:t>
      </w:r>
      <w:bookmarkStart w:id="5" w:name="OLE_LINK90"/>
      <w:bookmarkStart w:id="6" w:name="OLE_LINK91"/>
      <w:bookmarkStart w:id="7" w:name="OLE_LINK85"/>
      <w:r>
        <w:rPr>
          <w:rFonts w:cs="Times New Roman"/>
        </w:rPr>
        <w:t>Tomos Watkin</w:t>
      </w:r>
      <w:bookmarkEnd w:id="5"/>
      <w:bookmarkEnd w:id="6"/>
      <w:bookmarkEnd w:id="7"/>
      <w:r>
        <w:rPr>
          <w:rFonts w:cs="Times New Roman"/>
        </w:rPr>
        <w:t xml:space="preserve"> Brewery. </w:t>
      </w:r>
      <w:r>
        <w:rPr>
          <w:rFonts w:hint="eastAsia" w:cs="Times New Roman"/>
        </w:rPr>
        <w:t>Through analyzing the existing marketing mix of this brewery company, adaptation strategy is more advisable for</w:t>
      </w:r>
      <w:r>
        <w:rPr>
          <w:rFonts w:cs="Times New Roman"/>
        </w:rPr>
        <w:t xml:space="preserve"> </w:t>
      </w:r>
      <w:r>
        <w:rPr>
          <w:rFonts w:hint="eastAsia" w:cs="Times New Roman"/>
        </w:rPr>
        <w:t>it to enter German and Brazilian market. After exploring how all the factors covering product, price, place, promotion and cultural force that might influence the outcomes of company</w:t>
      </w:r>
      <w:r>
        <w:rPr>
          <w:rFonts w:cs="Times New Roman"/>
        </w:rPr>
        <w:t>’</w:t>
      </w:r>
      <w:r>
        <w:rPr>
          <w:rFonts w:hint="eastAsia" w:cs="Times New Roman"/>
        </w:rPr>
        <w:t xml:space="preserve">s entering, conclusion and recommendations are given out that concentrating more on products and services over </w:t>
      </w:r>
      <w:r>
        <w:rPr>
          <w:rFonts w:cs="Times New Roman"/>
        </w:rPr>
        <w:t>customers</w:t>
      </w:r>
      <w:r>
        <w:rPr>
          <w:rFonts w:hint="eastAsia" w:cs="Times New Roman"/>
        </w:rPr>
        <w:t xml:space="preserve"> matters. Besides, social media promotion appears to be a good choice.</w:t>
      </w:r>
    </w:p>
    <w:p>
      <w:pPr>
        <w:ind w:left="525" w:right="525"/>
        <w:rPr>
          <w:lang w:val="en-GB"/>
        </w:rPr>
      </w:pPr>
    </w:p>
    <w:p>
      <w:pPr>
        <w:pStyle w:val="2"/>
        <w:ind w:left="525" w:right="525"/>
      </w:pPr>
      <w:bookmarkStart w:id="8" w:name="_Toc32017"/>
    </w:p>
    <w:p>
      <w:pPr>
        <w:pStyle w:val="2"/>
        <w:ind w:left="525" w:right="525"/>
      </w:pPr>
    </w:p>
    <w:p>
      <w:pPr>
        <w:pStyle w:val="2"/>
        <w:ind w:left="525" w:right="525"/>
      </w:pPr>
    </w:p>
    <w:p>
      <w:pPr>
        <w:ind w:left="0" w:leftChars="0" w:right="525"/>
      </w:pPr>
    </w:p>
    <w:p>
      <w:pPr>
        <w:ind w:left="0" w:leftChars="0" w:right="525"/>
      </w:pPr>
    </w:p>
    <w:p>
      <w:pPr>
        <w:ind w:left="0" w:leftChars="0" w:right="525"/>
      </w:pPr>
    </w:p>
    <w:p>
      <w:pPr>
        <w:ind w:left="0" w:leftChars="0" w:right="525"/>
      </w:pPr>
    </w:p>
    <w:p>
      <w:pPr>
        <w:ind w:left="0" w:leftChars="0" w:right="525"/>
      </w:pPr>
    </w:p>
    <w:p>
      <w:pPr>
        <w:ind w:left="0" w:leftChars="0" w:right="525"/>
      </w:pPr>
    </w:p>
    <w:p>
      <w:pPr>
        <w:ind w:left="0" w:leftChars="0" w:right="525"/>
      </w:pPr>
    </w:p>
    <w:p>
      <w:pPr>
        <w:ind w:left="0" w:leftChars="0" w:right="525"/>
      </w:pPr>
    </w:p>
    <w:p>
      <w:pPr>
        <w:ind w:left="0" w:leftChars="0" w:right="525"/>
      </w:pPr>
      <w:bookmarkStart w:id="163" w:name="_GoBack"/>
      <w:bookmarkEnd w:id="163"/>
    </w:p>
    <w:p>
      <w:pPr>
        <w:pStyle w:val="2"/>
        <w:ind w:left="525" w:right="525"/>
      </w:pPr>
      <w:r>
        <w:t xml:space="preserve">1. </w:t>
      </w:r>
      <w:r>
        <w:rPr>
          <w:lang w:eastAsia="en-US"/>
        </w:rPr>
        <w:t>Introduction</w:t>
      </w:r>
      <w:bookmarkEnd w:id="8"/>
    </w:p>
    <w:p>
      <w:pPr>
        <w:ind w:left="525" w:right="525"/>
        <w:rPr>
          <w:rFonts w:cs="Times New Roman"/>
        </w:rPr>
      </w:pPr>
      <w:bookmarkStart w:id="9" w:name="OLE_LINK92"/>
      <w:bookmarkStart w:id="10" w:name="OLE_LINK13"/>
      <w:bookmarkStart w:id="11" w:name="OLE_LINK60"/>
      <w:bookmarkStart w:id="12" w:name="OLE_LINK21"/>
      <w:bookmarkStart w:id="13" w:name="OLE_LINK5"/>
      <w:bookmarkStart w:id="14" w:name="OLE_LINK28"/>
      <w:bookmarkStart w:id="15" w:name="OLE_LINK9"/>
      <w:bookmarkStart w:id="16" w:name="OLE_LINK6"/>
      <w:bookmarkStart w:id="17" w:name="OLE_LINK34"/>
      <w:bookmarkStart w:id="18" w:name="OLE_LINK82"/>
      <w:bookmarkStart w:id="19" w:name="OLE_LINK39"/>
      <w:bookmarkStart w:id="20" w:name="OLE_LINK8"/>
      <w:bookmarkStart w:id="21" w:name="OLE_LINK7"/>
      <w:bookmarkStart w:id="22" w:name="OLE_LINK40"/>
      <w:bookmarkStart w:id="23" w:name="OLE_LINK1"/>
      <w:bookmarkStart w:id="24" w:name="OLE_LINK16"/>
      <w:bookmarkStart w:id="25" w:name="OLE_LINK41"/>
      <w:bookmarkStart w:id="26" w:name="OLE_LINK23"/>
      <w:bookmarkStart w:id="27" w:name="OLE_LINK22"/>
      <w:bookmarkStart w:id="28" w:name="OLE_LINK72"/>
      <w:bookmarkStart w:id="29" w:name="OLE_LINK73"/>
      <w:bookmarkStart w:id="30" w:name="OLE_LINK86"/>
      <w:bookmarkStart w:id="31" w:name="OLE_LINK12"/>
      <w:bookmarkStart w:id="32" w:name="OLE_LINK2"/>
      <w:r>
        <w:t>Tomos Watkin</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t xml:space="preserve"> </w:t>
      </w:r>
      <w:bookmarkEnd w:id="26"/>
      <w:bookmarkEnd w:id="27"/>
      <w:r>
        <w:t>Brewery</w:t>
      </w:r>
      <w:bookmarkEnd w:id="28"/>
      <w:bookmarkEnd w:id="29"/>
      <w:bookmarkEnd w:id="30"/>
      <w:r>
        <w:t xml:space="preserve"> </w:t>
      </w:r>
      <w:bookmarkEnd w:id="31"/>
      <w:bookmarkEnd w:id="32"/>
      <w:r>
        <w:t xml:space="preserve">is a third generation family-run business, which is located in </w:t>
      </w:r>
      <w:bookmarkStart w:id="33" w:name="OLE_LINK3"/>
      <w:bookmarkStart w:id="34" w:name="OLE_LINK4"/>
      <w:r>
        <w:t>Swansea, Wales.</w:t>
      </w:r>
      <w:bookmarkEnd w:id="33"/>
      <w:bookmarkEnd w:id="34"/>
      <w:r>
        <w:t xml:space="preserve"> It has a long history in providing alcoholic beverage since 1982. Tomos Watkin is particularly well known in South Wales. </w:t>
      </w:r>
      <w:r>
        <w:rPr>
          <w:rFonts w:hint="eastAsia" w:cs="Times New Roman"/>
        </w:rPr>
        <w:t>This report</w:t>
      </w:r>
      <w:r>
        <w:rPr>
          <w:rFonts w:cs="Times New Roman"/>
        </w:rPr>
        <w:t xml:space="preserve"> will firstly demonstrate an analysis of this enterprise’s existing marketing mix in dimensions of product, price, place and promotion. Secondly, </w:t>
      </w:r>
      <w:r>
        <w:rPr>
          <w:rFonts w:cs="Times New Roman"/>
          <w:lang w:val="en-GB"/>
        </w:rPr>
        <w:t>marketing mix designed for</w:t>
      </w:r>
      <w:r>
        <w:rPr>
          <w:rFonts w:cs="Times New Roman"/>
        </w:rPr>
        <w:t xml:space="preserve"> German Market and Brazilian Market will be revealed. In this part, the definition of standardization and adaptation will be discussed and the reason for standardization or adaptation in both foreign markets will be further explained. Then the cultural forces that have an impact on </w:t>
      </w:r>
      <w:bookmarkStart w:id="35" w:name="OLE_LINK199"/>
      <w:bookmarkStart w:id="36" w:name="OLE_LINK198"/>
      <w:bookmarkStart w:id="37" w:name="OLE_LINK200"/>
      <w:r>
        <w:rPr>
          <w:rFonts w:cs="Times New Roman"/>
        </w:rPr>
        <w:t>Tomos Watkin</w:t>
      </w:r>
      <w:bookmarkEnd w:id="35"/>
      <w:bookmarkEnd w:id="36"/>
      <w:bookmarkEnd w:id="37"/>
      <w:r>
        <w:rPr>
          <w:rFonts w:cs="Times New Roman"/>
        </w:rPr>
        <w:t>’s entering will be shown. Finally, it will do an analysis over how Tomos Watkin’s competitors enter International markets and give recommendations.</w:t>
      </w:r>
    </w:p>
    <w:p>
      <w:pPr>
        <w:ind w:left="525" w:right="525"/>
        <w:rPr>
          <w:rFonts w:cs="Times New Roman" w:eastAsiaTheme="minorHAnsi"/>
          <w:sz w:val="22"/>
          <w:szCs w:val="22"/>
        </w:rPr>
      </w:pPr>
    </w:p>
    <w:p>
      <w:pPr>
        <w:pStyle w:val="2"/>
        <w:ind w:left="525" w:right="525"/>
        <w:rPr>
          <w:lang w:val="en-GB"/>
        </w:rPr>
      </w:pPr>
      <w:bookmarkStart w:id="38" w:name="_Toc9422"/>
      <w:bookmarkStart w:id="39" w:name="OLE_LINK31"/>
      <w:bookmarkStart w:id="40" w:name="OLE_LINK32"/>
      <w:r>
        <w:rPr>
          <w:lang w:val="en-GB"/>
        </w:rPr>
        <w:t xml:space="preserve">2. Analysis of </w:t>
      </w:r>
      <w:bookmarkStart w:id="41" w:name="OLE_LINK35"/>
      <w:bookmarkStart w:id="42" w:name="OLE_LINK10"/>
      <w:bookmarkStart w:id="43" w:name="OLE_LINK33"/>
      <w:bookmarkStart w:id="44" w:name="OLE_LINK11"/>
      <w:r>
        <w:rPr>
          <w:lang w:val="en-GB"/>
        </w:rPr>
        <w:t>existing marketing mix</w:t>
      </w:r>
      <w:bookmarkEnd w:id="38"/>
      <w:bookmarkEnd w:id="41"/>
      <w:bookmarkEnd w:id="42"/>
      <w:bookmarkEnd w:id="43"/>
      <w:bookmarkEnd w:id="44"/>
    </w:p>
    <w:p>
      <w:pPr>
        <w:ind w:left="525" w:right="525"/>
      </w:pPr>
      <w:r>
        <w:rPr>
          <w:lang w:val="en-GB"/>
        </w:rPr>
        <w:t>The marketing mix is a combination of elemental tools used by organizations to produce suitable strategy that enables better entering and satisfying customers’ needs (</w:t>
      </w:r>
      <w:r>
        <w:t>Constantinides, 2006)</w:t>
      </w:r>
      <w:r>
        <w:rPr>
          <w:lang w:val="en-GB"/>
        </w:rPr>
        <w:t xml:space="preserve">. It covers all the operations and decisions that matter to find a method properly launching products or services into a new market. </w:t>
      </w:r>
      <w:bookmarkEnd w:id="39"/>
      <w:bookmarkEnd w:id="40"/>
    </w:p>
    <w:p>
      <w:pPr>
        <w:ind w:left="525" w:right="525"/>
        <w:rPr>
          <w:rFonts w:cs="Times New Roman"/>
          <w:b/>
          <w:bCs/>
          <w:sz w:val="22"/>
          <w:szCs w:val="22"/>
          <w:lang w:val="en-GB"/>
        </w:rPr>
      </w:pPr>
    </w:p>
    <w:p>
      <w:pPr>
        <w:ind w:left="525" w:right="525"/>
        <w:rPr>
          <w:rFonts w:cs="Times New Roman"/>
          <w:b/>
          <w:bCs/>
          <w:sz w:val="22"/>
          <w:szCs w:val="22"/>
          <w:lang w:val="en-GB"/>
        </w:rPr>
      </w:pPr>
      <w:r>
        <w:rPr>
          <w:rFonts w:cs="Times New Roman"/>
          <w:b/>
          <w:bCs/>
          <w:sz w:val="22"/>
          <w:szCs w:val="22"/>
          <w:lang w:val="en-GB"/>
        </w:rPr>
        <w:t>Product</w:t>
      </w:r>
    </w:p>
    <w:p>
      <w:pPr>
        <w:ind w:left="525" w:right="525"/>
        <w:rPr>
          <w:rFonts w:eastAsia="宋体" w:cs="Times New Roman"/>
          <w:sz w:val="22"/>
          <w:szCs w:val="22"/>
        </w:rPr>
      </w:pPr>
      <w:r>
        <w:rPr>
          <w:rFonts w:cs="Times New Roman"/>
          <w:sz w:val="22"/>
          <w:szCs w:val="22"/>
          <w:lang w:val="en-GB"/>
        </w:rPr>
        <w:t>Product is an object created to meet the expectations of certain groups, which demonstrates to be the very core fragment in marketing mix by making straight impact on all other processes (</w:t>
      </w:r>
      <w:r>
        <w:rPr>
          <w:rFonts w:cs="Times New Roman"/>
          <w:sz w:val="22"/>
          <w:szCs w:val="22"/>
        </w:rPr>
        <w:t>Fandrich &amp; Thomas, 2013)</w:t>
      </w:r>
      <w:r>
        <w:rPr>
          <w:rFonts w:cs="Times New Roman"/>
          <w:sz w:val="22"/>
          <w:szCs w:val="22"/>
          <w:lang w:val="en-GB"/>
        </w:rPr>
        <w:t xml:space="preserve">. It involves the dimensions concerning raw material, package, design, brand name and after sales service. Well-planned product contributes to winning </w:t>
      </w:r>
      <w:r>
        <w:rPr>
          <w:rFonts w:cs="Times New Roman"/>
          <w:sz w:val="22"/>
          <w:szCs w:val="22"/>
        </w:rPr>
        <w:t xml:space="preserve">remarkable predominance against competitors. </w:t>
      </w:r>
      <w:bookmarkStart w:id="45" w:name="OLE_LINK17"/>
      <w:bookmarkStart w:id="46" w:name="OLE_LINK18"/>
      <w:r>
        <w:rPr>
          <w:rFonts w:cs="Times New Roman" w:eastAsiaTheme="minorHAnsi"/>
          <w:sz w:val="22"/>
          <w:szCs w:val="22"/>
        </w:rPr>
        <w:t>Tomos Watkin</w:t>
      </w:r>
      <w:bookmarkEnd w:id="45"/>
      <w:bookmarkEnd w:id="46"/>
      <w:r>
        <w:rPr>
          <w:rFonts w:cs="Times New Roman" w:eastAsiaTheme="minorHAnsi"/>
          <w:sz w:val="22"/>
          <w:szCs w:val="22"/>
        </w:rPr>
        <w:t>’s product is produced in traditional way so as to keep the taste and flavor inherited from the good reputation and public praise it earned. Its beers are brewed with the finest raw material and offered in kegs, bottles, cans and gift packs</w:t>
      </w:r>
      <w:bookmarkStart w:id="47" w:name="OLE_LINK30"/>
      <w:bookmarkStart w:id="48" w:name="OLE_LINK29"/>
      <w:r>
        <w:rPr>
          <w:rFonts w:hint="eastAsia" w:eastAsia="宋体" w:cs="Times New Roman"/>
          <w:sz w:val="22"/>
          <w:szCs w:val="22"/>
        </w:rPr>
        <w:t>.</w:t>
      </w:r>
    </w:p>
    <w:bookmarkEnd w:id="47"/>
    <w:bookmarkEnd w:id="48"/>
    <w:p>
      <w:pPr>
        <w:ind w:left="525" w:right="525"/>
        <w:rPr>
          <w:rFonts w:cs="Times New Roman"/>
          <w:sz w:val="22"/>
          <w:szCs w:val="22"/>
          <w:lang w:val="en-GB"/>
        </w:rPr>
      </w:pPr>
      <w:bookmarkStart w:id="49" w:name="OLE_LINK108"/>
      <w:bookmarkStart w:id="50" w:name="OLE_LINK109"/>
    </w:p>
    <w:p>
      <w:pPr>
        <w:ind w:left="525" w:right="525"/>
        <w:rPr>
          <w:rFonts w:cs="Times New Roman"/>
          <w:b/>
          <w:bCs/>
          <w:sz w:val="22"/>
          <w:szCs w:val="22"/>
          <w:lang w:val="en-GB"/>
        </w:rPr>
      </w:pPr>
      <w:r>
        <w:rPr>
          <w:rFonts w:cs="Times New Roman"/>
          <w:b/>
          <w:bCs/>
          <w:sz w:val="22"/>
          <w:szCs w:val="22"/>
          <w:lang w:val="en-GB"/>
        </w:rPr>
        <w:t>Price</w:t>
      </w:r>
    </w:p>
    <w:bookmarkEnd w:id="49"/>
    <w:bookmarkEnd w:id="50"/>
    <w:p>
      <w:pPr>
        <w:ind w:left="525" w:right="525"/>
      </w:pPr>
      <w:r>
        <w:rPr>
          <w:lang w:val="en-GB"/>
        </w:rPr>
        <w:t>Price is the reflection of value on product, which plays a crucial role in any marketing mix. It is the dominant factor attracting customers to consume and represents organizations competitive position in the market (</w:t>
      </w:r>
      <w:r>
        <w:t>Volkov, 2013)</w:t>
      </w:r>
      <w:r>
        <w:rPr>
          <w:lang w:val="en-GB"/>
        </w:rPr>
        <w:t xml:space="preserve">. High-level price strategy is supposed to be considering and satisfying consumers who distributed in all sorts of classes and markets. That is exactly how </w:t>
      </w:r>
      <w:bookmarkStart w:id="51" w:name="OLE_LINK24"/>
      <w:bookmarkStart w:id="52" w:name="OLE_LINK25"/>
      <w:bookmarkStart w:id="53" w:name="OLE_LINK111"/>
      <w:bookmarkStart w:id="54" w:name="OLE_LINK110"/>
      <w:r>
        <w:t>Tomos Watkin</w:t>
      </w:r>
      <w:bookmarkEnd w:id="51"/>
      <w:bookmarkEnd w:id="52"/>
      <w:r>
        <w:t xml:space="preserve"> </w:t>
      </w:r>
      <w:bookmarkEnd w:id="53"/>
      <w:bookmarkEnd w:id="54"/>
      <w:r>
        <w:t>lists its beer prices.</w:t>
      </w:r>
      <w:r>
        <w:rPr>
          <w:lang w:val="en-GB"/>
        </w:rPr>
        <w:t xml:space="preserve"> </w:t>
      </w:r>
      <w:r>
        <w:t xml:space="preserve">For instance, Cwrw Haf is priced at </w:t>
      </w:r>
      <w:bookmarkStart w:id="55" w:name="OLE_LINK20"/>
      <w:bookmarkStart w:id="56" w:name="OLE_LINK19"/>
      <w:r>
        <w:t>£</w:t>
      </w:r>
      <w:bookmarkEnd w:id="55"/>
      <w:bookmarkEnd w:id="56"/>
      <w:r>
        <w:t>1.75 while the price of Cwrw Braf-5 LITRE KEG is £18. It also provides a mixed case of eight different types for the price of £12 (tomoswatkin, 2019). Hence Tomos Watkin is able to maintain its competitiveness and the popularity in supplying beverages to both big and small businesses.</w:t>
      </w:r>
    </w:p>
    <w:p>
      <w:pPr>
        <w:ind w:left="525" w:right="525"/>
        <w:rPr>
          <w:rFonts w:cs="Times New Roman"/>
          <w:sz w:val="22"/>
          <w:szCs w:val="22"/>
          <w:lang w:val="en-GB"/>
        </w:rPr>
      </w:pPr>
    </w:p>
    <w:p>
      <w:pPr>
        <w:ind w:left="525" w:right="525"/>
        <w:rPr>
          <w:rFonts w:cs="Times New Roman"/>
          <w:sz w:val="22"/>
          <w:szCs w:val="22"/>
          <w:lang w:val="en-GB"/>
        </w:rPr>
      </w:pPr>
      <w:bookmarkStart w:id="57" w:name="OLE_LINK112"/>
      <w:bookmarkStart w:id="58" w:name="OLE_LINK113"/>
      <w:r>
        <w:rPr>
          <w:rFonts w:cs="Times New Roman"/>
          <w:b/>
          <w:bCs/>
          <w:sz w:val="22"/>
          <w:szCs w:val="22"/>
          <w:lang w:val="en-GB"/>
        </w:rPr>
        <w:t>Place</w:t>
      </w:r>
    </w:p>
    <w:bookmarkEnd w:id="57"/>
    <w:bookmarkEnd w:id="58"/>
    <w:p>
      <w:pPr>
        <w:ind w:left="525" w:right="525"/>
      </w:pPr>
      <w:r>
        <w:rPr>
          <w:lang w:val="en-GB"/>
        </w:rPr>
        <w:t>Placement refers to the method distributing products to customers, which is an essential part to develop full set marketing operations (</w:t>
      </w:r>
      <w:r>
        <w:t>Thackeray &amp; Brown, 2010)</w:t>
      </w:r>
      <w:r>
        <w:rPr>
          <w:lang w:val="en-GB"/>
        </w:rPr>
        <w:t xml:space="preserve">. </w:t>
      </w:r>
      <w:bookmarkStart w:id="59" w:name="OLE_LINK36"/>
      <w:bookmarkStart w:id="60" w:name="OLE_LINK38"/>
      <w:bookmarkStart w:id="61" w:name="OLE_LINK37"/>
      <w:r>
        <w:t>Tomos Watkin</w:t>
      </w:r>
      <w:bookmarkEnd w:id="59"/>
      <w:bookmarkEnd w:id="60"/>
      <w:bookmarkEnd w:id="61"/>
      <w:r>
        <w:t xml:space="preserve"> has embraced this regulation through placing its products both in the local and international markets. As an enterprise with long history, deep roots were generated in UK. Beers produced by Tomos Watkin are easily available in pubs and restaurants in south and west Wales. The enterprise also has expended its market to international stage, with exporting products to America, Australia, and Spain etc. Besides, online and off-line marketing are under mature operating as well. The form of off-line it runs is to supply wholesale beverages to surrounding businesses and customers can do self-help shopping on Tomos Watkin’s site.</w:t>
      </w:r>
    </w:p>
    <w:p>
      <w:pPr>
        <w:ind w:left="525" w:right="525"/>
        <w:rPr>
          <w:rFonts w:cs="Times New Roman"/>
          <w:sz w:val="22"/>
          <w:szCs w:val="22"/>
          <w:lang w:val="en-GB"/>
        </w:rPr>
      </w:pPr>
    </w:p>
    <w:p>
      <w:pPr>
        <w:ind w:left="525" w:right="525"/>
        <w:rPr>
          <w:rFonts w:cs="Times New Roman"/>
          <w:b/>
          <w:bCs/>
          <w:sz w:val="22"/>
          <w:szCs w:val="22"/>
          <w:lang w:val="en-GB"/>
        </w:rPr>
      </w:pPr>
      <w:bookmarkStart w:id="62" w:name="OLE_LINK161"/>
      <w:bookmarkStart w:id="63" w:name="OLE_LINK163"/>
      <w:bookmarkStart w:id="64" w:name="OLE_LINK162"/>
      <w:r>
        <w:rPr>
          <w:rFonts w:cs="Times New Roman"/>
          <w:b/>
          <w:bCs/>
          <w:sz w:val="22"/>
          <w:szCs w:val="22"/>
          <w:lang w:val="en-GB"/>
        </w:rPr>
        <w:t>Promotion</w:t>
      </w:r>
    </w:p>
    <w:bookmarkEnd w:id="62"/>
    <w:bookmarkEnd w:id="63"/>
    <w:bookmarkEnd w:id="64"/>
    <w:p>
      <w:pPr>
        <w:ind w:left="525" w:right="525"/>
        <w:rPr>
          <w:rFonts w:cs="Times New Roman"/>
          <w:sz w:val="22"/>
          <w:szCs w:val="22"/>
          <w:lang w:val="en-GB"/>
        </w:rPr>
      </w:pPr>
      <w:r>
        <w:rPr>
          <w:lang w:val="en-GB"/>
        </w:rPr>
        <w:t>Promotion is the action that an organization takes to attract consumer’s attention above products, which appears to be the way to communicate with marketing target groups (</w:t>
      </w:r>
      <w:r>
        <w:t>Mohanram &amp; Mahavi, 2007)</w:t>
      </w:r>
      <w:r>
        <w:rPr>
          <w:lang w:val="en-GB"/>
        </w:rPr>
        <w:t xml:space="preserve">. It can be generally reached through advertising and initiating </w:t>
      </w:r>
      <w:r>
        <w:t xml:space="preserve">marketing campaigns. </w:t>
      </w:r>
      <w:r>
        <w:rPr>
          <w:lang w:val="en-GB"/>
        </w:rPr>
        <w:t>With evident commercial object, promotion aims at boosting sales volume and establishing reliable brand. In some degree, competitiveness of an enterprise depends on the ability to invest in promotion methodically.</w:t>
      </w:r>
      <w:bookmarkStart w:id="65" w:name="OLE_LINK43"/>
      <w:bookmarkStart w:id="66" w:name="OLE_LINK42"/>
      <w:r>
        <w:rPr>
          <w:lang w:val="en-GB"/>
        </w:rPr>
        <w:t xml:space="preserve"> </w:t>
      </w:r>
      <w:r>
        <w:t>Tomos Watkin</w:t>
      </w:r>
      <w:bookmarkEnd w:id="65"/>
      <w:bookmarkEnd w:id="66"/>
      <w:r>
        <w:t xml:space="preserve"> applies striking advertisement strategies to ensure Tomos Watkin beer drinkers and potential customers are informed by placing memorable commercials on driving trucks and billboards along highways. The brand also conducts favorable sales promotion on its site at times.</w:t>
      </w:r>
    </w:p>
    <w:p>
      <w:pPr>
        <w:pStyle w:val="2"/>
        <w:ind w:left="525" w:right="525"/>
        <w:rPr>
          <w:rFonts w:ascii="Times New Roman" w:hAnsi="Times New Roman" w:cs="Times New Roman"/>
          <w:lang w:val="en-GB"/>
        </w:rPr>
      </w:pPr>
      <w:bookmarkStart w:id="67" w:name="_Toc7552"/>
      <w:r>
        <w:rPr>
          <w:rFonts w:ascii="Times New Roman" w:hAnsi="Times New Roman" w:cs="Times New Roman"/>
          <w:lang w:val="en-GB"/>
        </w:rPr>
        <w:t xml:space="preserve">3. </w:t>
      </w:r>
      <w:bookmarkStart w:id="68" w:name="OLE_LINK87"/>
      <w:bookmarkStart w:id="69" w:name="OLE_LINK88"/>
      <w:r>
        <w:rPr>
          <w:rFonts w:ascii="Times New Roman" w:hAnsi="Times New Roman" w:cs="Times New Roman"/>
          <w:lang w:val="en-GB"/>
        </w:rPr>
        <w:t>Marketing mix designed for</w:t>
      </w:r>
      <w:r>
        <w:rPr>
          <w:rFonts w:ascii="Times New Roman" w:hAnsi="Times New Roman" w:cs="Times New Roman"/>
        </w:rPr>
        <w:t xml:space="preserve"> German </w:t>
      </w:r>
      <w:r>
        <w:rPr>
          <w:rFonts w:hint="eastAsia" w:ascii="Times New Roman" w:hAnsi="Times New Roman" w:cs="Times New Roman"/>
        </w:rPr>
        <w:t>m</w:t>
      </w:r>
      <w:r>
        <w:rPr>
          <w:rFonts w:ascii="Times New Roman" w:hAnsi="Times New Roman" w:cs="Times New Roman"/>
        </w:rPr>
        <w:t xml:space="preserve">arket and Brazilian </w:t>
      </w:r>
      <w:r>
        <w:rPr>
          <w:rFonts w:hint="eastAsia" w:ascii="Times New Roman" w:hAnsi="Times New Roman" w:cs="Times New Roman"/>
        </w:rPr>
        <w:t>m</w:t>
      </w:r>
      <w:r>
        <w:rPr>
          <w:rFonts w:ascii="Times New Roman" w:hAnsi="Times New Roman" w:cs="Times New Roman"/>
        </w:rPr>
        <w:t>arket</w:t>
      </w:r>
      <w:bookmarkEnd w:id="67"/>
      <w:bookmarkEnd w:id="68"/>
      <w:bookmarkEnd w:id="69"/>
    </w:p>
    <w:p>
      <w:pPr>
        <w:pStyle w:val="3"/>
        <w:ind w:left="525" w:right="525"/>
        <w:rPr>
          <w:rFonts w:ascii="Times New Roman" w:hAnsi="Times New Roman" w:cs="Times New Roman"/>
        </w:rPr>
      </w:pPr>
      <w:bookmarkStart w:id="70" w:name="_Toc19035"/>
      <w:r>
        <w:rPr>
          <w:rFonts w:ascii="Times New Roman" w:hAnsi="Times New Roman" w:cs="Times New Roman"/>
        </w:rPr>
        <w:t xml:space="preserve">3.1 </w:t>
      </w:r>
      <w:bookmarkStart w:id="71" w:name="OLE_LINK89"/>
      <w:bookmarkStart w:id="72" w:name="OLE_LINK166"/>
      <w:bookmarkStart w:id="73" w:name="OLE_LINK50"/>
      <w:bookmarkStart w:id="74" w:name="OLE_LINK49"/>
      <w:bookmarkStart w:id="75" w:name="OLE_LINK48"/>
      <w:r>
        <w:rPr>
          <w:rFonts w:ascii="Times New Roman" w:hAnsi="Times New Roman" w:cs="Times New Roman"/>
        </w:rPr>
        <w:t>Standardization and adaptation</w:t>
      </w:r>
      <w:bookmarkEnd w:id="70"/>
      <w:bookmarkEnd w:id="71"/>
      <w:bookmarkEnd w:id="72"/>
      <w:bookmarkEnd w:id="73"/>
      <w:bookmarkEnd w:id="74"/>
      <w:bookmarkEnd w:id="75"/>
    </w:p>
    <w:p>
      <w:pPr>
        <w:ind w:left="525" w:right="525"/>
        <w:rPr>
          <w:rFonts w:cs="Times New Roman"/>
          <w:sz w:val="22"/>
          <w:szCs w:val="22"/>
          <w:lang w:val="en-GB"/>
        </w:rPr>
      </w:pPr>
      <w:r>
        <w:t>Poulis &amp; Konstantinos (2008) explained that</w:t>
      </w:r>
      <w:r>
        <w:rPr>
          <w:rFonts w:hint="eastAsia" w:eastAsia="宋体"/>
        </w:rPr>
        <w:t xml:space="preserve"> s</w:t>
      </w:r>
      <w:r>
        <w:t xml:space="preserve">tandardization is referred as a cost saving strategy by launching products of the same range, same price and same marketing policies. </w:t>
      </w:r>
      <w:r>
        <w:rPr>
          <w:rFonts w:hint="eastAsia" w:eastAsia="宋体"/>
        </w:rPr>
        <w:t>A</w:t>
      </w:r>
      <w:r>
        <w:t>daptation is a customer-orientation strategy that applies various products and services in accordance with the expectations of diversified consumers. Both of them are the key consideration to evaluate all the elements of marketing mix.</w:t>
      </w:r>
    </w:p>
    <w:p>
      <w:pPr>
        <w:pStyle w:val="4"/>
        <w:ind w:left="525" w:right="525"/>
      </w:pPr>
      <w:bookmarkStart w:id="76" w:name="_Toc2786"/>
      <w:bookmarkStart w:id="77" w:name="OLE_LINK15"/>
      <w:bookmarkStart w:id="78" w:name="OLE_LINK14"/>
      <w:r>
        <w:t>3.1</w:t>
      </w:r>
      <w:r>
        <w:rPr>
          <w:rFonts w:hint="eastAsia"/>
        </w:rPr>
        <w:t>.</w:t>
      </w:r>
      <w:r>
        <w:t xml:space="preserve">1 </w:t>
      </w:r>
      <w:bookmarkStart w:id="79" w:name="OLE_LINK54"/>
      <w:bookmarkStart w:id="80" w:name="OLE_LINK53"/>
      <w:r>
        <w:t>Standardization</w:t>
      </w:r>
      <w:bookmarkEnd w:id="79"/>
      <w:bookmarkEnd w:id="80"/>
      <w:r>
        <w:t xml:space="preserve"> or </w:t>
      </w:r>
      <w:bookmarkStart w:id="81" w:name="OLE_LINK57"/>
      <w:bookmarkStart w:id="82" w:name="OLE_LINK58"/>
      <w:bookmarkStart w:id="83" w:name="OLE_LINK59"/>
      <w:bookmarkStart w:id="84" w:name="OLE_LINK56"/>
      <w:bookmarkStart w:id="85" w:name="OLE_LINK55"/>
      <w:r>
        <w:t>adaptation</w:t>
      </w:r>
      <w:bookmarkEnd w:id="81"/>
      <w:bookmarkEnd w:id="82"/>
      <w:bookmarkEnd w:id="83"/>
      <w:bookmarkEnd w:id="84"/>
      <w:bookmarkEnd w:id="85"/>
      <w:r>
        <w:t xml:space="preserve"> in </w:t>
      </w:r>
      <w:bookmarkStart w:id="86" w:name="OLE_LINK26"/>
      <w:bookmarkStart w:id="87" w:name="OLE_LINK27"/>
      <w:r>
        <w:t xml:space="preserve">German </w:t>
      </w:r>
      <w:r>
        <w:rPr>
          <w:rFonts w:hint="eastAsia" w:eastAsia="宋体"/>
        </w:rPr>
        <w:t>m</w:t>
      </w:r>
      <w:r>
        <w:t>arket</w:t>
      </w:r>
      <w:bookmarkEnd w:id="76"/>
      <w:bookmarkEnd w:id="86"/>
      <w:bookmarkEnd w:id="87"/>
    </w:p>
    <w:p>
      <w:pPr>
        <w:ind w:left="525" w:right="525"/>
        <w:rPr>
          <w:rFonts w:cs="Times New Roman" w:eastAsiaTheme="minorHAnsi"/>
          <w:sz w:val="22"/>
          <w:szCs w:val="22"/>
        </w:rPr>
      </w:pPr>
      <w:bookmarkStart w:id="88" w:name="OLE_LINK61"/>
      <w:bookmarkStart w:id="89" w:name="OLE_LINK62"/>
      <w:r>
        <w:rPr>
          <w:rFonts w:cs="Times New Roman" w:eastAsiaTheme="minorHAnsi"/>
          <w:sz w:val="22"/>
          <w:szCs w:val="22"/>
        </w:rPr>
        <w:t>Product standardization</w:t>
      </w:r>
      <w:bookmarkEnd w:id="88"/>
      <w:bookmarkEnd w:id="89"/>
      <w:r>
        <w:rPr>
          <w:rFonts w:cs="Times New Roman" w:eastAsiaTheme="minorHAnsi"/>
          <w:sz w:val="22"/>
          <w:szCs w:val="22"/>
        </w:rPr>
        <w:t xml:space="preserve">, </w:t>
      </w:r>
      <w:bookmarkStart w:id="90" w:name="OLE_LINK64"/>
      <w:bookmarkStart w:id="91" w:name="OLE_LINK63"/>
      <w:r>
        <w:rPr>
          <w:rFonts w:cs="Times New Roman" w:eastAsiaTheme="minorHAnsi"/>
          <w:sz w:val="22"/>
          <w:szCs w:val="22"/>
        </w:rPr>
        <w:t>price adaptation</w:t>
      </w:r>
      <w:bookmarkEnd w:id="90"/>
      <w:bookmarkEnd w:id="91"/>
      <w:r>
        <w:rPr>
          <w:rFonts w:cs="Times New Roman" w:eastAsiaTheme="minorHAnsi"/>
          <w:kern w:val="0"/>
          <w:sz w:val="22"/>
          <w:szCs w:val="22"/>
        </w:rPr>
        <w:t>, place adaptation</w:t>
      </w:r>
      <w:r>
        <w:rPr>
          <w:rFonts w:eastAsia="Times New Roman" w:cs="Times New Roman"/>
          <w:kern w:val="0"/>
          <w:sz w:val="22"/>
          <w:szCs w:val="22"/>
        </w:rPr>
        <w:t xml:space="preserve"> </w:t>
      </w:r>
      <w:r>
        <w:rPr>
          <w:rFonts w:cs="Times New Roman" w:eastAsiaTheme="minorHAnsi"/>
          <w:kern w:val="0"/>
          <w:sz w:val="22"/>
          <w:szCs w:val="22"/>
        </w:rPr>
        <w:t xml:space="preserve">and </w:t>
      </w:r>
      <w:r>
        <w:rPr>
          <w:rFonts w:cs="Times New Roman" w:eastAsiaTheme="minorHAnsi"/>
          <w:sz w:val="22"/>
          <w:szCs w:val="22"/>
        </w:rPr>
        <w:t>promotion adaptation are supposed to be applied to marketing mix in German market. As annual beer festivals held, Germans can drink beers at any time and have developed a habit of preferring drink style of enthusiasm with big mouth. A report conducted to make a comprehensive assessment of German drinking behavior stated that, Germans had consumed a total of 9.9 billion liters of wine in 2016, of which beer accounted for 80%. Among the national group aged 15 and over, the average person consumes more than 11 liters per year on a pure alcohol basis, slightly exceeding the average of 10.6 liters in the EU</w:t>
      </w:r>
      <w:r>
        <w:rPr>
          <w:rFonts w:hint="eastAsia" w:eastAsia="宋体" w:cs="Times New Roman"/>
          <w:sz w:val="22"/>
          <w:szCs w:val="22"/>
        </w:rPr>
        <w:t xml:space="preserve"> </w:t>
      </w:r>
      <w:r>
        <w:rPr>
          <w:rFonts w:cs="Times New Roman" w:eastAsiaTheme="minorHAnsi"/>
          <w:sz w:val="22"/>
          <w:szCs w:val="22"/>
        </w:rPr>
        <w:t>(Auer &amp; Maschler, 2013). Based on the conditions mentioned above, Germans drinking beer demonstrate to be a national custom. The accessible possibilities have created for Tomos Watkin’s products on entering German market. Product standardization enables the enterprise to cut down costs and maximize the profits. Price adaptation is reflected in changing mass package size so as to meet German needs of binge drinking. Placement and promotion shall be adapted to target market as well, with different culture and background taken account for. For instance, Germans drink warm beer at room temperature to maintain the flavors.</w:t>
      </w:r>
    </w:p>
    <w:p>
      <w:pPr>
        <w:pStyle w:val="4"/>
        <w:ind w:left="525" w:right="525"/>
      </w:pPr>
      <w:bookmarkStart w:id="92" w:name="_Toc4146"/>
      <w:r>
        <w:t>3.1</w:t>
      </w:r>
      <w:r>
        <w:rPr>
          <w:rFonts w:hint="eastAsia"/>
        </w:rPr>
        <w:t>.</w:t>
      </w:r>
      <w:r>
        <w:t xml:space="preserve">2 Standardization or adaptation in </w:t>
      </w:r>
      <w:bookmarkStart w:id="93" w:name="OLE_LINK66"/>
      <w:bookmarkStart w:id="94" w:name="OLE_LINK67"/>
      <w:bookmarkStart w:id="95" w:name="OLE_LINK76"/>
      <w:bookmarkStart w:id="96" w:name="OLE_LINK171"/>
      <w:bookmarkStart w:id="97" w:name="OLE_LINK47"/>
      <w:bookmarkStart w:id="98" w:name="OLE_LINK46"/>
      <w:r>
        <w:t>Brazilian</w:t>
      </w:r>
      <w:bookmarkEnd w:id="93"/>
      <w:bookmarkEnd w:id="94"/>
      <w:bookmarkEnd w:id="95"/>
      <w:bookmarkEnd w:id="96"/>
      <w:r>
        <w:t xml:space="preserve"> market</w:t>
      </w:r>
      <w:bookmarkEnd w:id="92"/>
      <w:bookmarkEnd w:id="97"/>
      <w:bookmarkEnd w:id="98"/>
    </w:p>
    <w:p>
      <w:pPr>
        <w:ind w:left="525" w:right="525"/>
        <w:rPr>
          <w:rFonts w:cs="Times New Roman"/>
          <w:sz w:val="22"/>
          <w:szCs w:val="22"/>
          <w:lang w:val="en-GB"/>
        </w:rPr>
      </w:pPr>
      <w:bookmarkStart w:id="99" w:name="OLE_LINK68"/>
      <w:bookmarkStart w:id="100" w:name="OLE_LINK69"/>
      <w:r>
        <w:t>Adaptation strategy shall be applied for all the elements of marketing mix in Brazilian market. Brazilians</w:t>
      </w:r>
      <w:bookmarkEnd w:id="99"/>
      <w:bookmarkEnd w:id="100"/>
      <w:r>
        <w:t xml:space="preserve"> are the nationality of similarities with Germans in drinking beers. The difference shows in the beer type they enjoy. Brazilians are fond of ice beer, even the women who just gave birth immediately drinking a large mouthful of ice beer to be relaxed. In the past 30 years, the number of drinking Brazilians has risen sharply. In 2016, Women with drinking habits occupied a proportion of 42%. From a global average, only 25% of women around the world have a habit of drinking beers, which is far below the Brazilian average (Pereira et al., 2012). For </w:t>
      </w:r>
      <w:bookmarkStart w:id="101" w:name="OLE_LINK77"/>
      <w:bookmarkStart w:id="102" w:name="OLE_LINK74"/>
      <w:bookmarkStart w:id="103" w:name="OLE_LINK75"/>
      <w:r>
        <w:t>Tomos Watkin</w:t>
      </w:r>
      <w:bookmarkEnd w:id="101"/>
      <w:bookmarkEnd w:id="102"/>
      <w:bookmarkEnd w:id="103"/>
      <w:r>
        <w:t xml:space="preserve">’s beers entering Brazilian market, women who drink shall be considered as a marketing point. Product </w:t>
      </w:r>
      <w:bookmarkStart w:id="104" w:name="OLE_LINK71"/>
      <w:bookmarkStart w:id="105" w:name="OLE_LINK70"/>
      <w:r>
        <w:t>adaptation</w:t>
      </w:r>
      <w:bookmarkEnd w:id="104"/>
      <w:bookmarkEnd w:id="105"/>
      <w:r>
        <w:t xml:space="preserve"> is embodied in launching women’s exclusive beer type. Price adaptation finds its expression in altering the size and appearance to fit Brazilian women’ like such as diversified colors and bottle shapes. As brand of Tomos Watkin may demonstrate unfamiliar to Brazilians, direct sales and off-line marketing would be a better choice to attract them to purchase, with promotion sales coordinated. This is referred as place adaption. Promotion adaptation reflects in Tomos Watkin’s commercial orientation, with more focus on Brazilian women.</w:t>
      </w:r>
      <w:bookmarkEnd w:id="77"/>
      <w:bookmarkEnd w:id="78"/>
    </w:p>
    <w:p>
      <w:pPr>
        <w:pStyle w:val="3"/>
        <w:ind w:left="525" w:right="525"/>
        <w:rPr>
          <w:rFonts w:ascii="Times New Roman" w:hAnsi="Times New Roman" w:cs="Times New Roman"/>
        </w:rPr>
      </w:pPr>
      <w:bookmarkStart w:id="106" w:name="_Toc5895"/>
      <w:r>
        <w:rPr>
          <w:rFonts w:ascii="Times New Roman" w:hAnsi="Times New Roman" w:cs="Times New Roman"/>
        </w:rPr>
        <w:t xml:space="preserve">3.2 </w:t>
      </w:r>
      <w:bookmarkStart w:id="107" w:name="OLE_LINK78"/>
      <w:bookmarkStart w:id="108" w:name="OLE_LINK79"/>
      <w:bookmarkStart w:id="109" w:name="OLE_LINK172"/>
      <w:r>
        <w:rPr>
          <w:rFonts w:ascii="Times New Roman" w:hAnsi="Times New Roman" w:cs="Times New Roman"/>
        </w:rPr>
        <w:t>Cultural forces</w:t>
      </w:r>
      <w:bookmarkEnd w:id="106"/>
      <w:bookmarkEnd w:id="107"/>
      <w:bookmarkEnd w:id="108"/>
      <w:bookmarkEnd w:id="109"/>
      <w:r>
        <w:rPr>
          <w:rFonts w:ascii="Times New Roman" w:hAnsi="Times New Roman" w:cs="Times New Roman"/>
        </w:rPr>
        <w:t xml:space="preserve"> </w:t>
      </w:r>
    </w:p>
    <w:p>
      <w:pPr>
        <w:ind w:left="525" w:right="525"/>
      </w:pPr>
      <w:r>
        <w:t xml:space="preserve">Culture typically penetrates in people’s life by influences on the way they talk, learn, and value. Raval &amp; Subramanian (2004) explains that elements of culture consist of religion, language, history, and education. Culture forces are one of the vital factors that affect marketing mix, with organizations unable to stride across local culture when start to putting in their products by advertising and promotion. Customers are easier to accept the products that fit more with their conventions and customs. </w:t>
      </w:r>
    </w:p>
    <w:p>
      <w:pPr>
        <w:pStyle w:val="4"/>
        <w:ind w:left="525" w:right="525"/>
      </w:pPr>
      <w:bookmarkStart w:id="110" w:name="_Toc15341"/>
      <w:r>
        <w:t>3.2</w:t>
      </w:r>
      <w:r>
        <w:rPr>
          <w:rFonts w:hint="eastAsia"/>
        </w:rPr>
        <w:t>.</w:t>
      </w:r>
      <w:r>
        <w:t xml:space="preserve">1 </w:t>
      </w:r>
      <w:bookmarkStart w:id="111" w:name="OLE_LINK80"/>
      <w:bookmarkStart w:id="112" w:name="OLE_LINK81"/>
      <w:r>
        <w:t>Analysis of key cultural forces</w:t>
      </w:r>
      <w:bookmarkEnd w:id="111"/>
      <w:bookmarkEnd w:id="112"/>
      <w:r>
        <w:t xml:space="preserve"> in Germany</w:t>
      </w:r>
      <w:bookmarkEnd w:id="110"/>
    </w:p>
    <w:p>
      <w:pPr>
        <w:ind w:left="525" w:right="525"/>
      </w:pPr>
      <w:r>
        <w:t xml:space="preserve">Germans are mostly well educated with rational views resulting in the thinking habit of putting facts ahead of emotions cultivated (Skaates et al., 2002). They demonstrate to behave objectively and communicate directly, which shall </w:t>
      </w:r>
      <w:bookmarkStart w:id="113" w:name="OLE_LINK95"/>
      <w:bookmarkStart w:id="114" w:name="OLE_LINK96"/>
      <w:r>
        <w:t>be the key cultural forces to adapt Tomos Watkin’s exist marking mix</w:t>
      </w:r>
      <w:bookmarkEnd w:id="113"/>
      <w:bookmarkEnd w:id="114"/>
      <w:r>
        <w:t>. The most important</w:t>
      </w:r>
      <w:r>
        <w:rPr>
          <w:rFonts w:hint="eastAsia" w:eastAsia="宋体"/>
        </w:rPr>
        <w:t xml:space="preserve"> point</w:t>
      </w:r>
      <w:r>
        <w:t xml:space="preserve"> is </w:t>
      </w:r>
      <w:r>
        <w:rPr>
          <w:rFonts w:hint="eastAsia" w:eastAsia="宋体"/>
        </w:rPr>
        <w:t>to ensure</w:t>
      </w:r>
      <w:r>
        <w:t xml:space="preserve"> beer’s excellent traits, as Germans tend to judge products without any mood. Germans take aware of where the products they buy are produced. Thus, it shall be wise to emphasize </w:t>
      </w:r>
      <w:bookmarkStart w:id="115" w:name="OLE_LINK83"/>
      <w:bookmarkStart w:id="116" w:name="OLE_LINK84"/>
      <w:r>
        <w:t>Tomos Watkin</w:t>
      </w:r>
      <w:bookmarkEnd w:id="115"/>
      <w:bookmarkEnd w:id="116"/>
      <w:r>
        <w:t xml:space="preserve"> when advertise its beers. As for pricing，due to their abundant incomes, Germans are willing and able to consume high value beers so long as the quality gaining recognition by them. Tomos Watkin may develop new high-end products specialized for Germans.</w:t>
      </w:r>
    </w:p>
    <w:p>
      <w:pPr>
        <w:pStyle w:val="4"/>
        <w:ind w:left="525" w:right="525"/>
      </w:pPr>
      <w:bookmarkStart w:id="117" w:name="_Toc26618"/>
      <w:r>
        <w:t>3.2</w:t>
      </w:r>
      <w:r>
        <w:rPr>
          <w:rFonts w:hint="eastAsia"/>
        </w:rPr>
        <w:t>.</w:t>
      </w:r>
      <w:r>
        <w:t xml:space="preserve">2 Analysis of key cultural forces in </w:t>
      </w:r>
      <w:bookmarkStart w:id="118" w:name="OLE_LINK177"/>
      <w:bookmarkStart w:id="119" w:name="OLE_LINK178"/>
      <w:r>
        <w:t>Brazil</w:t>
      </w:r>
      <w:bookmarkEnd w:id="117"/>
    </w:p>
    <w:bookmarkEnd w:id="118"/>
    <w:bookmarkEnd w:id="119"/>
    <w:p>
      <w:pPr>
        <w:ind w:left="525" w:right="525"/>
        <w:rPr>
          <w:rFonts w:cs="Times New Roman" w:eastAsiaTheme="minorHAnsi"/>
          <w:sz w:val="22"/>
          <w:szCs w:val="22"/>
        </w:rPr>
      </w:pPr>
      <w:r>
        <w:t>Brazilians are famous for their celebration culture and passions over football, which is considered to be the key forces to adapt Tomos Watkin’s existing marking mix. Various immigrants have contributed to Brazilian colorful and modern culture that shines currently (Collins, 2009). In addition, the middle class in Brazil communities is boosting in recent years, which ensure the</w:t>
      </w:r>
      <w:r>
        <w:rPr>
          <w:rFonts w:hint="eastAsia" w:eastAsia="宋体"/>
        </w:rPr>
        <w:t>ir</w:t>
      </w:r>
      <w:r>
        <w:t xml:space="preserve"> ability to consume. Just as first report illustrated, the better entry mode to enter Brazil market is supposed to be joint venture and alliances. In regards to promoting products aspect, it would be properly for Tomos Watkin to conduct promotion sponsored with popular local sports initiatives and events. Tomos Watkin may price its beers for upper class and lower class respectively to meet different needs of nationalities in Brazil.</w:t>
      </w:r>
    </w:p>
    <w:p>
      <w:pPr>
        <w:pStyle w:val="2"/>
        <w:ind w:left="525" w:right="525"/>
      </w:pPr>
      <w:bookmarkStart w:id="120" w:name="OLE_LINK44"/>
      <w:bookmarkStart w:id="121" w:name="OLE_LINK45"/>
      <w:bookmarkStart w:id="122" w:name="_Toc32449"/>
      <w:r>
        <w:t>4. Analysis of competitors’ entering foreign markets</w:t>
      </w:r>
      <w:bookmarkEnd w:id="120"/>
      <w:bookmarkEnd w:id="121"/>
      <w:bookmarkEnd w:id="122"/>
    </w:p>
    <w:p>
      <w:pPr>
        <w:ind w:left="525" w:right="525"/>
        <w:rPr>
          <w:rFonts w:eastAsia="宋体" w:cs="Times New Roman"/>
          <w:sz w:val="22"/>
          <w:szCs w:val="22"/>
        </w:rPr>
      </w:pPr>
      <w:r>
        <w:t xml:space="preserve">Based in Wales as well, </w:t>
      </w:r>
      <w:bookmarkStart w:id="123" w:name="OLE_LINK97"/>
      <w:bookmarkStart w:id="124" w:name="OLE_LINK93"/>
      <w:bookmarkStart w:id="125" w:name="OLE_LINK94"/>
      <w:r>
        <w:t>Tiny Rebel</w:t>
      </w:r>
      <w:bookmarkEnd w:id="123"/>
      <w:bookmarkEnd w:id="124"/>
      <w:bookmarkEnd w:id="125"/>
      <w:r>
        <w:t xml:space="preserve"> is one of </w:t>
      </w:r>
      <w:bookmarkStart w:id="126" w:name="OLE_LINK98"/>
      <w:bookmarkStart w:id="127" w:name="OLE_LINK99"/>
      <w:bookmarkStart w:id="128" w:name="OLE_LINK105"/>
      <w:r>
        <w:t>Tomos Watkin</w:t>
      </w:r>
      <w:bookmarkEnd w:id="126"/>
      <w:bookmarkEnd w:id="127"/>
      <w:bookmarkEnd w:id="128"/>
      <w:r>
        <w:t xml:space="preserve">’s powerful competitors. Being a small and fast growing brewery in South Wales, its performance is not at all worse than the larger national brewery brands in UK. As the demands expanding rapidly, Tiny Rebel moved to new facility in 2016 and started to enter foreign markets by exporting beers to more than 35 countries, with further planning to enter US market (foodandwine, 2018). It promotes products using the forceful spreading power of social media. The condition of Magic Rock Brewing is similar as Tiny Rebel. Founded in Huddersfield in 2011, it has been growing at a striking pace. Magic Rock beer is now shipped all over the world. </w:t>
      </w:r>
      <w:r>
        <w:rPr>
          <w:rFonts w:hint="eastAsia" w:eastAsia="宋体"/>
        </w:rPr>
        <w:t>One of t</w:t>
      </w:r>
      <w:r>
        <w:t>he problem</w:t>
      </w:r>
      <w:r>
        <w:rPr>
          <w:rFonts w:hint="eastAsia" w:eastAsia="宋体"/>
        </w:rPr>
        <w:t>s</w:t>
      </w:r>
      <w:r>
        <w:t xml:space="preserve"> they both faced with is difficult to establish complete intimacy of brand in foreign customers’ mind, with no replacement of their local beers.</w:t>
      </w:r>
      <w:r>
        <w:rPr>
          <w:rFonts w:hint="eastAsia" w:eastAsia="宋体"/>
        </w:rPr>
        <w:t xml:space="preserve"> Besides, due to the multinational operation, all sorts of costs rise up and sales volumes perform far more less than home country resulting in profits reduced sharply (</w:t>
      </w:r>
      <w:r>
        <w:rPr>
          <w:rFonts w:cs="Times New Roman"/>
          <w:sz w:val="22"/>
          <w:szCs w:val="22"/>
        </w:rPr>
        <w:t>Danson</w:t>
      </w:r>
      <w:r>
        <w:rPr>
          <w:rFonts w:hint="eastAsia" w:eastAsia="宋体" w:cs="Times New Roman"/>
          <w:sz w:val="22"/>
          <w:szCs w:val="22"/>
        </w:rPr>
        <w:t xml:space="preserve"> et al., 2015)</w:t>
      </w:r>
      <w:r>
        <w:rPr>
          <w:rFonts w:hint="eastAsia" w:eastAsia="宋体"/>
        </w:rPr>
        <w:t xml:space="preserve">. </w:t>
      </w:r>
    </w:p>
    <w:p>
      <w:pPr>
        <w:pStyle w:val="2"/>
        <w:ind w:left="525" w:right="525"/>
      </w:pPr>
      <w:bookmarkStart w:id="129" w:name="_Toc26646"/>
      <w:r>
        <w:t>5. Conclusion</w:t>
      </w:r>
      <w:bookmarkEnd w:id="129"/>
      <w:r>
        <w:t xml:space="preserve">   </w:t>
      </w:r>
    </w:p>
    <w:p>
      <w:pPr>
        <w:ind w:left="525" w:right="525"/>
        <w:rPr>
          <w:rFonts w:eastAsia="宋体" w:cs="Times New Roman"/>
          <w:sz w:val="22"/>
          <w:szCs w:val="22"/>
        </w:rPr>
      </w:pPr>
      <w:r>
        <w:t xml:space="preserve">According to Zachary (2017), the data has seen he number of </w:t>
      </w:r>
      <w:bookmarkStart w:id="130" w:name="OLE_LINK183"/>
      <w:bookmarkStart w:id="131" w:name="OLE_LINK184"/>
      <w:r>
        <w:t>UK breweries</w:t>
      </w:r>
      <w:bookmarkEnd w:id="130"/>
      <w:bookmarkEnd w:id="131"/>
      <w:r>
        <w:t xml:space="preserve"> in 2017 surpass 2,000, recorded 64% more breweries than five years ago. It can be seen that </w:t>
      </w:r>
      <w:bookmarkStart w:id="132" w:name="OLE_LINK107"/>
      <w:bookmarkStart w:id="133" w:name="OLE_LINK106"/>
      <w:r>
        <w:t>Tomos Watkin</w:t>
      </w:r>
      <w:bookmarkEnd w:id="132"/>
      <w:bookmarkEnd w:id="133"/>
      <w:r>
        <w:t xml:space="preserve"> is confronted with intense competitiveness in its home country, let alone International market. After analyzing the basic condition of German and Brazilian market, conclusion can be drawn that most existing marketing mix of Tomos Watkin is supposed to be adapted to the both two foreign markets. The key cultural force of rational thinking of Germans and passions over football of Brazilians shall be taken into account in details as well when Tomos Watkin starting to put in products</w:t>
      </w:r>
      <w:r>
        <w:rPr>
          <w:rFonts w:hint="eastAsia" w:eastAsia="宋体"/>
        </w:rPr>
        <w:t>.</w:t>
      </w:r>
    </w:p>
    <w:p>
      <w:pPr>
        <w:pStyle w:val="2"/>
        <w:ind w:left="525" w:right="525"/>
      </w:pPr>
      <w:bookmarkStart w:id="134" w:name="_Toc26570"/>
      <w:r>
        <w:t xml:space="preserve">6. </w:t>
      </w:r>
      <w:r>
        <w:rPr>
          <w:lang w:eastAsia="en-US"/>
        </w:rPr>
        <w:t>Recommendations</w:t>
      </w:r>
      <w:bookmarkEnd w:id="134"/>
    </w:p>
    <w:p>
      <w:pPr>
        <w:ind w:left="525" w:right="525"/>
      </w:pPr>
      <w:r>
        <w:t xml:space="preserve">Firstly, keep curious as for brewing. Innovation is the very motive power to obtain development for organizations (Vale &amp; Addison, 2001). Being absorbed in brewing superior and innovative beers to maintain loyal fans and develop new fans is necessary strategy that </w:t>
      </w:r>
      <w:bookmarkStart w:id="135" w:name="OLE_LINK102"/>
      <w:bookmarkStart w:id="136" w:name="OLE_LINK101"/>
      <w:bookmarkStart w:id="137" w:name="OLE_LINK100"/>
      <w:r>
        <w:t>Tomos Watkin</w:t>
      </w:r>
      <w:bookmarkEnd w:id="135"/>
      <w:bookmarkEnd w:id="136"/>
      <w:bookmarkEnd w:id="137"/>
      <w:r>
        <w:t xml:space="preserve"> should always apply. Secondly, sticking to the rule of </w:t>
      </w:r>
      <w:bookmarkStart w:id="138" w:name="OLE_LINK187"/>
      <w:bookmarkStart w:id="139" w:name="OLE_LINK188"/>
      <w:r>
        <w:t xml:space="preserve">organizations </w:t>
      </w:r>
      <w:bookmarkEnd w:id="138"/>
      <w:bookmarkEnd w:id="139"/>
      <w:r>
        <w:t>being consumers as well as producers (Schellhase et al., 2000). It helps Tomos Watkin construct reputation among customers by mutually conversing status and providing more considerable services. Finally, social media is one of the most effective tools to promote and advertise at present (Evans, 2010). It would be advisable for Tomos Watkin to sending messages via platforms such as Facebook, Twitter and Instagram that are in common use. After the fans who are on those platforms becoming loyal fans over its beers, they typically spread their experiences to friends or on other platforms.</w:t>
      </w: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ind w:left="525" w:right="525"/>
      </w:pPr>
    </w:p>
    <w:p>
      <w:pPr>
        <w:pStyle w:val="2"/>
        <w:ind w:left="0" w:leftChars="0" w:right="525"/>
      </w:pPr>
      <w:bookmarkStart w:id="140" w:name="_Toc10117"/>
      <w:r>
        <w:rPr>
          <w:lang w:eastAsia="en-US"/>
        </w:rPr>
        <w:t>References</w:t>
      </w:r>
      <w:bookmarkEnd w:id="140"/>
      <w:r>
        <w:t xml:space="preserve">   </w:t>
      </w:r>
    </w:p>
    <w:p>
      <w:pPr>
        <w:ind w:left="525" w:right="525"/>
        <w:rPr>
          <w:rFonts w:cs="Times New Roman" w:eastAsiaTheme="minorHAnsi"/>
          <w:sz w:val="22"/>
          <w:szCs w:val="22"/>
        </w:rPr>
      </w:pPr>
      <w:bookmarkStart w:id="141" w:name="OLE_LINK170"/>
      <w:bookmarkStart w:id="142" w:name="OLE_LINK169"/>
      <w:r>
        <w:rPr>
          <w:rFonts w:cs="Times New Roman" w:eastAsiaTheme="minorHAnsi"/>
          <w:sz w:val="22"/>
          <w:szCs w:val="22"/>
        </w:rPr>
        <w:t>Auer, P., &amp; Maschler</w:t>
      </w:r>
      <w:bookmarkEnd w:id="141"/>
      <w:bookmarkEnd w:id="142"/>
      <w:r>
        <w:rPr>
          <w:rFonts w:cs="Times New Roman" w:eastAsiaTheme="minorHAnsi"/>
          <w:sz w:val="22"/>
          <w:szCs w:val="22"/>
        </w:rPr>
        <w:t>, Y. (2013). Discourse or grammar? vs patterns in spoken hebrew and spoken german narratives. </w:t>
      </w:r>
      <w:r>
        <w:rPr>
          <w:rFonts w:cs="Times New Roman" w:eastAsiaTheme="minorHAnsi"/>
          <w:i/>
          <w:iCs/>
          <w:sz w:val="22"/>
          <w:szCs w:val="22"/>
        </w:rPr>
        <w:t>Language Sciences,37</w:t>
      </w:r>
      <w:r>
        <w:rPr>
          <w:rFonts w:cs="Times New Roman" w:eastAsiaTheme="minorHAnsi"/>
          <w:sz w:val="22"/>
          <w:szCs w:val="22"/>
        </w:rPr>
        <w:t>(3), 147-181.</w:t>
      </w:r>
    </w:p>
    <w:p>
      <w:pPr>
        <w:ind w:left="525" w:right="525"/>
        <w:rPr>
          <w:rFonts w:cs="Times New Roman" w:eastAsiaTheme="minorHAnsi"/>
          <w:sz w:val="22"/>
          <w:szCs w:val="22"/>
        </w:rPr>
      </w:pPr>
    </w:p>
    <w:p>
      <w:pPr>
        <w:ind w:left="525" w:right="525"/>
        <w:rPr>
          <w:rFonts w:cs="Times New Roman" w:eastAsiaTheme="minorHAnsi"/>
          <w:sz w:val="22"/>
          <w:szCs w:val="22"/>
        </w:rPr>
      </w:pPr>
      <w:r>
        <w:rPr>
          <w:rFonts w:cs="Times New Roman" w:eastAsiaTheme="minorHAnsi"/>
          <w:sz w:val="22"/>
          <w:szCs w:val="22"/>
        </w:rPr>
        <w:t>BenHamed, &amp; Usama. (2012). An analysis of the use of brewery spent grain : a case study of the uk brewing industry. </w:t>
      </w:r>
      <w:r>
        <w:rPr>
          <w:rFonts w:cs="Times New Roman" w:eastAsiaTheme="minorHAnsi"/>
          <w:i/>
          <w:iCs/>
          <w:sz w:val="22"/>
          <w:szCs w:val="22"/>
        </w:rPr>
        <w:t>Energy &amp; Buildings,</w:t>
      </w:r>
      <w:r>
        <w:rPr>
          <w:rFonts w:cs="Times New Roman" w:eastAsiaTheme="minorHAnsi"/>
          <w:sz w:val="22"/>
          <w:szCs w:val="22"/>
        </w:rPr>
        <w:t> </w:t>
      </w:r>
      <w:r>
        <w:rPr>
          <w:rFonts w:cs="Times New Roman" w:eastAsiaTheme="minorHAnsi"/>
          <w:i/>
          <w:iCs/>
          <w:sz w:val="22"/>
          <w:szCs w:val="22"/>
        </w:rPr>
        <w:t>41</w:t>
      </w:r>
      <w:r>
        <w:rPr>
          <w:rFonts w:cs="Times New Roman" w:eastAsiaTheme="minorHAnsi"/>
          <w:sz w:val="22"/>
          <w:szCs w:val="22"/>
        </w:rPr>
        <w:t>(2), 154-163.</w:t>
      </w:r>
    </w:p>
    <w:p>
      <w:pPr>
        <w:ind w:left="0" w:leftChars="0" w:right="525"/>
        <w:rPr>
          <w:rFonts w:cs="Times New Roman" w:eastAsiaTheme="minorHAnsi"/>
          <w:sz w:val="22"/>
          <w:szCs w:val="22"/>
        </w:rPr>
      </w:pPr>
    </w:p>
    <w:p>
      <w:pPr>
        <w:ind w:left="525" w:right="525"/>
        <w:rPr>
          <w:rFonts w:cs="Times New Roman" w:eastAsiaTheme="minorHAnsi"/>
          <w:sz w:val="22"/>
          <w:szCs w:val="22"/>
        </w:rPr>
      </w:pPr>
      <w:bookmarkStart w:id="143" w:name="OLE_LINK179"/>
      <w:bookmarkStart w:id="144" w:name="OLE_LINK180"/>
      <w:r>
        <w:rPr>
          <w:rFonts w:cs="Times New Roman" w:eastAsiaTheme="minorHAnsi"/>
          <w:sz w:val="22"/>
          <w:szCs w:val="22"/>
        </w:rPr>
        <w:t>Collins</w:t>
      </w:r>
      <w:bookmarkEnd w:id="143"/>
      <w:bookmarkEnd w:id="144"/>
      <w:r>
        <w:rPr>
          <w:rFonts w:cs="Times New Roman" w:eastAsiaTheme="minorHAnsi"/>
          <w:sz w:val="22"/>
          <w:szCs w:val="22"/>
        </w:rPr>
        <w:t>, J. F. (2009). Historical and cultural patrimony in brazil: recent work in portuguese.</w:t>
      </w:r>
      <w:r>
        <w:rPr>
          <w:rFonts w:cs="Times New Roman" w:eastAsiaTheme="minorHAnsi"/>
          <w:i/>
          <w:sz w:val="22"/>
          <w:szCs w:val="22"/>
        </w:rPr>
        <w:t xml:space="preserve"> Latin American Research Review</w:t>
      </w:r>
      <w:r>
        <w:rPr>
          <w:rFonts w:cs="Times New Roman" w:eastAsiaTheme="minorHAnsi"/>
          <w:sz w:val="22"/>
          <w:szCs w:val="22"/>
        </w:rPr>
        <w:t>, 44(1), 291-301.</w:t>
      </w:r>
    </w:p>
    <w:p>
      <w:pPr>
        <w:ind w:left="525" w:right="525"/>
        <w:rPr>
          <w:rFonts w:cs="Times New Roman" w:eastAsiaTheme="minorHAnsi"/>
          <w:sz w:val="22"/>
          <w:szCs w:val="22"/>
        </w:rPr>
      </w:pPr>
    </w:p>
    <w:p>
      <w:pPr>
        <w:ind w:left="525" w:right="525"/>
        <w:rPr>
          <w:rFonts w:cs="Times New Roman"/>
          <w:sz w:val="22"/>
          <w:szCs w:val="22"/>
        </w:rPr>
      </w:pPr>
      <w:r>
        <w:rPr>
          <w:rFonts w:cs="Times New Roman"/>
          <w:sz w:val="22"/>
          <w:szCs w:val="22"/>
        </w:rPr>
        <w:t xml:space="preserve">Constantinides, E. (2006). The marketing mix revisited: towards the 21st century marketing. </w:t>
      </w:r>
      <w:r>
        <w:rPr>
          <w:rFonts w:cs="Times New Roman"/>
          <w:i/>
          <w:sz w:val="22"/>
          <w:szCs w:val="22"/>
        </w:rPr>
        <w:t>Journal of Marketing Management</w:t>
      </w:r>
      <w:r>
        <w:rPr>
          <w:rFonts w:cs="Times New Roman"/>
          <w:sz w:val="22"/>
          <w:szCs w:val="22"/>
        </w:rPr>
        <w:t>, 22(3-4), 407-438.</w:t>
      </w:r>
    </w:p>
    <w:p>
      <w:pPr>
        <w:ind w:left="525" w:right="525"/>
        <w:rPr>
          <w:rFonts w:cs="Times New Roman"/>
          <w:sz w:val="22"/>
          <w:szCs w:val="22"/>
        </w:rPr>
      </w:pPr>
    </w:p>
    <w:p>
      <w:pPr>
        <w:ind w:left="525" w:right="525"/>
        <w:rPr>
          <w:rFonts w:cs="Times New Roman"/>
          <w:sz w:val="22"/>
          <w:szCs w:val="22"/>
        </w:rPr>
      </w:pPr>
      <w:r>
        <w:rPr>
          <w:rFonts w:cs="Times New Roman"/>
          <w:sz w:val="22"/>
          <w:szCs w:val="22"/>
        </w:rPr>
        <w:t>Danson, M., Galloway, L., Cabras, I., &amp; Beatty, T. (2015). Microbrewing and entrepreneurship: the origins, development and integration of real ale breweries in the uk. </w:t>
      </w:r>
      <w:r>
        <w:rPr>
          <w:rFonts w:cs="Times New Roman"/>
          <w:i/>
          <w:sz w:val="22"/>
          <w:szCs w:val="22"/>
        </w:rPr>
        <w:t>International Journal of Entrepreneurship &amp; Innovation,</w:t>
      </w:r>
      <w:r>
        <w:rPr>
          <w:rFonts w:cs="Times New Roman"/>
          <w:sz w:val="22"/>
          <w:szCs w:val="22"/>
        </w:rPr>
        <w:t> 16(2), 135-144(10).</w:t>
      </w:r>
    </w:p>
    <w:p>
      <w:pPr>
        <w:ind w:left="525" w:right="525"/>
        <w:rPr>
          <w:rFonts w:cs="Times New Roman"/>
          <w:sz w:val="22"/>
          <w:szCs w:val="22"/>
        </w:rPr>
      </w:pPr>
    </w:p>
    <w:p>
      <w:pPr>
        <w:ind w:left="525" w:right="525"/>
        <w:rPr>
          <w:rFonts w:cs="Times New Roman"/>
          <w:sz w:val="22"/>
          <w:szCs w:val="22"/>
        </w:rPr>
      </w:pPr>
      <w:bookmarkStart w:id="145" w:name="OLE_LINK191"/>
      <w:bookmarkStart w:id="146" w:name="OLE_LINK192"/>
      <w:r>
        <w:rPr>
          <w:rFonts w:cs="Times New Roman"/>
          <w:sz w:val="22"/>
          <w:szCs w:val="22"/>
        </w:rPr>
        <w:t>Evans</w:t>
      </w:r>
      <w:bookmarkEnd w:id="145"/>
      <w:bookmarkEnd w:id="146"/>
      <w:r>
        <w:rPr>
          <w:rFonts w:cs="Times New Roman"/>
          <w:sz w:val="22"/>
          <w:szCs w:val="22"/>
        </w:rPr>
        <w:t>, D. (2010). Social media marketing : the next generation of business engagement. Social Media Marketing: The Next Generation of Business Engagement.</w:t>
      </w:r>
    </w:p>
    <w:p>
      <w:pPr>
        <w:ind w:left="525" w:right="525"/>
        <w:rPr>
          <w:rFonts w:cs="Times New Roman"/>
          <w:sz w:val="22"/>
          <w:szCs w:val="22"/>
        </w:rPr>
      </w:pPr>
    </w:p>
    <w:p>
      <w:pPr>
        <w:ind w:left="525" w:right="525"/>
        <w:rPr>
          <w:rFonts w:cs="Times New Roman"/>
          <w:sz w:val="22"/>
          <w:szCs w:val="22"/>
        </w:rPr>
      </w:pPr>
      <w:r>
        <w:rPr>
          <w:rFonts w:cs="Times New Roman"/>
          <w:sz w:val="22"/>
          <w:szCs w:val="22"/>
        </w:rPr>
        <w:t>Fandrich, &amp; Thomas. (2013). Essays on learning from consumer response to support marketing mix decisions : empirical applications to decisions on product, price and promotion.</w:t>
      </w:r>
    </w:p>
    <w:p>
      <w:pPr>
        <w:ind w:left="525" w:right="525"/>
        <w:rPr>
          <w:rFonts w:cs="Times New Roman"/>
          <w:sz w:val="22"/>
          <w:szCs w:val="22"/>
        </w:rPr>
      </w:pPr>
    </w:p>
    <w:p>
      <w:pPr>
        <w:ind w:left="525" w:right="525"/>
        <w:rPr>
          <w:rFonts w:cs="Times New Roman"/>
          <w:sz w:val="22"/>
          <w:szCs w:val="22"/>
        </w:rPr>
      </w:pPr>
      <w:r>
        <w:rPr>
          <w:rFonts w:cs="Times New Roman"/>
          <w:sz w:val="22"/>
          <w:szCs w:val="22"/>
        </w:rPr>
        <w:t xml:space="preserve">Foodandwine. (2018), </w:t>
      </w:r>
      <w:r>
        <w:rPr>
          <w:rFonts w:cs="Times New Roman"/>
          <w:i/>
          <w:sz w:val="22"/>
          <w:szCs w:val="22"/>
        </w:rPr>
        <w:t>The 15 Most Important Craft Breweries in Europe</w:t>
      </w:r>
      <w:r>
        <w:rPr>
          <w:rFonts w:cs="Times New Roman"/>
          <w:sz w:val="22"/>
          <w:szCs w:val="22"/>
        </w:rPr>
        <w:t xml:space="preserve">, Available: </w:t>
      </w:r>
      <w:r>
        <w:fldChar w:fldCharType="begin"/>
      </w:r>
      <w:r>
        <w:instrText xml:space="preserve"> HYPERLINK "https://www.foodandwine.com/beer/craft-beer-breweries-europe" </w:instrText>
      </w:r>
      <w:r>
        <w:fldChar w:fldCharType="separate"/>
      </w:r>
      <w:r>
        <w:rPr>
          <w:rStyle w:val="12"/>
          <w:rFonts w:eastAsia="Times New Roman" w:cs="Times New Roman"/>
          <w:sz w:val="22"/>
          <w:szCs w:val="22"/>
        </w:rPr>
        <w:t>https://www.foodandwine.com/beer/craft-beer-breweries-europe</w:t>
      </w:r>
      <w:r>
        <w:rPr>
          <w:rStyle w:val="12"/>
          <w:rFonts w:eastAsia="Times New Roman" w:cs="Times New Roman"/>
          <w:sz w:val="22"/>
          <w:szCs w:val="22"/>
        </w:rPr>
        <w:fldChar w:fldCharType="end"/>
      </w:r>
      <w:r>
        <w:rPr>
          <w:rFonts w:cs="Times New Roman"/>
          <w:bCs/>
          <w:sz w:val="22"/>
          <w:szCs w:val="22"/>
        </w:rPr>
        <w:t xml:space="preserve">[Accessed: 21th </w:t>
      </w:r>
      <w:r>
        <w:rPr>
          <w:rFonts w:cs="Times New Roman"/>
          <w:sz w:val="22"/>
          <w:szCs w:val="22"/>
        </w:rPr>
        <w:t>April</w:t>
      </w:r>
      <w:r>
        <w:rPr>
          <w:rFonts w:cs="Times New Roman"/>
          <w:bCs/>
          <w:sz w:val="22"/>
          <w:szCs w:val="22"/>
        </w:rPr>
        <w:t xml:space="preserve"> 2019].</w:t>
      </w:r>
    </w:p>
    <w:p>
      <w:pPr>
        <w:ind w:left="525" w:right="525"/>
        <w:rPr>
          <w:rFonts w:eastAsia="Times New Roman" w:cs="Times New Roman"/>
          <w:sz w:val="22"/>
          <w:szCs w:val="22"/>
        </w:rPr>
      </w:pPr>
    </w:p>
    <w:p>
      <w:pPr>
        <w:ind w:left="525" w:right="525"/>
        <w:rPr>
          <w:rFonts w:cs="Times New Roman"/>
          <w:sz w:val="22"/>
          <w:szCs w:val="22"/>
        </w:rPr>
      </w:pPr>
      <w:bookmarkStart w:id="147" w:name="OLE_LINK165"/>
      <w:bookmarkStart w:id="148" w:name="OLE_LINK164"/>
      <w:r>
        <w:rPr>
          <w:rFonts w:cs="Times New Roman"/>
          <w:sz w:val="22"/>
          <w:szCs w:val="22"/>
        </w:rPr>
        <w:t>Mohanram, A. S., &amp; Mahavi</w:t>
      </w:r>
      <w:bookmarkEnd w:id="147"/>
      <w:bookmarkEnd w:id="148"/>
      <w:r>
        <w:rPr>
          <w:rFonts w:cs="Times New Roman"/>
          <w:sz w:val="22"/>
          <w:szCs w:val="22"/>
        </w:rPr>
        <w:t>, C. (2007). Product related characteristics, promotion and marketing mix are key tools in determining purchase behaviour &amp; purchase decision by teenagers - an empirical study.</w:t>
      </w:r>
      <w:r>
        <w:rPr>
          <w:rFonts w:cs="Times New Roman"/>
          <w:i/>
          <w:sz w:val="22"/>
          <w:szCs w:val="22"/>
        </w:rPr>
        <w:t xml:space="preserve"> Journal of Neuroscience the Official Journal of the Society for Neuroscience</w:t>
      </w:r>
      <w:r>
        <w:rPr>
          <w:rFonts w:cs="Times New Roman"/>
          <w:sz w:val="22"/>
          <w:szCs w:val="22"/>
        </w:rPr>
        <w:t>, 30(49), 16498-508.</w:t>
      </w:r>
    </w:p>
    <w:p>
      <w:pPr>
        <w:ind w:left="525" w:right="525"/>
        <w:rPr>
          <w:rFonts w:cs="Times New Roman"/>
          <w:sz w:val="22"/>
          <w:szCs w:val="22"/>
        </w:rPr>
      </w:pPr>
    </w:p>
    <w:p>
      <w:pPr>
        <w:ind w:left="525" w:right="525"/>
        <w:rPr>
          <w:rFonts w:cs="Times New Roman"/>
          <w:sz w:val="22"/>
          <w:szCs w:val="22"/>
        </w:rPr>
      </w:pPr>
      <w:r>
        <w:rPr>
          <w:rFonts w:cs="Times New Roman"/>
          <w:sz w:val="22"/>
          <w:szCs w:val="22"/>
        </w:rPr>
        <w:t>Pereira, D. F., Kappel, V. D., Cazarolli, L. H., Boligon, A. A., Athayde, M. L., &amp; Guesser, S. M., et al. (2012). Influence of the traditional brazilian drink ilex paraguariensis tea on glucose homeostasis. </w:t>
      </w:r>
      <w:r>
        <w:rPr>
          <w:rFonts w:cs="Times New Roman"/>
          <w:i/>
          <w:iCs/>
          <w:sz w:val="22"/>
          <w:szCs w:val="22"/>
        </w:rPr>
        <w:t>Phytomedicine,19</w:t>
      </w:r>
      <w:r>
        <w:rPr>
          <w:rFonts w:cs="Times New Roman"/>
          <w:sz w:val="22"/>
          <w:szCs w:val="22"/>
        </w:rPr>
        <w:t>(10), 868-877.</w:t>
      </w:r>
    </w:p>
    <w:p>
      <w:pPr>
        <w:ind w:left="525" w:right="525"/>
        <w:rPr>
          <w:rFonts w:cs="Times New Roman"/>
          <w:sz w:val="22"/>
          <w:szCs w:val="22"/>
        </w:rPr>
      </w:pPr>
    </w:p>
    <w:p>
      <w:pPr>
        <w:ind w:left="525" w:right="525"/>
        <w:rPr>
          <w:rFonts w:cs="Times New Roman"/>
          <w:sz w:val="22"/>
          <w:szCs w:val="22"/>
        </w:rPr>
      </w:pPr>
    </w:p>
    <w:p>
      <w:pPr>
        <w:ind w:left="525" w:right="525"/>
        <w:rPr>
          <w:rFonts w:cs="Times New Roman"/>
          <w:sz w:val="22"/>
          <w:szCs w:val="22"/>
        </w:rPr>
      </w:pPr>
      <w:bookmarkStart w:id="149" w:name="OLE_LINK167"/>
      <w:bookmarkStart w:id="150" w:name="OLE_LINK168"/>
      <w:r>
        <w:rPr>
          <w:rFonts w:cs="Times New Roman"/>
          <w:sz w:val="22"/>
          <w:szCs w:val="22"/>
        </w:rPr>
        <w:t>Poulis, &amp; Konstantinos</w:t>
      </w:r>
      <w:bookmarkEnd w:id="149"/>
      <w:bookmarkEnd w:id="150"/>
      <w:r>
        <w:rPr>
          <w:rFonts w:cs="Times New Roman"/>
          <w:sz w:val="22"/>
          <w:szCs w:val="22"/>
        </w:rPr>
        <w:t>. (2008). 'international' marketing in one country : standardization and adaptation strategies of fast-moving consumer goods firms in a tourism-oriented environment. University of Manchester.</w:t>
      </w:r>
    </w:p>
    <w:p>
      <w:pPr>
        <w:ind w:left="525" w:right="525"/>
        <w:rPr>
          <w:rFonts w:cs="Times New Roman"/>
          <w:sz w:val="22"/>
          <w:szCs w:val="22"/>
        </w:rPr>
      </w:pPr>
    </w:p>
    <w:p>
      <w:pPr>
        <w:ind w:left="525" w:right="525"/>
        <w:rPr>
          <w:rFonts w:cs="Times New Roman"/>
          <w:sz w:val="22"/>
          <w:szCs w:val="22"/>
        </w:rPr>
      </w:pPr>
      <w:bookmarkStart w:id="151" w:name="OLE_LINK174"/>
      <w:bookmarkStart w:id="152" w:name="OLE_LINK173"/>
      <w:r>
        <w:rPr>
          <w:rFonts w:cs="Times New Roman"/>
          <w:sz w:val="22"/>
          <w:szCs w:val="22"/>
        </w:rPr>
        <w:t>Raval, D., &amp; Subramanian,</w:t>
      </w:r>
      <w:bookmarkEnd w:id="151"/>
      <w:bookmarkEnd w:id="152"/>
      <w:r>
        <w:rPr>
          <w:rFonts w:cs="Times New Roman"/>
          <w:sz w:val="22"/>
          <w:szCs w:val="22"/>
        </w:rPr>
        <w:t xml:space="preserve"> B. (2004). Cultural values driven segmentation in social marketing. </w:t>
      </w:r>
      <w:r>
        <w:rPr>
          <w:rFonts w:cs="Times New Roman"/>
          <w:i/>
          <w:iCs/>
          <w:sz w:val="22"/>
          <w:szCs w:val="22"/>
        </w:rPr>
        <w:t>Journal of Nonprofit &amp; Public Sector Marketing,12</w:t>
      </w:r>
      <w:r>
        <w:rPr>
          <w:rFonts w:cs="Times New Roman"/>
          <w:sz w:val="22"/>
          <w:szCs w:val="22"/>
        </w:rPr>
        <w:t>(2), 73-85.</w:t>
      </w:r>
    </w:p>
    <w:p>
      <w:pPr>
        <w:ind w:left="525" w:right="525"/>
        <w:rPr>
          <w:rFonts w:cs="Times New Roman"/>
          <w:sz w:val="22"/>
          <w:szCs w:val="22"/>
        </w:rPr>
      </w:pPr>
    </w:p>
    <w:p>
      <w:pPr>
        <w:ind w:left="525" w:right="525"/>
        <w:rPr>
          <w:rFonts w:cs="Times New Roman"/>
          <w:sz w:val="22"/>
          <w:szCs w:val="22"/>
        </w:rPr>
      </w:pPr>
      <w:bookmarkStart w:id="153" w:name="OLE_LINK189"/>
      <w:bookmarkStart w:id="154" w:name="OLE_LINK190"/>
      <w:r>
        <w:rPr>
          <w:rFonts w:cs="Times New Roman"/>
          <w:sz w:val="22"/>
          <w:szCs w:val="22"/>
        </w:rPr>
        <w:t>Schellhase, R., Hardock, P., &amp; Ohlwein</w:t>
      </w:r>
      <w:bookmarkEnd w:id="153"/>
      <w:bookmarkEnd w:id="154"/>
      <w:r>
        <w:rPr>
          <w:rFonts w:cs="Times New Roman"/>
          <w:sz w:val="22"/>
          <w:szCs w:val="22"/>
        </w:rPr>
        <w:t>, M. (2000). Customer satisfaction in business</w:t>
      </w:r>
      <w:r>
        <w:rPr>
          <w:rFonts w:ascii="Lucida Sans Unicode" w:hAnsi="Lucida Sans Unicode" w:cs="Lucida Sans Unicode"/>
          <w:sz w:val="22"/>
          <w:szCs w:val="22"/>
        </w:rPr>
        <w:t>‐</w:t>
      </w:r>
      <w:r>
        <w:rPr>
          <w:rFonts w:cs="Times New Roman"/>
          <w:sz w:val="22"/>
          <w:szCs w:val="22"/>
        </w:rPr>
        <w:t>to</w:t>
      </w:r>
      <w:r>
        <w:rPr>
          <w:rFonts w:ascii="Lucida Sans Unicode" w:hAnsi="Lucida Sans Unicode" w:cs="Lucida Sans Unicode"/>
          <w:sz w:val="22"/>
          <w:szCs w:val="22"/>
        </w:rPr>
        <w:t>‐</w:t>
      </w:r>
      <w:r>
        <w:rPr>
          <w:rFonts w:cs="Times New Roman"/>
          <w:sz w:val="22"/>
          <w:szCs w:val="22"/>
        </w:rPr>
        <w:t>business marketing: the case of retail organizations and their suppliers. </w:t>
      </w:r>
      <w:r>
        <w:rPr>
          <w:rFonts w:cs="Times New Roman"/>
          <w:i/>
          <w:iCs/>
          <w:sz w:val="22"/>
          <w:szCs w:val="22"/>
        </w:rPr>
        <w:t>Journal of Business &amp; Industrial Marketing,</w:t>
      </w:r>
      <w:r>
        <w:rPr>
          <w:rFonts w:cs="Times New Roman"/>
          <w:sz w:val="22"/>
          <w:szCs w:val="22"/>
        </w:rPr>
        <w:t> </w:t>
      </w:r>
      <w:r>
        <w:rPr>
          <w:rFonts w:cs="Times New Roman"/>
          <w:i/>
          <w:iCs/>
          <w:sz w:val="22"/>
          <w:szCs w:val="22"/>
        </w:rPr>
        <w:t>14</w:t>
      </w:r>
      <w:r>
        <w:rPr>
          <w:rFonts w:cs="Times New Roman"/>
          <w:sz w:val="22"/>
          <w:szCs w:val="22"/>
        </w:rPr>
        <w:t>(5/6), 416-432.</w:t>
      </w:r>
    </w:p>
    <w:p>
      <w:pPr>
        <w:ind w:left="525" w:right="525"/>
        <w:rPr>
          <w:rFonts w:cs="Times New Roman"/>
          <w:sz w:val="22"/>
          <w:szCs w:val="22"/>
        </w:rPr>
      </w:pPr>
    </w:p>
    <w:p>
      <w:pPr>
        <w:ind w:left="525" w:right="525"/>
        <w:rPr>
          <w:rFonts w:cs="Times New Roman"/>
          <w:sz w:val="22"/>
          <w:szCs w:val="22"/>
        </w:rPr>
      </w:pPr>
      <w:bookmarkStart w:id="155" w:name="OLE_LINK175"/>
      <w:bookmarkStart w:id="156" w:name="OLE_LINK176"/>
      <w:r>
        <w:rPr>
          <w:rFonts w:cs="Times New Roman"/>
          <w:sz w:val="22"/>
          <w:szCs w:val="22"/>
        </w:rPr>
        <w:t>Skaates</w:t>
      </w:r>
      <w:bookmarkEnd w:id="155"/>
      <w:bookmarkEnd w:id="156"/>
      <w:r>
        <w:rPr>
          <w:rFonts w:cs="Times New Roman"/>
          <w:sz w:val="22"/>
          <w:szCs w:val="22"/>
        </w:rPr>
        <w:t>, M. A., Tikkanen, H., &amp; Alajoutsijärvi, K. (2002). Social and cultural capital in project marketing service firms: danish architectural firms on the german market.</w:t>
      </w:r>
      <w:r>
        <w:rPr>
          <w:rFonts w:cs="Times New Roman"/>
          <w:i/>
          <w:sz w:val="22"/>
          <w:szCs w:val="22"/>
        </w:rPr>
        <w:t xml:space="preserve"> Scandinavian Journal of Management</w:t>
      </w:r>
      <w:r>
        <w:rPr>
          <w:rFonts w:cs="Times New Roman"/>
          <w:sz w:val="22"/>
          <w:szCs w:val="22"/>
        </w:rPr>
        <w:t>, 18(4), 589-609.</w:t>
      </w:r>
    </w:p>
    <w:p>
      <w:pPr>
        <w:ind w:left="525" w:right="525"/>
        <w:rPr>
          <w:rFonts w:cs="Times New Roman"/>
          <w:sz w:val="22"/>
          <w:szCs w:val="22"/>
        </w:rPr>
      </w:pPr>
    </w:p>
    <w:p>
      <w:pPr>
        <w:ind w:left="525" w:right="525"/>
        <w:rPr>
          <w:rFonts w:cs="Times New Roman"/>
          <w:sz w:val="22"/>
          <w:szCs w:val="22"/>
        </w:rPr>
      </w:pPr>
      <w:bookmarkStart w:id="157" w:name="OLE_LINK159"/>
      <w:bookmarkStart w:id="158" w:name="OLE_LINK160"/>
      <w:r>
        <w:rPr>
          <w:rFonts w:cs="Times New Roman"/>
          <w:sz w:val="22"/>
          <w:szCs w:val="22"/>
        </w:rPr>
        <w:t>Thackeray, R., &amp; Brown</w:t>
      </w:r>
      <w:bookmarkEnd w:id="157"/>
      <w:bookmarkEnd w:id="158"/>
      <w:r>
        <w:rPr>
          <w:rFonts w:cs="Times New Roman"/>
          <w:sz w:val="22"/>
          <w:szCs w:val="22"/>
        </w:rPr>
        <w:t>, K. R. (2010). Creating successful price and placement strategies for social marketing. </w:t>
      </w:r>
      <w:r>
        <w:rPr>
          <w:rFonts w:cs="Times New Roman"/>
          <w:i/>
          <w:iCs/>
          <w:sz w:val="22"/>
          <w:szCs w:val="22"/>
        </w:rPr>
        <w:t>Health Promotion Practice,11</w:t>
      </w:r>
      <w:r>
        <w:rPr>
          <w:rFonts w:cs="Times New Roman"/>
          <w:sz w:val="22"/>
          <w:szCs w:val="22"/>
        </w:rPr>
        <w:t>(2), 166.</w:t>
      </w:r>
    </w:p>
    <w:p>
      <w:pPr>
        <w:ind w:left="0" w:leftChars="0" w:right="525"/>
        <w:rPr>
          <w:rFonts w:cs="Times New Roman"/>
          <w:sz w:val="22"/>
          <w:szCs w:val="22"/>
        </w:rPr>
      </w:pPr>
    </w:p>
    <w:p>
      <w:pPr>
        <w:ind w:left="525" w:right="525"/>
        <w:rPr>
          <w:rFonts w:cs="Times New Roman"/>
          <w:sz w:val="22"/>
          <w:szCs w:val="22"/>
        </w:rPr>
      </w:pPr>
      <w:r>
        <w:rPr>
          <w:rFonts w:cs="Times New Roman"/>
          <w:sz w:val="22"/>
          <w:szCs w:val="22"/>
        </w:rPr>
        <w:t xml:space="preserve">Tomoswatkin.(2019), </w:t>
      </w:r>
      <w:r>
        <w:rPr>
          <w:rFonts w:cs="Times New Roman"/>
          <w:i/>
          <w:sz w:val="22"/>
          <w:szCs w:val="22"/>
        </w:rPr>
        <w:t>Prices of beers</w:t>
      </w:r>
      <w:r>
        <w:rPr>
          <w:rFonts w:cs="Times New Roman"/>
          <w:sz w:val="22"/>
          <w:szCs w:val="22"/>
        </w:rPr>
        <w:t xml:space="preserve">, </w:t>
      </w:r>
      <w:bookmarkStart w:id="159" w:name="OLE_LINK181"/>
      <w:bookmarkStart w:id="160" w:name="OLE_LINK182"/>
      <w:r>
        <w:rPr>
          <w:rFonts w:cs="Times New Roman"/>
          <w:sz w:val="22"/>
          <w:szCs w:val="22"/>
        </w:rPr>
        <w:t>Available:</w:t>
      </w:r>
      <w:bookmarkEnd w:id="159"/>
      <w:bookmarkEnd w:id="160"/>
      <w:r>
        <w:rPr>
          <w:rFonts w:cs="Times New Roman"/>
          <w:sz w:val="22"/>
          <w:szCs w:val="22"/>
        </w:rPr>
        <w:t xml:space="preserve"> </w:t>
      </w:r>
    </w:p>
    <w:p>
      <w:pPr>
        <w:ind w:left="525" w:right="525"/>
        <w:rPr>
          <w:rFonts w:cs="Times New Roman"/>
          <w:bCs/>
          <w:sz w:val="22"/>
          <w:szCs w:val="22"/>
        </w:rPr>
      </w:pPr>
      <w:r>
        <w:fldChar w:fldCharType="begin"/>
      </w:r>
      <w:r>
        <w:instrText xml:space="preserve"> HYPERLINK "https://tomoswatkin.com/collections/frontpage/products/cwrw-haf" </w:instrText>
      </w:r>
      <w:r>
        <w:fldChar w:fldCharType="separate"/>
      </w:r>
      <w:r>
        <w:rPr>
          <w:rStyle w:val="12"/>
          <w:rFonts w:cs="Times New Roman"/>
          <w:sz w:val="22"/>
          <w:szCs w:val="22"/>
        </w:rPr>
        <w:t>https://tomoswatkin.com/collections/frontpage/products/cwrw-haf</w:t>
      </w:r>
      <w:r>
        <w:rPr>
          <w:rStyle w:val="12"/>
          <w:rFonts w:cs="Times New Roman"/>
          <w:sz w:val="22"/>
          <w:szCs w:val="22"/>
        </w:rPr>
        <w:fldChar w:fldCharType="end"/>
      </w:r>
      <w:r>
        <w:rPr>
          <w:rFonts w:cs="Times New Roman"/>
          <w:bCs/>
          <w:sz w:val="22"/>
          <w:szCs w:val="22"/>
        </w:rPr>
        <w:t xml:space="preserve">[Accessed: 22th </w:t>
      </w:r>
      <w:r>
        <w:rPr>
          <w:rFonts w:cs="Times New Roman"/>
          <w:sz w:val="22"/>
          <w:szCs w:val="22"/>
        </w:rPr>
        <w:t>April</w:t>
      </w:r>
      <w:r>
        <w:rPr>
          <w:rFonts w:cs="Times New Roman"/>
          <w:bCs/>
          <w:sz w:val="22"/>
          <w:szCs w:val="22"/>
        </w:rPr>
        <w:t xml:space="preserve"> 2019].</w:t>
      </w:r>
    </w:p>
    <w:p>
      <w:pPr>
        <w:ind w:left="525" w:right="525"/>
        <w:rPr>
          <w:rFonts w:cs="Times New Roman"/>
          <w:bCs/>
          <w:sz w:val="22"/>
          <w:szCs w:val="22"/>
        </w:rPr>
      </w:pPr>
    </w:p>
    <w:p>
      <w:pPr>
        <w:ind w:left="525" w:right="525"/>
        <w:rPr>
          <w:rFonts w:cs="Times New Roman"/>
          <w:sz w:val="22"/>
          <w:szCs w:val="22"/>
        </w:rPr>
      </w:pPr>
      <w:bookmarkStart w:id="161" w:name="OLE_LINK186"/>
      <w:bookmarkStart w:id="162" w:name="OLE_LINK185"/>
      <w:r>
        <w:rPr>
          <w:rFonts w:cs="Times New Roman"/>
          <w:sz w:val="22"/>
          <w:szCs w:val="22"/>
        </w:rPr>
        <w:t>Vale, P., &amp; Addison</w:t>
      </w:r>
      <w:bookmarkEnd w:id="161"/>
      <w:bookmarkEnd w:id="162"/>
      <w:r>
        <w:rPr>
          <w:rFonts w:cs="Times New Roman"/>
          <w:sz w:val="22"/>
          <w:szCs w:val="22"/>
        </w:rPr>
        <w:t>, M. (2001). Promoting entrepreneurship and innovation in a large company: creating a virtual portfolio. </w:t>
      </w:r>
      <w:r>
        <w:rPr>
          <w:rFonts w:cs="Times New Roman"/>
          <w:i/>
          <w:iCs/>
          <w:sz w:val="22"/>
          <w:szCs w:val="22"/>
        </w:rPr>
        <w:t>Journal of Change Management,</w:t>
      </w:r>
      <w:r>
        <w:rPr>
          <w:rFonts w:cs="Times New Roman"/>
          <w:sz w:val="22"/>
          <w:szCs w:val="22"/>
        </w:rPr>
        <w:t> </w:t>
      </w:r>
      <w:r>
        <w:rPr>
          <w:rFonts w:cs="Times New Roman"/>
          <w:i/>
          <w:iCs/>
          <w:sz w:val="22"/>
          <w:szCs w:val="22"/>
        </w:rPr>
        <w:t>2</w:t>
      </w:r>
      <w:r>
        <w:rPr>
          <w:rFonts w:cs="Times New Roman"/>
          <w:sz w:val="22"/>
          <w:szCs w:val="22"/>
        </w:rPr>
        <w:t>(4), 334-343.</w:t>
      </w:r>
    </w:p>
    <w:p>
      <w:pPr>
        <w:ind w:left="525" w:right="525"/>
        <w:rPr>
          <w:rFonts w:cs="Times New Roman"/>
          <w:sz w:val="22"/>
          <w:szCs w:val="22"/>
        </w:rPr>
      </w:pPr>
    </w:p>
    <w:p>
      <w:pPr>
        <w:ind w:left="525" w:right="525"/>
        <w:rPr>
          <w:rFonts w:cs="Times New Roman"/>
          <w:sz w:val="22"/>
          <w:szCs w:val="22"/>
        </w:rPr>
      </w:pPr>
    </w:p>
    <w:p>
      <w:pPr>
        <w:ind w:left="525" w:right="525"/>
        <w:rPr>
          <w:rFonts w:cs="Times New Roman"/>
          <w:sz w:val="22"/>
          <w:szCs w:val="22"/>
        </w:rPr>
      </w:pPr>
      <w:r>
        <w:rPr>
          <w:rFonts w:cs="Times New Roman"/>
          <w:sz w:val="22"/>
          <w:szCs w:val="22"/>
        </w:rPr>
        <w:t>Volkov, S. K. (2013). Price as the main element of the marketing mix: evidence from tourist demand. </w:t>
      </w:r>
      <w:r>
        <w:rPr>
          <w:rFonts w:cs="Times New Roman"/>
          <w:i/>
          <w:iCs/>
          <w:sz w:val="22"/>
          <w:szCs w:val="22"/>
        </w:rPr>
        <w:t>World Applied Sciences Journal</w:t>
      </w:r>
      <w:r>
        <w:rPr>
          <w:rFonts w:cs="Times New Roman"/>
          <w:sz w:val="22"/>
          <w:szCs w:val="22"/>
        </w:rPr>
        <w:t>.</w:t>
      </w:r>
    </w:p>
    <w:p>
      <w:pPr>
        <w:ind w:left="525" w:right="525"/>
        <w:rPr>
          <w:rFonts w:cs="Times New Roman"/>
          <w:sz w:val="22"/>
          <w:szCs w:val="22"/>
        </w:rPr>
      </w:pPr>
    </w:p>
    <w:p>
      <w:pPr>
        <w:ind w:left="525" w:right="525"/>
        <w:rPr>
          <w:rFonts w:cs="Times New Roman"/>
          <w:sz w:val="22"/>
          <w:szCs w:val="22"/>
        </w:rPr>
      </w:pPr>
      <w:r>
        <w:rPr>
          <w:rFonts w:cs="Times New Roman"/>
          <w:sz w:val="22"/>
          <w:szCs w:val="22"/>
        </w:rPr>
        <w:t>Zachary, N. (2017). Something brewing in boston: a study of forward integration in american breweries at the turn of the twentieth century.</w:t>
      </w:r>
      <w:r>
        <w:rPr>
          <w:rFonts w:cs="Times New Roman"/>
          <w:i/>
          <w:sz w:val="22"/>
          <w:szCs w:val="22"/>
        </w:rPr>
        <w:t xml:space="preserve"> Enterprise &amp; Society, </w:t>
      </w:r>
      <w:r>
        <w:rPr>
          <w:rFonts w:cs="Times New Roman"/>
          <w:sz w:val="22"/>
          <w:szCs w:val="22"/>
        </w:rPr>
        <w:t>18(2), 324-359.</w:t>
      </w:r>
    </w:p>
    <w:p>
      <w:pPr>
        <w:ind w:left="525" w:right="525"/>
        <w:rPr>
          <w:rFonts w:cs="Times New Roman"/>
          <w:sz w:val="22"/>
          <w:szCs w:val="22"/>
        </w:rPr>
      </w:pPr>
    </w:p>
    <w:p>
      <w:pPr>
        <w:ind w:left="525" w:right="525"/>
        <w:rPr>
          <w:rFonts w:cs="Times New Roman"/>
          <w:sz w:val="22"/>
          <w:szCs w:val="22"/>
        </w:rPr>
      </w:pPr>
    </w:p>
    <w:p>
      <w:pPr>
        <w:ind w:left="525" w:right="525"/>
        <w:rPr>
          <w:rFonts w:cs="Times New Roman"/>
          <w:sz w:val="22"/>
          <w:szCs w:val="22"/>
        </w:rPr>
      </w:pPr>
    </w:p>
    <w:p>
      <w:pPr>
        <w:ind w:left="525" w:right="525"/>
      </w:pPr>
    </w:p>
    <w:sectPr>
      <w:footerReference r:id="rId3" w:type="default"/>
      <w:footerReference r:id="rId4" w:type="even"/>
      <w:pgSz w:w="11900" w:h="16840"/>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imes">
    <w:altName w:val="Times New Roman"/>
    <w:panose1 w:val="02000500000000000000"/>
    <w:charset w:val="00"/>
    <w:family w:val="auto"/>
    <w:pitch w:val="default"/>
    <w:sig w:usb0="00000000" w:usb1="00000000" w:usb2="00000000" w:usb3="00000000" w:csb0="00000001" w:csb1="00000000"/>
  </w:font>
  <w:font w:name="Cambria">
    <w:panose1 w:val="02040503050406030204"/>
    <w:charset w:val="00"/>
    <w:family w:val="auto"/>
    <w:pitch w:val="default"/>
    <w:sig w:usb0="E00006FF" w:usb1="420024FF" w:usb2="02000000" w:usb3="00000000" w:csb0="2000019F"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ind w:left="525" w:right="525"/>
      <w:rPr>
        <w:rStyle w:val="11"/>
      </w:rPr>
    </w:pPr>
    <w:r>
      <w:rPr>
        <w:rStyle w:val="11"/>
      </w:rPr>
      <w:fldChar w:fldCharType="begin"/>
    </w:r>
    <w:r>
      <w:rPr>
        <w:rStyle w:val="11"/>
      </w:rPr>
      <w:instrText xml:space="preserve">PAGE  </w:instrText>
    </w:r>
    <w:r>
      <w:rPr>
        <w:rStyle w:val="11"/>
      </w:rPr>
      <w:fldChar w:fldCharType="separate"/>
    </w:r>
    <w:r>
      <w:rPr>
        <w:rStyle w:val="11"/>
      </w:rPr>
      <w:t>1</w:t>
    </w:r>
    <w:r>
      <w:rPr>
        <w:rStyle w:val="11"/>
      </w:rPr>
      <w:fldChar w:fldCharType="end"/>
    </w:r>
  </w:p>
  <w:p>
    <w:pPr>
      <w:pStyle w:val="6"/>
      <w:ind w:left="525" w:right="5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ind w:left="525" w:right="525"/>
      <w:rPr>
        <w:rStyle w:val="11"/>
      </w:rPr>
    </w:pPr>
    <w:r>
      <w:rPr>
        <w:rStyle w:val="11"/>
      </w:rPr>
      <w:fldChar w:fldCharType="begin"/>
    </w:r>
    <w:r>
      <w:rPr>
        <w:rStyle w:val="11"/>
      </w:rPr>
      <w:instrText xml:space="preserve">PAGE  </w:instrText>
    </w:r>
    <w:r>
      <w:rPr>
        <w:rStyle w:val="11"/>
      </w:rPr>
      <w:fldChar w:fldCharType="end"/>
    </w:r>
  </w:p>
  <w:p>
    <w:pPr>
      <w:pStyle w:val="6"/>
      <w:ind w:left="525" w:right="52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200"/>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11B"/>
    <w:rsid w:val="004235EB"/>
    <w:rsid w:val="00577558"/>
    <w:rsid w:val="005E21EB"/>
    <w:rsid w:val="0064711B"/>
    <w:rsid w:val="007C4E23"/>
    <w:rsid w:val="008E4A98"/>
    <w:rsid w:val="00B91DC9"/>
    <w:rsid w:val="00B94867"/>
    <w:rsid w:val="00BF512B"/>
    <w:rsid w:val="00D164F0"/>
    <w:rsid w:val="00D328D1"/>
    <w:rsid w:val="00E841BD"/>
    <w:rsid w:val="00E877C4"/>
    <w:rsid w:val="150512CD"/>
    <w:rsid w:val="35611FFE"/>
    <w:rsid w:val="4C836308"/>
    <w:rsid w:val="556E752E"/>
    <w:rsid w:val="5AEA246E"/>
    <w:rsid w:val="5C8834D3"/>
    <w:rsid w:val="5FC93BD7"/>
    <w:rsid w:val="6117195A"/>
    <w:rsid w:val="6DD0780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left="600" w:leftChars="250" w:right="600" w:rightChars="250"/>
      <w:jc w:val="both"/>
    </w:pPr>
    <w:rPr>
      <w:rFonts w:ascii="Times New Roman" w:hAnsi="Times New Roman" w:eastAsia="Times" w:cstheme="minorBidi"/>
      <w:kern w:val="2"/>
      <w:sz w:val="21"/>
      <w:szCs w:val="24"/>
      <w:lang w:val="en-US" w:eastAsia="zh-CN" w:bidi="ar-SA"/>
    </w:rPr>
  </w:style>
  <w:style w:type="paragraph" w:styleId="2">
    <w:name w:val="heading 1"/>
    <w:basedOn w:val="1"/>
    <w:next w:val="1"/>
    <w:link w:val="13"/>
    <w:qFormat/>
    <w:uiPriority w:val="9"/>
    <w:pPr>
      <w:keepNext/>
      <w:keepLines/>
      <w:widowControl/>
      <w:spacing w:before="340" w:after="330" w:line="578" w:lineRule="auto"/>
      <w:outlineLvl w:val="0"/>
    </w:pPr>
    <w:rPr>
      <w:rFonts w:ascii="Times" w:hAnsi="Times" w:eastAsiaTheme="majorEastAsia"/>
      <w:b/>
      <w:bCs/>
      <w:kern w:val="44"/>
      <w:sz w:val="24"/>
      <w:szCs w:val="44"/>
    </w:rPr>
  </w:style>
  <w:style w:type="paragraph" w:styleId="3">
    <w:name w:val="heading 2"/>
    <w:basedOn w:val="1"/>
    <w:next w:val="1"/>
    <w:link w:val="14"/>
    <w:unhideWhenUsed/>
    <w:qFormat/>
    <w:uiPriority w:val="9"/>
    <w:pPr>
      <w:keepNext/>
      <w:keepLines/>
      <w:widowControl/>
      <w:spacing w:before="260" w:after="260" w:line="416" w:lineRule="auto"/>
      <w:jc w:val="left"/>
      <w:outlineLvl w:val="1"/>
    </w:pPr>
    <w:rPr>
      <w:rFonts w:eastAsia="Times New Roman" w:asciiTheme="majorHAnsi" w:hAnsiTheme="majorHAnsi" w:cstheme="majorBidi"/>
      <w:b/>
      <w:bCs/>
      <w:kern w:val="0"/>
      <w:sz w:val="24"/>
      <w:szCs w:val="32"/>
    </w:rPr>
  </w:style>
  <w:style w:type="paragraph" w:styleId="4">
    <w:name w:val="heading 3"/>
    <w:basedOn w:val="1"/>
    <w:next w:val="1"/>
    <w:link w:val="15"/>
    <w:unhideWhenUsed/>
    <w:qFormat/>
    <w:uiPriority w:val="9"/>
    <w:pPr>
      <w:keepNext/>
      <w:keepLines/>
      <w:widowControl/>
      <w:spacing w:before="260" w:after="260" w:line="416" w:lineRule="auto"/>
      <w:jc w:val="left"/>
      <w:outlineLvl w:val="2"/>
    </w:pPr>
    <w:rPr>
      <w:rFonts w:ascii="Times" w:hAnsi="Times"/>
      <w:b/>
      <w:bCs/>
      <w:kern w:val="0"/>
      <w:sz w:val="24"/>
      <w:szCs w:val="32"/>
    </w:rPr>
  </w:style>
  <w:style w:type="character" w:default="1" w:styleId="10">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5">
    <w:name w:val="toc 3"/>
    <w:basedOn w:val="1"/>
    <w:next w:val="1"/>
    <w:semiHidden/>
    <w:unhideWhenUsed/>
    <w:qFormat/>
    <w:uiPriority w:val="39"/>
    <w:pPr>
      <w:ind w:left="840" w:leftChars="400"/>
    </w:pPr>
  </w:style>
  <w:style w:type="paragraph" w:styleId="6">
    <w:name w:val="footer"/>
    <w:basedOn w:val="1"/>
    <w:link w:val="16"/>
    <w:unhideWhenUsed/>
    <w:qFormat/>
    <w:uiPriority w:val="99"/>
    <w:pPr>
      <w:tabs>
        <w:tab w:val="center" w:pos="4153"/>
        <w:tab w:val="right" w:pos="8306"/>
      </w:tabs>
      <w:snapToGrid w:val="0"/>
      <w:spacing w:line="240" w:lineRule="auto"/>
      <w:jc w:val="left"/>
    </w:pPr>
    <w:rPr>
      <w:sz w:val="18"/>
      <w:szCs w:val="18"/>
    </w:rPr>
  </w:style>
  <w:style w:type="paragraph" w:styleId="7">
    <w:name w:val="toc 1"/>
    <w:basedOn w:val="1"/>
    <w:next w:val="1"/>
    <w:semiHidden/>
    <w:unhideWhenUsed/>
    <w:qFormat/>
    <w:uiPriority w:val="39"/>
  </w:style>
  <w:style w:type="paragraph" w:styleId="8">
    <w:name w:val="toc 2"/>
    <w:basedOn w:val="1"/>
    <w:next w:val="1"/>
    <w:semiHidden/>
    <w:unhideWhenUsed/>
    <w:uiPriority w:val="39"/>
    <w:pPr>
      <w:ind w:left="420" w:leftChars="200"/>
    </w:pPr>
  </w:style>
  <w:style w:type="character" w:styleId="11">
    <w:name w:val="page number"/>
    <w:basedOn w:val="10"/>
    <w:semiHidden/>
    <w:unhideWhenUsed/>
    <w:uiPriority w:val="99"/>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1字符"/>
    <w:basedOn w:val="10"/>
    <w:link w:val="2"/>
    <w:qFormat/>
    <w:uiPriority w:val="9"/>
    <w:rPr>
      <w:rFonts w:ascii="Times" w:hAnsi="Times" w:eastAsiaTheme="majorEastAsia"/>
      <w:b/>
      <w:bCs/>
      <w:kern w:val="44"/>
      <w:sz w:val="24"/>
      <w:szCs w:val="44"/>
    </w:rPr>
  </w:style>
  <w:style w:type="character" w:customStyle="1" w:styleId="14">
    <w:name w:val="标题 2字符"/>
    <w:basedOn w:val="10"/>
    <w:link w:val="3"/>
    <w:qFormat/>
    <w:uiPriority w:val="9"/>
    <w:rPr>
      <w:rFonts w:eastAsia="Times New Roman" w:asciiTheme="majorHAnsi" w:hAnsiTheme="majorHAnsi" w:cstheme="majorBidi"/>
      <w:b/>
      <w:bCs/>
      <w:kern w:val="0"/>
      <w:sz w:val="24"/>
      <w:szCs w:val="32"/>
    </w:rPr>
  </w:style>
  <w:style w:type="character" w:customStyle="1" w:styleId="15">
    <w:name w:val="标题 3字符"/>
    <w:basedOn w:val="10"/>
    <w:link w:val="4"/>
    <w:qFormat/>
    <w:uiPriority w:val="9"/>
    <w:rPr>
      <w:rFonts w:ascii="Times" w:hAnsi="Times" w:eastAsiaTheme="minorEastAsia"/>
      <w:b/>
      <w:bCs/>
      <w:kern w:val="0"/>
      <w:sz w:val="24"/>
      <w:szCs w:val="32"/>
    </w:rPr>
  </w:style>
  <w:style w:type="character" w:customStyle="1" w:styleId="16">
    <w:name w:val="页脚字符"/>
    <w:basedOn w:val="10"/>
    <w:link w:val="6"/>
    <w:qFormat/>
    <w:uiPriority w:val="99"/>
    <w:rPr>
      <w:rFonts w:eastAsia="Times"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橙谷教育</Company>
  <Pages>13</Pages>
  <Words>2686</Words>
  <Characters>15478</Characters>
  <Lines>231</Lines>
  <Paragraphs>21</Paragraphs>
  <TotalTime>7</TotalTime>
  <ScaleCrop>false</ScaleCrop>
  <LinksUpToDate>false</LinksUpToDate>
  <CharactersWithSpaces>18143</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2019-04-26T09:20:00Z</dcterms:created>
  <dc:creator>OrangeVally 橙谷教育</dc:creator>
  <cp:lastModifiedBy>richard Shi</cp:lastModifiedBy>
  <dcterms:modified xsi:type="dcterms:W3CDTF">2019-04-27T10:13:29Z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