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359C9D" w14:textId="77777777" w:rsidR="000706A9" w:rsidRDefault="000706A9" w:rsidP="000706A9">
      <w:pPr>
        <w:pStyle w:val="NormalWeb"/>
        <w:spacing w:before="0" w:beforeAutospacing="0" w:after="0" w:afterAutospacing="0"/>
      </w:pPr>
      <w:r>
        <w:rPr>
          <w:rFonts w:ascii="Arial" w:hAnsi="Arial" w:cs="Arial"/>
          <w:color w:val="000000"/>
        </w:rPr>
        <w:t>Describe and critically assess Arendt's idea of the banality of evil. </w:t>
      </w:r>
    </w:p>
    <w:p w14:paraId="24C619D7" w14:textId="77777777" w:rsidR="000706A9" w:rsidRDefault="000706A9" w:rsidP="000706A9">
      <w:pPr>
        <w:pStyle w:val="NormalWeb"/>
        <w:spacing w:before="0" w:beforeAutospacing="0" w:after="0" w:afterAutospacing="0"/>
      </w:pPr>
      <w:r>
        <w:t> </w:t>
      </w:r>
    </w:p>
    <w:p w14:paraId="5EDA08AC" w14:textId="77777777" w:rsidR="000706A9" w:rsidRDefault="000706A9" w:rsidP="000706A9">
      <w:pPr>
        <w:pStyle w:val="NormalWeb"/>
        <w:spacing w:before="0" w:beforeAutospacing="0" w:after="0" w:afterAutospacing="0"/>
      </w:pPr>
      <w:r>
        <w:rPr>
          <w:rFonts w:ascii="Arial" w:hAnsi="Arial" w:cs="Arial"/>
          <w:color w:val="000000"/>
        </w:rPr>
        <w:t>Whilst covering the Eichmann court case for The New Yorker magazine in 1961, Arendt coined the term “Banality of Evil” which she uses to explain how it is possible that these heinous acts of murder were committed. She uses this to argue that the acts of evil committed by the SS Officer Eichmann, along with all the other ordinary Germans, were a result of the Third Reich’s system of bureaucracy in which it was often a case of brainlessly following orders. This argument of the ability to commit evil acts whilst oneself is not inherently evil is convincing. This is because when the political system of the Third Reich is broken down, it is clear to see the instability and disorganisation of it whilst this idea has also been backed up by several psychological studies which will be looked at. </w:t>
      </w:r>
    </w:p>
    <w:p w14:paraId="6D8B97D5" w14:textId="77777777" w:rsidR="000706A9" w:rsidRDefault="000706A9" w:rsidP="000706A9">
      <w:pPr>
        <w:pStyle w:val="NormalWeb"/>
        <w:spacing w:before="0" w:beforeAutospacing="0" w:after="0" w:afterAutospacing="0"/>
      </w:pPr>
      <w:r>
        <w:t> </w:t>
      </w:r>
    </w:p>
    <w:p w14:paraId="1F4CAF0E" w14:textId="77777777" w:rsidR="000706A9" w:rsidRDefault="000706A9" w:rsidP="000706A9">
      <w:pPr>
        <w:pStyle w:val="NormalWeb"/>
        <w:spacing w:before="0" w:beforeAutospacing="0" w:after="0" w:afterAutospacing="0"/>
      </w:pPr>
      <w:r>
        <w:rPr>
          <w:rFonts w:ascii="Arial" w:hAnsi="Arial" w:cs="Arial"/>
          <w:color w:val="000000"/>
        </w:rPr>
        <w:t>Written in 1963, the Banality of Evil was a product of its time, presenting the horrific actions of the Holocaust and her attempts to explain how it occurred including the role of the individual. This is also a book ahead of its time in exploring the philosophical ideas of evil, but what else is to be expected from the same author who wrote The Origins of Totalitarianism in the year 1951? The fact that links can be drawn between recent philosophical arguments of evil, which will be covered, and her idea of banality further prove this. Her interest in totalitarian governments shown in this report, allows her to explore the effects of these regimes on the role of the individual and how it can lead to them fulfilling evil.  </w:t>
      </w:r>
    </w:p>
    <w:p w14:paraId="5BE47C7C" w14:textId="77777777" w:rsidR="000706A9" w:rsidRDefault="000706A9" w:rsidP="000706A9">
      <w:pPr>
        <w:pStyle w:val="NormalWeb"/>
        <w:spacing w:before="0" w:beforeAutospacing="0" w:after="0" w:afterAutospacing="0"/>
      </w:pPr>
      <w:r>
        <w:t> </w:t>
      </w:r>
    </w:p>
    <w:p w14:paraId="67887710" w14:textId="73DAA657" w:rsidR="000706A9" w:rsidRDefault="000706A9" w:rsidP="000706A9">
      <w:pPr>
        <w:pStyle w:val="NormalWeb"/>
        <w:spacing w:before="0" w:beforeAutospacing="0" w:after="0" w:afterAutospacing="0"/>
      </w:pPr>
      <w:r>
        <w:rPr>
          <w:rFonts w:ascii="Arial" w:hAnsi="Arial" w:cs="Arial"/>
          <w:color w:val="000000"/>
        </w:rPr>
        <w:t>Arendt’s Banality of evil summed up is the idea that Eichmann was a “small cog”</w:t>
      </w:r>
      <w:r>
        <w:rPr>
          <w:rStyle w:val="FootnoteReference"/>
          <w:rFonts w:ascii="Arial" w:hAnsi="Arial" w:cs="Arial"/>
          <w:color w:val="000000"/>
        </w:rPr>
        <w:footnoteReference w:id="1"/>
      </w:r>
      <w:r>
        <w:rPr>
          <w:rFonts w:ascii="Arial" w:hAnsi="Arial" w:cs="Arial"/>
          <w:color w:val="000000"/>
        </w:rPr>
        <w:t xml:space="preserve"> in a large-scale system in which he lost his ability to think for himself and became a victim of brainless order following. She argues that Eichmann was in fact “terrifyingly normal”</w:t>
      </w:r>
      <w:r>
        <w:rPr>
          <w:rStyle w:val="FootnoteReference"/>
          <w:rFonts w:ascii="Arial" w:hAnsi="Arial" w:cs="Arial"/>
          <w:color w:val="000000"/>
        </w:rPr>
        <w:footnoteReference w:id="2"/>
      </w:r>
      <w:r>
        <w:rPr>
          <w:rFonts w:ascii="Arial" w:hAnsi="Arial" w:cs="Arial"/>
          <w:color w:val="000000"/>
        </w:rPr>
        <w:t xml:space="preserve"> and that it was the “circumstances” that led to his actions. These “circumstances”, which can be implied to be the distorted system of the Third Reich, are what led to the inability for him to “know or to feel that he is doing wrong” when following orders. When looking at the scale of the Holocaust and how many ordinary Germans were involved, this makes a convincing argument as she implies that the whole population </w:t>
      </w:r>
      <w:r>
        <w:rPr>
          <w:rFonts w:ascii="Arial" w:hAnsi="Arial" w:cs="Arial"/>
          <w:color w:val="000000"/>
        </w:rPr>
        <w:t>cannot</w:t>
      </w:r>
      <w:r>
        <w:rPr>
          <w:rFonts w:ascii="Arial" w:hAnsi="Arial" w:cs="Arial"/>
          <w:color w:val="000000"/>
        </w:rPr>
        <w:t xml:space="preserve"> be inherently evil and therefore these crimes could not have been committed </w:t>
      </w:r>
      <w:r>
        <w:rPr>
          <w:rFonts w:ascii="Arial" w:hAnsi="Arial" w:cs="Arial"/>
          <w:color w:val="000000"/>
        </w:rPr>
        <w:t>consciously</w:t>
      </w:r>
      <w:r>
        <w:rPr>
          <w:rFonts w:ascii="Arial" w:hAnsi="Arial" w:cs="Arial"/>
          <w:color w:val="000000"/>
        </w:rPr>
        <w:t xml:space="preserve"> on this scale.</w:t>
      </w:r>
    </w:p>
    <w:p w14:paraId="794C8EBB" w14:textId="77777777" w:rsidR="000706A9" w:rsidRDefault="000706A9" w:rsidP="000706A9">
      <w:pPr>
        <w:pStyle w:val="NormalWeb"/>
        <w:spacing w:before="0" w:beforeAutospacing="0" w:after="0" w:afterAutospacing="0"/>
      </w:pPr>
      <w:r>
        <w:t> </w:t>
      </w:r>
    </w:p>
    <w:p w14:paraId="090C87AF" w14:textId="603A643F" w:rsidR="000706A9" w:rsidRDefault="000706A9" w:rsidP="000706A9">
      <w:pPr>
        <w:pStyle w:val="NormalWeb"/>
        <w:spacing w:before="0" w:beforeAutospacing="0" w:after="0" w:afterAutospacing="0"/>
      </w:pPr>
      <w:r>
        <w:rPr>
          <w:rFonts w:ascii="Arial" w:hAnsi="Arial" w:cs="Arial"/>
          <w:color w:val="000000"/>
        </w:rPr>
        <w:t>Eichmann’s defence was the fact that he was simply following orders from above. His claim to be doing his “duty”</w:t>
      </w:r>
      <w:r>
        <w:rPr>
          <w:rStyle w:val="FootnoteReference"/>
          <w:rFonts w:ascii="Arial" w:hAnsi="Arial" w:cs="Arial"/>
          <w:color w:val="000000"/>
        </w:rPr>
        <w:footnoteReference w:id="3"/>
      </w:r>
      <w:r>
        <w:rPr>
          <w:rFonts w:ascii="Arial" w:hAnsi="Arial" w:cs="Arial"/>
          <w:color w:val="000000"/>
        </w:rPr>
        <w:t xml:space="preserve"> is undermined by Arendt. She points out that by following the unofficial law of Hitler, although it seems as though they are being lawful, they are not following the </w:t>
      </w:r>
      <w:r>
        <w:rPr>
          <w:rFonts w:ascii="Arial" w:hAnsi="Arial" w:cs="Arial"/>
          <w:color w:val="000000"/>
        </w:rPr>
        <w:t>l</w:t>
      </w:r>
      <w:r>
        <w:rPr>
          <w:rFonts w:ascii="Arial" w:hAnsi="Arial" w:cs="Arial"/>
          <w:color w:val="000000"/>
        </w:rPr>
        <w:t>aw of the land</w:t>
      </w:r>
      <w:r>
        <w:rPr>
          <w:rFonts w:ascii="Arial" w:hAnsi="Arial" w:cs="Arial"/>
          <w:color w:val="000000"/>
        </w:rPr>
        <w:t xml:space="preserve"> </w:t>
      </w:r>
      <w:r>
        <w:rPr>
          <w:rFonts w:ascii="Arial" w:hAnsi="Arial" w:cs="Arial"/>
          <w:color w:val="000000"/>
        </w:rPr>
        <w:t>and therefore can be “recognised as a criminal”</w:t>
      </w:r>
      <w:r>
        <w:rPr>
          <w:rStyle w:val="FootnoteReference"/>
          <w:rFonts w:ascii="Arial" w:hAnsi="Arial" w:cs="Arial"/>
          <w:color w:val="000000"/>
        </w:rPr>
        <w:footnoteReference w:id="4"/>
      </w:r>
      <w:r>
        <w:rPr>
          <w:rFonts w:ascii="Arial" w:hAnsi="Arial" w:cs="Arial"/>
          <w:color w:val="000000"/>
        </w:rPr>
        <w:t>. This suggests that what seemed like the law, underlined by Hitler, was often followed because it was from the highest place. Furthermore, the fact it was labelled the law, suggests that normal law-abiding citizens would have been keen to act in accordance with it as not following it would create a sense of criminality which they would want to avoid. This makes Arendt’s argument compelling as the fear of incarceration, or sometimes death, would override the ability to judge the morality of the situation and therefore would willingly obey, perhaps without even trying to assess it. This links to her assessment of totalitarian governments as this is often the techniques used by the regimes and therefore manage to incite evil into the whole party.</w:t>
      </w:r>
    </w:p>
    <w:p w14:paraId="40BDFFD8" w14:textId="77777777" w:rsidR="000706A9" w:rsidRDefault="000706A9" w:rsidP="000706A9">
      <w:pPr>
        <w:pStyle w:val="NormalWeb"/>
        <w:spacing w:before="0" w:beforeAutospacing="0" w:after="0" w:afterAutospacing="0"/>
      </w:pPr>
      <w:r>
        <w:t> </w:t>
      </w:r>
    </w:p>
    <w:p w14:paraId="540CCEF2" w14:textId="7A71F9DE" w:rsidR="000706A9" w:rsidRDefault="000706A9" w:rsidP="000706A9">
      <w:pPr>
        <w:pStyle w:val="NormalWeb"/>
        <w:spacing w:before="0" w:beforeAutospacing="0" w:after="0" w:afterAutospacing="0"/>
      </w:pPr>
      <w:r>
        <w:rPr>
          <w:rFonts w:ascii="Arial" w:hAnsi="Arial" w:cs="Arial"/>
          <w:color w:val="000000"/>
        </w:rPr>
        <w:t>The blunt fact that he “did not want to deny it”</w:t>
      </w:r>
      <w:r>
        <w:rPr>
          <w:rStyle w:val="FootnoteReference"/>
          <w:rFonts w:ascii="Arial" w:hAnsi="Arial" w:cs="Arial"/>
          <w:color w:val="000000"/>
        </w:rPr>
        <w:footnoteReference w:id="5"/>
      </w:r>
      <w:r>
        <w:rPr>
          <w:rFonts w:ascii="Arial" w:hAnsi="Arial" w:cs="Arial"/>
          <w:color w:val="000000"/>
        </w:rPr>
        <w:t xml:space="preserve">, unlike many of the other officers who had been prosecuted, suggests that he was unable to see the graveness of the situation which suggests that it was a passive following of orders in which he lost his ability to think for </w:t>
      </w:r>
      <w:r>
        <w:rPr>
          <w:rFonts w:ascii="Arial" w:hAnsi="Arial" w:cs="Arial"/>
          <w:color w:val="000000"/>
        </w:rPr>
        <w:lastRenderedPageBreak/>
        <w:t>himself. Arendt emphasises this by claiming his “inability to speak was closely related with an inability to think”</w:t>
      </w:r>
      <w:r>
        <w:rPr>
          <w:rStyle w:val="FootnoteReference"/>
          <w:rFonts w:ascii="Arial" w:hAnsi="Arial" w:cs="Arial"/>
          <w:color w:val="000000"/>
        </w:rPr>
        <w:footnoteReference w:id="6"/>
      </w:r>
      <w:r>
        <w:rPr>
          <w:rFonts w:ascii="Arial" w:hAnsi="Arial" w:cs="Arial"/>
          <w:color w:val="000000"/>
        </w:rPr>
        <w:t xml:space="preserve"> when he was unable to formulate sentences where he </w:t>
      </w:r>
      <w:proofErr w:type="gramStart"/>
      <w:r>
        <w:rPr>
          <w:rFonts w:ascii="Arial" w:hAnsi="Arial" w:cs="Arial"/>
          <w:color w:val="000000"/>
        </w:rPr>
        <w:t>wasn’t</w:t>
      </w:r>
      <w:proofErr w:type="gramEnd"/>
      <w:r>
        <w:rPr>
          <w:rFonts w:ascii="Arial" w:hAnsi="Arial" w:cs="Arial"/>
          <w:color w:val="000000"/>
        </w:rPr>
        <w:t xml:space="preserve"> just repeating himself or using cliches. This backs up her argument as it </w:t>
      </w:r>
      <w:proofErr w:type="spellStart"/>
      <w:r>
        <w:rPr>
          <w:rFonts w:ascii="Arial" w:hAnsi="Arial" w:cs="Arial"/>
          <w:color w:val="000000"/>
        </w:rPr>
        <w:t>implie</w:t>
      </w:r>
      <w:proofErr w:type="spellEnd"/>
      <w:r>
        <w:rPr>
          <w:rFonts w:ascii="Arial" w:hAnsi="Arial" w:cs="Arial"/>
          <w:color w:val="000000"/>
        </w:rPr>
        <w:t xml:space="preserve"> that </w:t>
      </w:r>
      <w:r>
        <w:rPr>
          <w:rFonts w:ascii="Arial" w:hAnsi="Arial" w:cs="Arial"/>
          <w:color w:val="000000"/>
        </w:rPr>
        <w:t>he has become so used to following a certain pattern and that it became so ingrained in him that he is now unable to think for himself. This suggests that he would have followed any orders as he lost the very concept of his morals and now relied on the higher up officials to inform him of these morals which unfortunately were very wrong.</w:t>
      </w:r>
    </w:p>
    <w:p w14:paraId="0A6BECB7" w14:textId="77777777" w:rsidR="000706A9" w:rsidRDefault="000706A9" w:rsidP="000706A9">
      <w:pPr>
        <w:pStyle w:val="NormalWeb"/>
        <w:spacing w:before="0" w:beforeAutospacing="0" w:after="0" w:afterAutospacing="0"/>
      </w:pPr>
      <w:r>
        <w:t> </w:t>
      </w:r>
    </w:p>
    <w:p w14:paraId="6964D0F1" w14:textId="755F1435" w:rsidR="000706A9" w:rsidRDefault="000706A9" w:rsidP="000706A9">
      <w:pPr>
        <w:pStyle w:val="NormalWeb"/>
        <w:spacing w:before="0" w:beforeAutospacing="0" w:after="0" w:afterAutospacing="0"/>
      </w:pPr>
      <w:r>
        <w:rPr>
          <w:rFonts w:ascii="Arial" w:hAnsi="Arial" w:cs="Arial"/>
          <w:color w:val="000000"/>
        </w:rPr>
        <w:t>She also displays Eichmann as a diligent man who was keen to climb up the ranks. The fact that he was often “boasting”</w:t>
      </w:r>
      <w:r>
        <w:rPr>
          <w:rStyle w:val="FootnoteReference"/>
          <w:rFonts w:ascii="Arial" w:hAnsi="Arial" w:cs="Arial"/>
          <w:color w:val="000000"/>
        </w:rPr>
        <w:footnoteReference w:id="7"/>
      </w:r>
      <w:r>
        <w:rPr>
          <w:rFonts w:ascii="Arial" w:hAnsi="Arial" w:cs="Arial"/>
          <w:color w:val="000000"/>
        </w:rPr>
        <w:t xml:space="preserve"> and became an “expert”</w:t>
      </w:r>
      <w:r>
        <w:rPr>
          <w:rStyle w:val="FootnoteReference"/>
          <w:rFonts w:ascii="Arial" w:hAnsi="Arial" w:cs="Arial"/>
          <w:color w:val="000000"/>
        </w:rPr>
        <w:footnoteReference w:id="8"/>
      </w:r>
      <w:r>
        <w:rPr>
          <w:rFonts w:ascii="Arial" w:hAnsi="Arial" w:cs="Arial"/>
          <w:color w:val="000000"/>
        </w:rPr>
        <w:t xml:space="preserve"> on Jewish emigration implies not only was he proud of his work but also that he worked hard at it in order to be successful in it. This suggests that he was keen to follow orders and impress the high-ranking officials in order to advance his career which would permit his involvement in larger and even more secretive decisions such as the Final Solution and commit acts of evil. This, then, suggests that he was not characteristically evil as it came from a drive to do well and separates the idea of an evil person from an evil act. This highlights her argument as his obsession to succeed in his job would lead him to blindly follow orders.</w:t>
      </w:r>
    </w:p>
    <w:p w14:paraId="5BB08AAF" w14:textId="77777777" w:rsidR="000706A9" w:rsidRDefault="000706A9" w:rsidP="000706A9">
      <w:pPr>
        <w:pStyle w:val="NormalWeb"/>
        <w:spacing w:before="0" w:beforeAutospacing="0" w:after="0" w:afterAutospacing="0"/>
      </w:pPr>
      <w:r>
        <w:t> </w:t>
      </w:r>
    </w:p>
    <w:p w14:paraId="1EC55350" w14:textId="19153700" w:rsidR="000706A9" w:rsidRDefault="000706A9" w:rsidP="000706A9">
      <w:pPr>
        <w:pStyle w:val="NormalWeb"/>
        <w:spacing w:before="0" w:beforeAutospacing="0" w:after="0" w:afterAutospacing="0"/>
      </w:pPr>
      <w:r>
        <w:rPr>
          <w:rFonts w:ascii="Arial" w:hAnsi="Arial" w:cs="Arial"/>
          <w:color w:val="000000"/>
        </w:rPr>
        <w:t>In her book The Origins of Totalitarianism, mentioned above, she argues a point of a radical evil. This concept was coined by Kant who uses it as a way to explain an innate need to prioritise one’s self interest over the moral law which causes us to be evil; he argues one is never evil for the sake of being evil. However, Arendt goes one step further by using an idea of “superfluous”</w:t>
      </w:r>
      <w:r>
        <w:rPr>
          <w:rStyle w:val="FootnoteReference"/>
          <w:rFonts w:ascii="Arial" w:hAnsi="Arial" w:cs="Arial"/>
          <w:color w:val="000000"/>
        </w:rPr>
        <w:footnoteReference w:id="9"/>
      </w:r>
      <w:r>
        <w:rPr>
          <w:rFonts w:ascii="Arial" w:hAnsi="Arial" w:cs="Arial"/>
          <w:color w:val="000000"/>
        </w:rPr>
        <w:t xml:space="preserve"> </w:t>
      </w:r>
      <w:r w:rsidR="00BD5BE7">
        <w:rPr>
          <w:rFonts w:ascii="Arial" w:hAnsi="Arial" w:cs="Arial"/>
          <w:color w:val="000000"/>
        </w:rPr>
        <w:t>in a le</w:t>
      </w:r>
      <w:r>
        <w:rPr>
          <w:rFonts w:ascii="Arial" w:hAnsi="Arial" w:cs="Arial"/>
          <w:color w:val="000000"/>
        </w:rPr>
        <w:t>tter to Karl Jaspers alongside her book. Bernstein, an American philosopher, argues that rather than this having to do with motive, unlike Kant, it is in relation to the ideals of a totalitarian government. His use of the phrase “human individuals can be sacrificed for the cause or movement”</w:t>
      </w:r>
      <w:r w:rsidR="00BD5BE7">
        <w:rPr>
          <w:rStyle w:val="FootnoteReference"/>
          <w:rFonts w:ascii="Arial" w:hAnsi="Arial" w:cs="Arial"/>
          <w:color w:val="000000"/>
        </w:rPr>
        <w:footnoteReference w:id="10"/>
      </w:r>
      <w:r>
        <w:rPr>
          <w:rFonts w:ascii="Arial" w:hAnsi="Arial" w:cs="Arial"/>
          <w:color w:val="000000"/>
        </w:rPr>
        <w:t xml:space="preserve"> implies that it is in a need to create a certain state under which they have full control and the victims have little freedom. Whilst there is some aspect of motive here, as there is a strive for power, it is more about suppression of the individual in attempts to achieve a perfect and </w:t>
      </w:r>
      <w:r w:rsidR="00BD5BE7">
        <w:rPr>
          <w:rFonts w:ascii="Arial" w:hAnsi="Arial" w:cs="Arial"/>
          <w:color w:val="000000"/>
        </w:rPr>
        <w:t>long-term</w:t>
      </w:r>
      <w:r>
        <w:rPr>
          <w:rFonts w:ascii="Arial" w:hAnsi="Arial" w:cs="Arial"/>
          <w:color w:val="000000"/>
        </w:rPr>
        <w:t xml:space="preserve"> totalitarian state. Since total control and power is difficult to obtain quickly, it suggests a slow rise of power in which over time certain circumstances were able to be created. This then creates a sense of normality of evil as it happens subtly and over time as the evilness of acts escalate. This suggests that it can come about more easily and rather unknowingly. This then allows normal people, those who </w:t>
      </w:r>
      <w:r w:rsidR="00BD5BE7">
        <w:rPr>
          <w:rFonts w:ascii="Arial" w:hAnsi="Arial" w:cs="Arial"/>
          <w:color w:val="000000"/>
        </w:rPr>
        <w:t>are not</w:t>
      </w:r>
      <w:r>
        <w:rPr>
          <w:rFonts w:ascii="Arial" w:hAnsi="Arial" w:cs="Arial"/>
          <w:color w:val="000000"/>
        </w:rPr>
        <w:t xml:space="preserve"> inherently evil, to become subjected to it. This is an idea seen in many genocides that have happened where there has been a rise of political power which has led to a victimisation of a certain group of people. </w:t>
      </w:r>
    </w:p>
    <w:p w14:paraId="1319E195" w14:textId="77777777" w:rsidR="000706A9" w:rsidRDefault="000706A9" w:rsidP="000706A9">
      <w:pPr>
        <w:pStyle w:val="NormalWeb"/>
        <w:spacing w:before="0" w:beforeAutospacing="0" w:after="0" w:afterAutospacing="0"/>
      </w:pPr>
      <w:r>
        <w:t> </w:t>
      </w:r>
    </w:p>
    <w:p w14:paraId="62EFC979" w14:textId="77777777" w:rsidR="000706A9" w:rsidRDefault="000706A9" w:rsidP="000706A9">
      <w:pPr>
        <w:pStyle w:val="NormalWeb"/>
        <w:spacing w:before="0" w:beforeAutospacing="0" w:after="0" w:afterAutospacing="0"/>
      </w:pPr>
      <w:r>
        <w:rPr>
          <w:rFonts w:ascii="Arial" w:hAnsi="Arial" w:cs="Arial"/>
          <w:color w:val="000000"/>
        </w:rPr>
        <w:t xml:space="preserve">The idea of self-interest as a means for committing evil are convincing in the context of Nazi Germany as there have been several studies to show that the cabinet system and their organisation was fractured. The historian </w:t>
      </w:r>
      <w:proofErr w:type="spellStart"/>
      <w:r>
        <w:rPr>
          <w:rFonts w:ascii="Arial" w:hAnsi="Arial" w:cs="Arial"/>
          <w:color w:val="000000"/>
        </w:rPr>
        <w:t>Broszat</w:t>
      </w:r>
      <w:proofErr w:type="spellEnd"/>
      <w:r>
        <w:rPr>
          <w:rFonts w:ascii="Arial" w:hAnsi="Arial" w:cs="Arial"/>
          <w:color w:val="000000"/>
        </w:rPr>
        <w:t>, in fact argues that the cause of the Holocaust was a result of radicalisation within the Party which played the officers against each other. This suggests that there was a competitive atmosphere in which rising tensions would lead attempts at out-competing each other in attempts to rise in rankings. This suggests that this was an easy process to get caught up in, and many did. This then creates the idea that it could easily happen to an ordinary person just trying to fit in and do their job.</w:t>
      </w:r>
    </w:p>
    <w:p w14:paraId="24111794" w14:textId="77777777" w:rsidR="000706A9" w:rsidRDefault="000706A9" w:rsidP="000706A9">
      <w:pPr>
        <w:pStyle w:val="NormalWeb"/>
        <w:spacing w:before="0" w:beforeAutospacing="0" w:after="0" w:afterAutospacing="0"/>
      </w:pPr>
      <w:r>
        <w:t> </w:t>
      </w:r>
    </w:p>
    <w:p w14:paraId="3EC23C77" w14:textId="15420676" w:rsidR="000706A9" w:rsidRDefault="000706A9" w:rsidP="000706A9">
      <w:pPr>
        <w:pStyle w:val="NormalWeb"/>
        <w:spacing w:before="0" w:beforeAutospacing="0" w:after="0" w:afterAutospacing="0"/>
      </w:pPr>
      <w:r>
        <w:rPr>
          <w:rFonts w:ascii="Arial" w:hAnsi="Arial" w:cs="Arial"/>
          <w:color w:val="000000"/>
        </w:rPr>
        <w:t xml:space="preserve">Inspired by the events of the Eichmann trial, a series of experiments were conducted by a social psychologist called Milgram. This Milgram Shock Experiment attempted to examine if the acts of genocide in World War Two really were a result of ordinary people wo were </w:t>
      </w:r>
      <w:r>
        <w:rPr>
          <w:rFonts w:ascii="Arial" w:hAnsi="Arial" w:cs="Arial"/>
          <w:color w:val="000000"/>
        </w:rPr>
        <w:lastRenderedPageBreak/>
        <w:t xml:space="preserve">simply following orders from an </w:t>
      </w:r>
      <w:r w:rsidR="00BD5BE7">
        <w:rPr>
          <w:rFonts w:ascii="Arial" w:hAnsi="Arial" w:cs="Arial"/>
          <w:color w:val="000000"/>
        </w:rPr>
        <w:t>authoritative</w:t>
      </w:r>
      <w:r>
        <w:rPr>
          <w:rFonts w:ascii="Arial" w:hAnsi="Arial" w:cs="Arial"/>
          <w:color w:val="000000"/>
        </w:rPr>
        <w:t xml:space="preserve"> figure. He investigated if Germans were more susceptible to these </w:t>
      </w:r>
      <w:proofErr w:type="gramStart"/>
      <w:r>
        <w:rPr>
          <w:rFonts w:ascii="Arial" w:hAnsi="Arial" w:cs="Arial"/>
          <w:color w:val="000000"/>
        </w:rPr>
        <w:t>orders</w:t>
      </w:r>
      <w:proofErr w:type="gramEnd"/>
      <w:r>
        <w:rPr>
          <w:rFonts w:ascii="Arial" w:hAnsi="Arial" w:cs="Arial"/>
          <w:color w:val="000000"/>
        </w:rPr>
        <w:t xml:space="preserve"> so he used Americans as the test subjects. The results were shocking in that sixty five percent of the test subjects fulfilled the orders to the point of apparent death. This suggests that the ordinary person, even when there is no indoctrination through propaganda like the Germans had, </w:t>
      </w:r>
      <w:proofErr w:type="gramStart"/>
      <w:r>
        <w:rPr>
          <w:rFonts w:ascii="Arial" w:hAnsi="Arial" w:cs="Arial"/>
          <w:color w:val="000000"/>
        </w:rPr>
        <w:t>has the ability to</w:t>
      </w:r>
      <w:proofErr w:type="gramEnd"/>
      <w:r>
        <w:rPr>
          <w:rFonts w:ascii="Arial" w:hAnsi="Arial" w:cs="Arial"/>
          <w:color w:val="000000"/>
        </w:rPr>
        <w:t xml:space="preserve"> commit an act of evil when they are instructed to by an official. This implies that evil is not inherent as the acts are not based on personal gain or because they find a satisfaction in it, but rather they feel as though they </w:t>
      </w:r>
      <w:r w:rsidR="00BD5BE7">
        <w:rPr>
          <w:rFonts w:ascii="Arial" w:hAnsi="Arial" w:cs="Arial"/>
          <w:color w:val="000000"/>
        </w:rPr>
        <w:t>do not</w:t>
      </w:r>
      <w:r>
        <w:rPr>
          <w:rFonts w:ascii="Arial" w:hAnsi="Arial" w:cs="Arial"/>
          <w:color w:val="000000"/>
        </w:rPr>
        <w:t xml:space="preserve"> have another choice. This would allow for Arendt’s concept of banality as it ultimately leads to obeying these laws without really questioning it due to the fear of being arrested. </w:t>
      </w:r>
    </w:p>
    <w:p w14:paraId="3C9687CF" w14:textId="77777777" w:rsidR="000706A9" w:rsidRDefault="000706A9" w:rsidP="000706A9">
      <w:pPr>
        <w:pStyle w:val="NormalWeb"/>
        <w:spacing w:before="0" w:beforeAutospacing="0" w:after="0" w:afterAutospacing="0"/>
      </w:pPr>
      <w:r>
        <w:t> </w:t>
      </w:r>
    </w:p>
    <w:p w14:paraId="75E4DD39" w14:textId="07D79A9D" w:rsidR="000706A9" w:rsidRDefault="000706A9" w:rsidP="000706A9">
      <w:pPr>
        <w:pStyle w:val="NormalWeb"/>
        <w:spacing w:before="0" w:beforeAutospacing="0" w:after="0" w:afterAutospacing="0"/>
      </w:pPr>
      <w:r>
        <w:rPr>
          <w:rFonts w:ascii="Arial" w:hAnsi="Arial" w:cs="Arial"/>
          <w:color w:val="000000"/>
        </w:rPr>
        <w:t xml:space="preserve">Whilst motivation-based accounts are commonly argued in philosophy, there are three other main arguments for reasoning evil, according to the Stanford Encyclopedia of Philosophy. One that links into Arendt’s argument </w:t>
      </w:r>
      <w:proofErr w:type="gramStart"/>
      <w:r>
        <w:rPr>
          <w:rFonts w:ascii="Arial" w:hAnsi="Arial" w:cs="Arial"/>
          <w:color w:val="000000"/>
        </w:rPr>
        <w:t>and also</w:t>
      </w:r>
      <w:proofErr w:type="gramEnd"/>
      <w:r>
        <w:rPr>
          <w:rFonts w:ascii="Arial" w:hAnsi="Arial" w:cs="Arial"/>
          <w:color w:val="000000"/>
        </w:rPr>
        <w:t xml:space="preserve"> Eichmann’s </w:t>
      </w:r>
      <w:r w:rsidR="00BD5BE7">
        <w:rPr>
          <w:rFonts w:ascii="Arial" w:hAnsi="Arial" w:cs="Arial"/>
          <w:color w:val="000000"/>
        </w:rPr>
        <w:t>defence</w:t>
      </w:r>
      <w:r>
        <w:rPr>
          <w:rFonts w:ascii="Arial" w:hAnsi="Arial" w:cs="Arial"/>
          <w:color w:val="000000"/>
        </w:rPr>
        <w:t xml:space="preserve"> is dispositional accounts. This is the notion that to be evil, one must have “evil-making properties”</w:t>
      </w:r>
      <w:r w:rsidR="00BD5BE7">
        <w:rPr>
          <w:rStyle w:val="FootnoteReference"/>
          <w:rFonts w:ascii="Arial" w:hAnsi="Arial" w:cs="Arial"/>
          <w:color w:val="000000"/>
        </w:rPr>
        <w:footnoteReference w:id="11"/>
      </w:r>
      <w:r>
        <w:rPr>
          <w:rFonts w:ascii="Arial" w:hAnsi="Arial" w:cs="Arial"/>
          <w:color w:val="000000"/>
        </w:rPr>
        <w:t xml:space="preserve">. This suggests that for someone to commit an act of evil, there </w:t>
      </w:r>
      <w:r w:rsidR="00BD5BE7">
        <w:rPr>
          <w:rFonts w:ascii="Arial" w:hAnsi="Arial" w:cs="Arial"/>
          <w:color w:val="000000"/>
        </w:rPr>
        <w:t>must</w:t>
      </w:r>
      <w:r>
        <w:rPr>
          <w:rFonts w:ascii="Arial" w:hAnsi="Arial" w:cs="Arial"/>
          <w:color w:val="000000"/>
        </w:rPr>
        <w:t xml:space="preserve"> be certain circumstances in which they reveal their evil character. This is a convincing argument for the ordinary German question because it implies that to be evil is not uncommon which is emphasised by the Milgram experiment. It also links to Arendt’s argument as it still argues that there had to be specific conditions to allow for his following of orders. Furthermore, the fact that many people have the possibility of evil gives weight to this idea of banality as there is a sense of repetition and unoriginality through just </w:t>
      </w:r>
      <w:r w:rsidR="00BD5BE7">
        <w:rPr>
          <w:rFonts w:ascii="Arial" w:hAnsi="Arial" w:cs="Arial"/>
          <w:color w:val="000000"/>
        </w:rPr>
        <w:t>execute</w:t>
      </w:r>
      <w:r>
        <w:rPr>
          <w:rFonts w:ascii="Arial" w:hAnsi="Arial" w:cs="Arial"/>
          <w:color w:val="000000"/>
        </w:rPr>
        <w:t xml:space="preserve"> orders.</w:t>
      </w:r>
    </w:p>
    <w:p w14:paraId="6807C96B" w14:textId="77777777" w:rsidR="000706A9" w:rsidRDefault="000706A9" w:rsidP="000706A9">
      <w:pPr>
        <w:pStyle w:val="NormalWeb"/>
        <w:spacing w:before="0" w:beforeAutospacing="0" w:after="0" w:afterAutospacing="0"/>
      </w:pPr>
      <w:r>
        <w:t> </w:t>
      </w:r>
    </w:p>
    <w:p w14:paraId="0DC6F580" w14:textId="4AE89110" w:rsidR="000706A9" w:rsidRDefault="000706A9" w:rsidP="000706A9">
      <w:pPr>
        <w:pStyle w:val="NormalWeb"/>
        <w:spacing w:before="0" w:beforeAutospacing="0" w:after="0" w:afterAutospacing="0"/>
      </w:pPr>
      <w:r>
        <w:rPr>
          <w:rFonts w:ascii="Arial" w:hAnsi="Arial" w:cs="Arial"/>
          <w:color w:val="000000"/>
        </w:rPr>
        <w:t xml:space="preserve">In conclusion, Arendt’s argument where she claims Eichmann to be almost brainwashed in a system of competitiveness and exploitation is very convincing. Although controversial at the time, it has proven to be a reliable </w:t>
      </w:r>
      <w:r w:rsidR="00BD5BE7">
        <w:rPr>
          <w:rFonts w:ascii="Arial" w:hAnsi="Arial" w:cs="Arial"/>
          <w:color w:val="000000"/>
        </w:rPr>
        <w:t>explanation</w:t>
      </w:r>
      <w:r>
        <w:rPr>
          <w:rFonts w:ascii="Arial" w:hAnsi="Arial" w:cs="Arial"/>
          <w:color w:val="000000"/>
        </w:rPr>
        <w:t xml:space="preserve"> for how these ordinary Germans ended up committing these crimes of genocide. Her ability to outline Eichmann’s role in the Nazi Party and </w:t>
      </w:r>
      <w:r w:rsidR="00BD5BE7">
        <w:rPr>
          <w:rFonts w:ascii="Arial" w:hAnsi="Arial" w:cs="Arial"/>
          <w:color w:val="000000"/>
        </w:rPr>
        <w:t>ultimately</w:t>
      </w:r>
      <w:r>
        <w:rPr>
          <w:rFonts w:ascii="Arial" w:hAnsi="Arial" w:cs="Arial"/>
          <w:color w:val="000000"/>
        </w:rPr>
        <w:t xml:space="preserve"> the Final Solution alongside his own personality which she highlights as bland and uneducated creates an interesting </w:t>
      </w:r>
      <w:r w:rsidR="00BD5BE7">
        <w:rPr>
          <w:rFonts w:ascii="Arial" w:hAnsi="Arial" w:cs="Arial"/>
          <w:color w:val="000000"/>
        </w:rPr>
        <w:t>parallel</w:t>
      </w:r>
      <w:r>
        <w:rPr>
          <w:rFonts w:ascii="Arial" w:hAnsi="Arial" w:cs="Arial"/>
          <w:color w:val="000000"/>
        </w:rPr>
        <w:t xml:space="preserve">. This enables her to really emphasise his lack of, not only understanding, but awareness in this situation. The fact he was just one of the many who took part, makes it difficult to label evil as rare which can be paired with Arendt’s idea of banal. With this, she once again </w:t>
      </w:r>
      <w:proofErr w:type="gramStart"/>
      <w:r>
        <w:rPr>
          <w:rFonts w:ascii="Arial" w:hAnsi="Arial" w:cs="Arial"/>
          <w:color w:val="000000"/>
        </w:rPr>
        <w:t>is able to</w:t>
      </w:r>
      <w:proofErr w:type="gramEnd"/>
      <w:r>
        <w:rPr>
          <w:rFonts w:ascii="Arial" w:hAnsi="Arial" w:cs="Arial"/>
          <w:color w:val="000000"/>
        </w:rPr>
        <w:t xml:space="preserve"> showcase the horrors of a totalitarian government and just how easily it can occur.</w:t>
      </w:r>
    </w:p>
    <w:p w14:paraId="34B85C43" w14:textId="14EC1892" w:rsidR="00B80DE6" w:rsidRPr="00B80DE6" w:rsidRDefault="000706A9" w:rsidP="00B80DE6">
      <w:pPr>
        <w:spacing w:after="240"/>
      </w:pPr>
      <w:r>
        <w:br/>
      </w:r>
      <w:r>
        <w:br/>
      </w:r>
      <w:r>
        <w:br/>
      </w:r>
    </w:p>
    <w:sdt>
      <w:sdtPr>
        <w:id w:val="1259800336"/>
        <w:docPartObj>
          <w:docPartGallery w:val="Bibliographies"/>
          <w:docPartUnique/>
        </w:docPartObj>
      </w:sdtPr>
      <w:sdtEndPr>
        <w:rPr>
          <w:rFonts w:asciiTheme="minorHAnsi" w:hAnsiTheme="minorHAnsi" w:cstheme="minorBidi"/>
        </w:rPr>
      </w:sdtEndPr>
      <w:sdtContent>
        <w:p w14:paraId="2AB466F3" w14:textId="01C2C42B" w:rsidR="00B80DE6" w:rsidRDefault="00B80DE6" w:rsidP="00B80DE6">
          <w:pPr>
            <w:pStyle w:val="NormalWeb"/>
            <w:spacing w:before="0" w:beforeAutospacing="0" w:after="0" w:afterAutospacing="0"/>
          </w:pPr>
          <w:r>
            <w:t>Bibliography</w:t>
          </w:r>
        </w:p>
        <w:p w14:paraId="27EC5B0C" w14:textId="08DEAB50" w:rsidR="00B80DE6" w:rsidRDefault="00B80DE6" w:rsidP="00B80DE6">
          <w:pPr>
            <w:pStyle w:val="NormalWeb"/>
            <w:spacing w:before="0" w:beforeAutospacing="0" w:after="0" w:afterAutospacing="0"/>
          </w:pPr>
        </w:p>
        <w:p w14:paraId="15EE434D" w14:textId="48FDE93C" w:rsidR="00B80DE6" w:rsidRPr="00CC50F6" w:rsidRDefault="00B80DE6" w:rsidP="00B80DE6">
          <w:pPr>
            <w:pStyle w:val="NormalWeb"/>
            <w:spacing w:before="0" w:beforeAutospacing="0" w:after="0" w:afterAutospacing="0"/>
          </w:pPr>
          <w:r>
            <w:t>Primary Sources</w:t>
          </w:r>
        </w:p>
        <w:sdt>
          <w:sdtPr>
            <w:id w:val="111145805"/>
            <w:bibliography/>
          </w:sdtPr>
          <w:sdtContent>
            <w:p w14:paraId="25C2E85E" w14:textId="2CA9D2D4" w:rsidR="00EF63A9" w:rsidRDefault="00B80DE6" w:rsidP="00EF63A9">
              <w:pPr>
                <w:pStyle w:val="Bibliography"/>
                <w:ind w:left="720" w:hanging="720"/>
                <w:rPr>
                  <w:noProof/>
                </w:rPr>
              </w:pPr>
              <w:r>
                <w:fldChar w:fldCharType="begin"/>
              </w:r>
              <w:r>
                <w:instrText xml:space="preserve"> BIBLIOGRAPHY </w:instrText>
              </w:r>
              <w:r>
                <w:fldChar w:fldCharType="separate"/>
              </w:r>
              <w:r w:rsidR="00EF63A9">
                <w:rPr>
                  <w:noProof/>
                </w:rPr>
                <w:t xml:space="preserve">Arendt, H. (1963). </w:t>
              </w:r>
              <w:r w:rsidR="00EF63A9">
                <w:rPr>
                  <w:i/>
                  <w:iCs/>
                  <w:noProof/>
                </w:rPr>
                <w:t>Eichmann in Jerusalem A Report on the Banality of Evil.</w:t>
              </w:r>
              <w:r w:rsidR="00EF63A9">
                <w:rPr>
                  <w:noProof/>
                </w:rPr>
                <w:t xml:space="preserve"> New York: Penguin Group.</w:t>
              </w:r>
            </w:p>
            <w:p w14:paraId="0A09C831" w14:textId="15AAA9CE" w:rsidR="00CC50F6" w:rsidRDefault="00CC50F6" w:rsidP="00CC50F6"/>
            <w:p w14:paraId="4F410C84" w14:textId="3E010A88" w:rsidR="00CC50F6" w:rsidRPr="00CC50F6" w:rsidRDefault="00CC50F6" w:rsidP="00CC50F6">
              <w:r>
                <w:t>Secondary Sources</w:t>
              </w:r>
            </w:p>
            <w:p w14:paraId="41592D33" w14:textId="77777777" w:rsidR="00EF63A9" w:rsidRDefault="00EF63A9" w:rsidP="00EF63A9">
              <w:pPr>
                <w:pStyle w:val="Bibliography"/>
                <w:ind w:left="720" w:hanging="720"/>
                <w:rPr>
                  <w:noProof/>
                </w:rPr>
              </w:pPr>
              <w:r>
                <w:rPr>
                  <w:noProof/>
                </w:rPr>
                <w:t xml:space="preserve">Calder, T. Z. (2020). </w:t>
              </w:r>
              <w:r>
                <w:rPr>
                  <w:i/>
                  <w:iCs/>
                  <w:noProof/>
                </w:rPr>
                <w:t>Stanford Encyclopedia of Philosophy</w:t>
              </w:r>
              <w:r>
                <w:rPr>
                  <w:noProof/>
                </w:rPr>
                <w:t>. Retrieved from The Concept of Evil: https://plato.stanford.edu/entries/concept-evil/</w:t>
              </w:r>
            </w:p>
            <w:p w14:paraId="1527C935" w14:textId="77777777" w:rsidR="00EF63A9" w:rsidRDefault="00EF63A9" w:rsidP="00EF63A9">
              <w:pPr>
                <w:pStyle w:val="Bibliography"/>
                <w:ind w:left="720" w:hanging="720"/>
                <w:rPr>
                  <w:noProof/>
                </w:rPr>
              </w:pPr>
              <w:r>
                <w:rPr>
                  <w:noProof/>
                </w:rPr>
                <w:t xml:space="preserve">McLeod, S. (2017). </w:t>
              </w:r>
              <w:r>
                <w:rPr>
                  <w:i/>
                  <w:iCs/>
                  <w:noProof/>
                </w:rPr>
                <w:t>Milgram Shock Experiment</w:t>
              </w:r>
              <w:r>
                <w:rPr>
                  <w:noProof/>
                </w:rPr>
                <w:t>. Retrieved from Simply Psychology : https://www.simplypsychology.org/milgram.html</w:t>
              </w:r>
            </w:p>
            <w:p w14:paraId="325EBB44" w14:textId="77777777" w:rsidR="00EF63A9" w:rsidRDefault="00EF63A9" w:rsidP="00EF63A9">
              <w:pPr>
                <w:pStyle w:val="Bibliography"/>
                <w:ind w:left="720" w:hanging="720"/>
                <w:rPr>
                  <w:noProof/>
                </w:rPr>
              </w:pPr>
              <w:r>
                <w:rPr>
                  <w:noProof/>
                </w:rPr>
                <w:t xml:space="preserve">Richard, B. J. (n/a). Reflections on Radical Evil: Arendt and Kant. </w:t>
              </w:r>
              <w:r>
                <w:rPr>
                  <w:i/>
                  <w:iCs/>
                  <w:noProof/>
                </w:rPr>
                <w:t>Soundings: An Interdisciplinary Journal</w:t>
              </w:r>
              <w:r>
                <w:rPr>
                  <w:noProof/>
                </w:rPr>
                <w:t>, 17-30.</w:t>
              </w:r>
            </w:p>
            <w:p w14:paraId="0FBD6B3F" w14:textId="3C9C4250" w:rsidR="00B3617C" w:rsidRDefault="00B80DE6">
              <w:r>
                <w:rPr>
                  <w:b/>
                  <w:bCs/>
                  <w:noProof/>
                </w:rPr>
                <w:fldChar w:fldCharType="end"/>
              </w:r>
            </w:p>
          </w:sdtContent>
        </w:sdt>
      </w:sdtContent>
    </w:sdt>
    <w:sectPr w:rsidR="00B361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0ED6B4" w14:textId="77777777" w:rsidR="000706A9" w:rsidRDefault="000706A9" w:rsidP="000706A9">
      <w:r>
        <w:separator/>
      </w:r>
    </w:p>
  </w:endnote>
  <w:endnote w:type="continuationSeparator" w:id="0">
    <w:p w14:paraId="6C234E5B" w14:textId="77777777" w:rsidR="000706A9" w:rsidRDefault="000706A9" w:rsidP="000706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FCCE86" w14:textId="77777777" w:rsidR="000706A9" w:rsidRDefault="000706A9" w:rsidP="000706A9">
      <w:r>
        <w:separator/>
      </w:r>
    </w:p>
  </w:footnote>
  <w:footnote w:type="continuationSeparator" w:id="0">
    <w:p w14:paraId="44111EA4" w14:textId="77777777" w:rsidR="000706A9" w:rsidRDefault="000706A9" w:rsidP="000706A9">
      <w:r>
        <w:continuationSeparator/>
      </w:r>
    </w:p>
  </w:footnote>
  <w:footnote w:id="1">
    <w:p w14:paraId="5601CC8A" w14:textId="34AD200E" w:rsidR="000706A9" w:rsidRDefault="000706A9">
      <w:pPr>
        <w:pStyle w:val="FootnoteText"/>
      </w:pPr>
      <w:r>
        <w:rPr>
          <w:rStyle w:val="FootnoteReference"/>
        </w:rPr>
        <w:footnoteRef/>
      </w:r>
      <w:r>
        <w:t>Arendt, Hannah, Eichmann in Jerusalem A Report on the Banality of Evil, pp.</w:t>
      </w:r>
      <w:r>
        <w:t>57</w:t>
      </w:r>
    </w:p>
  </w:footnote>
  <w:footnote w:id="2">
    <w:p w14:paraId="15D5CB71" w14:textId="5EC5CF33" w:rsidR="000706A9" w:rsidRDefault="000706A9">
      <w:pPr>
        <w:pStyle w:val="FootnoteText"/>
      </w:pPr>
      <w:r>
        <w:rPr>
          <w:rStyle w:val="FootnoteReference"/>
        </w:rPr>
        <w:footnoteRef/>
      </w:r>
      <w:r>
        <w:t xml:space="preserve"> </w:t>
      </w:r>
      <w:r>
        <w:t>Arendt, Hannah, Eichmann in Jerusalem A Report on the Banality of Evil, pp.</w:t>
      </w:r>
      <w:r>
        <w:t>276</w:t>
      </w:r>
    </w:p>
  </w:footnote>
  <w:footnote w:id="3">
    <w:p w14:paraId="0BC1AE17" w14:textId="0F0C2E63" w:rsidR="000706A9" w:rsidRDefault="000706A9">
      <w:pPr>
        <w:pStyle w:val="FootnoteText"/>
      </w:pPr>
      <w:r>
        <w:rPr>
          <w:rStyle w:val="FootnoteReference"/>
        </w:rPr>
        <w:footnoteRef/>
      </w:r>
      <w:r>
        <w:t xml:space="preserve"> </w:t>
      </w:r>
      <w:r>
        <w:t>Arendt, Hannah, Eichmann in Jerusalem A Report on the Banality of Evil, pp.</w:t>
      </w:r>
      <w:r>
        <w:t>135</w:t>
      </w:r>
    </w:p>
  </w:footnote>
  <w:footnote w:id="4">
    <w:p w14:paraId="609132C0" w14:textId="39EDF4C7" w:rsidR="000706A9" w:rsidRDefault="000706A9">
      <w:pPr>
        <w:pStyle w:val="FootnoteText"/>
      </w:pPr>
      <w:r>
        <w:rPr>
          <w:rStyle w:val="FootnoteReference"/>
        </w:rPr>
        <w:footnoteRef/>
      </w:r>
      <w:r>
        <w:t xml:space="preserve"> </w:t>
      </w:r>
      <w:r>
        <w:t>Arendt, Hannah, Eichmann in Jerusalem A Report on the Banality of Evil, pp.</w:t>
      </w:r>
      <w:r>
        <w:t>148</w:t>
      </w:r>
    </w:p>
  </w:footnote>
  <w:footnote w:id="5">
    <w:p w14:paraId="36C73AA5" w14:textId="64FA7351" w:rsidR="000706A9" w:rsidRDefault="000706A9">
      <w:pPr>
        <w:pStyle w:val="FootnoteText"/>
      </w:pPr>
      <w:r>
        <w:rPr>
          <w:rStyle w:val="FootnoteReference"/>
        </w:rPr>
        <w:footnoteRef/>
      </w:r>
      <w:r>
        <w:t xml:space="preserve"> </w:t>
      </w:r>
      <w:r>
        <w:t>Arendt, Hannah, Eichmann in Jerusalem A Report on the Banality of Evil, pp.</w:t>
      </w:r>
      <w:r>
        <w:t>24</w:t>
      </w:r>
    </w:p>
  </w:footnote>
  <w:footnote w:id="6">
    <w:p w14:paraId="4A89F149" w14:textId="732C4851" w:rsidR="000706A9" w:rsidRDefault="000706A9">
      <w:pPr>
        <w:pStyle w:val="FootnoteText"/>
      </w:pPr>
      <w:r>
        <w:rPr>
          <w:rStyle w:val="FootnoteReference"/>
        </w:rPr>
        <w:footnoteRef/>
      </w:r>
      <w:r>
        <w:t xml:space="preserve"> </w:t>
      </w:r>
      <w:r>
        <w:t>Arendt, Hannah, Eichmann in Jerusalem A Report on the Banality of Evil, pp.</w:t>
      </w:r>
      <w:r>
        <w:t>49</w:t>
      </w:r>
    </w:p>
  </w:footnote>
  <w:footnote w:id="7">
    <w:p w14:paraId="69F81FD6" w14:textId="0CA369E0" w:rsidR="000706A9" w:rsidRDefault="000706A9">
      <w:pPr>
        <w:pStyle w:val="FootnoteText"/>
      </w:pPr>
      <w:r>
        <w:rPr>
          <w:rStyle w:val="FootnoteReference"/>
        </w:rPr>
        <w:footnoteRef/>
      </w:r>
      <w:r>
        <w:t xml:space="preserve"> </w:t>
      </w:r>
      <w:r>
        <w:t>Arendt, Hannah, Eichmann in Jerusalem A Report on the Banality of Evil, pp.</w:t>
      </w:r>
      <w:r>
        <w:t>46</w:t>
      </w:r>
    </w:p>
  </w:footnote>
  <w:footnote w:id="8">
    <w:p w14:paraId="4F0C60E2" w14:textId="161B2894" w:rsidR="000706A9" w:rsidRDefault="000706A9">
      <w:pPr>
        <w:pStyle w:val="FootnoteText"/>
      </w:pPr>
      <w:r>
        <w:rPr>
          <w:rStyle w:val="FootnoteReference"/>
        </w:rPr>
        <w:footnoteRef/>
      </w:r>
      <w:r>
        <w:t xml:space="preserve"> </w:t>
      </w:r>
      <w:r>
        <w:t>Arendt, Hannah, Eichmann in Jerusalem A Report on the Banality of Evil, pp.</w:t>
      </w:r>
      <w:r>
        <w:t>67</w:t>
      </w:r>
    </w:p>
  </w:footnote>
  <w:footnote w:id="9">
    <w:p w14:paraId="0B3B932B" w14:textId="62E3D49E" w:rsidR="000706A9" w:rsidRDefault="000706A9">
      <w:pPr>
        <w:pStyle w:val="FootnoteText"/>
      </w:pPr>
      <w:r>
        <w:rPr>
          <w:rStyle w:val="FootnoteReference"/>
        </w:rPr>
        <w:footnoteRef/>
      </w:r>
      <w:r>
        <w:t xml:space="preserve"> Arendt, Hannah, Jaspers, Karl, Corr</w:t>
      </w:r>
      <w:r w:rsidR="00BD5BE7">
        <w:t>espondence</w:t>
      </w:r>
      <w:r>
        <w:t>, pp</w:t>
      </w:r>
      <w:r w:rsidR="00BD5BE7">
        <w:t>.</w:t>
      </w:r>
      <w:r>
        <w:t>166</w:t>
      </w:r>
    </w:p>
  </w:footnote>
  <w:footnote w:id="10">
    <w:p w14:paraId="2DA8F4ED" w14:textId="23252407" w:rsidR="00BD5BE7" w:rsidRDefault="00BD5BE7">
      <w:pPr>
        <w:pStyle w:val="FootnoteText"/>
      </w:pPr>
      <w:r>
        <w:rPr>
          <w:rStyle w:val="FootnoteReference"/>
        </w:rPr>
        <w:footnoteRef/>
      </w:r>
      <w:r>
        <w:t xml:space="preserve"> Bernstein, Richard, Reflections on Radical Evil: Arendt and Kant, pp.19</w:t>
      </w:r>
    </w:p>
  </w:footnote>
  <w:footnote w:id="11">
    <w:p w14:paraId="04DF4132" w14:textId="769AE645" w:rsidR="00B80DE6" w:rsidRDefault="00BD5BE7">
      <w:pPr>
        <w:pStyle w:val="FootnoteText"/>
      </w:pPr>
      <w:r>
        <w:rPr>
          <w:rStyle w:val="FootnoteReference"/>
        </w:rPr>
        <w:footnoteRef/>
      </w:r>
      <w:r>
        <w:t xml:space="preserve"> Calder, Todd, Edward</w:t>
      </w:r>
      <w:r w:rsidR="00B80DE6">
        <w:t xml:space="preserve">, N. </w:t>
      </w:r>
      <w:proofErr w:type="spellStart"/>
      <w:r w:rsidR="00B80DE6">
        <w:t>Zalta</w:t>
      </w:r>
      <w:proofErr w:type="spellEnd"/>
      <w:r w:rsidR="00B80DE6">
        <w:t xml:space="preserve">, “The Concept of Evil”, The Stanford Encyclopedia of </w:t>
      </w:r>
      <w:r w:rsidR="00CC50F6">
        <w:t>Philosophy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6A9"/>
    <w:rsid w:val="000706A9"/>
    <w:rsid w:val="00B3617C"/>
    <w:rsid w:val="00B80DE6"/>
    <w:rsid w:val="00BD5BE7"/>
    <w:rsid w:val="00CC50F6"/>
    <w:rsid w:val="00EF6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8D349"/>
  <w15:chartTrackingRefBased/>
  <w15:docId w15:val="{34A18E0B-9B03-444B-9831-84A4DE503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6A9"/>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B80DE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706A9"/>
    <w:rPr>
      <w:color w:val="0000FF"/>
      <w:u w:val="single"/>
    </w:rPr>
  </w:style>
  <w:style w:type="paragraph" w:styleId="NormalWeb">
    <w:name w:val="Normal (Web)"/>
    <w:basedOn w:val="Normal"/>
    <w:uiPriority w:val="99"/>
    <w:unhideWhenUsed/>
    <w:rsid w:val="000706A9"/>
    <w:pPr>
      <w:spacing w:before="100" w:beforeAutospacing="1" w:after="100" w:afterAutospacing="1"/>
    </w:pPr>
    <w:rPr>
      <w:rFonts w:ascii="Calibri" w:hAnsi="Calibri" w:cs="Calibri"/>
    </w:rPr>
  </w:style>
  <w:style w:type="paragraph" w:styleId="FootnoteText">
    <w:name w:val="footnote text"/>
    <w:basedOn w:val="Normal"/>
    <w:link w:val="FootnoteTextChar"/>
    <w:uiPriority w:val="99"/>
    <w:semiHidden/>
    <w:unhideWhenUsed/>
    <w:rsid w:val="000706A9"/>
    <w:rPr>
      <w:sz w:val="20"/>
      <w:szCs w:val="20"/>
    </w:rPr>
  </w:style>
  <w:style w:type="character" w:customStyle="1" w:styleId="FootnoteTextChar">
    <w:name w:val="Footnote Text Char"/>
    <w:basedOn w:val="DefaultParagraphFont"/>
    <w:link w:val="FootnoteText"/>
    <w:uiPriority w:val="99"/>
    <w:semiHidden/>
    <w:rsid w:val="000706A9"/>
    <w:rPr>
      <w:rFonts w:eastAsiaTheme="minorEastAsia"/>
      <w:sz w:val="20"/>
      <w:szCs w:val="20"/>
      <w:lang w:eastAsia="en-GB"/>
    </w:rPr>
  </w:style>
  <w:style w:type="character" w:styleId="FootnoteReference">
    <w:name w:val="footnote reference"/>
    <w:basedOn w:val="DefaultParagraphFont"/>
    <w:uiPriority w:val="99"/>
    <w:semiHidden/>
    <w:unhideWhenUsed/>
    <w:rsid w:val="000706A9"/>
    <w:rPr>
      <w:vertAlign w:val="superscript"/>
    </w:rPr>
  </w:style>
  <w:style w:type="character" w:customStyle="1" w:styleId="Heading1Char">
    <w:name w:val="Heading 1 Char"/>
    <w:basedOn w:val="DefaultParagraphFont"/>
    <w:link w:val="Heading1"/>
    <w:uiPriority w:val="9"/>
    <w:rsid w:val="00B80D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0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65981">
      <w:bodyDiv w:val="1"/>
      <w:marLeft w:val="0"/>
      <w:marRight w:val="0"/>
      <w:marTop w:val="0"/>
      <w:marBottom w:val="0"/>
      <w:divBdr>
        <w:top w:val="none" w:sz="0" w:space="0" w:color="auto"/>
        <w:left w:val="none" w:sz="0" w:space="0" w:color="auto"/>
        <w:bottom w:val="none" w:sz="0" w:space="0" w:color="auto"/>
        <w:right w:val="none" w:sz="0" w:space="0" w:color="auto"/>
      </w:divBdr>
    </w:div>
    <w:div w:id="144974349">
      <w:bodyDiv w:val="1"/>
      <w:marLeft w:val="0"/>
      <w:marRight w:val="0"/>
      <w:marTop w:val="0"/>
      <w:marBottom w:val="0"/>
      <w:divBdr>
        <w:top w:val="none" w:sz="0" w:space="0" w:color="auto"/>
        <w:left w:val="none" w:sz="0" w:space="0" w:color="auto"/>
        <w:bottom w:val="none" w:sz="0" w:space="0" w:color="auto"/>
        <w:right w:val="none" w:sz="0" w:space="0" w:color="auto"/>
      </w:divBdr>
    </w:div>
    <w:div w:id="471488612">
      <w:bodyDiv w:val="1"/>
      <w:marLeft w:val="0"/>
      <w:marRight w:val="0"/>
      <w:marTop w:val="0"/>
      <w:marBottom w:val="0"/>
      <w:divBdr>
        <w:top w:val="none" w:sz="0" w:space="0" w:color="auto"/>
        <w:left w:val="none" w:sz="0" w:space="0" w:color="auto"/>
        <w:bottom w:val="none" w:sz="0" w:space="0" w:color="auto"/>
        <w:right w:val="none" w:sz="0" w:space="0" w:color="auto"/>
      </w:divBdr>
    </w:div>
    <w:div w:id="1129860661">
      <w:bodyDiv w:val="1"/>
      <w:marLeft w:val="0"/>
      <w:marRight w:val="0"/>
      <w:marTop w:val="0"/>
      <w:marBottom w:val="0"/>
      <w:divBdr>
        <w:top w:val="none" w:sz="0" w:space="0" w:color="auto"/>
        <w:left w:val="none" w:sz="0" w:space="0" w:color="auto"/>
        <w:bottom w:val="none" w:sz="0" w:space="0" w:color="auto"/>
        <w:right w:val="none" w:sz="0" w:space="0" w:color="auto"/>
      </w:divBdr>
    </w:div>
    <w:div w:id="1213619098">
      <w:bodyDiv w:val="1"/>
      <w:marLeft w:val="0"/>
      <w:marRight w:val="0"/>
      <w:marTop w:val="0"/>
      <w:marBottom w:val="0"/>
      <w:divBdr>
        <w:top w:val="none" w:sz="0" w:space="0" w:color="auto"/>
        <w:left w:val="none" w:sz="0" w:space="0" w:color="auto"/>
        <w:bottom w:val="none" w:sz="0" w:space="0" w:color="auto"/>
        <w:right w:val="none" w:sz="0" w:space="0" w:color="auto"/>
      </w:divBdr>
    </w:div>
    <w:div w:id="1260912902">
      <w:bodyDiv w:val="1"/>
      <w:marLeft w:val="0"/>
      <w:marRight w:val="0"/>
      <w:marTop w:val="0"/>
      <w:marBottom w:val="0"/>
      <w:divBdr>
        <w:top w:val="none" w:sz="0" w:space="0" w:color="auto"/>
        <w:left w:val="none" w:sz="0" w:space="0" w:color="auto"/>
        <w:bottom w:val="none" w:sz="0" w:space="0" w:color="auto"/>
        <w:right w:val="none" w:sz="0" w:space="0" w:color="auto"/>
      </w:divBdr>
    </w:div>
    <w:div w:id="1293100466">
      <w:bodyDiv w:val="1"/>
      <w:marLeft w:val="0"/>
      <w:marRight w:val="0"/>
      <w:marTop w:val="0"/>
      <w:marBottom w:val="0"/>
      <w:divBdr>
        <w:top w:val="none" w:sz="0" w:space="0" w:color="auto"/>
        <w:left w:val="none" w:sz="0" w:space="0" w:color="auto"/>
        <w:bottom w:val="none" w:sz="0" w:space="0" w:color="auto"/>
        <w:right w:val="none" w:sz="0" w:space="0" w:color="auto"/>
      </w:divBdr>
    </w:div>
    <w:div w:id="1441341544">
      <w:bodyDiv w:val="1"/>
      <w:marLeft w:val="0"/>
      <w:marRight w:val="0"/>
      <w:marTop w:val="0"/>
      <w:marBottom w:val="0"/>
      <w:divBdr>
        <w:top w:val="none" w:sz="0" w:space="0" w:color="auto"/>
        <w:left w:val="none" w:sz="0" w:space="0" w:color="auto"/>
        <w:bottom w:val="none" w:sz="0" w:space="0" w:color="auto"/>
        <w:right w:val="none" w:sz="0" w:space="0" w:color="auto"/>
      </w:divBdr>
    </w:div>
    <w:div w:id="1652128187">
      <w:bodyDiv w:val="1"/>
      <w:marLeft w:val="0"/>
      <w:marRight w:val="0"/>
      <w:marTop w:val="0"/>
      <w:marBottom w:val="0"/>
      <w:divBdr>
        <w:top w:val="none" w:sz="0" w:space="0" w:color="auto"/>
        <w:left w:val="none" w:sz="0" w:space="0" w:color="auto"/>
        <w:bottom w:val="none" w:sz="0" w:space="0" w:color="auto"/>
        <w:right w:val="none" w:sz="0" w:space="0" w:color="auto"/>
      </w:divBdr>
    </w:div>
    <w:div w:id="1815638328">
      <w:bodyDiv w:val="1"/>
      <w:marLeft w:val="0"/>
      <w:marRight w:val="0"/>
      <w:marTop w:val="0"/>
      <w:marBottom w:val="0"/>
      <w:divBdr>
        <w:top w:val="none" w:sz="0" w:space="0" w:color="auto"/>
        <w:left w:val="none" w:sz="0" w:space="0" w:color="auto"/>
        <w:bottom w:val="none" w:sz="0" w:space="0" w:color="auto"/>
        <w:right w:val="none" w:sz="0" w:space="0" w:color="auto"/>
      </w:divBdr>
    </w:div>
    <w:div w:id="1879783141">
      <w:bodyDiv w:val="1"/>
      <w:marLeft w:val="0"/>
      <w:marRight w:val="0"/>
      <w:marTop w:val="0"/>
      <w:marBottom w:val="0"/>
      <w:divBdr>
        <w:top w:val="none" w:sz="0" w:space="0" w:color="auto"/>
        <w:left w:val="none" w:sz="0" w:space="0" w:color="auto"/>
        <w:bottom w:val="none" w:sz="0" w:space="0" w:color="auto"/>
        <w:right w:val="none" w:sz="0" w:space="0" w:color="auto"/>
      </w:divBdr>
    </w:div>
    <w:div w:id="190691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Are63</b:Tag>
    <b:SourceType>Book</b:SourceType>
    <b:Guid>{DE25A450-1BED-47EB-9991-E97311509CAE}</b:Guid>
    <b:Title>Eichmann in Jerusalem A Report on the Banality of Evil</b:Title>
    <b:Year>1963</b:Year>
    <b:Author>
      <b:Author>
        <b:NameList>
          <b:Person>
            <b:Last>Arendt</b:Last>
            <b:First>Hannah</b:First>
          </b:Person>
        </b:NameList>
      </b:Author>
    </b:Author>
    <b:City>New York</b:City>
    <b:Publisher>Penguin Group</b:Publisher>
    <b:RefOrder>2</b:RefOrder>
  </b:Source>
  <b:Source>
    <b:Tag>Berna</b:Tag>
    <b:SourceType>JournalArticle</b:SourceType>
    <b:Guid>{04AFE0E5-4E83-44B7-BDE4-5329D6E1869D}</b:Guid>
    <b:Title>Reflections on Radical Evil: Arendt and Kant</b:Title>
    <b:Year>n/a</b:Year>
    <b:Author>
      <b:Author>
        <b:NameList>
          <b:Person>
            <b:Last>Richard</b:Last>
            <b:First>Bernstein</b:First>
            <b:Middle>J.</b:Middle>
          </b:Person>
        </b:NameList>
      </b:Author>
    </b:Author>
    <b:JournalName>Soundings: An Interdisciplinary Journal</b:JournalName>
    <b:Pages>17-30</b:Pages>
    <b:RefOrder>3</b:RefOrder>
  </b:Source>
  <b:Source>
    <b:Tag>Cal20</b:Tag>
    <b:SourceType>InternetSite</b:SourceType>
    <b:Guid>{E048F82A-13B5-4FFF-8E7A-FBA0C4CFA3A3}</b:Guid>
    <b:Author>
      <b:Author>
        <b:NameList>
          <b:Person>
            <b:Last>Calder</b:Last>
            <b:First>Todd,</b:First>
            <b:Middle>Zalta, Edward</b:Middle>
          </b:Person>
        </b:NameList>
      </b:Author>
    </b:Author>
    <b:Title>Stanford Encyclopedia of Philosophy</b:Title>
    <b:InternetSiteTitle>The Concept of Evil</b:InternetSiteTitle>
    <b:Year>2020</b:Year>
    <b:URL>https://plato.stanford.edu/entries/concept-evil/</b:URL>
    <b:RefOrder>4</b:RefOrder>
  </b:Source>
  <b:Source>
    <b:Tag>McL17</b:Tag>
    <b:SourceType>InternetSite</b:SourceType>
    <b:Guid>{BE39CCCB-ED7A-41A7-9D5C-74794A07E414}</b:Guid>
    <b:Author>
      <b:Author>
        <b:NameList>
          <b:Person>
            <b:Last>McLeod</b:Last>
            <b:First>Saul</b:First>
          </b:Person>
        </b:NameList>
      </b:Author>
    </b:Author>
    <b:Title>Milgram Shock Experiment</b:Title>
    <b:InternetSiteTitle>Simply Psychology </b:InternetSiteTitle>
    <b:Year>2017</b:Year>
    <b:URL>https://www.simplypsychology.org/milgram.html</b:URL>
    <b:RefOrder>1</b:RefOrder>
  </b:Source>
</b:Sources>
</file>

<file path=customXml/itemProps1.xml><?xml version="1.0" encoding="utf-8"?>
<ds:datastoreItem xmlns:ds="http://schemas.openxmlformats.org/officeDocument/2006/customXml" ds:itemID="{610E4099-FE36-4DE1-BA29-57A65C7A7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Pages>
  <Words>1647</Words>
  <Characters>9393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1</cp:revision>
  <dcterms:created xsi:type="dcterms:W3CDTF">2020-10-11T14:44:00Z</dcterms:created>
  <dcterms:modified xsi:type="dcterms:W3CDTF">2020-10-11T15:43:00Z</dcterms:modified>
</cp:coreProperties>
</file>